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hyperlink w:anchor="toc">
        <w:bookmarkStart w:id="0" w:name="d118907ds1.htm"/>
        <w:bookmarkStart w:id="1" w:name="ksd118907ds1"/>
        <w:bookmarkEnd w:id="0"/>
        <w:bookmarkEnd w:id="1"/>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As filed with the Securities and Exchange Commission on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September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10</w:t>
      </w:r>
    </w:p>
    <w:p>
      <w:pPr>
        <w:pStyle w:val="TextBody"/>
        <w:spacing w:before="0" w:after="0"/>
        <w:jc w:val="center"/>
        <w:rPr>
          <w:rFonts w:ascii="Times New Roman" w:hAnsi="Times New Roman"/>
          <w:b/>
          <w:spacing w:val="0"/>
          <w:sz w:val="20"/>
        </w:rPr>
      </w:pPr>
      <w:r>
        <w:rPr>
          <w:rFonts w:ascii="Times New Roman" w:hAnsi="Times New Roman"/>
          <w:b/>
          <w:spacing w:val="0"/>
          <w:sz w:val="20"/>
        </w:rPr>
        <w:t>, 2021</w:t>
      </w:r>
    </w:p>
    <w:p>
      <w:pPr>
        <w:pStyle w:val="TextBody"/>
        <w:spacing w:before="0" w:after="0"/>
        <w:jc w:val="right"/>
        <w:rPr>
          <w:rFonts w:ascii="Times New Roman" w:hAnsi="Times New Roman"/>
          <w:b/>
          <w:spacing w:val="0"/>
          <w:sz w:val="20"/>
        </w:rPr>
      </w:pPr>
      <w:r>
        <w:rPr>
          <w:rFonts w:ascii="Times New Roman" w:hAnsi="Times New Roman"/>
          <w:b/>
          <w:spacing w:val="0"/>
          <w:sz w:val="20"/>
        </w:rPr>
        <w:t xml:space="preserve">Registration Statement </w:t>
      </w:r>
    </w:p>
    <w:p>
      <w:pPr>
        <w:pStyle w:val="TextBody"/>
        <w:spacing w:before="0" w:after="0"/>
        <w:jc w:val="right"/>
        <w:rPr>
          <w:rFonts w:ascii="Times New Roman" w:hAnsi="Times New Roman"/>
          <w:b/>
          <w:spacing w:val="0"/>
          <w:sz w:val="20"/>
        </w:rPr>
      </w:pPr>
      <w:r>
        <w:rPr>
          <w:rFonts w:ascii="Times New Roman" w:hAnsi="Times New Roman"/>
          <w:b/>
          <w:spacing w:val="0"/>
          <w:sz w:val="20"/>
        </w:rPr>
        <w:t>No. 333-                </w:t>
      </w:r>
    </w:p>
    <w:p>
      <w:pPr>
        <w:pStyle w:val="TextBody"/>
        <w:spacing w:before="0" w:after="0"/>
        <w:jc w:val="left"/>
        <w:rPr>
          <w:spacing w:val="0"/>
        </w:rPr>
      </w:pPr>
      <w:r>
        <w:rPr>
          <w:spacing w:val="0"/>
        </w:rPr>
        <w:t> </w:t>
      </w:r>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TextBody"/>
        <w:spacing w:before="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pacing w:val="0"/>
          <w:sz w:val="36"/>
        </w:rPr>
      </w:pPr>
      <w:r>
        <w:rPr>
          <w:rFonts w:ascii="Times New Roman" w:hAnsi="Times New Roman"/>
          <w:b/>
          <w:spacing w:val="0"/>
          <w:sz w:val="36"/>
        </w:rPr>
        <w:t xml:space="preserve">Form </w:t>
      </w:r>
    </w:p>
    <w:p>
      <w:pPr>
        <w:pStyle w:val="TextBody"/>
        <w:spacing w:before="240" w:after="0"/>
        <w:jc w:val="center"/>
        <w:rPr>
          <w:rFonts w:ascii="Times New Roman" w:hAnsi="Times New Roman"/>
          <w:b/>
          <w:spacing w:val="0"/>
          <w:sz w:val="36"/>
        </w:rPr>
      </w:pPr>
      <w:r>
        <w:rPr>
          <w:rFonts w:ascii="Times New Roman" w:hAnsi="Times New Roman"/>
          <w:b/>
          <w:spacing w:val="0"/>
          <w:sz w:val="36"/>
        </w:rPr>
        <w:t>S-1</w:t>
      </w:r>
    </w:p>
    <w:p>
      <w:pPr>
        <w:pStyle w:val="TextBody"/>
        <w:spacing w:before="0" w:after="0"/>
        <w:jc w:val="center"/>
        <w:rPr>
          <w:rFonts w:ascii="Times New Roman" w:hAnsi="Times New Roman"/>
          <w:b/>
          <w:spacing w:val="0"/>
          <w:sz w:val="36"/>
        </w:rPr>
      </w:pPr>
      <w:r>
        <w:rPr>
          <w:rFonts w:ascii="Times New Roman" w:hAnsi="Times New Roman"/>
          <w:b/>
          <w:spacing w:val="0"/>
          <w:sz w:val="36"/>
        </w:rPr>
        <w:t xml:space="preserve">REGISTRATION STATEMENT </w:t>
      </w:r>
    </w:p>
    <w:p>
      <w:pPr>
        <w:pStyle w:val="TextBody"/>
        <w:spacing w:before="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UNDER </w:t>
      </w:r>
    </w:p>
    <w:p>
      <w:pPr>
        <w:pStyle w:val="TextBody"/>
        <w:spacing w:before="0" w:after="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THE SECURITIES ACT OF 1933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pacing w:val="0"/>
          <w:sz w:val="48"/>
        </w:rPr>
      </w:pPr>
      <w:r>
        <w:rPr>
          <w:rFonts w:ascii="Times New Roman" w:hAnsi="Times New Roman"/>
          <w:b/>
          <w:spacing w:val="0"/>
          <w:sz w:val="48"/>
        </w:rPr>
        <w:t xml:space="preserve">TANGO THERAPEUTICS, INC.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jc w:val="left"/>
        <w:rPr>
          <w:spacing w:val="0"/>
        </w:rPr>
      </w:pPr>
      <w:r>
        <w:rPr>
          <w:spacing w:val="0"/>
        </w:rPr>
        <w:t> </w:t>
      </w:r>
    </w:p>
    <w:tbl>
      <w:tblPr>
        <w:tblW w:w="6330" w:type="dxa"/>
        <w:jc w:val="left"/>
        <w:tblInd w:w="0" w:type="dxa"/>
        <w:tblCellMar>
          <w:top w:w="0" w:type="dxa"/>
          <w:left w:w="0" w:type="dxa"/>
          <w:bottom w:w="0" w:type="dxa"/>
          <w:right w:w="0" w:type="dxa"/>
        </w:tblCellMar>
      </w:tblPr>
      <w:tblGrid>
        <w:gridCol w:w="2345"/>
        <w:gridCol w:w="60"/>
        <w:gridCol w:w="2165"/>
        <w:gridCol w:w="60"/>
        <w:gridCol w:w="1700"/>
      </w:tblGrid>
      <w:tr>
        <w:trPr/>
        <w:tc>
          <w:tcPr>
            <w:tcW w:w="2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vAlign w:val="center"/>
          </w:tcPr>
          <w:p>
            <w:pPr>
              <w:pStyle w:val="TableContents"/>
              <w:spacing w:before="0" w:after="0"/>
              <w:jc w:val="center"/>
              <w:rPr>
                <w:b/>
                <w:spacing w:val="0"/>
              </w:rPr>
            </w:pPr>
            <w:r>
              <w:rPr>
                <w:b/>
                <w:spacing w:val="0"/>
              </w:rPr>
              <w:t>Delaware</w:t>
            </w:r>
          </w:p>
        </w:tc>
        <w:tc>
          <w:tcPr>
            <w:tcW w:w="60" w:type="dxa"/>
            <w:tcBorders/>
            <w:shd w:fill="auto" w:val="clear"/>
            <w:vAlign w:val="center"/>
          </w:tcPr>
          <w:p>
            <w:pPr>
              <w:pStyle w:val="TableContents"/>
              <w:spacing w:before="0" w:after="0"/>
              <w:rPr>
                <w:spacing w:val="0"/>
              </w:rPr>
            </w:pPr>
            <w:r>
              <w:rPr>
                <w:spacing w:val="0"/>
              </w:rPr>
              <w:t> </w:t>
            </w:r>
          </w:p>
        </w:tc>
        <w:tc>
          <w:tcPr>
            <w:tcW w:w="2165" w:type="dxa"/>
            <w:tcBorders/>
            <w:shd w:fill="auto" w:val="clear"/>
            <w:vAlign w:val="center"/>
          </w:tcPr>
          <w:p>
            <w:pPr>
              <w:pStyle w:val="TableContents"/>
              <w:spacing w:before="0" w:after="0"/>
              <w:jc w:val="center"/>
              <w:rPr>
                <w:b/>
                <w:spacing w:val="0"/>
              </w:rPr>
            </w:pPr>
            <w:r>
              <w:rPr>
                <w:b/>
                <w:spacing w:val="0"/>
              </w:rPr>
              <w:t>2834</w:t>
            </w:r>
          </w:p>
        </w:tc>
        <w:tc>
          <w:tcPr>
            <w:tcW w:w="60" w:type="dxa"/>
            <w:tcBorders/>
            <w:shd w:fill="auto" w:val="clear"/>
            <w:vAlign w:val="center"/>
          </w:tcPr>
          <w:p>
            <w:pPr>
              <w:pStyle w:val="TableContents"/>
              <w:spacing w:before="0" w:after="0"/>
              <w:rPr>
                <w:spacing w:val="0"/>
              </w:rPr>
            </w:pPr>
            <w:r>
              <w:rPr>
                <w:spacing w:val="0"/>
              </w:rPr>
              <w:t> </w:t>
            </w:r>
          </w:p>
        </w:tc>
        <w:tc>
          <w:tcPr>
            <w:tcW w:w="1700" w:type="dxa"/>
            <w:tcBorders/>
            <w:shd w:fill="auto" w:val="clear"/>
            <w:vAlign w:val="center"/>
          </w:tcPr>
          <w:p>
            <w:pPr>
              <w:pStyle w:val="TableContents"/>
              <w:spacing w:before="0" w:after="0"/>
              <w:jc w:val="center"/>
              <w:rPr>
                <w:b/>
                <w:spacing w:val="0"/>
              </w:rPr>
            </w:pPr>
            <w:r>
              <w:rPr>
                <w:b/>
                <w:spacing w:val="0"/>
              </w:rPr>
              <w:t>85-1195036</w:t>
            </w:r>
          </w:p>
        </w:tc>
      </w:tr>
      <w:tr>
        <w:trPr/>
        <w:tc>
          <w:tcPr>
            <w:tcW w:w="234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shd w:fill="auto" w:val="clear"/>
            <w:vAlign w:val="center"/>
          </w:tcPr>
          <w:p>
            <w:pPr>
              <w:pStyle w:val="TableContents"/>
              <w:spacing w:before="0" w:after="0"/>
              <w:rPr>
                <w:spacing w:val="0"/>
              </w:rPr>
            </w:pPr>
            <w:r>
              <w:rPr>
                <w:spacing w:val="0"/>
              </w:rPr>
              <w:t> </w:t>
            </w:r>
          </w:p>
        </w:tc>
        <w:tc>
          <w:tcPr>
            <w:tcW w:w="216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(Primary Standard Industrial</w:t>
            </w:r>
          </w:p>
          <w:p>
            <w:pPr>
              <w:pStyle w:val="TableContents"/>
              <w:spacing w:before="0" w:after="20"/>
              <w:jc w:val="center"/>
              <w:rPr>
                <w:rFonts w:ascii="Times New Roman" w:hAnsi="Times New Roman"/>
                <w:b/>
                <w:spacing w:val="0"/>
                <w:sz w:val="16"/>
              </w:rPr>
            </w:pPr>
            <w:r>
              <w:rPr>
                <w:rFonts w:ascii="Times New Roman" w:hAnsi="Times New Roman"/>
                <w:b/>
                <w:spacing w:val="0"/>
                <w:sz w:val="16"/>
              </w:rPr>
              <w:t>Classification Code Number)</w:t>
            </w:r>
          </w:p>
        </w:tc>
        <w:tc>
          <w:tcPr>
            <w:tcW w:w="60" w:type="dxa"/>
            <w:tcBorders/>
            <w:shd w:fill="auto" w:val="clear"/>
            <w:vAlign w:val="center"/>
          </w:tcPr>
          <w:p>
            <w:pPr>
              <w:pStyle w:val="TableContents"/>
              <w:spacing w:before="0" w:after="0"/>
              <w:rPr>
                <w:spacing w:val="0"/>
              </w:rPr>
            </w:pPr>
            <w:r>
              <w:rPr>
                <w:spacing w:val="0"/>
              </w:rPr>
              <w:t> </w:t>
            </w:r>
          </w:p>
        </w:tc>
        <w:tc>
          <w:tcPr>
            <w:tcW w:w="170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spacing w:before="0" w:after="20"/>
              <w:jc w:val="center"/>
              <w:rPr>
                <w:rFonts w:ascii="Times New Roman" w:hAnsi="Times New Roman"/>
                <w:b/>
                <w:spacing w:val="0"/>
                <w:sz w:val="16"/>
              </w:rPr>
            </w:pPr>
            <w:r>
              <w:rPr>
                <w:rFonts w:ascii="Times New Roman" w:hAnsi="Times New Roman"/>
                <w:b/>
                <w:spacing w:val="0"/>
                <w:sz w:val="16"/>
              </w:rPr>
              <w:t>Identification Number)</w:t>
            </w:r>
          </w:p>
        </w:tc>
      </w:tr>
    </w:tbl>
    <w:p>
      <w:pPr>
        <w:pStyle w:val="TextBody"/>
        <w:spacing w:before="120" w:after="0"/>
        <w:jc w:val="center"/>
        <w:rPr>
          <w:rFonts w:ascii="Times New Roman" w:hAnsi="Times New Roman"/>
          <w:b/>
          <w:spacing w:val="0"/>
          <w:sz w:val="20"/>
        </w:rPr>
      </w:pPr>
      <w:r>
        <w:rPr>
          <w:rFonts w:ascii="Times New Roman" w:hAnsi="Times New Roman"/>
          <w:b/>
          <w:spacing w:val="0"/>
          <w:sz w:val="20"/>
        </w:rPr>
        <w:t xml:space="preserve">100 Binney St., Suite 700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Cambridge, MA 02142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(857) </w:t>
      </w:r>
    </w:p>
    <w:p>
      <w:pPr>
        <w:pStyle w:val="TextBody"/>
        <w:spacing w:before="0" w:after="0"/>
        <w:jc w:val="center"/>
        <w:rPr>
          <w:rFonts w:ascii="Times New Roman" w:hAnsi="Times New Roman"/>
          <w:b/>
          <w:spacing w:val="0"/>
          <w:sz w:val="20"/>
        </w:rPr>
      </w:pPr>
      <w:r>
        <w:rPr>
          <w:rFonts w:ascii="Times New Roman" w:hAnsi="Times New Roman"/>
          <w:b/>
          <w:spacing w:val="0"/>
          <w:sz w:val="20"/>
        </w:rPr>
        <w:t>320-4900</w:t>
      </w:r>
    </w:p>
    <w:p>
      <w:pPr>
        <w:pStyle w:val="TextBody"/>
        <w:spacing w:before="0" w:after="0"/>
        <w:jc w:val="center"/>
        <w:rPr>
          <w:rFonts w:ascii="Times New Roman" w:hAnsi="Times New Roman"/>
          <w:b/>
          <w:spacing w:val="0"/>
          <w:sz w:val="16"/>
        </w:rPr>
      </w:pPr>
      <w:r>
        <w:rPr>
          <w:rFonts w:ascii="Times New Roman" w:hAnsi="Times New Roman"/>
          <w:b/>
          <w:spacing w:val="0"/>
          <w:sz w:val="16"/>
        </w:rPr>
        <w:t xml:space="preserve">(Address, including zip code, and telephone number, including area code, of Registrant’s principal executive offices)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Barbara Weber, M.D.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President and Chief Executive Officer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100 Binney St., Suite 700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Cambridge, MA 02142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(857) </w:t>
      </w:r>
    </w:p>
    <w:p>
      <w:pPr>
        <w:pStyle w:val="TextBody"/>
        <w:spacing w:before="0" w:after="0"/>
        <w:jc w:val="center"/>
        <w:rPr>
          <w:rFonts w:ascii="Times New Roman" w:hAnsi="Times New Roman"/>
          <w:b/>
          <w:spacing w:val="0"/>
          <w:sz w:val="20"/>
        </w:rPr>
      </w:pPr>
      <w:r>
        <w:rPr>
          <w:rFonts w:ascii="Times New Roman" w:hAnsi="Times New Roman"/>
          <w:b/>
          <w:spacing w:val="0"/>
          <w:sz w:val="20"/>
        </w:rPr>
        <w:t>320-4900</w:t>
      </w:r>
    </w:p>
    <w:p>
      <w:pPr>
        <w:pStyle w:val="TextBody"/>
        <w:spacing w:before="0" w:after="0"/>
        <w:jc w:val="center"/>
        <w:rPr>
          <w:rFonts w:ascii="Times New Roman" w:hAnsi="Times New Roman"/>
          <w:b/>
          <w:spacing w:val="0"/>
          <w:sz w:val="16"/>
        </w:rPr>
      </w:pPr>
      <w:r>
        <w:rPr>
          <w:rFonts w:ascii="Times New Roman" w:hAnsi="Times New Roman"/>
          <w:b/>
          <w:spacing w:val="0"/>
          <w:sz w:val="16"/>
        </w:rPr>
        <w:t xml:space="preserve">(Name, address, including zip code, and telephone number, including area code, of agent for service)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Copies to: </w:t>
      </w:r>
    </w:p>
    <w:p>
      <w:pPr>
        <w:pStyle w:val="TextBody"/>
        <w:spacing w:before="0" w:after="0"/>
        <w:jc w:val="left"/>
        <w:rPr>
          <w:spacing w:val="0"/>
        </w:rPr>
      </w:pPr>
      <w:r>
        <w:rPr>
          <w:spacing w:val="0"/>
        </w:rPr>
        <w:t> </w:t>
      </w:r>
    </w:p>
    <w:tbl>
      <w:tblPr>
        <w:tblW w:w="4285" w:type="dxa"/>
        <w:jc w:val="left"/>
        <w:tblInd w:w="0" w:type="dxa"/>
        <w:tblCellMar>
          <w:top w:w="0" w:type="dxa"/>
          <w:left w:w="0" w:type="dxa"/>
          <w:bottom w:w="0" w:type="dxa"/>
          <w:right w:w="0" w:type="dxa"/>
        </w:tblCellMar>
      </w:tblPr>
      <w:tblGrid>
        <w:gridCol w:w="2135"/>
        <w:gridCol w:w="60"/>
        <w:gridCol w:w="2090"/>
      </w:tblGrid>
      <w:tr>
        <w:trPr/>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Mitchell S. Bloom, Esq.</w:t>
            </w:r>
          </w:p>
          <w:p>
            <w:pPr>
              <w:pStyle w:val="TableContents"/>
              <w:spacing w:before="0" w:after="0"/>
              <w:jc w:val="center"/>
              <w:rPr>
                <w:rFonts w:ascii="Times New Roman" w:hAnsi="Times New Roman"/>
                <w:b/>
                <w:spacing w:val="0"/>
                <w:sz w:val="16"/>
              </w:rPr>
            </w:pPr>
            <w:r>
              <w:rPr>
                <w:rFonts w:ascii="Times New Roman" w:hAnsi="Times New Roman"/>
                <w:b/>
                <w:spacing w:val="0"/>
                <w:sz w:val="16"/>
              </w:rPr>
              <w:t>William D. Collins, Esq.</w:t>
            </w:r>
          </w:p>
          <w:p>
            <w:pPr>
              <w:pStyle w:val="TableContents"/>
              <w:spacing w:before="0" w:after="0"/>
              <w:jc w:val="center"/>
              <w:rPr>
                <w:rFonts w:ascii="Times New Roman" w:hAnsi="Times New Roman"/>
                <w:b/>
                <w:spacing w:val="0"/>
                <w:sz w:val="16"/>
              </w:rPr>
            </w:pPr>
            <w:r>
              <w:rPr>
                <w:rFonts w:ascii="Times New Roman" w:hAnsi="Times New Roman"/>
                <w:b/>
                <w:spacing w:val="0"/>
                <w:sz w:val="16"/>
              </w:rPr>
              <w:t>Goodwin Procter LLP</w:t>
            </w:r>
          </w:p>
          <w:p>
            <w:pPr>
              <w:pStyle w:val="TableContents"/>
              <w:spacing w:before="0" w:after="0"/>
              <w:jc w:val="center"/>
              <w:rPr>
                <w:rFonts w:ascii="Times New Roman" w:hAnsi="Times New Roman"/>
                <w:b/>
                <w:spacing w:val="0"/>
                <w:sz w:val="16"/>
              </w:rPr>
            </w:pPr>
            <w:r>
              <w:rPr>
                <w:rFonts w:ascii="Times New Roman" w:hAnsi="Times New Roman"/>
                <w:b/>
                <w:spacing w:val="0"/>
                <w:sz w:val="16"/>
              </w:rPr>
              <w:t>100 Northern Avenue</w:t>
            </w:r>
          </w:p>
          <w:p>
            <w:pPr>
              <w:pStyle w:val="TableContents"/>
              <w:spacing w:before="0" w:after="0"/>
              <w:jc w:val="center"/>
              <w:rPr>
                <w:rFonts w:ascii="Times New Roman" w:hAnsi="Times New Roman"/>
                <w:b/>
                <w:spacing w:val="0"/>
                <w:sz w:val="16"/>
              </w:rPr>
            </w:pPr>
            <w:r>
              <w:rPr>
                <w:rFonts w:ascii="Times New Roman" w:hAnsi="Times New Roman"/>
                <w:b/>
                <w:spacing w:val="0"/>
                <w:sz w:val="16"/>
              </w:rPr>
              <w:t>Boston, Massachusetts 02210</w:t>
            </w:r>
          </w:p>
          <w:p>
            <w:pPr>
              <w:pStyle w:val="TableContents"/>
              <w:spacing w:before="0" w:after="20"/>
              <w:jc w:val="center"/>
              <w:rPr>
                <w:rFonts w:ascii="Times New Roman" w:hAnsi="Times New Roman"/>
                <w:b/>
                <w:spacing w:val="0"/>
                <w:sz w:val="16"/>
              </w:rPr>
            </w:pPr>
            <w:r>
              <w:rPr>
                <w:rFonts w:ascii="Times New Roman" w:hAnsi="Times New Roman"/>
                <w:b/>
                <w:spacing w:val="0"/>
                <w:sz w:val="16"/>
              </w:rPr>
              <w:t xml:space="preserve">Tel: (617) </w:t>
            </w:r>
          </w:p>
          <w:p>
            <w:pPr>
              <w:pStyle w:val="TableContents"/>
              <w:spacing w:before="0" w:after="20"/>
              <w:jc w:val="center"/>
              <w:rPr>
                <w:rFonts w:ascii="Times New Roman" w:hAnsi="Times New Roman"/>
                <w:b/>
                <w:spacing w:val="0"/>
                <w:sz w:val="16"/>
              </w:rPr>
            </w:pPr>
            <w:r>
              <w:rPr>
                <w:rFonts w:ascii="Times New Roman" w:hAnsi="Times New Roman"/>
                <w:b/>
                <w:spacing w:val="0"/>
                <w:sz w:val="16"/>
              </w:rPr>
              <w:t>570-1000</w:t>
            </w:r>
          </w:p>
        </w:tc>
        <w:tc>
          <w:tcPr>
            <w:tcW w:w="60" w:type="dxa"/>
            <w:tcBorders/>
            <w:shd w:fill="auto" w:val="clear"/>
            <w:vAlign w:val="center"/>
          </w:tcPr>
          <w:p>
            <w:pPr>
              <w:pStyle w:val="TableContents"/>
              <w:spacing w:before="0" w:after="0"/>
              <w:rPr>
                <w:spacing w:val="0"/>
              </w:rPr>
            </w:pPr>
            <w:r>
              <w:rPr>
                <w:spacing w:val="0"/>
              </w:rPr>
              <w:t> </w:t>
            </w:r>
          </w:p>
        </w:tc>
        <w:tc>
          <w:tcPr>
            <w:tcW w:w="209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Douglas Barry, Esq.</w:t>
            </w:r>
          </w:p>
          <w:p>
            <w:pPr>
              <w:pStyle w:val="TableContents"/>
              <w:spacing w:before="0" w:after="0"/>
              <w:jc w:val="center"/>
              <w:rPr>
                <w:rFonts w:ascii="Times New Roman" w:hAnsi="Times New Roman"/>
                <w:b/>
                <w:spacing w:val="0"/>
                <w:sz w:val="16"/>
              </w:rPr>
            </w:pPr>
            <w:r>
              <w:rPr>
                <w:rFonts w:ascii="Times New Roman" w:hAnsi="Times New Roman"/>
                <w:b/>
                <w:spacing w:val="0"/>
                <w:sz w:val="16"/>
              </w:rPr>
              <w:t>General Counsel</w:t>
            </w:r>
          </w:p>
          <w:p>
            <w:pPr>
              <w:pStyle w:val="TableContents"/>
              <w:spacing w:before="0" w:after="0"/>
              <w:jc w:val="center"/>
              <w:rPr>
                <w:rFonts w:ascii="Times New Roman" w:hAnsi="Times New Roman"/>
                <w:b/>
                <w:spacing w:val="0"/>
                <w:sz w:val="16"/>
              </w:rPr>
            </w:pPr>
            <w:r>
              <w:rPr>
                <w:rFonts w:ascii="Times New Roman" w:hAnsi="Times New Roman"/>
                <w:b/>
                <w:spacing w:val="0"/>
                <w:sz w:val="16"/>
              </w:rPr>
              <w:t>Tango Therapeutics, Inc.</w:t>
            </w:r>
          </w:p>
          <w:p>
            <w:pPr>
              <w:pStyle w:val="TableContents"/>
              <w:spacing w:before="0" w:after="0"/>
              <w:jc w:val="center"/>
              <w:rPr>
                <w:rFonts w:ascii="Times New Roman" w:hAnsi="Times New Roman"/>
                <w:b/>
                <w:spacing w:val="0"/>
                <w:sz w:val="16"/>
              </w:rPr>
            </w:pPr>
            <w:r>
              <w:rPr>
                <w:rFonts w:ascii="Times New Roman" w:hAnsi="Times New Roman"/>
                <w:b/>
                <w:spacing w:val="0"/>
                <w:sz w:val="16"/>
              </w:rPr>
              <w:t>100 Binney Street, Suite 700</w:t>
            </w:r>
          </w:p>
          <w:p>
            <w:pPr>
              <w:pStyle w:val="TableContents"/>
              <w:spacing w:before="0" w:after="0"/>
              <w:jc w:val="center"/>
              <w:rPr>
                <w:rFonts w:ascii="Times New Roman" w:hAnsi="Times New Roman"/>
                <w:b/>
                <w:spacing w:val="0"/>
                <w:sz w:val="16"/>
              </w:rPr>
            </w:pPr>
            <w:r>
              <w:rPr>
                <w:rFonts w:ascii="Times New Roman" w:hAnsi="Times New Roman"/>
                <w:b/>
                <w:spacing w:val="0"/>
                <w:sz w:val="16"/>
              </w:rPr>
              <w:t>Cambridge, MA 02139</w:t>
            </w:r>
          </w:p>
          <w:p>
            <w:pPr>
              <w:pStyle w:val="TableContents"/>
              <w:spacing w:before="0" w:after="20"/>
              <w:jc w:val="center"/>
              <w:rPr>
                <w:rFonts w:ascii="Times New Roman" w:hAnsi="Times New Roman"/>
                <w:b/>
                <w:spacing w:val="0"/>
                <w:sz w:val="16"/>
              </w:rPr>
            </w:pPr>
            <w:r>
              <w:rPr>
                <w:rFonts w:ascii="Times New Roman" w:hAnsi="Times New Roman"/>
                <w:b/>
                <w:spacing w:val="0"/>
                <w:sz w:val="16"/>
              </w:rPr>
              <w:t xml:space="preserve">(857) </w:t>
            </w:r>
          </w:p>
          <w:p>
            <w:pPr>
              <w:pStyle w:val="TableContents"/>
              <w:spacing w:before="0" w:after="20"/>
              <w:jc w:val="center"/>
              <w:rPr>
                <w:rFonts w:ascii="Times New Roman" w:hAnsi="Times New Roman"/>
                <w:b/>
                <w:spacing w:val="0"/>
                <w:sz w:val="16"/>
              </w:rPr>
            </w:pPr>
            <w:r>
              <w:rPr>
                <w:rFonts w:ascii="Times New Roman" w:hAnsi="Times New Roman"/>
                <w:b/>
                <w:spacing w:val="0"/>
                <w:sz w:val="16"/>
              </w:rPr>
              <w:t>320-4900</w:t>
            </w:r>
          </w:p>
        </w:tc>
      </w:tr>
    </w:tbl>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jc w:val="left"/>
        <w:rPr>
          <w:rFonts w:ascii="Times New Roman" w:hAnsi="Times New Roman"/>
          <w:b/>
          <w:spacing w:val="0"/>
          <w:sz w:val="20"/>
        </w:rPr>
      </w:pPr>
      <w:r>
        <w:rPr>
          <w:rFonts w:ascii="Times New Roman" w:hAnsi="Times New Roman"/>
          <w:b/>
          <w:spacing w:val="0"/>
          <w:sz w:val="20"/>
        </w:rPr>
        <w:t>Approximate date of commencement of proposed sale to the public</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From time to time after this registration statement becomes effective.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any of the securities being registered on this Form are to be offered on a delayed or continuous basis pursuant to Rule 415 under the Securities Act of 1933 check the following box:  ☒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is a large accelerated filer, an accelerated filer, a </w:t>
      </w:r>
    </w:p>
    <w:p>
      <w:pPr>
        <w:pStyle w:val="TextBody"/>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filer, smaller reporting company, or an emerging growth company. See the definitions of “large accelerated filer,” “accelerated filer,” “smaller reporting company,” and “emerging growth company” in Rule </w:t>
      </w:r>
    </w:p>
    <w:p>
      <w:pPr>
        <w:pStyle w:val="TextBody"/>
        <w:spacing w:before="240" w:after="0"/>
        <w:jc w:val="left"/>
        <w:rPr>
          <w:rFonts w:ascii="Times New Roman" w:hAnsi="Times New Roman"/>
          <w:spacing w:val="0"/>
          <w:sz w:val="20"/>
        </w:rPr>
      </w:pPr>
      <w:r>
        <w:rPr>
          <w:rFonts w:ascii="Times New Roman" w:hAnsi="Times New Roman"/>
          <w:spacing w:val="0"/>
          <w:sz w:val="20"/>
        </w:rPr>
        <w:t>12b-2</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of the Exchange Act. </w:t>
      </w:r>
    </w:p>
    <w:p>
      <w:pPr>
        <w:pStyle w:val="TextBody"/>
        <w:spacing w:before="0" w:after="0"/>
        <w:jc w:val="left"/>
        <w:rPr>
          <w:spacing w:val="0"/>
        </w:rPr>
      </w:pPr>
      <w:r>
        <w:rPr>
          <w:spacing w:val="0"/>
        </w:rPr>
        <w:t> </w:t>
      </w:r>
    </w:p>
    <w:tbl>
      <w:tblPr>
        <w:tblW w:w="5465" w:type="dxa"/>
        <w:jc w:val="left"/>
        <w:tblInd w:w="0" w:type="dxa"/>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center"/>
          </w:tcPr>
          <w:p>
            <w:pPr>
              <w:pStyle w:val="TableContents"/>
              <w:spacing w:before="0" w:after="0"/>
              <w:rPr>
                <w:spacing w:val="0"/>
              </w:rPr>
            </w:pPr>
            <w:r>
              <w:rPr>
                <w:spacing w:val="0"/>
              </w:rPr>
              <w:t>Large accelerated filer</w:t>
            </w:r>
          </w:p>
        </w:tc>
        <w:tc>
          <w:tcPr>
            <w:tcW w:w="60"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0"/>
              <w:rPr>
                <w:spacing w:val="0"/>
              </w:rPr>
            </w:pPr>
            <w:r>
              <w:rPr>
                <w:spacing w:val="0"/>
              </w:rPr>
              <w:t>  </w:t>
            </w:r>
          </w:p>
        </w:tc>
        <w:tc>
          <w:tcPr>
            <w:tcW w:w="2615" w:type="dxa"/>
            <w:tcBorders/>
            <w:shd w:fill="auto" w:val="clear"/>
            <w:vAlign w:val="center"/>
          </w:tcPr>
          <w:p>
            <w:pPr>
              <w:pStyle w:val="TableContents"/>
              <w:spacing w:before="0" w:after="0"/>
              <w:rPr>
                <w:spacing w:val="0"/>
              </w:rPr>
            </w:pPr>
            <w:r>
              <w:rPr>
                <w:spacing w:val="0"/>
              </w:rPr>
              <w:t>Accelerated filer</w:t>
            </w:r>
          </w:p>
        </w:tc>
        <w:tc>
          <w:tcPr>
            <w:tcW w:w="60" w:type="dxa"/>
            <w:tcBorders/>
            <w:shd w:fill="auto" w:val="clear"/>
            <w:vAlign w:val="center"/>
          </w:tcPr>
          <w:p>
            <w:pPr>
              <w:pStyle w:val="TableContents"/>
              <w:spacing w:before="0" w:after="0"/>
              <w:rPr>
                <w:spacing w:val="0"/>
              </w:rPr>
            </w:pPr>
            <w:r>
              <w:rPr>
                <w:spacing w:val="0"/>
              </w:rPr>
              <w:t> </w:t>
            </w:r>
          </w:p>
        </w:tc>
        <w:tc>
          <w:tcPr>
            <w:tcW w:w="245" w:type="dxa"/>
            <w:tcBorders/>
            <w:shd w:fill="auto" w:val="clear"/>
            <w:vAlign w:val="center"/>
          </w:tcPr>
          <w:p>
            <w:pPr>
              <w:pStyle w:val="TableContents"/>
              <w:spacing w:before="0" w:after="0"/>
              <w:rPr>
                <w:spacing w:val="0"/>
              </w:rPr>
            </w:pPr>
            <w:r>
              <w:rPr>
                <w:spacing w:val="0"/>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3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rPr>
                <w:spacing w:val="0"/>
              </w:rPr>
            </w:pPr>
            <w:r>
              <w:rPr>
                <w:spacing w:val="0"/>
              </w:rPr>
              <w:t>Non-accelerated</w:t>
            </w:r>
          </w:p>
          <w:p>
            <w:pPr>
              <w:pStyle w:val="TableContents"/>
              <w:spacing w:before="0" w:after="0"/>
              <w:rPr/>
            </w:pPr>
            <w:r>
              <w:rPr/>
              <w:t>filer</w:t>
            </w:r>
          </w:p>
        </w:tc>
        <w:tc>
          <w:tcPr>
            <w:tcW w:w="60"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0"/>
              <w:rPr>
                <w:spacing w:val="0"/>
              </w:rPr>
            </w:pPr>
            <w:r>
              <w:rPr>
                <w:spacing w:val="0"/>
              </w:rPr>
              <w:t>  </w:t>
            </w:r>
          </w:p>
        </w:tc>
        <w:tc>
          <w:tcPr>
            <w:tcW w:w="2615" w:type="dxa"/>
            <w:tcBorders/>
            <w:shd w:fill="auto" w:val="clear"/>
            <w:vAlign w:val="center"/>
          </w:tcPr>
          <w:p>
            <w:pPr>
              <w:pStyle w:val="TableContents"/>
              <w:spacing w:before="0" w:after="0"/>
              <w:rPr>
                <w:spacing w:val="0"/>
              </w:rPr>
            </w:pPr>
            <w:r>
              <w:rPr>
                <w:spacing w:val="0"/>
              </w:rPr>
              <w:t>Smaller reporting company</w:t>
            </w:r>
          </w:p>
        </w:tc>
        <w:tc>
          <w:tcPr>
            <w:tcW w:w="60" w:type="dxa"/>
            <w:tcBorders/>
            <w:shd w:fill="auto" w:val="clear"/>
            <w:vAlign w:val="center"/>
          </w:tcPr>
          <w:p>
            <w:pPr>
              <w:pStyle w:val="TableContents"/>
              <w:spacing w:before="0" w:after="0"/>
              <w:rPr>
                <w:spacing w:val="0"/>
              </w:rPr>
            </w:pPr>
            <w:r>
              <w:rPr>
                <w:spacing w:val="0"/>
              </w:rPr>
              <w:t> </w:t>
            </w:r>
          </w:p>
        </w:tc>
        <w:tc>
          <w:tcPr>
            <w:tcW w:w="245" w:type="dxa"/>
            <w:tcBorders/>
            <w:shd w:fill="auto" w:val="clear"/>
            <w:vAlign w:val="center"/>
          </w:tcPr>
          <w:p>
            <w:pPr>
              <w:pStyle w:val="TableContents"/>
              <w:spacing w:before="0" w:after="0"/>
              <w:rPr>
                <w:spacing w:val="0"/>
              </w:rPr>
            </w:pPr>
            <w:r>
              <w:rPr>
                <w:spacing w:val="0"/>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3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2615" w:type="dxa"/>
            <w:tcBorders/>
            <w:shd w:fill="auto" w:val="clear"/>
            <w:vAlign w:val="center"/>
          </w:tcPr>
          <w:p>
            <w:pPr>
              <w:pStyle w:val="TableContents"/>
              <w:spacing w:before="0" w:after="0"/>
              <w:rPr>
                <w:spacing w:val="0"/>
              </w:rPr>
            </w:pPr>
            <w:r>
              <w:rPr>
                <w:spacing w:val="0"/>
              </w:rPr>
              <w:t>Emerging growth company</w:t>
            </w:r>
          </w:p>
        </w:tc>
        <w:tc>
          <w:tcPr>
            <w:tcW w:w="60" w:type="dxa"/>
            <w:tcBorders/>
            <w:shd w:fill="auto" w:val="clear"/>
            <w:vAlign w:val="center"/>
          </w:tcPr>
          <w:p>
            <w:pPr>
              <w:pStyle w:val="TableContents"/>
              <w:spacing w:before="0" w:after="0"/>
              <w:rPr>
                <w:spacing w:val="0"/>
              </w:rPr>
            </w:pPr>
            <w:r>
              <w:rPr>
                <w:spacing w:val="0"/>
              </w:rPr>
              <w:t> </w:t>
            </w:r>
          </w:p>
        </w:tc>
        <w:tc>
          <w:tcPr>
            <w:tcW w:w="245" w:type="dxa"/>
            <w:tcBorders/>
            <w:shd w:fill="auto" w:val="clear"/>
            <w:vAlign w:val="center"/>
          </w:tcPr>
          <w:p>
            <w:pPr>
              <w:pStyle w:val="TableContents"/>
              <w:spacing w:before="0" w:after="0"/>
              <w:rPr>
                <w:spacing w:val="0"/>
              </w:rPr>
            </w:pPr>
            <w:r>
              <w:rPr>
                <w:spacing w:val="0"/>
              </w:rPr>
              <w:t>☒</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CALCULATION OF REGISTRATION FEE </w:t>
      </w:r>
    </w:p>
    <w:p>
      <w:pPr>
        <w:pStyle w:val="TextBody"/>
        <w:spacing w:before="0" w:after="0"/>
        <w:ind w:left="0" w:right="0" w:hanging="0"/>
        <w:jc w:val="left"/>
        <w:rPr>
          <w:spacing w:val="0"/>
        </w:rPr>
      </w:pPr>
      <w:r>
        <w:rPr>
          <w:spacing w:val="0"/>
        </w:rPr>
        <w:t> </w:t>
      </w:r>
    </w:p>
    <w:tbl>
      <w:tblPr>
        <w:tblW w:w="9490" w:type="dxa"/>
        <w:jc w:val="left"/>
        <w:tblInd w:w="0" w:type="dxa"/>
        <w:tblCellMar>
          <w:top w:w="0" w:type="dxa"/>
          <w:left w:w="0" w:type="dxa"/>
          <w:bottom w:w="0" w:type="dxa"/>
          <w:right w:w="0" w:type="dxa"/>
        </w:tblCellMar>
      </w:tblPr>
      <w:tblGrid>
        <w:gridCol w:w="3485"/>
        <w:gridCol w:w="60"/>
        <w:gridCol w:w="1370"/>
        <w:gridCol w:w="60"/>
        <w:gridCol w:w="1070"/>
        <w:gridCol w:w="60"/>
        <w:gridCol w:w="2090"/>
        <w:gridCol w:w="60"/>
        <w:gridCol w:w="1235"/>
      </w:tblGrid>
      <w:tr>
        <w:trPr/>
        <w:tc>
          <w:tcPr>
            <w:tcW w:w="3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9490" w:type="dxa"/>
            <w:gridSpan w:val="9"/>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r>
      <w:tr>
        <w:trPr/>
        <w:tc>
          <w:tcPr>
            <w:tcW w:w="348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Title of Each Class of</w:t>
            </w:r>
          </w:p>
          <w:p>
            <w:pPr>
              <w:pStyle w:val="TableContents"/>
              <w:spacing w:before="0" w:after="20"/>
              <w:jc w:val="center"/>
              <w:rPr>
                <w:rFonts w:ascii="Times New Roman" w:hAnsi="Times New Roman"/>
                <w:b/>
                <w:spacing w:val="0"/>
                <w:sz w:val="16"/>
              </w:rPr>
            </w:pPr>
            <w:r>
              <w:rPr>
                <w:rFonts w:ascii="Times New Roman" w:hAnsi="Times New Roman"/>
                <w:b/>
                <w:spacing w:val="0"/>
                <w:sz w:val="16"/>
              </w:rPr>
              <w:t>Securities to be Registered</w:t>
            </w:r>
          </w:p>
        </w:tc>
        <w:tc>
          <w:tcPr>
            <w:tcW w:w="60" w:type="dxa"/>
            <w:tcBorders/>
            <w:shd w:fill="auto" w:val="clear"/>
            <w:vAlign w:val="center"/>
          </w:tcPr>
          <w:p>
            <w:pPr>
              <w:pStyle w:val="TableContents"/>
              <w:spacing w:before="0" w:after="0"/>
              <w:rPr>
                <w:spacing w:val="0"/>
              </w:rPr>
            </w:pPr>
            <w:r>
              <w:rPr>
                <w:spacing w:val="0"/>
              </w:rPr>
              <w:t> </w:t>
            </w:r>
          </w:p>
        </w:tc>
        <w:tc>
          <w:tcPr>
            <w:tcW w:w="137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Amount</w:t>
            </w:r>
          </w:p>
          <w:p>
            <w:pPr>
              <w:pStyle w:val="TableContents"/>
              <w:spacing w:before="0" w:after="0"/>
              <w:jc w:val="center"/>
              <w:rPr>
                <w:rFonts w:ascii="Times New Roman" w:hAnsi="Times New Roman"/>
                <w:b/>
                <w:spacing w:val="0"/>
                <w:sz w:val="16"/>
              </w:rPr>
            </w:pPr>
            <w:r>
              <w:rPr>
                <w:rFonts w:ascii="Times New Roman" w:hAnsi="Times New Roman"/>
                <w:b/>
                <w:spacing w:val="0"/>
                <w:sz w:val="16"/>
              </w:rPr>
              <w:t>to be</w:t>
            </w:r>
          </w:p>
          <w:p>
            <w:pPr>
              <w:pStyle w:val="TableContents"/>
              <w:spacing w:before="0" w:after="20"/>
              <w:jc w:val="center"/>
              <w:rPr>
                <w:rFonts w:ascii="Times New Roman" w:hAnsi="Times New Roman"/>
                <w:b/>
                <w:spacing w:val="0"/>
                <w:sz w:val="16"/>
              </w:rPr>
            </w:pPr>
            <w:r>
              <w:rPr>
                <w:rFonts w:ascii="Times New Roman" w:hAnsi="Times New Roman"/>
                <w:b/>
                <w:spacing w:val="0"/>
                <w:sz w:val="16"/>
              </w:rPr>
              <w:t>Registered(1)</w:t>
            </w:r>
          </w:p>
        </w:tc>
        <w:tc>
          <w:tcPr>
            <w:tcW w:w="60" w:type="dxa"/>
            <w:tcBorders/>
            <w:shd w:fill="auto" w:val="clear"/>
            <w:vAlign w:val="center"/>
          </w:tcPr>
          <w:p>
            <w:pPr>
              <w:pStyle w:val="TableContents"/>
              <w:spacing w:before="0" w:after="0"/>
              <w:rPr>
                <w:spacing w:val="0"/>
              </w:rPr>
            </w:pPr>
            <w:r>
              <w:rPr>
                <w:spacing w:val="0"/>
              </w:rPr>
              <w:t> </w:t>
            </w:r>
          </w:p>
        </w:tc>
        <w:tc>
          <w:tcPr>
            <w:tcW w:w="107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Proposed</w:t>
            </w:r>
          </w:p>
          <w:p>
            <w:pPr>
              <w:pStyle w:val="TableContents"/>
              <w:spacing w:before="0" w:after="0"/>
              <w:jc w:val="center"/>
              <w:rPr>
                <w:rFonts w:ascii="Times New Roman" w:hAnsi="Times New Roman"/>
                <w:b/>
                <w:spacing w:val="0"/>
                <w:sz w:val="16"/>
              </w:rPr>
            </w:pPr>
            <w:r>
              <w:rPr>
                <w:rFonts w:ascii="Times New Roman" w:hAnsi="Times New Roman"/>
                <w:b/>
                <w:spacing w:val="0"/>
                <w:sz w:val="16"/>
              </w:rPr>
              <w:t>Maximum</w:t>
            </w:r>
          </w:p>
          <w:p>
            <w:pPr>
              <w:pStyle w:val="TableContents"/>
              <w:spacing w:before="0" w:after="0"/>
              <w:jc w:val="center"/>
              <w:rPr>
                <w:rFonts w:ascii="Times New Roman" w:hAnsi="Times New Roman"/>
                <w:b/>
                <w:spacing w:val="0"/>
                <w:sz w:val="16"/>
              </w:rPr>
            </w:pPr>
            <w:r>
              <w:rPr>
                <w:rFonts w:ascii="Times New Roman" w:hAnsi="Times New Roman"/>
                <w:b/>
                <w:spacing w:val="0"/>
                <w:sz w:val="16"/>
              </w:rPr>
              <w:t>Offering Price</w:t>
            </w:r>
          </w:p>
          <w:p>
            <w:pPr>
              <w:pStyle w:val="TableContents"/>
              <w:spacing w:before="0" w:after="20"/>
              <w:jc w:val="center"/>
              <w:rPr>
                <w:rFonts w:ascii="Times New Roman" w:hAnsi="Times New Roman"/>
                <w:b/>
                <w:spacing w:val="0"/>
                <w:sz w:val="16"/>
              </w:rPr>
            </w:pPr>
            <w:r>
              <w:rPr>
                <w:rFonts w:ascii="Times New Roman" w:hAnsi="Times New Roman"/>
                <w:b/>
                <w:spacing w:val="0"/>
                <w:sz w:val="16"/>
              </w:rPr>
              <w:t>Per Share</w:t>
            </w:r>
          </w:p>
        </w:tc>
        <w:tc>
          <w:tcPr>
            <w:tcW w:w="60" w:type="dxa"/>
            <w:tcBorders/>
            <w:shd w:fill="auto" w:val="clear"/>
            <w:vAlign w:val="center"/>
          </w:tcPr>
          <w:p>
            <w:pPr>
              <w:pStyle w:val="TableContents"/>
              <w:spacing w:before="0" w:after="0"/>
              <w:rPr>
                <w:spacing w:val="0"/>
              </w:rPr>
            </w:pPr>
            <w:r>
              <w:rPr>
                <w:spacing w:val="0"/>
              </w:rPr>
              <w:t> </w:t>
            </w:r>
          </w:p>
        </w:tc>
        <w:tc>
          <w:tcPr>
            <w:tcW w:w="209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Proposed</w:t>
            </w:r>
          </w:p>
          <w:p>
            <w:pPr>
              <w:pStyle w:val="TableContents"/>
              <w:spacing w:before="0" w:after="0"/>
              <w:jc w:val="center"/>
              <w:rPr>
                <w:rFonts w:ascii="Times New Roman" w:hAnsi="Times New Roman"/>
                <w:b/>
                <w:spacing w:val="0"/>
                <w:sz w:val="16"/>
              </w:rPr>
            </w:pPr>
            <w:r>
              <w:rPr>
                <w:rFonts w:ascii="Times New Roman" w:hAnsi="Times New Roman"/>
                <w:b/>
                <w:spacing w:val="0"/>
                <w:sz w:val="16"/>
              </w:rPr>
              <w:t>Maximum</w:t>
            </w:r>
          </w:p>
          <w:p>
            <w:pPr>
              <w:pStyle w:val="TableContents"/>
              <w:spacing w:before="0" w:after="0"/>
              <w:jc w:val="center"/>
              <w:rPr>
                <w:rFonts w:ascii="Times New Roman" w:hAnsi="Times New Roman"/>
                <w:b/>
                <w:spacing w:val="0"/>
                <w:sz w:val="16"/>
              </w:rPr>
            </w:pPr>
            <w:r>
              <w:rPr>
                <w:rFonts w:ascii="Times New Roman" w:hAnsi="Times New Roman"/>
                <w:b/>
                <w:spacing w:val="0"/>
                <w:sz w:val="16"/>
              </w:rPr>
              <w:t>Aggregate</w:t>
            </w:r>
          </w:p>
          <w:p>
            <w:pPr>
              <w:pStyle w:val="TableContents"/>
              <w:spacing w:before="0" w:after="20"/>
              <w:jc w:val="center"/>
              <w:rPr>
                <w:rFonts w:ascii="Times New Roman" w:hAnsi="Times New Roman"/>
                <w:b/>
                <w:spacing w:val="0"/>
                <w:sz w:val="16"/>
              </w:rPr>
            </w:pPr>
            <w:r>
              <w:rPr>
                <w:rFonts w:ascii="Times New Roman" w:hAnsi="Times New Roman"/>
                <w:b/>
                <w:spacing w:val="0"/>
                <w:sz w:val="16"/>
              </w:rPr>
              <w:t>Offering Price</w:t>
            </w:r>
          </w:p>
        </w:tc>
        <w:tc>
          <w:tcPr>
            <w:tcW w:w="60" w:type="dxa"/>
            <w:tcBorders/>
            <w:shd w:fill="auto" w:val="clear"/>
            <w:vAlign w:val="center"/>
          </w:tcPr>
          <w:p>
            <w:pPr>
              <w:pStyle w:val="TableContents"/>
              <w:spacing w:before="0" w:after="0"/>
              <w:rPr>
                <w:spacing w:val="0"/>
              </w:rPr>
            </w:pPr>
            <w:r>
              <w:rPr>
                <w:spacing w:val="0"/>
              </w:rPr>
              <w:t> </w:t>
            </w:r>
          </w:p>
        </w:tc>
        <w:tc>
          <w:tcPr>
            <w:tcW w:w="123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Amount of</w:t>
            </w:r>
          </w:p>
          <w:p>
            <w:pPr>
              <w:pStyle w:val="TableContents"/>
              <w:spacing w:before="0" w:after="20"/>
              <w:jc w:val="center"/>
              <w:rPr>
                <w:rFonts w:ascii="Times New Roman" w:hAnsi="Times New Roman"/>
                <w:b/>
                <w:spacing w:val="0"/>
                <w:sz w:val="16"/>
              </w:rPr>
            </w:pPr>
            <w:r>
              <w:rPr>
                <w:rFonts w:ascii="Times New Roman" w:hAnsi="Times New Roman"/>
                <w:b/>
                <w:spacing w:val="0"/>
                <w:sz w:val="16"/>
              </w:rPr>
              <w:t>Registration Fee</w:t>
            </w:r>
          </w:p>
        </w:tc>
      </w:tr>
      <w:tr>
        <w:trPr/>
        <w:tc>
          <w:tcPr>
            <w:tcW w:w="3485" w:type="dxa"/>
            <w:tcBorders>
              <w:top w:val="single" w:sz="6" w:space="0" w:color="000000"/>
            </w:tcBorders>
            <w:shd w:fill="auto" w:val="clear"/>
            <w:tcMar>
              <w:top w:w="28" w:type="dxa"/>
            </w:tcM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par value $0.001 per share</w:t>
            </w:r>
          </w:p>
        </w:tc>
        <w:tc>
          <w:tcPr>
            <w:tcW w:w="60" w:type="dxa"/>
            <w:tcBorders/>
            <w:shd w:fill="auto" w:val="clear"/>
            <w:vAlign w:val="center"/>
          </w:tcPr>
          <w:p>
            <w:pPr>
              <w:pStyle w:val="TableContents"/>
              <w:spacing w:before="0" w:after="0"/>
              <w:rPr>
                <w:spacing w:val="0"/>
              </w:rPr>
            </w:pPr>
            <w:r>
              <w:rPr>
                <w:spacing w:val="0"/>
              </w:rPr>
              <w:t> </w:t>
            </w:r>
          </w:p>
        </w:tc>
        <w:tc>
          <w:tcPr>
            <w:tcW w:w="1370" w:type="dxa"/>
            <w:tcBorders/>
            <w:shd w:fill="auto" w:val="clear"/>
            <w:vAlign w:val="center"/>
          </w:tcPr>
          <w:p>
            <w:pPr>
              <w:pStyle w:val="TableContents"/>
              <w:spacing w:before="0" w:after="0"/>
              <w:jc w:val="center"/>
              <w:rPr>
                <w:spacing w:val="0"/>
              </w:rPr>
            </w:pPr>
            <w:r>
              <w:rPr>
                <w:spacing w:val="0"/>
              </w:rPr>
              <w:t>68,175,412(2)</w:t>
            </w:r>
          </w:p>
        </w:tc>
        <w:tc>
          <w:tcPr>
            <w:tcW w:w="60" w:type="dxa"/>
            <w:tcBorders/>
            <w:shd w:fill="auto" w:val="clear"/>
            <w:vAlign w:val="center"/>
          </w:tcPr>
          <w:p>
            <w:pPr>
              <w:pStyle w:val="TableContents"/>
              <w:spacing w:before="0" w:after="0"/>
              <w:rPr>
                <w:spacing w:val="0"/>
              </w:rPr>
            </w:pPr>
            <w:r>
              <w:rPr>
                <w:spacing w:val="0"/>
              </w:rPr>
              <w:t> </w:t>
            </w:r>
          </w:p>
        </w:tc>
        <w:tc>
          <w:tcPr>
            <w:tcW w:w="1070" w:type="dxa"/>
            <w:tcBorders/>
            <w:shd w:fill="auto" w:val="clear"/>
            <w:vAlign w:val="center"/>
          </w:tcPr>
          <w:p>
            <w:pPr>
              <w:pStyle w:val="TableContents"/>
              <w:spacing w:before="0" w:after="0"/>
              <w:jc w:val="center"/>
              <w:rPr>
                <w:spacing w:val="0"/>
              </w:rPr>
            </w:pPr>
            <w:r>
              <w:rPr>
                <w:spacing w:val="0"/>
              </w:rPr>
              <w:t>$14.74(3)</w:t>
            </w:r>
          </w:p>
        </w:tc>
        <w:tc>
          <w:tcPr>
            <w:tcW w:w="60" w:type="dxa"/>
            <w:tcBorders/>
            <w:shd w:fill="auto" w:val="clear"/>
            <w:vAlign w:val="center"/>
          </w:tcPr>
          <w:p>
            <w:pPr>
              <w:pStyle w:val="TableContents"/>
              <w:spacing w:before="0" w:after="0"/>
              <w:rPr>
                <w:spacing w:val="0"/>
              </w:rPr>
            </w:pPr>
            <w:r>
              <w:rPr>
                <w:spacing w:val="0"/>
              </w:rPr>
              <w:t> </w:t>
            </w:r>
          </w:p>
        </w:tc>
        <w:tc>
          <w:tcPr>
            <w:tcW w:w="2090" w:type="dxa"/>
            <w:tcBorders/>
            <w:shd w:fill="auto" w:val="clear"/>
            <w:vAlign w:val="center"/>
          </w:tcPr>
          <w:p>
            <w:pPr>
              <w:pStyle w:val="TableContents"/>
              <w:spacing w:before="0" w:after="0"/>
              <w:jc w:val="center"/>
              <w:rPr>
                <w:spacing w:val="0"/>
              </w:rPr>
            </w:pPr>
            <w:r>
              <w:rPr>
                <w:spacing w:val="0"/>
              </w:rPr>
              <w:t>$1,004,905,572.88(3)</w:t>
            </w:r>
          </w:p>
        </w:tc>
        <w:tc>
          <w:tcPr>
            <w:tcW w:w="60" w:type="dxa"/>
            <w:tcBorders/>
            <w:shd w:fill="auto" w:val="clear"/>
            <w:vAlign w:val="center"/>
          </w:tcPr>
          <w:p>
            <w:pPr>
              <w:pStyle w:val="TableContents"/>
              <w:spacing w:before="0" w:after="0"/>
              <w:rPr>
                <w:spacing w:val="0"/>
              </w:rPr>
            </w:pPr>
            <w:r>
              <w:rPr>
                <w:spacing w:val="0"/>
              </w:rPr>
              <w:t> </w:t>
            </w:r>
          </w:p>
        </w:tc>
        <w:tc>
          <w:tcPr>
            <w:tcW w:w="1235" w:type="dxa"/>
            <w:tcBorders/>
            <w:shd w:fill="auto" w:val="clear"/>
            <w:vAlign w:val="center"/>
          </w:tcPr>
          <w:p>
            <w:pPr>
              <w:pStyle w:val="TableContents"/>
              <w:spacing w:before="0" w:after="0"/>
              <w:jc w:val="center"/>
              <w:rPr>
                <w:spacing w:val="0"/>
              </w:rPr>
            </w:pPr>
            <w:r>
              <w:rPr>
                <w:spacing w:val="0"/>
              </w:rPr>
              <w:t>$109,635.20</w:t>
            </w:r>
          </w:p>
        </w:tc>
      </w:tr>
      <w:tr>
        <w:trPr/>
        <w:tc>
          <w:tcPr>
            <w:tcW w:w="9490" w:type="dxa"/>
            <w:gridSpan w:val="9"/>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r>
      <w:tr>
        <w:trPr/>
        <w:tc>
          <w:tcPr>
            <w:tcW w:w="9490" w:type="dxa"/>
            <w:gridSpan w:val="9"/>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0"/>
              <w:jc w:val="left"/>
              <w:rPr>
                <w:spacing w:val="0"/>
              </w:rPr>
            </w:pPr>
            <w:r>
              <w:rPr>
                <w:spacing w:val="0"/>
              </w:rPr>
              <w:t>(1)</w:t>
            </w:r>
          </w:p>
        </w:tc>
        <w:tc>
          <w:tcPr>
            <w:tcW w:w="99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This registration statement also covers an indeterminate number of additional shares of common stock, par value $0.001 per share, or Common Stock, of Tango Therapeutics, Inc., or the Registrant, that may be offered or issued to prevent dilution resulting from stock splits, stock dividends or similar transactions in accordance with Rule 416 under the Securities Act of 1933, as amended, or the Securities Act.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0"/>
              <w:jc w:val="left"/>
              <w:rPr>
                <w:spacing w:val="0"/>
              </w:rPr>
            </w:pPr>
            <w:r>
              <w:rPr>
                <w:spacing w:val="0"/>
              </w:rPr>
              <w:t>(2)</w:t>
            </w:r>
          </w:p>
        </w:tc>
        <w:tc>
          <w:tcPr>
            <w:tcW w:w="995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the following shares of Common Stock registered for resale by the selling securityholders named in this registration statement: (i) 18,610,000 shares of Common Stock issued in a private placement consummated concurrently with the Merger (as defined herein); and (ii) 49,565,412 shares of Common Stock issued to certain former shareholders of Tango Therapeutics Sub, Inc. at the closing of the Business Combination. </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0"/>
              <w:jc w:val="left"/>
              <w:rPr>
                <w:spacing w:val="0"/>
              </w:rPr>
            </w:pPr>
            <w:r>
              <w:rPr>
                <w:spacing w:val="0"/>
              </w:rPr>
              <w:t>(3)</w:t>
            </w:r>
          </w:p>
        </w:tc>
        <w:tc>
          <w:tcPr>
            <w:tcW w:w="994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Estimated solely for the purpose of calculating the registration fee pursuant to Rule 457(c) under the Securities Act, based on the average of the high and low prices of the Registrant’s Common Stock as reported on the Nasdaq Capital Market on September 8, 2021. </w:t>
            </w:r>
          </w:p>
        </w:tc>
      </w:tr>
    </w:tbl>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 </w:t>
      </w:r>
    </w:p>
    <w:p>
      <w:pPr>
        <w:pStyle w:val="TextBody"/>
        <w:spacing w:before="0" w:after="0"/>
        <w:jc w:val="left"/>
        <w:rPr>
          <w:spacing w:val="0"/>
        </w:rPr>
      </w:pPr>
      <w:r>
        <w:rPr>
          <w:spacing w:val="0"/>
        </w:rPr>
        <w:t> </w:t>
      </w:r>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Arial Narrow" w:hAnsi="Arial Narrow"/>
          <w:b/>
          <w:color w:val="FF4338"/>
          <w:spacing w:val="0"/>
          <w:sz w:val="20"/>
        </w:rPr>
      </w:pPr>
      <w:r>
        <w:rPr>
          <w:rFonts w:ascii="Arial Narrow" w:hAnsi="Arial Narrow"/>
          <w:b/>
          <w:color w:val="FF4338"/>
          <w:spacing w:val="0"/>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b/>
          <w:color w:val="FF4338"/>
          <w:spacing w:val="0"/>
          <w:sz w:val="20"/>
        </w:rPr>
      </w:pPr>
      <w:r>
        <w:rPr>
          <w:rFonts w:ascii="Times New Roman" w:hAnsi="Times New Roman"/>
          <w:b/>
          <w:color w:val="FF4338"/>
          <w:spacing w:val="0"/>
          <w:sz w:val="20"/>
        </w:rPr>
        <w:t xml:space="preserve">Subject to completion, dated September </w:t>
      </w:r>
    </w:p>
    <w:p>
      <w:pPr>
        <w:pStyle w:val="TextBody"/>
        <w:spacing w:before="0" w:after="0"/>
        <w:ind w:left="0" w:right="0" w:hanging="0"/>
        <w:jc w:val="center"/>
        <w:rPr>
          <w:rFonts w:ascii="Times New Roman" w:hAnsi="Times New Roman"/>
          <w:b/>
          <w:color w:val="FF4338"/>
          <w:spacing w:val="0"/>
          <w:sz w:val="20"/>
        </w:rPr>
      </w:pPr>
      <w:r>
        <w:rPr>
          <w:rFonts w:ascii="Times New Roman" w:hAnsi="Times New Roman"/>
          <w:b/>
          <w:color w:val="FF4338"/>
          <w:spacing w:val="0"/>
          <w:sz w:val="20"/>
        </w:rPr>
        <w:t>10</w:t>
      </w:r>
    </w:p>
    <w:p>
      <w:pPr>
        <w:pStyle w:val="TextBody"/>
        <w:spacing w:before="0" w:after="0"/>
        <w:jc w:val="center"/>
        <w:rPr>
          <w:rFonts w:ascii="Times New Roman" w:hAnsi="Times New Roman"/>
          <w:b/>
          <w:color w:val="FF4338"/>
          <w:spacing w:val="0"/>
          <w:sz w:val="20"/>
        </w:rPr>
      </w:pPr>
      <w:r>
        <w:rPr>
          <w:rFonts w:ascii="Times New Roman" w:hAnsi="Times New Roman"/>
          <w:b/>
          <w:color w:val="FF4338"/>
          <w:spacing w:val="0"/>
          <w:sz w:val="20"/>
        </w:rPr>
        <w:t xml:space="preserve">, 2021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PRELIMINARY PROSPECTUS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pPr>
      <w:r>
        <w:rPr/>
        <w:drawing>
          <wp:inline distT="0" distB="0" distL="0" distR="0">
            <wp:extent cx="300037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933450"/>
                    </a:xfrm>
                    <a:prstGeom prst="rect">
                      <a:avLst/>
                    </a:prstGeom>
                  </pic:spPr>
                </pic:pic>
              </a:graphicData>
            </a:graphic>
          </wp:inline>
        </w:drawing>
      </w:r>
    </w:p>
    <w:p>
      <w:pPr>
        <w:pStyle w:val="TextBody"/>
        <w:spacing w:before="240" w:after="0"/>
        <w:ind w:left="0" w:right="0" w:hanging="0"/>
        <w:jc w:val="center"/>
        <w:rPr>
          <w:rFonts w:ascii="Times New Roman" w:hAnsi="Times New Roman"/>
          <w:b/>
          <w:spacing w:val="0"/>
          <w:sz w:val="28"/>
        </w:rPr>
      </w:pPr>
      <w:r>
        <w:rPr>
          <w:rFonts w:ascii="Times New Roman" w:hAnsi="Times New Roman"/>
          <w:b/>
          <w:spacing w:val="0"/>
          <w:sz w:val="28"/>
        </w:rPr>
        <w:t xml:space="preserve">Up to 68,175,412 Shares of Common Stock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This prospectus relates to the offer and sale, from time to time, by the selling securityholders named in this prospectus, or the Selling Securityholders, or any of their pledgees, donees, assignees and </w:t>
      </w:r>
    </w:p>
    <w:p>
      <w:pPr>
        <w:pStyle w:val="TextBody"/>
        <w:spacing w:before="240" w:after="0"/>
        <w:jc w:val="left"/>
        <w:rPr>
          <w:rFonts w:ascii="Times New Roman" w:hAnsi="Times New Roman"/>
          <w:spacing w:val="0"/>
          <w:sz w:val="20"/>
        </w:rPr>
      </w:pPr>
      <w:r>
        <w:rPr>
          <w:rFonts w:ascii="Times New Roman" w:hAnsi="Times New Roman"/>
          <w:spacing w:val="0"/>
          <w:sz w:val="20"/>
        </w:rPr>
        <w:t>successors-in-interest,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or collectively, the permitted transferees, of (i) up to 18,610,000 shares of our common stock that were issued to certain investors, or collectively, the PIPE Investors, in a private placement in connection with the closing of the Business Combination (as defined below) and (ii) up to 49,565,412 shares of our common stock that were issued to certain former shareholders of Tango Therapeutics Sub, Inc. at the closing of the Business Combination.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We are registering the securities described above for resale pursuant to certain registration rights we have granted. Our registration of the securities covered by this prospectus does not mean that the Selling Securityholders will offer or sell any of the securities. The Selling Securityholders and any of their permitted transferees may offer, sell or distribute all or a portion of the securities covered by this prospectus in a number of different ways and at varying prices. Additional information on the Selling Securityholders, and the times and manner in which they may offer and sell the securities covered by this prospectus, is provided under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Selling Securityholders</w:t>
      </w:r>
    </w:p>
    <w:p>
      <w:pPr>
        <w:pStyle w:val="TextBody"/>
        <w:spacing w:before="240" w:after="0"/>
        <w:jc w:val="left"/>
        <w:rPr>
          <w:spacing w:val="0"/>
        </w:rPr>
      </w:pPr>
      <w:r>
        <w:rPr>
          <w:spacing w:val="0"/>
        </w:rPr>
        <w:t xml:space="preserve">” </w:t>
      </w:r>
      <w:r>
        <w:rPr>
          <w:rFonts w:ascii="Times New Roman" w:hAnsi="Times New Roman"/>
          <w:spacing w:val="0"/>
          <w:sz w:val="20"/>
        </w:rPr>
        <w:t>and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Plan of Distribution</w:t>
      </w:r>
    </w:p>
    <w:p>
      <w:pPr>
        <w:pStyle w:val="TextBody"/>
        <w:spacing w:before="240" w:after="0"/>
        <w:jc w:val="left"/>
        <w:rPr>
          <w:spacing w:val="0"/>
        </w:rPr>
      </w:pPr>
      <w:r>
        <w:rPr>
          <w:spacing w:val="0"/>
        </w:rPr>
        <w:t xml:space="preserve">” </w:t>
      </w:r>
      <w:r>
        <w:rPr>
          <w:rFonts w:ascii="Times New Roman" w:hAnsi="Times New Roman"/>
          <w:spacing w:val="0"/>
          <w:sz w:val="20"/>
        </w:rPr>
        <w:t xml:space="preserve">in this prospectus.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You should read this prospectus and any prospectus supplement or amendment carefully before you invest in our securities.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Our common stock is listed on the Nasdaq Capital Market under the symbol “TNGX”. On September 8, 2021, the closing price of our common stock was $15.07 per share.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We are an “emerging growth company” as that term is defined under the federal securities laws and, as such, are subject to certain reduced public company reporting requirements. </w:t>
      </w:r>
    </w:p>
    <w:p>
      <w:pPr>
        <w:pStyle w:val="TextBody"/>
        <w:spacing w:before="240" w:after="0"/>
        <w:ind w:left="0" w:right="0" w:hanging="0"/>
        <w:jc w:val="left"/>
        <w:rPr>
          <w:rFonts w:ascii="Times New Roman" w:hAnsi="Times New Roman"/>
          <w:b/>
          <w:spacing w:val="0"/>
          <w:sz w:val="24"/>
        </w:rPr>
      </w:pPr>
      <w:r>
        <w:rPr>
          <w:rFonts w:ascii="Times New Roman" w:hAnsi="Times New Roman"/>
          <w:b/>
          <w:spacing w:val="0"/>
          <w:sz w:val="24"/>
        </w:rPr>
        <w:t>Investing in our securities involves risks that are described in the “</w:t>
      </w:r>
    </w:p>
    <w:p>
      <w:pPr>
        <w:pStyle w:val="TextBody"/>
        <w:spacing w:before="240" w:after="0"/>
        <w:jc w:val="left"/>
        <w:rPr/>
      </w:pPr>
      <w:hyperlink w:anchor="toc118907_6">
        <w:r>
          <w:rPr>
            <w:rStyle w:val="InternetLink"/>
            <w:rFonts w:ascii="Times New Roman" w:hAnsi="Times New Roman"/>
            <w:b/>
            <w:i/>
            <w:caps w:val="false"/>
            <w:smallCaps w:val="false"/>
            <w:spacing w:val="0"/>
            <w:sz w:val="24"/>
            <w:u w:val="single"/>
          </w:rPr>
          <w:t>Risk Factors</w:t>
        </w:r>
      </w:hyperlink>
      <w:r>
        <w:rPr>
          <w:rFonts w:ascii="Times New Roman" w:hAnsi="Times New Roman"/>
          <w:b/>
          <w:i/>
          <w:caps w:val="false"/>
          <w:smallCaps w:val="false"/>
          <w:spacing w:val="0"/>
          <w:sz w:val="24"/>
          <w:u w:val="single"/>
        </w:rPr>
        <w:t xml:space="preserve"> </w:t>
      </w:r>
    </w:p>
    <w:p>
      <w:pPr>
        <w:pStyle w:val="TextBody"/>
        <w:spacing w:before="240" w:after="0"/>
        <w:jc w:val="left"/>
        <w:rPr>
          <w:spacing w:val="0"/>
        </w:rPr>
      </w:pPr>
      <w:r>
        <w:rPr>
          <w:spacing w:val="0"/>
        </w:rPr>
        <w:t xml:space="preserve">” </w:t>
      </w:r>
      <w:r>
        <w:rPr>
          <w:rFonts w:ascii="Times New Roman" w:hAnsi="Times New Roman"/>
          <w:b/>
          <w:spacing w:val="0"/>
          <w:sz w:val="24"/>
        </w:rPr>
        <w:t xml:space="preserve">section beginning on page 13 of this prospectus.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Neither the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The date of this prospectus is                , 2021. </w:t>
      </w:r>
    </w:p>
    <w:p>
      <w:pPr>
        <w:pStyle w:val="TextBody"/>
        <w:spacing w:before="0" w:after="0"/>
        <w:jc w:val="left"/>
        <w:rPr>
          <w:spacing w:val="0"/>
        </w:rPr>
      </w:pPr>
      <w:r>
        <w:rPr>
          <w:spacing w:val="0"/>
        </w:rPr>
        <w:t>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TABLE OF CONTENTS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spacing w:val="0"/>
        </w:rPr>
      </w:pPr>
      <w:r>
        <w:rPr>
          <w:spacing w:val="0"/>
        </w:rPr>
        <w:t> </w:t>
      </w:r>
    </w:p>
    <w:tbl>
      <w:tblPr>
        <w:tblW w:w="10180" w:type="dxa"/>
        <w:jc w:val="left"/>
        <w:tblInd w:w="0" w:type="dxa"/>
        <w:tblCellMar>
          <w:top w:w="0" w:type="dxa"/>
          <w:left w:w="0" w:type="dxa"/>
          <w:bottom w:w="0" w:type="dxa"/>
          <w:right w:w="0" w:type="dxa"/>
        </w:tblCellMar>
      </w:tblPr>
      <w:tblGrid>
        <w:gridCol w:w="9470"/>
        <w:gridCol w:w="120"/>
        <w:gridCol w:w="70"/>
        <w:gridCol w:w="445"/>
        <w:gridCol w:w="75"/>
      </w:tblGrid>
      <w:tr>
        <w:trPr/>
        <w:tc>
          <w:tcPr>
            <w:tcW w:w="94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7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15" w:type="dxa"/>
            <w:gridSpan w:val="2"/>
            <w:tcBorders/>
            <w:shd w:fill="auto" w:val="cle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
              <w:r>
                <w:rPr>
                  <w:rStyle w:val="InternetLink"/>
                  <w:rFonts w:ascii="Times New Roman" w:hAnsi="Times New Roman"/>
                  <w:spacing w:val="0"/>
                  <w:sz w:val="20"/>
                </w:rPr>
                <w:t>INTRODUCTORY NOTE AND FREQUENTLY USED TERMS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2">
              <w:r>
                <w:rPr>
                  <w:rStyle w:val="InternetLink"/>
                  <w:rFonts w:ascii="Times New Roman" w:hAnsi="Times New Roman"/>
                  <w:spacing w:val="0"/>
                  <w:sz w:val="20"/>
                </w:rPr>
                <w:t>ABOUT THIS PROSPECTUS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2</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3">
              <w:r>
                <w:rPr>
                  <w:rStyle w:val="InternetLink"/>
                  <w:rFonts w:ascii="Times New Roman" w:hAnsi="Times New Roman"/>
                  <w:spacing w:val="0"/>
                  <w:sz w:val="20"/>
                </w:rPr>
                <w:t>PROSPECTUS SUMMARY</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4</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4">
              <w:r>
                <w:rPr>
                  <w:rStyle w:val="InternetLink"/>
                  <w:rFonts w:ascii="Times New Roman" w:hAnsi="Times New Roman"/>
                  <w:spacing w:val="0"/>
                  <w:sz w:val="20"/>
                </w:rPr>
                <w:t>CAUTIONARY NOTE REGARDING FORWARD-LOOKING STATEMENTS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10</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5">
              <w:r>
                <w:rPr>
                  <w:rStyle w:val="InternetLink"/>
                  <w:rFonts w:ascii="Times New Roman" w:hAnsi="Times New Roman"/>
                  <w:spacing w:val="0"/>
                  <w:sz w:val="20"/>
                </w:rPr>
                <w:t>MARKET AND INDUSTRY DATA AND FORECASTS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12</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6">
              <w:r>
                <w:rPr>
                  <w:rStyle w:val="InternetLink"/>
                  <w:rFonts w:ascii="Times New Roman" w:hAnsi="Times New Roman"/>
                  <w:spacing w:val="0"/>
                  <w:sz w:val="20"/>
                </w:rPr>
                <w:t>RISK FACTORS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13</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7">
              <w:r>
                <w:rPr>
                  <w:rStyle w:val="InternetLink"/>
                  <w:rFonts w:ascii="Times New Roman" w:hAnsi="Times New Roman"/>
                  <w:spacing w:val="0"/>
                  <w:sz w:val="20"/>
                </w:rPr>
                <w:t>USE OF PROCEEDS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71</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8">
              <w:r>
                <w:rPr>
                  <w:rStyle w:val="InternetLink"/>
                  <w:rFonts w:ascii="Times New Roman" w:hAnsi="Times New Roman"/>
                  <w:spacing w:val="0"/>
                  <w:sz w:val="20"/>
                </w:rPr>
                <w:t>DIVIDEND POLICY</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71</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9">
              <w:r>
                <w:rPr>
                  <w:rStyle w:val="InternetLink"/>
                  <w:rFonts w:ascii="Times New Roman" w:hAnsi="Times New Roman"/>
                  <w:spacing w:val="0"/>
                  <w:sz w:val="20"/>
                </w:rPr>
                <w:t>DETERMINATION OF OFFERING PRICE</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71</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0">
              <w:r>
                <w:rPr>
                  <w:rStyle w:val="InternetLink"/>
                  <w:rFonts w:ascii="Times New Roman" w:hAnsi="Times New Roman"/>
                  <w:spacing w:val="0"/>
                  <w:sz w:val="20"/>
                </w:rPr>
                <w:t>UNAUDITED PRO FORMA CONDENSED COMBINED FINANCIAL INFORMATION</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72</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1">
              <w:r>
                <w:rPr>
                  <w:rStyle w:val="InternetLink"/>
                  <w:rFonts w:ascii="Times New Roman" w:hAnsi="Times New Roman"/>
                  <w:spacing w:val="0"/>
                  <w:sz w:val="20"/>
                </w:rPr>
                <w:t>BUSINESS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83</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2">
              <w:r>
                <w:rPr>
                  <w:rStyle w:val="InternetLink"/>
                  <w:rFonts w:ascii="Times New Roman" w:hAnsi="Times New Roman"/>
                  <w:spacing w:val="0"/>
                  <w:sz w:val="20"/>
                </w:rPr>
                <w:t>MANAGEMENT’S DISCUSSION AND ANALYSIS OF FINANCIAL CONDITION AND RESULTS OF OPERATIONS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131</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3">
              <w:r>
                <w:rPr>
                  <w:rStyle w:val="InternetLink"/>
                  <w:rFonts w:ascii="Times New Roman" w:hAnsi="Times New Roman"/>
                  <w:spacing w:val="0"/>
                  <w:sz w:val="20"/>
                </w:rPr>
                <w:t>CERTAIN RELATIONSHIPS AND RELATED PERSON TRANSACTIONS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150</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4">
              <w:r>
                <w:rPr>
                  <w:rStyle w:val="InternetLink"/>
                  <w:rFonts w:ascii="Times New Roman" w:hAnsi="Times New Roman"/>
                  <w:spacing w:val="0"/>
                  <w:sz w:val="20"/>
                </w:rPr>
                <w:t>MANAGEMENT</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156</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5">
              <w:r>
                <w:rPr>
                  <w:rStyle w:val="InternetLink"/>
                  <w:rFonts w:ascii="Times New Roman" w:hAnsi="Times New Roman"/>
                  <w:spacing w:val="0"/>
                  <w:sz w:val="20"/>
                </w:rPr>
                <w:t>EXECUTIVE COMPENSATION</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162</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6">
              <w:r>
                <w:rPr>
                  <w:rStyle w:val="InternetLink"/>
                  <w:rFonts w:ascii="Times New Roman" w:hAnsi="Times New Roman"/>
                  <w:spacing w:val="0"/>
                  <w:sz w:val="20"/>
                </w:rPr>
                <w:t>DIRECTOR COMPENSATION</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172</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7">
              <w:r>
                <w:rPr>
                  <w:rStyle w:val="InternetLink"/>
                  <w:rFonts w:ascii="Times New Roman" w:hAnsi="Times New Roman"/>
                  <w:spacing w:val="0"/>
                  <w:sz w:val="20"/>
                </w:rPr>
                <w:t>DESCRIPTION OF CAPITAL STOCK</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174</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8">
              <w:r>
                <w:rPr>
                  <w:rStyle w:val="InternetLink"/>
                  <w:rFonts w:ascii="Times New Roman" w:hAnsi="Times New Roman"/>
                  <w:spacing w:val="0"/>
                  <w:sz w:val="20"/>
                </w:rPr>
                <w:t>SECURITY OWNERSHIP OF CERTAIN BENEFICIAL OWNERS AND MANAGEMENT</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178</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19">
              <w:r>
                <w:rPr>
                  <w:rStyle w:val="InternetLink"/>
                  <w:rFonts w:ascii="Times New Roman" w:hAnsi="Times New Roman"/>
                  <w:spacing w:val="0"/>
                  <w:sz w:val="20"/>
                </w:rPr>
                <w:t>SELLING SECURITYHOLDERS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180</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20">
              <w:r>
                <w:rPr>
                  <w:rStyle w:val="InternetLink"/>
                  <w:rFonts w:ascii="Times New Roman" w:hAnsi="Times New Roman"/>
                  <w:spacing w:val="0"/>
                  <w:sz w:val="20"/>
                </w:rPr>
                <w:t>MATERIAL UNITED STATES FEDERAL INCOME TAX CONSIDERATIONS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187</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21">
              <w:r>
                <w:rPr>
                  <w:rStyle w:val="InternetLink"/>
                  <w:rFonts w:ascii="Times New Roman" w:hAnsi="Times New Roman"/>
                  <w:spacing w:val="0"/>
                  <w:sz w:val="20"/>
                </w:rPr>
                <w:t>PLAN OF DISTRIBUTION</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192</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22">
              <w:r>
                <w:rPr>
                  <w:rStyle w:val="InternetLink"/>
                  <w:rFonts w:ascii="Times New Roman" w:hAnsi="Times New Roman"/>
                  <w:spacing w:val="0"/>
                  <w:sz w:val="20"/>
                </w:rPr>
                <w:t>ADDITIONAL INFORMATION</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197</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23">
              <w:r>
                <w:rPr>
                  <w:rStyle w:val="InternetLink"/>
                  <w:rFonts w:ascii="Times New Roman" w:hAnsi="Times New Roman"/>
                  <w:spacing w:val="0"/>
                  <w:sz w:val="20"/>
                </w:rPr>
                <w:t>WHERE YOU CAN FIND MORE INFORMATION</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19</w:t>
            </w:r>
          </w:p>
          <w:p>
            <w:pPr>
              <w:pStyle w:val="TableContents"/>
              <w:spacing w:before="0" w:after="0"/>
              <w:jc w:val="right"/>
              <w:rPr>
                <w:spacing w:val="0"/>
              </w:rPr>
            </w:pPr>
            <w:r>
              <w:rPr>
                <w:spacing w:val="0"/>
              </w:rPr>
              <w:t>9</w:t>
            </w:r>
          </w:p>
        </w:tc>
        <w:tc>
          <w:tcPr>
            <w:tcW w:w="75" w:type="dxa"/>
            <w:tcBorders/>
            <w:shd w:fill="auto" w:val="clear"/>
            <w:vAlign w:val="center"/>
          </w:tcPr>
          <w:p>
            <w:pPr>
              <w:pStyle w:val="TableContents"/>
              <w:spacing w:before="0" w:after="0"/>
              <w:rPr>
                <w:spacing w:val="0"/>
              </w:rPr>
            </w:pPr>
            <w:r>
              <w:rPr>
                <w:spacing w:val="0"/>
              </w:rPr>
              <w:t> </w:t>
            </w:r>
          </w:p>
        </w:tc>
      </w:tr>
      <w:tr>
        <w:trPr/>
        <w:tc>
          <w:tcPr>
            <w:tcW w:w="9470" w:type="dxa"/>
            <w:tcBorders/>
            <w:shd w:fill="auto" w:val="clear"/>
            <w:vAlign w:val="center"/>
          </w:tcPr>
          <w:p>
            <w:pPr>
              <w:pStyle w:val="TableContents"/>
              <w:spacing w:before="0" w:after="0"/>
              <w:rPr/>
            </w:pPr>
            <w:hyperlink w:anchor="toc118907_24">
              <w:r>
                <w:rPr>
                  <w:rStyle w:val="InternetLink"/>
                  <w:rFonts w:ascii="Times New Roman" w:hAnsi="Times New Roman"/>
                  <w:spacing w:val="0"/>
                  <w:sz w:val="20"/>
                </w:rPr>
                <w:t>INDEX TO FINANCIAL STATEMENTS</w:t>
              </w:r>
            </w:hyperlink>
          </w:p>
        </w:tc>
        <w:tc>
          <w:tcPr>
            <w:tcW w:w="120" w:type="dxa"/>
            <w:tcBorders/>
            <w:shd w:fill="auto" w:val="clear"/>
            <w:vAlign w:val="center"/>
          </w:tcPr>
          <w:p>
            <w:pPr>
              <w:pStyle w:val="TableContents"/>
              <w:spacing w:before="0" w:after="0"/>
              <w:rPr>
                <w:spacing w:val="0"/>
              </w:rPr>
            </w:pPr>
            <w:r>
              <w:rPr>
                <w:spacing w:val="0"/>
              </w:rPr>
              <w:t>  </w:t>
            </w:r>
          </w:p>
        </w:tc>
        <w:tc>
          <w:tcPr>
            <w:tcW w:w="70" w:type="dxa"/>
            <w:tcBorders/>
            <w:shd w:fill="auto" w:val="clear"/>
            <w:vAlign w:val="center"/>
          </w:tcPr>
          <w:p>
            <w:pPr>
              <w:pStyle w:val="TableContents"/>
              <w:spacing w:before="0" w:after="0"/>
              <w:rPr>
                <w:spacing w:val="0"/>
              </w:rPr>
            </w:pPr>
            <w:r>
              <w:rPr>
                <w:spacing w:val="0"/>
              </w:rPr>
              <w:t> </w:t>
            </w:r>
          </w:p>
        </w:tc>
        <w:tc>
          <w:tcPr>
            <w:tcW w:w="445" w:type="dxa"/>
            <w:tcBorders/>
            <w:shd w:fill="auto" w:val="clear"/>
            <w:vAlign w:val="center"/>
          </w:tcPr>
          <w:p>
            <w:pPr>
              <w:pStyle w:val="TableContents"/>
              <w:spacing w:before="0" w:after="0"/>
              <w:jc w:val="right"/>
              <w:rPr>
                <w:spacing w:val="0"/>
              </w:rPr>
            </w:pPr>
            <w:r>
              <w:rPr>
                <w:spacing w:val="0"/>
              </w:rPr>
              <w:t>F-1</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 </w:t>
      </w:r>
    </w:p>
    <w:p>
      <w:pPr>
        <w:pStyle w:val="HorizontalLine"/>
        <w:jc w:val="center"/>
        <w:rPr/>
      </w:pPr>
      <w:r>
        <w:rPr/>
      </w:r>
    </w:p>
    <w:p>
      <w:pPr>
        <w:pStyle w:val="TextBody"/>
        <w:spacing w:before="0" w:after="0"/>
        <w:ind w:left="0" w:right="0" w:hanging="0"/>
        <w:jc w:val="left"/>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INTRODUCTORY NOTE AND FREQUENTLY USED TERMS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August 10, 2021, or the Closing Date, BCTG Acquisition Corp., a Delaware corporation and our predecessor, or BCTG, consummated a business combination, or the Business Combination, pursuant to the terms of the Agreement and Plan of Merger, dated as of April 13, 2021, or the Merger Agreement, by and among BCTG, BCTG Merger Sub Inc., a Delaware corporation, or BCTG Merger Sub, and Tango Therapeutics, Inc. (now known as Tango Therapeutics Sub, Inc.), a Delaware corporation, or Old Tango. Prior to consummation of the Business Combination, Old Tango changed its name from “Tango Therapeutics, Inc.” to “Tango Therapeutics Sub, Inc.” and in connection with the Business Combination, BCTG changed its name to “Tango Therapeutics, Inc.” (the former name of Old Tango).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Merger Agreement, on the Closing Date, BCTG Merger Sub merged with and into Old Tango, or the Merger, with Old Tango surviving the Merger as a wholly-owned subsidiary of BCTG, and BCTG changed its name to “Tango Therapeutics, Inc.”, or New Tango.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Under the Merger Agreement, BCTG agreed to acquire all of the outstanding shares of Tango common stock (including any options or warrants exercisable therefor) for $550,000,000 in aggregate consideration, comprising 55,000,000 shares of BCTG common stock, based on a price of $10.00 per share.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Concurrently with the execution of the Merger Agreement, BCTG entered into subscription agreements, or the Subscription Agreements with the PIPE Investors pursuant to which, at the closing of the Merger, the PIPE Investors subscribed for and purchased an aggregate of 18,610,000 shares of our common stock, or the Investor Shares, at a price of $10.00 per share for aggregate gross proceeds of $186,100,000. We refer to the foregoing transaction in this prospectus as the PIPE Financing.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Unless the context otherwise requires, references in this prospectus to “we,” “us,” “our,” and the “Company” refer to Tango Therapeutics, Inc., and its consolidated subsidiaries (including Old Tango).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in this prospectus, unless otherwise stated or the context otherwise requires: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spacing w:val="0"/>
              </w:rPr>
            </w:pPr>
            <w:r>
              <w:rPr>
                <w:spacing w:val="0"/>
              </w:rPr>
              <w:t>“</w:t>
            </w:r>
            <w:r>
              <w:rPr>
                <w:rFonts w:ascii="Times New Roman" w:hAnsi="Times New Roman"/>
                <w:spacing w:val="0"/>
                <w:sz w:val="20"/>
              </w:rPr>
              <w:t xml:space="preserve">Founders Shares” means the outstanding shares of BCTG’s Common Stock held by the Sponsor, its directors and affiliates of its management team since June 2020 and includes the Private Shares.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spacing w:val="0"/>
              </w:rPr>
            </w:pPr>
            <w:r>
              <w:rPr>
                <w:spacing w:val="0"/>
              </w:rPr>
              <w:t>“</w:t>
            </w:r>
            <w:r>
              <w:rPr>
                <w:rFonts w:ascii="Times New Roman" w:hAnsi="Times New Roman"/>
                <w:spacing w:val="0"/>
                <w:sz w:val="20"/>
              </w:rPr>
              <w:t xml:space="preserve">Merger Consideration” and “Merger Consideration Shares” means the 55,000,000 shares of Common Stock issued as part of the consideration for the Business Combination.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spacing w:val="0"/>
              </w:rPr>
            </w:pPr>
            <w:r>
              <w:rPr>
                <w:spacing w:val="0"/>
              </w:rPr>
              <w:t>“</w:t>
            </w:r>
            <w:r>
              <w:rPr>
                <w:rFonts w:ascii="Times New Roman" w:hAnsi="Times New Roman"/>
                <w:spacing w:val="0"/>
                <w:sz w:val="20"/>
              </w:rPr>
              <w:t xml:space="preserve">Private Placement” means the private placement consummated simultaneously with BCTG’s initial public offering in which BCTG issued to the Sponsor the Private Shares. </w:t>
            </w:r>
          </w:p>
        </w:tc>
      </w:tr>
    </w:tbl>
    <w:p>
      <w:pPr>
        <w:pStyle w:val="TextBody"/>
        <w:spacing w:before="0" w:after="0"/>
        <w:jc w:val="left"/>
        <w:rPr>
          <w:spacing w:val="0"/>
        </w:rPr>
      </w:pPr>
      <w:r>
        <w:rPr>
          <w:spacing w:val="0"/>
        </w:rPr>
        <w:t> </w:t>
      </w:r>
    </w:p>
    <w:tbl>
      <w:tblPr>
        <w:tblW w:w="9175" w:type="dxa"/>
        <w:jc w:val="left"/>
        <w:tblInd w:w="0" w:type="dxa"/>
        <w:tblCellMar>
          <w:top w:w="0" w:type="dxa"/>
          <w:left w:w="0" w:type="dxa"/>
          <w:bottom w:w="0" w:type="dxa"/>
          <w:right w:w="0" w:type="dxa"/>
        </w:tblCellMar>
      </w:tblPr>
      <w:tblGrid>
        <w:gridCol w:w="75"/>
        <w:gridCol w:w="110"/>
        <w:gridCol w:w="60"/>
        <w:gridCol w:w="8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30" w:type="dxa"/>
            <w:tcBorders/>
            <w:shd w:fill="auto" w:val="clear"/>
            <w:vAlign w:val="center"/>
          </w:tcPr>
          <w:p>
            <w:pPr>
              <w:pStyle w:val="TableContents"/>
              <w:spacing w:before="0" w:after="0"/>
              <w:jc w:val="left"/>
              <w:rPr>
                <w:spacing w:val="0"/>
              </w:rPr>
            </w:pPr>
            <w:r>
              <w:rPr>
                <w:spacing w:val="0"/>
              </w:rPr>
              <w:t>“</w:t>
            </w:r>
            <w:r>
              <w:rPr>
                <w:rFonts w:ascii="Times New Roman" w:hAnsi="Times New Roman"/>
                <w:spacing w:val="0"/>
                <w:sz w:val="20"/>
              </w:rPr>
              <w:t xml:space="preserve">Private Shares” means the shares of Common Stock of BCTG issued in the Private Placement to the Sponsor. </w:t>
            </w:r>
          </w:p>
        </w:tc>
      </w:tr>
    </w:tbl>
    <w:p>
      <w:pPr>
        <w:pStyle w:val="TextBody"/>
        <w:spacing w:before="0" w:after="0"/>
        <w:jc w:val="left"/>
        <w:rPr>
          <w:spacing w:val="0"/>
        </w:rPr>
      </w:pPr>
      <w:r>
        <w:rPr>
          <w:spacing w:val="0"/>
        </w:rPr>
        <w:t> </w:t>
      </w:r>
    </w:p>
    <w:tbl>
      <w:tblPr>
        <w:tblW w:w="6715" w:type="dxa"/>
        <w:jc w:val="left"/>
        <w:tblInd w:w="0" w:type="dxa"/>
        <w:tblCellMar>
          <w:top w:w="0" w:type="dxa"/>
          <w:left w:w="0" w:type="dxa"/>
          <w:bottom w:w="0" w:type="dxa"/>
          <w:right w:w="0" w:type="dxa"/>
        </w:tblCellMar>
      </w:tblPr>
      <w:tblGrid>
        <w:gridCol w:w="75"/>
        <w:gridCol w:w="110"/>
        <w:gridCol w:w="60"/>
        <w:gridCol w:w="6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70" w:type="dxa"/>
            <w:tcBorders/>
            <w:shd w:fill="auto" w:val="clear"/>
            <w:vAlign w:val="center"/>
          </w:tcPr>
          <w:p>
            <w:pPr>
              <w:pStyle w:val="TableContents"/>
              <w:spacing w:before="0" w:after="0"/>
              <w:jc w:val="left"/>
              <w:rPr>
                <w:spacing w:val="0"/>
              </w:rPr>
            </w:pPr>
            <w:r>
              <w:rPr>
                <w:spacing w:val="0"/>
              </w:rPr>
              <w:t>“</w:t>
            </w:r>
            <w:r>
              <w:rPr>
                <w:rFonts w:ascii="Times New Roman" w:hAnsi="Times New Roman"/>
                <w:spacing w:val="0"/>
                <w:sz w:val="20"/>
              </w:rPr>
              <w:t xml:space="preserve">Sponsor” means BCTG Holdings, LLC, a Delaware limited liability company.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spacing w:val="0"/>
              </w:rPr>
            </w:pPr>
            <w:r>
              <w:rPr>
                <w:spacing w:val="0"/>
              </w:rPr>
              <w:t>“</w:t>
            </w:r>
            <w:r>
              <w:rPr>
                <w:rFonts w:ascii="Times New Roman" w:hAnsi="Times New Roman"/>
                <w:spacing w:val="0"/>
                <w:sz w:val="20"/>
              </w:rPr>
              <w:t xml:space="preserve">Tango” or “New Tango” means Tango Therapeutics, Inc., a Delaware corporation, (f/k/a BCTG Acquisition Corp.) following the closing of the Business Combination.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ABOUT THIS PROSPECTUS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on Form </w:t>
      </w:r>
    </w:p>
    <w:p>
      <w:pPr>
        <w:pStyle w:val="TextBody"/>
        <w:spacing w:before="240" w:after="0"/>
        <w:jc w:val="left"/>
        <w:rPr>
          <w:rFonts w:ascii="Times New Roman" w:hAnsi="Times New Roman"/>
          <w:spacing w:val="0"/>
          <w:sz w:val="20"/>
        </w:rPr>
      </w:pPr>
      <w:r>
        <w:rPr>
          <w:rFonts w:ascii="Times New Roman" w:hAnsi="Times New Roman"/>
          <w:spacing w:val="0"/>
          <w:sz w:val="20"/>
        </w:rPr>
        <w:t>S-1</w:t>
      </w:r>
    </w:p>
    <w:p>
      <w:pPr>
        <w:pStyle w:val="TextBody"/>
        <w:spacing w:before="240" w:after="0"/>
        <w:jc w:val="left"/>
        <w:rPr>
          <w:rFonts w:ascii="Times New Roman" w:hAnsi="Times New Roman"/>
          <w:sz w:val="20"/>
        </w:rPr>
      </w:pPr>
      <w:r>
        <w:rPr>
          <w:rFonts w:ascii="Times New Roman" w:hAnsi="Times New Roman"/>
          <w:sz w:val="20"/>
        </w:rPr>
        <w:t xml:space="preserve">that we filed with the Securities and Exchange Commission, or the SEC, using a “shelf” registration process. Under this shelf registration process, the Selling Securityholders and their permitted transferees may, from time to time, sell the securities offered by them described in this prospectus. We will not receive any proceeds from the sale by the Selling Securityholders of the securities offered by them described in this prospectus. </w:t>
      </w:r>
    </w:p>
    <w:p>
      <w:pPr>
        <w:pStyle w:val="TextBody"/>
        <w:spacing w:before="240" w:after="0"/>
        <w:jc w:val="left"/>
        <w:rPr>
          <w:rFonts w:ascii="Times New Roman" w:hAnsi="Times New Roman"/>
          <w:sz w:val="20"/>
        </w:rPr>
      </w:pPr>
      <w:r>
        <w:rPr>
          <w:rFonts w:ascii="Times New Roman" w:hAnsi="Times New Roman"/>
          <w:sz w:val="20"/>
        </w:rPr>
        <w:t>The Selling Securityholders and their permitted transferees may use the shelf registration statement to sell such securities from time to time through any means described in the section entitled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Plan of Distribution</w:t>
      </w:r>
    </w:p>
    <w:p>
      <w:pPr>
        <w:pStyle w:val="TextBody"/>
        <w:spacing w:before="240" w:after="0"/>
        <w:jc w:val="left"/>
        <w:rPr>
          <w:rFonts w:ascii="Times New Roman" w:hAnsi="Times New Roman"/>
          <w:sz w:val="20"/>
        </w:rPr>
      </w:pPr>
      <w:r>
        <w:rPr>
          <w:rFonts w:ascii="Times New Roman" w:hAnsi="Times New Roman"/>
          <w:sz w:val="20"/>
        </w:rPr>
        <w:t xml:space="preserve">.”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 </w:t>
      </w:r>
    </w:p>
    <w:p>
      <w:pPr>
        <w:pStyle w:val="TextBody"/>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Where You Can Find More Information.</w:t>
      </w:r>
    </w:p>
    <w:p>
      <w:pPr>
        <w:pStyle w:val="TextBody"/>
        <w:spacing w:before="240" w:after="0"/>
        <w:jc w:val="left"/>
        <w:rPr/>
      </w:pPr>
      <w:r>
        <w:rPr/>
        <w:t xml:space="preserv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Neither we nor the Selling Securityholders have authorized anyone to provide any information or to make any representations other than those contained in this prospectus, any applicable prospectus supplement or any free writing prospectuses prepared by or on behalf of us or to which we have referred you.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free writing prospectuses prepared by or on behalf of us or to which we have referred you.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 </w:t>
      </w:r>
    </w:p>
    <w:p>
      <w:pPr>
        <w:pStyle w:val="TextBody"/>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this prospectus under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Where You Can Find More Information</w:t>
      </w:r>
    </w:p>
    <w:p>
      <w:pPr>
        <w:pStyle w:val="TextBody"/>
        <w:spacing w:before="240" w:after="0"/>
        <w:jc w:val="left"/>
        <w:rPr>
          <w:rFonts w:ascii="Times New Roman" w:hAnsi="Times New Roman"/>
          <w:sz w:val="20"/>
        </w:rPr>
      </w:pPr>
      <w:r>
        <w:rPr>
          <w:rFonts w:ascii="Times New Roman" w:hAnsi="Times New Roman"/>
          <w:sz w:val="20"/>
        </w:rPr>
        <w:t xml:space="preserv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This prospectus contains references to trademarks, trade names and service marks belonging to other entities. Solely for convenience, trademarks, trade names and service marks referred to in this prospectus may appear without the </w:t>
      </w:r>
    </w:p>
    <w:p>
      <w:pPr>
        <w:pStyle w:val="TextBody"/>
        <w:spacing w:before="0" w:after="0"/>
        <w:jc w:val="left"/>
        <w:rPr>
          <w:rFonts w:ascii="Times New Roman" w:hAnsi="Times New Roman"/>
          <w:b/>
          <w:spacing w:val="0"/>
          <w:sz w:val="14"/>
        </w:rPr>
      </w:pPr>
      <w:r>
        <w:rPr>
          <w:rFonts w:ascii="Times New Roman" w:hAnsi="Times New Roman"/>
          <w:b/>
          <w:spacing w:val="0"/>
          <w:sz w:val="14"/>
        </w:rPr>
        <w:t>®</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or </w:t>
      </w:r>
    </w:p>
    <w:p>
      <w:pPr>
        <w:pStyle w:val="TextBody"/>
        <w:spacing w:before="0" w:after="0"/>
        <w:jc w:val="left"/>
        <w:rPr>
          <w:rFonts w:ascii="Times New Roman" w:hAnsi="Times New Roman"/>
          <w:b/>
          <w:spacing w:val="0"/>
          <w:sz w:val="14"/>
        </w:rPr>
      </w:pPr>
      <w:r>
        <w:rPr>
          <w:rFonts w:ascii="Times New Roman" w:hAnsi="Times New Roman"/>
          <w:b/>
          <w:spacing w:val="0"/>
          <w:sz w:val="14"/>
        </w:rPr>
        <w:t>TM</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symbols, but such references are not intended to indicate, in any way, that the applicable licensor will not assert, to the fullest extent under applicable law, its rights to these trademarks and trade names. We do not intend our use or display of other entities’ trade names, trademarks or service marks to imply a relationship with, or endorsement or sponsorship of us by, any other entities.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PROSPECTUS SUMMARY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“Cautionary Note Regarding Forward-Looking Statements,” “Management’s Discussion and Analysis of Financial Condition and Results of Operations” and “Unaudited Pro Forma Condensed Combined Financial Information,” as well as the financial statements included elsewhere in this prospectus. </w:t>
      </w:r>
    </w:p>
    <w:p>
      <w:pPr>
        <w:pStyle w:val="TextBody"/>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precision oncology company leveraging our </w:t>
      </w:r>
    </w:p>
    <w:p>
      <w:pPr>
        <w:pStyle w:val="TextBody"/>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state-of-the-art target</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first product candidate, TNG908, is a potent, selective, synthetic lethal, small molecule inhibitor of protein arginine methyltransferase 5, or PRMT5, designed to work selectively in cancer cells with an -methylthioadenosine phosphorylase, or MTAP, deletion. MTAP-deletion occurs in approximately 10% to 15% of all human tumors, including many common cancers with high unmet need such as squamous cell lung, esophageal and bladder cancer, creating a significant therapeutic opportunity for patients. The challenge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of non-synthetic lethal</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degrades 5’-deoxy-5’-methylthioadenosine,</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or MTA,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a non-selective</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PRMT5 inhibitor kills cancer cells and normal cells at approximately the same exposure, markedly limiting potential efficacy. This difference in mechanism of inhibition occurs because TNG908 binds much more efficiently to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the PRMT5-MTA complex,</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 the increased MTA levels in MTAP-deleted cancer cells make TNG908 more potent in MTAP-deleted cancer cells than in normal cells. In our preclinical studies, TNG908 has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demonstrated 15-fold greater</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potency in MTAP-deleted cancer cells versus normal cells. This unique selectivity of TNG908 for MTAP-deleted cancer cells allows for the near-complete and sustained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inhibition of PRMT5 needed to induce tumor cell death while sparing normal cells, including bone marrow cells which is likely responsible for the dose-limiting toxicity </w:t>
      </w:r>
    </w:p>
    <w:p>
      <w:pPr>
        <w:pStyle w:val="TextBody"/>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of non-synthetic lethal</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PRMT5 inhibitors currently in clinical development. In our preclinical studies, TNG908 demonstrated selectivity for MTAP-deleted tumors, anti-tumor effects</w:t>
      </w:r>
    </w:p>
    <w:p>
      <w:pPr>
        <w:pStyle w:val="TextBody"/>
        <w:spacing w:before="0" w:after="0"/>
        <w:jc w:val="left"/>
        <w:rPr>
          <w:caps w:val="false"/>
          <w:smallCaps w:val="false"/>
          <w:spacing w:val="0"/>
          <w:bdr w:val="single" w:sz="8" w:space="1" w:color="000000"/>
        </w:rPr>
      </w:pPr>
      <w:r>
        <w:rPr>
          <w:caps w:val="false"/>
          <w:smallCaps w:val="false"/>
          <w:spacing w:val="0"/>
          <w:bdr w:val="single" w:sz="8" w:space="1" w:color="000000"/>
        </w:rPr>
        <w:t> </w:t>
      </w:r>
      <w:r>
        <w:rPr>
          <w:rFonts w:ascii="Times New Roman" w:hAnsi="Times New Roman"/>
          <w:i/>
          <w:caps w:val="false"/>
          <w:smallCaps w:val="false"/>
          <w:spacing w:val="0"/>
          <w:sz w:val="20"/>
          <w:bdr w:val="single" w:sz="8" w:space="1" w:color="000000"/>
        </w:rPr>
        <w:t>in vitro</w:t>
      </w:r>
    </w:p>
    <w:p>
      <w:pPr>
        <w:pStyle w:val="TextBody"/>
        <w:spacing w:before="0" w:after="0"/>
        <w:jc w:val="left"/>
        <w:rPr>
          <w:bdr w:val="single" w:sz="8" w:space="1" w:color="000000"/>
        </w:rPr>
      </w:pPr>
      <w:r>
        <w:rPr>
          <w:bdr w:val="single" w:sz="8" w:space="1" w:color="000000"/>
        </w:rPr>
        <w:t> </w:t>
      </w:r>
      <w:r>
        <w:rPr>
          <w:rFonts w:ascii="Times New Roman" w:hAnsi="Times New Roman"/>
          <w:sz w:val="20"/>
          <w:bdr w:val="single" w:sz="8" w:space="1" w:color="000000"/>
        </w:rPr>
        <w:t>and</w:t>
      </w:r>
    </w:p>
    <w:p>
      <w:pPr>
        <w:pStyle w:val="TextBody"/>
        <w:spacing w:before="0" w:after="0"/>
        <w:jc w:val="left"/>
        <w:rPr>
          <w:caps w:val="false"/>
          <w:smallCaps w:val="false"/>
          <w:spacing w:val="0"/>
          <w:bdr w:val="single" w:sz="8" w:space="1" w:color="000000"/>
        </w:rPr>
      </w:pPr>
      <w:r>
        <w:rPr>
          <w:caps w:val="false"/>
          <w:smallCaps w:val="false"/>
          <w:spacing w:val="0"/>
          <w:bdr w:val="single" w:sz="8" w:space="1" w:color="000000"/>
        </w:rPr>
        <w:t> </w:t>
      </w:r>
      <w:r>
        <w:rPr>
          <w:rFonts w:ascii="Times New Roman" w:hAnsi="Times New Roman"/>
          <w:i/>
          <w:caps w:val="false"/>
          <w:smallCaps w:val="false"/>
          <w:spacing w:val="0"/>
          <w:sz w:val="20"/>
          <w:bdr w:val="single" w:sz="8" w:space="1" w:color="000000"/>
        </w:rPr>
        <w:t>in vivo</w:t>
      </w:r>
    </w:p>
    <w:p>
      <w:pPr>
        <w:pStyle w:val="TextBody"/>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and pharmacokinetics that, if approved, support its potential to be a highly differentiated synthetic lethal PRMT5 inhibitor. We plan to file an Investigational New Drug, or IND, application for TNG908 in the fourth quarter of 2021 and initiate a Phase 1/2 clinical trial in the first half of 2022.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product candidate has the potential to be a highly differentiated small molecule inhibitor of ubiquitin-specific protease 1, or USP1, a synthetic lethal target for BRCA1-mutant breast, ovarian and prostate cancer. USP1 has the potential to treat a patient population that is comparable in size to approximately half of the patient population for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poly (ADP-ribose) polymerase,</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or PARP, inhibitors that are effective against cancers with BRCA1 and BRCA2 mutations. BRCA1 mutations are present in approximately 15% of ovarian cancer, 5% of breast cancer, and 1% of prostate cancer.</w:t>
      </w:r>
    </w:p>
    <w:p>
      <w:pPr>
        <w:pStyle w:val="TextBody"/>
        <w:spacing w:before="240" w:after="0"/>
        <w:jc w:val="left"/>
        <w:rPr>
          <w:caps w:val="false"/>
          <w:smallCaps w:val="false"/>
          <w:spacing w:val="0"/>
          <w:bdr w:val="single" w:sz="8" w:space="1" w:color="000000"/>
        </w:rPr>
      </w:pPr>
      <w:r>
        <w:rPr>
          <w:caps w:val="false"/>
          <w:smallCaps w:val="false"/>
          <w:spacing w:val="0"/>
          <w:bdr w:val="single" w:sz="8" w:space="1" w:color="000000"/>
        </w:rPr>
        <w:t> </w:t>
      </w:r>
      <w:r>
        <w:rPr>
          <w:rFonts w:ascii="Times New Roman" w:hAnsi="Times New Roman"/>
          <w:i/>
          <w:caps w:val="false"/>
          <w:smallCaps w:val="false"/>
          <w:spacing w:val="0"/>
          <w:sz w:val="20"/>
          <w:bdr w:val="single" w:sz="8" w:space="1" w:color="000000"/>
        </w:rPr>
        <w:t>In vitro</w:t>
      </w:r>
    </w:p>
    <w:p>
      <w:pPr>
        <w:pStyle w:val="TextBody"/>
        <w:spacing w:before="240" w:after="0"/>
        <w:jc w:val="left"/>
        <w:rPr>
          <w:bdr w:val="single" w:sz="8" w:space="1" w:color="000000"/>
        </w:rPr>
      </w:pPr>
      <w:r>
        <w:rPr>
          <w:bdr w:val="single" w:sz="8" w:space="1" w:color="000000"/>
        </w:rPr>
        <w:t> </w:t>
      </w:r>
      <w:r>
        <w:rPr>
          <w:rFonts w:ascii="Times New Roman" w:hAnsi="Times New Roman"/>
          <w:sz w:val="20"/>
          <w:bdr w:val="single" w:sz="8" w:space="1" w:color="000000"/>
        </w:rPr>
        <w:t>and</w:t>
      </w:r>
    </w:p>
    <w:p>
      <w:pPr>
        <w:pStyle w:val="TextBody"/>
        <w:spacing w:before="240" w:after="0"/>
        <w:jc w:val="left"/>
        <w:rPr>
          <w:caps w:val="false"/>
          <w:smallCaps w:val="false"/>
          <w:spacing w:val="0"/>
          <w:bdr w:val="single" w:sz="8" w:space="1" w:color="000000"/>
        </w:rPr>
      </w:pPr>
      <w:r>
        <w:rPr>
          <w:caps w:val="false"/>
          <w:smallCaps w:val="false"/>
          <w:spacing w:val="0"/>
          <w:bdr w:val="single" w:sz="8" w:space="1" w:color="000000"/>
        </w:rPr>
        <w:t> </w:t>
      </w:r>
      <w:r>
        <w:rPr>
          <w:rFonts w:ascii="Times New Roman" w:hAnsi="Times New Roman"/>
          <w:i/>
          <w:caps w:val="false"/>
          <w:smallCaps w:val="false"/>
          <w:spacing w:val="0"/>
          <w:sz w:val="20"/>
          <w:bdr w:val="single" w:sz="8" w:space="1" w:color="000000"/>
        </w:rPr>
        <w:t>in vivo</w:t>
      </w:r>
    </w:p>
    <w:p>
      <w:pPr>
        <w:pStyle w:val="TextBody"/>
        <w:spacing w:before="240" w:after="0"/>
        <w:jc w:val="left"/>
        <w:rPr>
          <w:bdr w:val="single" w:sz="8" w:space="1" w:color="000000"/>
        </w:rPr>
      </w:pPr>
      <w:r>
        <w:rPr>
          <w:bdr w:val="single" w:sz="8" w:space="1" w:color="000000"/>
        </w:rPr>
        <w:t> </w:t>
      </w:r>
      <w:r>
        <w:rPr>
          <w:rFonts w:ascii="Times New Roman" w:hAnsi="Times New Roman"/>
          <w:sz w:val="20"/>
          <w:bdr w:val="single" w:sz="8" w:space="1" w:color="000000"/>
        </w:rPr>
        <w:t xml:space="preserve">preclinical data demonstrate potent anti-tumor activity with a lead series compound used as a single agent. Preclinical data further 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We anticipate advancing a clinical candidate and filing an IND for this program in 2022.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third program, an undisclosed target (Target 3), exploits our platform developed to find synthetic lethal targets that reverse the immune evasion effects of tumor suppressor gene loss, in this case serine-threonine kinase 11, or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STK11, loss-of-function mutations.</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STK11 loss-of-function mutations</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are present in approximately 20%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of non-small cell</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target into IND-enabling studies in</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second half of 2022 and filing an IND in 2023.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one program.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Our Pipeline </w:t>
      </w:r>
    </w:p>
    <w:p>
      <w:pPr>
        <w:pStyle w:val="TextBody"/>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following table summarizes our current portfolio of product candidates. </w:t>
      </w:r>
    </w:p>
    <w:p>
      <w:pPr>
        <w:pStyle w:val="TextBody"/>
        <w:spacing w:before="0" w:after="0"/>
        <w:jc w:val="left"/>
        <w:rPr>
          <w:spacing w:val="0"/>
          <w:bdr w:val="single" w:sz="8" w:space="1" w:color="000000"/>
        </w:rPr>
      </w:pPr>
      <w:r>
        <w:rPr>
          <w:spacing w:val="0"/>
          <w:bdr w:val="single" w:sz="8" w:space="1" w:color="000000"/>
        </w:rPr>
        <w:t> </w:t>
      </w:r>
    </w:p>
    <w:p>
      <w:pPr>
        <w:pStyle w:val="TextBody"/>
        <w:spacing w:before="0" w:after="0"/>
        <w:jc w:val="left"/>
        <w:rPr>
          <w:spacing w:val="0"/>
          <w:bdr w:val="single" w:sz="8" w:space="1" w:color="000000"/>
        </w:rPr>
      </w:pPr>
      <w:r>
        <w:rPr>
          <w:spacing w:val="0"/>
          <w:bdr w:val="single" w:sz="8" w:space="1" w:color="000000"/>
        </w:rPr>
        <w:t> </w:t>
      </w:r>
    </w:p>
    <w:p>
      <w:pPr>
        <w:pStyle w:val="TextBody"/>
        <w:spacing w:before="0" w:after="0"/>
        <w:jc w:val="center"/>
        <w:rPr>
          <w:bdr w:val="single" w:sz="8" w:space="1" w:color="000000"/>
        </w:rPr>
      </w:pPr>
      <w:r>
        <w:rPr>
          <w:bdr w:val="single" w:sz="8" w:space="1" w:color="000000"/>
        </w:rPr>
        <w:drawing>
          <wp:inline distT="0" distB="0" distL="0" distR="0">
            <wp:extent cx="5705475" cy="1304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05475" cy="1304925"/>
                    </a:xfrm>
                    <a:prstGeom prst="rect">
                      <a:avLst/>
                    </a:prstGeom>
                  </pic:spPr>
                </pic:pic>
              </a:graphicData>
            </a:graphic>
          </wp:inline>
        </w:drawing>
      </w:r>
    </w:p>
    <w:p>
      <w:pPr>
        <w:pStyle w:val="TextBody"/>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Implications of Being an Emerging Growth Company </w:t>
      </w:r>
    </w:p>
    <w:p>
      <w:pPr>
        <w:pStyle w:val="TextBody"/>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but are not limited to: </w:t>
      </w:r>
    </w:p>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being permitted to present only two years of audited financial statements in this prospectus and only two years of related “Management’s Discussion and Analysis of Financial Condition and Results of Operations” in our periodic reports and registration statements, including this prospectus;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not being required to comply with the auditor attestation requirements of Section 404 of the Sarbanes- Oxley Act of 2002, as amended, or the Sarbanes-Oxley Act;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reduced disclosure obligations regarding executive compensation in our periodic reports, proxy statements and registration statements, including in this prospectus; and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exemptions from the requirements of holding a nonbinding advisory vote on executive compensation and stockholder approval of any golden parachute payments not previously approved.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we are no longer an emerging growth company. We will remain an emerging growth company until the earliest of: (i) December 31, 2025, (ii) the last day of the fiscal year in which we have total annual gross revenue of at least $1.07 billion, (iii) the last day of the fiscal year in which we are deemed to be a “large accelerated filer” as defined in Rule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12b-2</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Securities Exchange Act of 1934, as amended, or the Exchange Act, which would occur if the market value of our common stock held by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non-affiliates</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non-convertible</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debt securities during the prior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securities.</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non-public</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companies instead of the dates required for other public companies. As a result, our financial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180" w:after="0"/>
        <w:ind w:left="0" w:right="0" w:hanging="0"/>
        <w:jc w:val="left"/>
        <w:rPr>
          <w:rFonts w:ascii="Times New Roman" w:hAnsi="Times New Roman"/>
          <w:spacing w:val="0"/>
          <w:sz w:val="20"/>
        </w:rPr>
      </w:pPr>
      <w:r>
        <w:rPr>
          <w:rFonts w:ascii="Times New Roman" w:hAnsi="Times New Roman"/>
          <w:spacing w:val="0"/>
          <w:sz w:val="20"/>
        </w:rPr>
        <w:t xml:space="preserve">statements may not be comparable to companies that comply with new or revised accounting pronouncements as of public company effective dates.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Associated with Our Business </w:t>
      </w:r>
    </w:p>
    <w:p>
      <w:pPr>
        <w:pStyle w:val="TextBody"/>
        <w:spacing w:before="120" w:after="0"/>
        <w:jc w:val="left"/>
        <w:rPr>
          <w:rFonts w:ascii="Times New Roman" w:hAnsi="Times New Roman"/>
          <w:sz w:val="20"/>
        </w:rPr>
      </w:pPr>
      <w:r>
        <w:rPr>
          <w:rFonts w:ascii="Times New Roman" w:hAnsi="Times New Roman"/>
          <w:sz w:val="20"/>
        </w:rPr>
        <w:t>Our business is subject to numerous material and other risks that you should be aware of before making an investment decision. These risks are described more fully in the section entitled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Factors</w:t>
      </w:r>
    </w:p>
    <w:p>
      <w:pPr>
        <w:pStyle w:val="TextBody"/>
        <w:spacing w:before="120" w:after="0"/>
        <w:jc w:val="left"/>
        <w:rPr>
          <w:rFonts w:ascii="Times New Roman" w:hAnsi="Times New Roman"/>
          <w:sz w:val="20"/>
        </w:rPr>
      </w:pPr>
      <w:r>
        <w:rPr>
          <w:rFonts w:ascii="Times New Roman" w:hAnsi="Times New Roman"/>
          <w:sz w:val="20"/>
        </w:rPr>
        <w:t xml:space="preserve">.” These risks include, among others,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are a precision oncology company with a limited operating history. We have no products approved for commercial sale, have not generated any revenue from product sales and may never become profitable.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have incurred significant net losses since our inception and anticipate that we will continue to incur losses for the foreseeable future.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will need to raise substantial additional funding. If we are unable to raise capital when needed or on terms acceptable to us, we would be forced to delay, reduce or eliminate some of our product development programs or commercialization efforts.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have never successfully completed any clinical trials and we may be unable to do so for any product candidates we develop. Certain of our programs are still in preclinical development and may never advance to clinical development.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 </w:t>
            </w:r>
          </w:p>
        </w:tc>
      </w:tr>
    </w:tbl>
    <w:p>
      <w:pPr>
        <w:pStyle w:val="TextBody"/>
        <w:spacing w:before="0" w:after="0"/>
        <w:jc w:val="left"/>
        <w:rPr>
          <w:spacing w:val="0"/>
        </w:rPr>
      </w:pPr>
      <w:r>
        <w:rPr>
          <w:spacing w:val="0"/>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Clinical product development involves a lengthy and expensive process, with an uncertain outcome.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Interim, </w:t>
            </w:r>
          </w:p>
          <w:p>
            <w:pPr>
              <w:pStyle w:val="TableContents"/>
              <w:spacing w:before="0" w:after="0"/>
              <w:jc w:val="left"/>
              <w:rPr>
                <w:rFonts w:ascii="Times New Roman" w:hAnsi="Times New Roman"/>
                <w:spacing w:val="0"/>
                <w:sz w:val="20"/>
              </w:rPr>
            </w:pPr>
            <w:r>
              <w:rPr>
                <w:rFonts w:ascii="Times New Roman" w:hAnsi="Times New Roman"/>
                <w:spacing w:val="0"/>
                <w:sz w:val="20"/>
              </w:rPr>
              <w:t>top-line,</w:t>
            </w:r>
          </w:p>
          <w:p>
            <w:pPr>
              <w:pStyle w:val="TableContents"/>
              <w:spacing w:before="0" w:after="0"/>
              <w:jc w:val="left"/>
              <w:rPr>
                <w:rFonts w:ascii="Times New Roman" w:hAnsi="Times New Roman"/>
                <w:sz w:val="20"/>
              </w:rPr>
            </w:pPr>
            <w:r>
              <w:rPr>
                <w:rFonts w:ascii="Times New Roman" w:hAnsi="Times New Roman"/>
                <w:sz w:val="20"/>
              </w:rPr>
              <w:t xml:space="preserve">and preliminary data from our future clinical trials that we announce or publish from time to time may change as more patient data become available and are subject to confirmation, audit and verification procedures that could result in material changes in the final data.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If we experience delays or difficulties in the initiation or enrollment of patients in clinical trials, our receipt of necessary regulatory approvals could be delayed or prevented.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 </w:t>
            </w:r>
          </w:p>
        </w:tc>
      </w:tr>
    </w:tbl>
    <w:p>
      <w:pPr>
        <w:pStyle w:val="TextBody"/>
        <w:spacing w:before="0" w:after="283"/>
        <w:jc w:val="left"/>
        <w:rPr/>
      </w:pPr>
      <w:r>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pandemic, or a similar pandemic, epidemic, or outbreak of an infectious disease, may materially and adversely affect our business and our financial results and could cause a disruption to the development of our product candidates.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third parties upon whom we rely for the supply of the active pharmaceutical ingredients and drug product to be used in our product candidates are our sole source of supply, and the loss of any of these suppliers could significantly harm our business. </w:t>
            </w:r>
          </w:p>
        </w:tc>
      </w:tr>
    </w:tbl>
    <w:p>
      <w:pPr>
        <w:pStyle w:val="TextBody"/>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mailing address for our principal executive office is 100 Binney Street, Suite 700, Cambridge, MA 02142, and our telephone number is </w:t>
      </w:r>
    </w:p>
    <w:p>
      <w:pPr>
        <w:pStyle w:val="TextBody"/>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857-320-4900.</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website address is https://tangotx.com. The information contained in or accessible from our website is not incorporated into this prospectus, and you should not consider it part of this prospectus. We have included our website address in this prospectus solely as an inactive textual reference.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180" w:after="0"/>
        <w:ind w:left="0" w:right="0" w:hanging="0"/>
        <w:jc w:val="center"/>
        <w:rPr>
          <w:rFonts w:ascii="Times New Roman" w:hAnsi="Times New Roman"/>
          <w:b/>
          <w:spacing w:val="0"/>
          <w:sz w:val="20"/>
        </w:rPr>
      </w:pPr>
      <w:r>
        <w:rPr>
          <w:rFonts w:ascii="Times New Roman" w:hAnsi="Times New Roman"/>
          <w:b/>
          <w:spacing w:val="0"/>
          <w:sz w:val="20"/>
        </w:rPr>
        <w:t xml:space="preserve">THE OFFERING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027"/>
        <w:gridCol w:w="7178"/>
      </w:tblGrid>
      <w:tr>
        <w:trPr/>
        <w:tc>
          <w:tcPr>
            <w:tcW w:w="3027" w:type="dxa"/>
            <w:tcBorders/>
            <w:shd w:fill="auto" w:val="clear"/>
            <w:vAlign w:val="center"/>
          </w:tcPr>
          <w:p>
            <w:pPr>
              <w:pStyle w:val="TableContents"/>
              <w:spacing w:before="0" w:after="20"/>
              <w:rPr>
                <w:rFonts w:ascii="Times New Roman" w:hAnsi="Times New Roman"/>
                <w:b/>
                <w:spacing w:val="0"/>
                <w:sz w:val="20"/>
              </w:rPr>
            </w:pPr>
            <w:r>
              <w:rPr>
                <w:rFonts w:ascii="Times New Roman" w:hAnsi="Times New Roman"/>
                <w:b/>
                <w:spacing w:val="0"/>
                <w:sz w:val="20"/>
              </w:rPr>
              <w:t xml:space="preserve">Shares of Common Stock that may be offered and sold from time to time by the Selling Securityholders named herein </w:t>
            </w:r>
          </w:p>
        </w:tc>
        <w:tc>
          <w:tcPr>
            <w:tcW w:w="7178" w:type="dxa"/>
            <w:tcBorders/>
            <w:shd w:fill="auto" w:val="clear"/>
            <w:vAlign w:val="center"/>
          </w:tcPr>
          <w:p>
            <w:pPr>
              <w:pStyle w:val="TableContents"/>
              <w:spacing w:before="0" w:after="283"/>
              <w:rPr/>
            </w:pPr>
            <w:r>
              <w:rPr/>
              <w:t xml:space="preserve">Up to 68,175,412 shares of Common Stock consisting of (i) 18,610,000 shares of Common Stock issued in a private placement consummated concurrently with the Merger and (ii) 49,565,412 shares of Common Stock issued to certain former shareholders of Tango Therapeutics Sub, Inc. at the closing of the Business Combination. </w:t>
            </w:r>
          </w:p>
        </w:tc>
      </w:tr>
    </w:tbl>
    <w:p>
      <w:pPr>
        <w:pStyle w:val="TextBody"/>
        <w:spacing w:before="0" w:after="0"/>
        <w:jc w:val="left"/>
        <w:rPr>
          <w:spacing w:val="0"/>
        </w:rPr>
      </w:pPr>
      <w:r>
        <w:rPr>
          <w:spacing w:val="0"/>
        </w:rPr>
        <w:t> </w:t>
      </w:r>
    </w:p>
    <w:tbl>
      <w:tblPr>
        <w:tblW w:w="8170" w:type="dxa"/>
        <w:jc w:val="left"/>
        <w:tblInd w:w="0" w:type="dxa"/>
        <w:tblCellMar>
          <w:top w:w="0" w:type="dxa"/>
          <w:left w:w="0" w:type="dxa"/>
          <w:bottom w:w="0" w:type="dxa"/>
          <w:right w:w="0" w:type="dxa"/>
        </w:tblCellMar>
      </w:tblPr>
      <w:tblGrid>
        <w:gridCol w:w="2330"/>
        <w:gridCol w:w="5840"/>
      </w:tblGrid>
      <w:tr>
        <w:trPr/>
        <w:tc>
          <w:tcPr>
            <w:tcW w:w="2330" w:type="dxa"/>
            <w:tcBorders/>
            <w:shd w:fill="auto" w:val="clear"/>
            <w:vAlign w:val="center"/>
          </w:tcPr>
          <w:p>
            <w:pPr>
              <w:pStyle w:val="TableContents"/>
              <w:spacing w:before="0" w:after="20"/>
              <w:rPr>
                <w:rFonts w:ascii="Times New Roman" w:hAnsi="Times New Roman"/>
                <w:b/>
                <w:spacing w:val="0"/>
                <w:sz w:val="20"/>
              </w:rPr>
            </w:pPr>
            <w:r>
              <w:rPr>
                <w:rFonts w:ascii="Times New Roman" w:hAnsi="Times New Roman"/>
                <w:b/>
                <w:spacing w:val="0"/>
                <w:sz w:val="20"/>
              </w:rPr>
              <w:t>Common stock outstanding</w:t>
            </w:r>
          </w:p>
        </w:tc>
        <w:tc>
          <w:tcPr>
            <w:tcW w:w="5840" w:type="dxa"/>
            <w:tcBorders/>
            <w:shd w:fill="auto" w:val="clear"/>
            <w:vAlign w:val="center"/>
          </w:tcPr>
          <w:p>
            <w:pPr>
              <w:pStyle w:val="TableContents"/>
              <w:spacing w:before="0" w:after="283"/>
              <w:rPr/>
            </w:pPr>
            <w:r>
              <w:rPr/>
              <w:t xml:space="preserve">87,474,258 shares of Common Stock as of August 31, 2021.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011"/>
        <w:gridCol w:w="9194"/>
      </w:tblGrid>
      <w:tr>
        <w:trPr/>
        <w:tc>
          <w:tcPr>
            <w:tcW w:w="1011" w:type="dxa"/>
            <w:tcBorders/>
            <w:shd w:fill="auto" w:val="clear"/>
            <w:vAlign w:val="center"/>
          </w:tcPr>
          <w:p>
            <w:pPr>
              <w:pStyle w:val="TableContents"/>
              <w:spacing w:before="0" w:after="20"/>
              <w:rPr>
                <w:rFonts w:ascii="Times New Roman" w:hAnsi="Times New Roman"/>
                <w:b/>
                <w:spacing w:val="0"/>
                <w:sz w:val="20"/>
              </w:rPr>
            </w:pPr>
            <w:r>
              <w:rPr>
                <w:rFonts w:ascii="Times New Roman" w:hAnsi="Times New Roman"/>
                <w:b/>
                <w:spacing w:val="0"/>
                <w:sz w:val="20"/>
              </w:rPr>
              <w:t xml:space="preserve">Use of proceeds </w:t>
            </w:r>
          </w:p>
        </w:tc>
        <w:tc>
          <w:tcPr>
            <w:tcW w:w="9194" w:type="dxa"/>
            <w:tcBorders/>
            <w:shd w:fill="auto" w:val="clear"/>
            <w:vAlign w:val="center"/>
          </w:tcPr>
          <w:p>
            <w:pPr>
              <w:pStyle w:val="TableContents"/>
              <w:spacing w:before="0" w:after="283"/>
              <w:rPr/>
            </w:pPr>
            <w:r>
              <w:rPr/>
              <w:t xml:space="preserve">All of the shares of Common Stock offered by the Selling Securityholders pursuant to this prospectus will be sold by the Selling Securityholders for their respective accounts. We will not receive any of the proceeds from these sales.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23"/>
        <w:gridCol w:w="7782"/>
      </w:tblGrid>
      <w:tr>
        <w:trPr/>
        <w:tc>
          <w:tcPr>
            <w:tcW w:w="2423" w:type="dxa"/>
            <w:tcBorders/>
            <w:shd w:fill="auto" w:val="clear"/>
            <w:vAlign w:val="center"/>
          </w:tcPr>
          <w:p>
            <w:pPr>
              <w:pStyle w:val="TableContents"/>
              <w:spacing w:before="0" w:after="20"/>
              <w:rPr>
                <w:rFonts w:ascii="Times New Roman" w:hAnsi="Times New Roman"/>
                <w:b/>
                <w:spacing w:val="0"/>
                <w:sz w:val="20"/>
              </w:rPr>
            </w:pPr>
            <w:r>
              <w:rPr>
                <w:rFonts w:ascii="Times New Roman" w:hAnsi="Times New Roman"/>
                <w:b/>
                <w:spacing w:val="0"/>
                <w:sz w:val="20"/>
              </w:rPr>
              <w:t>Market for our common stock</w:t>
            </w:r>
          </w:p>
        </w:tc>
        <w:tc>
          <w:tcPr>
            <w:tcW w:w="7782" w:type="dxa"/>
            <w:tcBorders/>
            <w:shd w:fill="auto" w:val="clear"/>
            <w:vAlign w:val="center"/>
          </w:tcPr>
          <w:p>
            <w:pPr>
              <w:pStyle w:val="TableContents"/>
              <w:spacing w:before="0" w:after="283"/>
              <w:rPr/>
            </w:pPr>
            <w:r>
              <w:rPr/>
              <w:t xml:space="preserve">Our Common Stock is listed on the Nasdaq Capital Market under the symbol “TNGX.”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856"/>
        <w:gridCol w:w="9349"/>
      </w:tblGrid>
      <w:tr>
        <w:trPr/>
        <w:tc>
          <w:tcPr>
            <w:tcW w:w="856" w:type="dxa"/>
            <w:tcBorders/>
            <w:shd w:fill="auto" w:val="clear"/>
            <w:vAlign w:val="center"/>
          </w:tcPr>
          <w:p>
            <w:pPr>
              <w:pStyle w:val="TableContents"/>
              <w:spacing w:before="0" w:after="20"/>
              <w:rPr>
                <w:rFonts w:ascii="Times New Roman" w:hAnsi="Times New Roman"/>
                <w:b/>
                <w:spacing w:val="0"/>
                <w:sz w:val="20"/>
              </w:rPr>
            </w:pPr>
            <w:r>
              <w:rPr>
                <w:rFonts w:ascii="Times New Roman" w:hAnsi="Times New Roman"/>
                <w:b/>
                <w:spacing w:val="0"/>
                <w:sz w:val="20"/>
              </w:rPr>
              <w:t>Risk factors</w:t>
            </w:r>
          </w:p>
        </w:tc>
        <w:tc>
          <w:tcPr>
            <w:tcW w:w="9349" w:type="dxa"/>
            <w:tcBorders/>
            <w:shd w:fill="auto" w:val="clear"/>
            <w:vAlign w:val="center"/>
          </w:tcPr>
          <w:p>
            <w:pPr>
              <w:pStyle w:val="TableContents"/>
              <w:spacing w:before="0" w:after="0"/>
              <w:rPr/>
            </w:pPr>
            <w:r>
              <w:rPr/>
              <w:t>Any investment in the Common Stock offered hereby is speculative and involves a high degree of risk. You should carefully consider the information set forth under “</w:t>
            </w:r>
          </w:p>
          <w:p>
            <w:pPr>
              <w:pStyle w:val="TableContents"/>
              <w:spacing w:before="0" w:after="0"/>
              <w:rPr>
                <w:i/>
                <w:caps w:val="false"/>
                <w:smallCaps w:val="false"/>
                <w:spacing w:val="0"/>
              </w:rPr>
            </w:pPr>
            <w:r>
              <w:rPr>
                <w:i/>
                <w:caps w:val="false"/>
                <w:smallCaps w:val="false"/>
                <w:spacing w:val="0"/>
              </w:rPr>
              <w:t>Risk Factors</w:t>
            </w:r>
          </w:p>
          <w:p>
            <w:pPr>
              <w:pStyle w:val="TableContents"/>
              <w:spacing w:before="0" w:after="0"/>
              <w:rPr/>
            </w:pPr>
            <w:r>
              <w:rPr/>
              <w:t xml:space="preserve">” </w:t>
            </w:r>
            <w:r>
              <w:rPr/>
              <w:t xml:space="preserve">in this prospectus. </w:t>
            </w:r>
          </w:p>
        </w:tc>
      </w:tr>
    </w:tbl>
    <w:p>
      <w:pPr>
        <w:pStyle w:val="TextBody"/>
        <w:spacing w:before="0" w:after="283"/>
        <w:jc w:val="left"/>
        <w:rPr/>
      </w:pPr>
      <w:r>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80" w:after="0"/>
        <w:jc w:val="center"/>
        <w:rPr>
          <w:rFonts w:ascii="Times New Roman" w:hAnsi="Times New Roman"/>
          <w:b/>
          <w:spacing w:val="0"/>
          <w:sz w:val="20"/>
        </w:rPr>
      </w:pPr>
      <w:r>
        <w:rPr>
          <w:rFonts w:ascii="Times New Roman" w:hAnsi="Times New Roman"/>
          <w:b/>
          <w:spacing w:val="0"/>
          <w:sz w:val="20"/>
        </w:rPr>
        <w:t xml:space="preserve">CAUTIONARY NOTE REGARDING FORWARD-LOOKING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Certain statements in this prospectus may constitute “forward-looking statements” for purposes of the federal securities laws.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spacing w:before="0" w:after="0"/>
        <w:jc w:val="left"/>
        <w:rPr>
          <w:spacing w:val="0"/>
        </w:rPr>
      </w:pPr>
      <w:r>
        <w:rPr>
          <w:spacing w:val="0"/>
        </w:rPr>
        <w:t> </w:t>
      </w:r>
    </w:p>
    <w:tbl>
      <w:tblPr>
        <w:tblW w:w="5710" w:type="dxa"/>
        <w:jc w:val="left"/>
        <w:tblInd w:w="0" w:type="dxa"/>
        <w:tblCellMar>
          <w:top w:w="0" w:type="dxa"/>
          <w:left w:w="0" w:type="dxa"/>
          <w:bottom w:w="0" w:type="dxa"/>
          <w:right w:w="0" w:type="dxa"/>
        </w:tblCellMar>
      </w:tblPr>
      <w:tblGrid>
        <w:gridCol w:w="75"/>
        <w:gridCol w:w="110"/>
        <w:gridCol w:w="60"/>
        <w:gridCol w:w="5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discover and develop product candidates efficiently;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and the potential to manufacture our drug substances and product candidates successfully for preclinical use, for clinical trials and on a larger scale for commercial use, if approved;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and willingness of our third-party strategic collaborators to continue research and development activities relating to our development candidates and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obtain funding for our operations necessary to complete further development and commercialization of our product candidates; </w:t>
            </w:r>
          </w:p>
        </w:tc>
      </w:tr>
    </w:tbl>
    <w:p>
      <w:pPr>
        <w:pStyle w:val="TextBody"/>
        <w:spacing w:before="0" w:after="0"/>
        <w:jc w:val="left"/>
        <w:rPr>
          <w:spacing w:val="0"/>
        </w:rPr>
      </w:pPr>
      <w:r>
        <w:rPr>
          <w:spacing w:val="0"/>
        </w:rPr>
        <w:t> </w:t>
      </w:r>
    </w:p>
    <w:tbl>
      <w:tblPr>
        <w:tblW w:w="6895" w:type="dxa"/>
        <w:jc w:val="left"/>
        <w:tblInd w:w="0" w:type="dxa"/>
        <w:tblCellMar>
          <w:top w:w="0" w:type="dxa"/>
          <w:left w:w="0" w:type="dxa"/>
          <w:bottom w:w="0" w:type="dxa"/>
          <w:right w:w="0" w:type="dxa"/>
        </w:tblCellMar>
      </w:tblPr>
      <w:tblGrid>
        <w:gridCol w:w="75"/>
        <w:gridCol w:w="110"/>
        <w:gridCol w:w="60"/>
        <w:gridCol w:w="6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obtain and maintain regulatory approval of our product candidates; </w:t>
            </w:r>
          </w:p>
        </w:tc>
      </w:tr>
    </w:tbl>
    <w:p>
      <w:pPr>
        <w:pStyle w:val="TextBody"/>
        <w:spacing w:before="0" w:after="0"/>
        <w:jc w:val="left"/>
        <w:rPr>
          <w:spacing w:val="0"/>
        </w:rPr>
      </w:pPr>
      <w:r>
        <w:rPr>
          <w:spacing w:val="0"/>
        </w:rPr>
        <w:t> </w:t>
      </w:r>
    </w:p>
    <w:tbl>
      <w:tblPr>
        <w:tblW w:w="4765" w:type="dxa"/>
        <w:jc w:val="left"/>
        <w:tblInd w:w="0" w:type="dxa"/>
        <w:tblCellMar>
          <w:top w:w="0" w:type="dxa"/>
          <w:left w:w="0" w:type="dxa"/>
          <w:bottom w:w="0" w:type="dxa"/>
          <w:right w:w="0" w:type="dxa"/>
        </w:tblCellMar>
      </w:tblPr>
      <w:tblGrid>
        <w:gridCol w:w="75"/>
        <w:gridCol w:w="110"/>
        <w:gridCol w:w="60"/>
        <w:gridCol w:w="45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commercialize our products, if approved; </w:t>
            </w:r>
          </w:p>
        </w:tc>
      </w:tr>
    </w:tbl>
    <w:p>
      <w:pPr>
        <w:pStyle w:val="TextBody"/>
        <w:spacing w:before="0" w:after="0"/>
        <w:jc w:val="left"/>
        <w:rPr>
          <w:spacing w:val="0"/>
        </w:rPr>
      </w:pPr>
      <w:r>
        <w:rPr>
          <w:spacing w:val="0"/>
        </w:rPr>
        <w:t> </w:t>
      </w:r>
    </w:p>
    <w:tbl>
      <w:tblPr>
        <w:tblW w:w="5995" w:type="dxa"/>
        <w:jc w:val="left"/>
        <w:tblInd w:w="0" w:type="dxa"/>
        <w:tblCellMar>
          <w:top w:w="0" w:type="dxa"/>
          <w:left w:w="0" w:type="dxa"/>
          <w:bottom w:w="0" w:type="dxa"/>
          <w:right w:w="0" w:type="dxa"/>
        </w:tblCellMar>
      </w:tblPr>
      <w:tblGrid>
        <w:gridCol w:w="75"/>
        <w:gridCol w:w="110"/>
        <w:gridCol w:w="60"/>
        <w:gridCol w:w="5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pricing and reimbursement of our product candidates, if approved; </w:t>
            </w:r>
          </w:p>
        </w:tc>
      </w:tr>
    </w:tbl>
    <w:p>
      <w:pPr>
        <w:pStyle w:val="TextBody"/>
        <w:spacing w:before="0" w:after="0"/>
        <w:jc w:val="left"/>
        <w:rPr>
          <w:spacing w:val="0"/>
        </w:rPr>
      </w:pPr>
      <w:r>
        <w:rPr>
          <w:spacing w:val="0"/>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implementation of our business model, and strategic plans for our business and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scope of protection we are able to establish and maintain for intellectual property rights covering our product candidates; </w:t>
            </w:r>
          </w:p>
        </w:tc>
      </w:tr>
    </w:tbl>
    <w:p>
      <w:pPr>
        <w:pStyle w:val="TextBody"/>
        <w:spacing w:before="0" w:after="0"/>
        <w:jc w:val="left"/>
        <w:rPr>
          <w:spacing w:val="0"/>
        </w:rPr>
      </w:pPr>
      <w:r>
        <w:rPr>
          <w:spacing w:val="0"/>
        </w:rPr>
        <w:t> </w:t>
      </w:r>
    </w:p>
    <w:tbl>
      <w:tblPr>
        <w:tblW w:w="7825" w:type="dxa"/>
        <w:jc w:val="left"/>
        <w:tblInd w:w="0" w:type="dxa"/>
        <w:tblCellMar>
          <w:top w:w="0" w:type="dxa"/>
          <w:left w:w="0" w:type="dxa"/>
          <w:bottom w:w="0" w:type="dxa"/>
          <w:right w:w="0" w:type="dxa"/>
        </w:tblCellMar>
      </w:tblPr>
      <w:tblGrid>
        <w:gridCol w:w="75"/>
        <w:gridCol w:w="110"/>
        <w:gridCol w:w="60"/>
        <w:gridCol w:w="7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estimates of our future expenses, capital requirements, and our need for additional financing;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potential benefits of strategic collaboration agreements, our ability to enter into strategic collaborations or arrangements, and our ability to attract collaborators with development, regulatory and commercialization expertise;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future agreements with third parties in connection with the commercialization of product candidates and any other approved products; </w:t>
            </w:r>
          </w:p>
        </w:tc>
      </w:tr>
    </w:tbl>
    <w:p>
      <w:pPr>
        <w:pStyle w:val="TextBody"/>
        <w:spacing w:before="0" w:after="0"/>
        <w:jc w:val="left"/>
        <w:rPr>
          <w:spacing w:val="0"/>
        </w:rPr>
      </w:pPr>
      <w:r>
        <w:rPr>
          <w:spacing w:val="0"/>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size and growth potential of the markets for our product candidates, and our ability to serve those markets; </w:t>
            </w:r>
          </w:p>
        </w:tc>
      </w:tr>
    </w:tbl>
    <w:p>
      <w:pPr>
        <w:pStyle w:val="TextBody"/>
        <w:spacing w:before="0" w:after="0"/>
        <w:jc w:val="left"/>
        <w:rPr>
          <w:spacing w:val="0"/>
        </w:rPr>
      </w:pPr>
      <w:r>
        <w:rPr>
          <w:spacing w:val="0"/>
        </w:rPr>
        <w:t> </w:t>
      </w:r>
    </w:p>
    <w:tbl>
      <w:tblPr>
        <w:tblW w:w="2470" w:type="dxa"/>
        <w:jc w:val="left"/>
        <w:tblInd w:w="0" w:type="dxa"/>
        <w:tblCellMar>
          <w:top w:w="0" w:type="dxa"/>
          <w:left w:w="0" w:type="dxa"/>
          <w:bottom w:w="0" w:type="dxa"/>
          <w:right w:w="0" w:type="dxa"/>
        </w:tblCellMar>
      </w:tblPr>
      <w:tblGrid>
        <w:gridCol w:w="75"/>
        <w:gridCol w:w="110"/>
        <w:gridCol w:w="60"/>
        <w:gridCol w:w="2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financial performance; </w:t>
            </w:r>
          </w:p>
        </w:tc>
      </w:tr>
    </w:tbl>
    <w:p>
      <w:pPr>
        <w:pStyle w:val="TextBody"/>
        <w:spacing w:before="0" w:after="0"/>
        <w:jc w:val="left"/>
        <w:rPr>
          <w:spacing w:val="0"/>
        </w:rPr>
      </w:pPr>
      <w:r>
        <w:rPr>
          <w:spacing w:val="0"/>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rate and degree of market acceptance of our product candidates; </w:t>
            </w:r>
          </w:p>
        </w:tc>
      </w:tr>
    </w:tbl>
    <w:p>
      <w:pPr>
        <w:pStyle w:val="TextBody"/>
        <w:spacing w:before="0" w:after="0"/>
        <w:jc w:val="left"/>
        <w:rPr>
          <w:spacing w:val="0"/>
        </w:rPr>
      </w:pPr>
      <w:r>
        <w:rPr>
          <w:spacing w:val="0"/>
        </w:rPr>
        <w:t> </w:t>
      </w:r>
    </w:p>
    <w:tbl>
      <w:tblPr>
        <w:tblW w:w="5815" w:type="dxa"/>
        <w:jc w:val="left"/>
        <w:tblInd w:w="0" w:type="dxa"/>
        <w:tblCellMar>
          <w:top w:w="0" w:type="dxa"/>
          <w:left w:w="0" w:type="dxa"/>
          <w:bottom w:w="0" w:type="dxa"/>
          <w:right w:w="0" w:type="dxa"/>
        </w:tblCellMar>
      </w:tblPr>
      <w:tblGrid>
        <w:gridCol w:w="75"/>
        <w:gridCol w:w="110"/>
        <w:gridCol w:w="60"/>
        <w:gridCol w:w="5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regulatory developments in the United States and foreign countries; </w:t>
            </w:r>
          </w:p>
        </w:tc>
      </w:tr>
    </w:tbl>
    <w:p>
      <w:pPr>
        <w:pStyle w:val="TextBody"/>
        <w:spacing w:before="0" w:after="0"/>
        <w:jc w:val="left"/>
        <w:rPr>
          <w:spacing w:val="0"/>
        </w:rPr>
      </w:pPr>
      <w:r>
        <w:rPr>
          <w:spacing w:val="0"/>
        </w:rPr>
        <w:t> </w:t>
      </w:r>
    </w:p>
    <w:tbl>
      <w:tblPr>
        <w:tblW w:w="8965" w:type="dxa"/>
        <w:jc w:val="left"/>
        <w:tblInd w:w="0" w:type="dxa"/>
        <w:tblCellMar>
          <w:top w:w="0" w:type="dxa"/>
          <w:left w:w="0" w:type="dxa"/>
          <w:bottom w:w="0" w:type="dxa"/>
          <w:right w:w="0" w:type="dxa"/>
        </w:tblCellMar>
      </w:tblPr>
      <w:tblGrid>
        <w:gridCol w:w="75"/>
        <w:gridCol w:w="110"/>
        <w:gridCol w:w="60"/>
        <w:gridCol w:w="87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contract with third-party suppliers and manufacturers and their ability to perform adequately; </w:t>
            </w:r>
          </w:p>
        </w:tc>
      </w:tr>
    </w:tbl>
    <w:p>
      <w:pPr>
        <w:pStyle w:val="TextBody"/>
        <w:spacing w:before="0" w:after="283"/>
        <w:jc w:val="left"/>
        <w:rPr/>
      </w:pPr>
      <w:r>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rPr/>
      </w:pPr>
      <w:r>
        <w:rPr/>
      </w:r>
    </w:p>
    <w:p>
      <w:pPr>
        <w:pStyle w:val="TextBody"/>
        <w:spacing w:before="0" w:after="0"/>
        <w:ind w:left="0" w:right="0" w:hanging="0"/>
        <w:rPr/>
      </w:pPr>
      <w:hyperlink w:anchor="toc">
        <w:r>
          <w:rPr>
            <w:rStyle w:val="InternetLink"/>
            <w:b/>
            <w:sz w:val="20"/>
          </w:rPr>
          <w:t>Table of Contents</w:t>
        </w:r>
      </w:hyperlink>
    </w:p>
    <w:tbl>
      <w:tblPr>
        <w:tblW w:w="9835" w:type="dxa"/>
        <w:jc w:val="left"/>
        <w:tblInd w:w="0" w:type="dxa"/>
        <w:tblCellMar>
          <w:top w:w="0" w:type="dxa"/>
          <w:left w:w="0" w:type="dxa"/>
          <w:bottom w:w="0" w:type="dxa"/>
          <w:right w:w="0" w:type="dxa"/>
        </w:tblCellMar>
      </w:tblPr>
      <w:tblGrid>
        <w:gridCol w:w="75"/>
        <w:gridCol w:w="110"/>
        <w:gridCol w:w="60"/>
        <w:gridCol w:w="9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produce our products or product candidates with advantages in turnaround times or manufacturing cost; </w:t>
            </w:r>
          </w:p>
        </w:tc>
      </w:tr>
    </w:tbl>
    <w:p>
      <w:pPr>
        <w:pStyle w:val="TextBody"/>
        <w:spacing w:before="0" w:after="0"/>
        <w:jc w:val="left"/>
        <w:rPr>
          <w:spacing w:val="0"/>
          <w:bdr w:val="single" w:sz="8" w:space="1" w:color="000000"/>
        </w:rPr>
      </w:pPr>
      <w:r>
        <w:rPr>
          <w:spacing w:val="0"/>
          <w:bdr w:val="single" w:sz="8" w:space="1" w:color="000000"/>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success of competing therapies that are or may become available; </w:t>
            </w:r>
          </w:p>
        </w:tc>
      </w:tr>
    </w:tbl>
    <w:p>
      <w:pPr>
        <w:pStyle w:val="TextBody"/>
        <w:spacing w:before="0" w:after="0"/>
        <w:jc w:val="left"/>
        <w:rPr>
          <w:spacing w:val="0"/>
          <w:bdr w:val="single" w:sz="8" w:space="1" w:color="000000"/>
        </w:rPr>
      </w:pPr>
      <w:r>
        <w:rPr>
          <w:spacing w:val="0"/>
          <w:bdr w:val="single" w:sz="8" w:space="1" w:color="000000"/>
        </w:rPr>
        <w:t> </w:t>
      </w:r>
    </w:p>
    <w:tbl>
      <w:tblPr>
        <w:tblW w:w="6130" w:type="dxa"/>
        <w:jc w:val="left"/>
        <w:tblInd w:w="0" w:type="dxa"/>
        <w:tblCellMar>
          <w:top w:w="0" w:type="dxa"/>
          <w:left w:w="0" w:type="dxa"/>
          <w:bottom w:w="0" w:type="dxa"/>
          <w:right w:w="0" w:type="dxa"/>
        </w:tblCellMar>
      </w:tblPr>
      <w:tblGrid>
        <w:gridCol w:w="75"/>
        <w:gridCol w:w="110"/>
        <w:gridCol w:w="60"/>
        <w:gridCol w:w="5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attract and retain key scientific or management personnel; </w:t>
            </w:r>
          </w:p>
        </w:tc>
      </w:tr>
    </w:tbl>
    <w:p>
      <w:pPr>
        <w:pStyle w:val="TextBody"/>
        <w:spacing w:before="0" w:after="0"/>
        <w:jc w:val="left"/>
        <w:rPr>
          <w:spacing w:val="0"/>
          <w:bdr w:val="single" w:sz="8" w:space="1" w:color="000000"/>
        </w:rPr>
      </w:pPr>
      <w:r>
        <w:rPr>
          <w:spacing w:val="0"/>
          <w:bdr w:val="single" w:sz="8" w:space="1" w:color="000000"/>
        </w:rPr>
        <w:t> </w:t>
      </w:r>
    </w:p>
    <w:tbl>
      <w:tblPr>
        <w:tblW w:w="3160" w:type="dxa"/>
        <w:jc w:val="left"/>
        <w:tblInd w:w="0" w:type="dxa"/>
        <w:tblCellMar>
          <w:top w:w="0" w:type="dxa"/>
          <w:left w:w="0" w:type="dxa"/>
          <w:bottom w:w="0" w:type="dxa"/>
          <w:right w:w="0" w:type="dxa"/>
        </w:tblCellMar>
      </w:tblPr>
      <w:tblGrid>
        <w:gridCol w:w="75"/>
        <w:gridCol w:w="110"/>
        <w:gridCol w:w="60"/>
        <w:gridCol w:w="2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impact of laws and regulations; </w:t>
            </w:r>
          </w:p>
        </w:tc>
      </w:tr>
    </w:tbl>
    <w:p>
      <w:pPr>
        <w:pStyle w:val="TextBody"/>
        <w:spacing w:before="0" w:after="0"/>
        <w:jc w:val="left"/>
        <w:rPr>
          <w:spacing w:val="0"/>
          <w:bdr w:val="single" w:sz="8" w:space="1" w:color="000000"/>
        </w:rPr>
      </w:pPr>
      <w:r>
        <w:rPr>
          <w:spacing w:val="0"/>
          <w:bdr w:val="single" w:sz="8" w:space="1" w:color="000000"/>
        </w:rPr>
        <w:t> </w:t>
      </w:r>
    </w:p>
    <w:tbl>
      <w:tblPr>
        <w:tblW w:w="5035" w:type="dxa"/>
        <w:jc w:val="left"/>
        <w:tblInd w:w="0" w:type="dxa"/>
        <w:tblCellMar>
          <w:top w:w="0" w:type="dxa"/>
          <w:left w:w="0" w:type="dxa"/>
          <w:bottom w:w="0" w:type="dxa"/>
          <w:right w:w="0" w:type="dxa"/>
        </w:tblCellMar>
      </w:tblPr>
      <w:tblGrid>
        <w:gridCol w:w="75"/>
        <w:gridCol w:w="110"/>
        <w:gridCol w:w="60"/>
        <w:gridCol w:w="47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developments relating to our competitors and its industry; </w:t>
            </w:r>
          </w:p>
        </w:tc>
      </w:tr>
    </w:tbl>
    <w:p>
      <w:pPr>
        <w:pStyle w:val="TextBody"/>
        <w:spacing w:before="0" w:after="0"/>
        <w:jc w:val="left"/>
        <w:rPr>
          <w:spacing w:val="0"/>
          <w:bdr w:val="single" w:sz="8" w:space="1" w:color="000000"/>
        </w:rPr>
      </w:pPr>
      <w:r>
        <w:rPr>
          <w:spacing w:val="0"/>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effect of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pandemic, including mitigation efforts and economic effects, on any of the foregoing or other aspects of our business operations, including but not limited to our preclinical studies and clinical trials and any future studies or trials; and </w:t>
            </w:r>
          </w:p>
        </w:tc>
      </w:tr>
    </w:tbl>
    <w:p>
      <w:pPr>
        <w:pStyle w:val="TextBody"/>
        <w:spacing w:before="0" w:after="0"/>
        <w:jc w:val="left"/>
        <w:rPr>
          <w:spacing w:val="0"/>
          <w:bdr w:val="single" w:sz="8" w:space="1" w:color="000000"/>
        </w:rPr>
      </w:pPr>
      <w:r>
        <w:rPr>
          <w:spacing w:val="0"/>
          <w:bdr w:val="single" w:sz="8" w:space="1" w:color="000000"/>
        </w:rPr>
        <w:t> </w:t>
      </w:r>
    </w:p>
    <w:tbl>
      <w:tblPr>
        <w:tblW w:w="6475" w:type="dxa"/>
        <w:jc w:val="left"/>
        <w:tblInd w:w="0" w:type="dxa"/>
        <w:tblCellMar>
          <w:top w:w="0" w:type="dxa"/>
          <w:left w:w="0" w:type="dxa"/>
          <w:bottom w:w="0" w:type="dxa"/>
          <w:right w:w="0" w:type="dxa"/>
        </w:tblCellMar>
      </w:tblPr>
      <w:tblGrid>
        <w:gridCol w:w="75"/>
        <w:gridCol w:w="110"/>
        <w:gridCol w:w="60"/>
        <w:gridCol w:w="62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other risks and uncertainties, including those listed under the section titled “</w:t>
            </w:r>
          </w:p>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Factors</w:t>
            </w:r>
          </w:p>
          <w:p>
            <w:pPr>
              <w:pStyle w:val="TableContents"/>
              <w:spacing w:before="0" w:after="0"/>
              <w:jc w:val="left"/>
              <w:rPr>
                <w:rFonts w:ascii="Times New Roman" w:hAnsi="Times New Roman"/>
                <w:sz w:val="20"/>
              </w:rPr>
            </w:pPr>
            <w:r>
              <w:rPr>
                <w:rFonts w:ascii="Times New Roman" w:hAnsi="Times New Roman"/>
                <w:sz w:val="20"/>
              </w:rPr>
              <w:t xml:space="preserve">.” </w:t>
            </w:r>
          </w:p>
        </w:tc>
      </w:tr>
    </w:tbl>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risks and uncertainties include, but are not limited to, those factors described under the heading “</w:t>
      </w:r>
    </w:p>
    <w:p>
      <w:pPr>
        <w:pStyle w:val="TextBody"/>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Risk Factors.</w:t>
      </w:r>
    </w:p>
    <w:p>
      <w:pPr>
        <w:pStyle w:val="TextBody"/>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w:t>
      </w:r>
    </w:p>
    <w:p>
      <w:pPr>
        <w:pStyle w:val="TextBody"/>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COVID-19</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MARKET AND INDUSTRY DATA AND FORECASTS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p>
    <w:p>
      <w:pPr>
        <w:pStyle w:val="TextBody"/>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Risk Factors</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These and other factors could cause results to differ materially from those expressed in the estimates made by the independent parties or by us.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RISK FACTORS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Investing in our securities involves a high degree of risk. You should carefully consider the risks and uncertainties described below, together with all other information in this prospectus, including our financial statements and the related notes and the “Management’s Discussion and Analysis of Financial Condition and Results of Operations” section of this prospectus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Related to Our Limited Operating History, Financial Position, and Capital Requirements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a precision oncology company with a limited operating history.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commenced operations in 2017 and are a precision oncology company with a limited operating history. Biopharmaceutical product development is a highly speculative undertaking and involves a substantial degree of risk. Since our inception, we have devoted substantially all of our efforts to organizing and staffing our company, acquiring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precision oncology programs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have incurred significant net losses since our inception and anticipate that we will continue to incur losses for the foreseeable future.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incurred significant net losses since our inception. For the years ended December 31, 2020 and 2019, and the six months ended June 30, 2021, our net losses were $52.0 million, $14.1 million and $16.6 million, respectively. As of June 30, 2021, we had an accumulated deficit of $119.7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timing and success or failure of future clinical trials for our product candidates or competing product candidates, or any other change in the competitive landscape of our industry, including consolidation among our competitors or partners;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successfully open clinical trial sites and recruit and retain subjects for clinical trials, and any delays caused by difficulties in such efforts;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obtain regulatory approval for our product candidates, and the timing and scope of any such approvals we may receive;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timing and cost of, and level of investment in, research and development activities relating to our product candidates, which may change from time to time;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 of manufacturing our product candidates and products, should they receive regulatory approval, which may vary depending on the quantity of production and the terms of our agreements with manufacturers; </w:t>
            </w:r>
          </w:p>
        </w:tc>
      </w:tr>
    </w:tbl>
    <w:p>
      <w:pPr>
        <w:pStyle w:val="TextBody"/>
        <w:spacing w:before="0" w:after="0"/>
        <w:jc w:val="left"/>
        <w:rPr>
          <w:spacing w:val="0"/>
        </w:rPr>
      </w:pPr>
      <w:r>
        <w:rPr>
          <w:spacing w:val="0"/>
        </w:rPr>
        <w:t> </w:t>
      </w:r>
    </w:p>
    <w:tbl>
      <w:tblPr>
        <w:tblW w:w="4885" w:type="dxa"/>
        <w:jc w:val="left"/>
        <w:tblInd w:w="0" w:type="dxa"/>
        <w:tblCellMar>
          <w:top w:w="0" w:type="dxa"/>
          <w:left w:w="0" w:type="dxa"/>
          <w:bottom w:w="0" w:type="dxa"/>
          <w:right w:w="0" w:type="dxa"/>
        </w:tblCellMar>
      </w:tblPr>
      <w:tblGrid>
        <w:gridCol w:w="75"/>
        <w:gridCol w:w="110"/>
        <w:gridCol w:w="60"/>
        <w:gridCol w:w="4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attract, hire and retain qualified personnel; </w:t>
            </w:r>
          </w:p>
        </w:tc>
      </w:tr>
    </w:tbl>
    <w:p>
      <w:pPr>
        <w:pStyle w:val="TextBody"/>
        <w:spacing w:before="0" w:after="0"/>
        <w:jc w:val="left"/>
        <w:rPr>
          <w:spacing w:val="0"/>
        </w:rPr>
      </w:pPr>
      <w:r>
        <w:rPr>
          <w:spacing w:val="0"/>
        </w:rPr>
        <w:t> </w:t>
      </w:r>
    </w:p>
    <w:tbl>
      <w:tblPr>
        <w:tblW w:w="6880" w:type="dxa"/>
        <w:jc w:val="left"/>
        <w:tblInd w:w="0" w:type="dxa"/>
        <w:tblCellMar>
          <w:top w:w="0" w:type="dxa"/>
          <w:left w:w="0" w:type="dxa"/>
          <w:bottom w:w="0" w:type="dxa"/>
          <w:right w:w="0" w:type="dxa"/>
        </w:tblCellMar>
      </w:tblPr>
      <w:tblGrid>
        <w:gridCol w:w="75"/>
        <w:gridCol w:w="110"/>
        <w:gridCol w:w="60"/>
        <w:gridCol w:w="6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expenditures that we will or may incur to develop additional product candidates; </w:t>
            </w:r>
          </w:p>
        </w:tc>
      </w:tr>
    </w:tbl>
    <w:p>
      <w:pPr>
        <w:pStyle w:val="TextBody"/>
        <w:spacing w:before="0" w:after="0"/>
        <w:jc w:val="left"/>
        <w:rPr>
          <w:spacing w:val="0"/>
        </w:rPr>
      </w:pPr>
      <w:r>
        <w:rPr>
          <w:spacing w:val="0"/>
        </w:rPr>
        <w:t> </w:t>
      </w:r>
    </w:p>
    <w:tbl>
      <w:tblPr>
        <w:tblW w:w="9070" w:type="dxa"/>
        <w:jc w:val="left"/>
        <w:tblInd w:w="0" w:type="dxa"/>
        <w:tblCellMar>
          <w:top w:w="0" w:type="dxa"/>
          <w:left w:w="0" w:type="dxa"/>
          <w:bottom w:w="0" w:type="dxa"/>
          <w:right w:w="0" w:type="dxa"/>
        </w:tblCellMar>
      </w:tblPr>
      <w:tblGrid>
        <w:gridCol w:w="75"/>
        <w:gridCol w:w="110"/>
        <w:gridCol w:w="60"/>
        <w:gridCol w:w="88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level of demand for our products should they receive regulatory approval, which may vary significantly;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risk/benefit profile, cost and reimbursement policies with respect to our product candidates, if approved, and existing and potential future therapeutics that compete with our product candidates; </w:t>
            </w:r>
          </w:p>
        </w:tc>
      </w:tr>
    </w:tbl>
    <w:p>
      <w:pPr>
        <w:pStyle w:val="TextBody"/>
        <w:spacing w:before="0" w:after="0"/>
        <w:jc w:val="left"/>
        <w:rPr>
          <w:spacing w:val="0"/>
        </w:rPr>
      </w:pPr>
      <w:r>
        <w:rPr>
          <w:spacing w:val="0"/>
        </w:rPr>
        <w:t> </w:t>
      </w:r>
    </w:p>
    <w:tbl>
      <w:tblPr>
        <w:tblW w:w="7930" w:type="dxa"/>
        <w:jc w:val="left"/>
        <w:tblInd w:w="0" w:type="dxa"/>
        <w:tblCellMar>
          <w:top w:w="0" w:type="dxa"/>
          <w:left w:w="0" w:type="dxa"/>
          <w:bottom w:w="0" w:type="dxa"/>
          <w:right w:w="0" w:type="dxa"/>
        </w:tblCellMar>
      </w:tblPr>
      <w:tblGrid>
        <w:gridCol w:w="75"/>
        <w:gridCol w:w="110"/>
        <w:gridCol w:w="60"/>
        <w:gridCol w:w="7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changing and volatile U.S. and global economic environments, including as a result of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 pandemic;</w:t>
            </w:r>
          </w:p>
          <w:p>
            <w:pPr>
              <w:pStyle w:val="TableContents"/>
              <w:spacing w:before="0" w:after="0"/>
              <w:jc w:val="left"/>
              <w:rPr>
                <w:rFonts w:ascii="Times New Roman" w:hAnsi="Times New Roman"/>
                <w:sz w:val="20"/>
              </w:rPr>
            </w:pPr>
            <w:r>
              <w:rPr>
                <w:rFonts w:ascii="Times New Roman" w:hAnsi="Times New Roman"/>
                <w:sz w:val="20"/>
              </w:rPr>
              <w:t xml:space="preserve">and </w:t>
            </w:r>
          </w:p>
        </w:tc>
      </w:tr>
    </w:tbl>
    <w:p>
      <w:pPr>
        <w:pStyle w:val="TextBody"/>
        <w:spacing w:before="0" w:after="0"/>
        <w:jc w:val="left"/>
        <w:rPr>
          <w:spacing w:val="0"/>
        </w:rPr>
      </w:pPr>
      <w:r>
        <w:rPr>
          <w:spacing w:val="0"/>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future accounting pronouncements or changes in our accounting policies. </w:t>
            </w:r>
          </w:p>
        </w:tc>
      </w:tr>
    </w:tbl>
    <w:p>
      <w:pPr>
        <w:pStyle w:val="TextBody"/>
        <w:spacing w:before="240" w:after="0"/>
        <w:jc w:val="left"/>
        <w:rPr>
          <w:rFonts w:ascii="Times New Roman" w:hAnsi="Times New Roman"/>
          <w:sz w:val="20"/>
        </w:rPr>
      </w:pPr>
      <w:r>
        <w:rPr>
          <w:rFonts w:ascii="Times New Roman" w:hAnsi="Times New Roman"/>
          <w:sz w:val="20"/>
        </w:rPr>
        <w:t xml:space="preserve">The cumulative effects of these factors could result in large fluctuations and unpredictability in our quarterly and annual operating results. As a result, comparing our operating results on a </w:t>
      </w:r>
    </w:p>
    <w:p>
      <w:pPr>
        <w:pStyle w:val="TextBody"/>
        <w:spacing w:before="240" w:after="0"/>
        <w:jc w:val="left"/>
        <w:rPr>
          <w:rFonts w:ascii="Times New Roman" w:hAnsi="Times New Roman"/>
          <w:spacing w:val="0"/>
          <w:sz w:val="20"/>
        </w:rPr>
      </w:pPr>
      <w:r>
        <w:rPr>
          <w:rFonts w:ascii="Times New Roman" w:hAnsi="Times New Roman"/>
          <w:spacing w:val="0"/>
          <w:sz w:val="20"/>
        </w:rPr>
        <w:t>period-to-period basis</w:t>
      </w:r>
    </w:p>
    <w:p>
      <w:pPr>
        <w:pStyle w:val="TextBody"/>
        <w:spacing w:before="240" w:after="0"/>
        <w:jc w:val="left"/>
        <w:rPr>
          <w:rFonts w:ascii="Times New Roman" w:hAnsi="Times New Roman"/>
          <w:sz w:val="20"/>
        </w:rPr>
      </w:pPr>
      <w:r>
        <w:rPr>
          <w:rFonts w:ascii="Times New Roman" w:hAnsi="Times New Roman"/>
          <w:sz w:val="20"/>
        </w:rPr>
        <w:t xml:space="preserve">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have no products approved for commercial sale and have not generated any revenue from product sales.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 </w:t>
      </w:r>
    </w:p>
    <w:p>
      <w:pPr>
        <w:pStyle w:val="TextBody"/>
        <w:spacing w:before="0" w:after="0"/>
        <w:jc w:val="left"/>
        <w:rPr>
          <w:spacing w:val="0"/>
        </w:rPr>
      </w:pPr>
      <w:r>
        <w:rPr>
          <w:spacing w:val="0"/>
        </w:rPr>
        <w:t> </w:t>
      </w:r>
    </w:p>
    <w:tbl>
      <w:tblPr>
        <w:tblW w:w="9340" w:type="dxa"/>
        <w:jc w:val="left"/>
        <w:tblInd w:w="0" w:type="dxa"/>
        <w:tblCellMar>
          <w:top w:w="0" w:type="dxa"/>
          <w:left w:w="0" w:type="dxa"/>
          <w:bottom w:w="0" w:type="dxa"/>
          <w:right w:w="0" w:type="dxa"/>
        </w:tblCellMar>
      </w:tblPr>
      <w:tblGrid>
        <w:gridCol w:w="75"/>
        <w:gridCol w:w="110"/>
        <w:gridCol w:w="60"/>
        <w:gridCol w:w="9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successfully complete our planned preclinical studies for our novel precision oncology development programs;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timely file and the acceptance of our IND for TNG908 and our other programs in order to commence our future clinical trials; </w:t>
            </w:r>
          </w:p>
        </w:tc>
      </w:tr>
    </w:tbl>
    <w:p>
      <w:pPr>
        <w:pStyle w:val="TextBody"/>
        <w:spacing w:before="0" w:after="0"/>
        <w:jc w:val="left"/>
        <w:rPr>
          <w:spacing w:val="0"/>
        </w:rPr>
      </w:pPr>
      <w:r>
        <w:rPr>
          <w:spacing w:val="0"/>
        </w:rPr>
        <w:t> </w:t>
      </w:r>
    </w:p>
    <w:tbl>
      <w:tblPr>
        <w:tblW w:w="6175" w:type="dxa"/>
        <w:jc w:val="left"/>
        <w:tblInd w:w="0" w:type="dxa"/>
        <w:tblCellMar>
          <w:top w:w="0" w:type="dxa"/>
          <w:left w:w="0" w:type="dxa"/>
          <w:bottom w:w="0" w:type="dxa"/>
          <w:right w:w="0" w:type="dxa"/>
        </w:tblCellMar>
      </w:tblPr>
      <w:tblGrid>
        <w:gridCol w:w="75"/>
        <w:gridCol w:w="110"/>
        <w:gridCol w:w="60"/>
        <w:gridCol w:w="5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successfully enroll subjects in, and complete, our planned clinical trials;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initiate and successfully complete all safety and efficacy studies required to obtain U.S. and foreign regulatory approval for our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establish commercial manufacturing capabilities or make arrangements with third-party manufacturers for clinical supply and commercial manufacturing; </w:t>
            </w:r>
          </w:p>
        </w:tc>
      </w:tr>
    </w:tbl>
    <w:p>
      <w:pPr>
        <w:pStyle w:val="TextBody"/>
        <w:spacing w:before="0" w:after="0"/>
        <w:jc w:val="left"/>
        <w:rPr>
          <w:spacing w:val="0"/>
        </w:rPr>
      </w:pPr>
      <w:r>
        <w:rPr>
          <w:spacing w:val="0"/>
        </w:rPr>
        <w:t> </w:t>
      </w:r>
    </w:p>
    <w:tbl>
      <w:tblPr>
        <w:tblW w:w="8995" w:type="dxa"/>
        <w:jc w:val="left"/>
        <w:tblInd w:w="0" w:type="dxa"/>
        <w:tblCellMar>
          <w:top w:w="0" w:type="dxa"/>
          <w:left w:w="0" w:type="dxa"/>
          <w:bottom w:w="0" w:type="dxa"/>
          <w:right w:w="0" w:type="dxa"/>
        </w:tblCellMar>
      </w:tblPr>
      <w:tblGrid>
        <w:gridCol w:w="75"/>
        <w:gridCol w:w="110"/>
        <w:gridCol w:w="60"/>
        <w:gridCol w:w="8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obtain and maintain patent and trade secret protection or regulatory exclusivity for our product candidates; </w:t>
            </w:r>
          </w:p>
        </w:tc>
      </w:tr>
    </w:tbl>
    <w:p>
      <w:pPr>
        <w:pStyle w:val="TextBody"/>
        <w:spacing w:before="0" w:after="0"/>
        <w:jc w:val="left"/>
        <w:rPr>
          <w:spacing w:val="0"/>
        </w:rPr>
      </w:pPr>
      <w:r>
        <w:rPr>
          <w:spacing w:val="0"/>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launch commercial sales of our products, if and when approved, whether alone or in collaboration with others;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obtain and maintain acceptance of our products, if and when approved, by patients, the medical community and third-party payors; </w:t>
            </w:r>
          </w:p>
        </w:tc>
      </w:tr>
    </w:tbl>
    <w:p>
      <w:pPr>
        <w:pStyle w:val="TextBody"/>
        <w:spacing w:before="0" w:after="0"/>
        <w:jc w:val="left"/>
        <w:rPr>
          <w:spacing w:val="0"/>
        </w:rPr>
      </w:pPr>
      <w:r>
        <w:rPr>
          <w:spacing w:val="0"/>
        </w:rPr>
        <w:t> </w:t>
      </w:r>
    </w:p>
    <w:tbl>
      <w:tblPr>
        <w:tblW w:w="5635" w:type="dxa"/>
        <w:jc w:val="left"/>
        <w:tblInd w:w="0" w:type="dxa"/>
        <w:tblCellMar>
          <w:top w:w="0" w:type="dxa"/>
          <w:left w:w="0" w:type="dxa"/>
          <w:bottom w:w="0" w:type="dxa"/>
          <w:right w:w="0" w:type="dxa"/>
        </w:tblCellMar>
      </w:tblPr>
      <w:tblGrid>
        <w:gridCol w:w="75"/>
        <w:gridCol w:w="110"/>
        <w:gridCol w:w="60"/>
        <w:gridCol w:w="5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position our products to effectively compete with other therapies; </w:t>
            </w:r>
          </w:p>
        </w:tc>
      </w:tr>
    </w:tbl>
    <w:p>
      <w:pPr>
        <w:pStyle w:val="TextBody"/>
        <w:spacing w:before="0" w:after="0"/>
        <w:jc w:val="left"/>
        <w:rPr>
          <w:spacing w:val="0"/>
        </w:rPr>
      </w:pPr>
      <w:r>
        <w:rPr>
          <w:spacing w:val="0"/>
        </w:rPr>
        <w:t> </w:t>
      </w:r>
    </w:p>
    <w:tbl>
      <w:tblPr>
        <w:tblW w:w="6055" w:type="dxa"/>
        <w:jc w:val="left"/>
        <w:tblInd w:w="0" w:type="dxa"/>
        <w:tblCellMar>
          <w:top w:w="0" w:type="dxa"/>
          <w:left w:w="0" w:type="dxa"/>
          <w:bottom w:w="0" w:type="dxa"/>
          <w:right w:w="0" w:type="dxa"/>
        </w:tblCellMar>
      </w:tblPr>
      <w:tblGrid>
        <w:gridCol w:w="75"/>
        <w:gridCol w:w="110"/>
        <w:gridCol w:w="6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obtain and maintain healthcare coverage and adequate reimbursement; </w:t>
            </w:r>
          </w:p>
        </w:tc>
      </w:tr>
    </w:tbl>
    <w:p>
      <w:pPr>
        <w:pStyle w:val="TextBody"/>
        <w:spacing w:before="0" w:after="0"/>
        <w:jc w:val="left"/>
        <w:rPr>
          <w:spacing w:val="0"/>
        </w:rPr>
      </w:pPr>
      <w:r>
        <w:rPr>
          <w:spacing w:val="0"/>
        </w:rPr>
        <w:t> </w:t>
      </w:r>
    </w:p>
    <w:tbl>
      <w:tblPr>
        <w:tblW w:w="5065" w:type="dxa"/>
        <w:jc w:val="left"/>
        <w:tblInd w:w="0" w:type="dxa"/>
        <w:tblCellMar>
          <w:top w:w="0" w:type="dxa"/>
          <w:left w:w="0" w:type="dxa"/>
          <w:bottom w:w="0" w:type="dxa"/>
          <w:right w:w="0" w:type="dxa"/>
        </w:tblCellMar>
      </w:tblPr>
      <w:tblGrid>
        <w:gridCol w:w="75"/>
        <w:gridCol w:w="110"/>
        <w:gridCol w:w="60"/>
        <w:gridCol w:w="4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enforce and defend intellectual property rights and claims; </w:t>
            </w:r>
          </w:p>
        </w:tc>
      </w:tr>
    </w:tbl>
    <w:p>
      <w:pPr>
        <w:pStyle w:val="TextBody"/>
        <w:spacing w:before="0" w:after="0"/>
        <w:jc w:val="left"/>
        <w:rPr>
          <w:spacing w:val="0"/>
        </w:rPr>
      </w:pPr>
      <w:r>
        <w:rPr>
          <w:spacing w:val="0"/>
        </w:rPr>
        <w:t> </w:t>
      </w:r>
    </w:p>
    <w:tbl>
      <w:tblPr>
        <w:tblW w:w="6820" w:type="dxa"/>
        <w:jc w:val="left"/>
        <w:tblInd w:w="0" w:type="dxa"/>
        <w:tblCellMar>
          <w:top w:w="0" w:type="dxa"/>
          <w:left w:w="0" w:type="dxa"/>
          <w:bottom w:w="0" w:type="dxa"/>
          <w:right w:w="0" w:type="dxa"/>
        </w:tblCellMar>
      </w:tblPr>
      <w:tblGrid>
        <w:gridCol w:w="75"/>
        <w:gridCol w:w="110"/>
        <w:gridCol w:w="60"/>
        <w:gridCol w:w="6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implement measures to help minimize the risk of </w:t>
            </w:r>
          </w:p>
          <w:p>
            <w:pPr>
              <w:pStyle w:val="TableContents"/>
              <w:spacing w:before="0" w:after="0"/>
              <w:jc w:val="left"/>
              <w:rPr>
                <w:rFonts w:ascii="Times New Roman" w:hAnsi="Times New Roman"/>
                <w:spacing w:val="0"/>
                <w:sz w:val="20"/>
              </w:rPr>
            </w:pPr>
            <w:r>
              <w:rPr>
                <w:rFonts w:ascii="Times New Roman" w:hAnsi="Times New Roman"/>
                <w:spacing w:val="0"/>
                <w:sz w:val="20"/>
              </w:rPr>
              <w:t>COVID-19 to</w:t>
            </w:r>
          </w:p>
          <w:p>
            <w:pPr>
              <w:pStyle w:val="TableContents"/>
              <w:spacing w:before="0" w:after="0"/>
              <w:jc w:val="left"/>
              <w:rPr>
                <w:rFonts w:ascii="Times New Roman" w:hAnsi="Times New Roman"/>
                <w:sz w:val="20"/>
              </w:rPr>
            </w:pPr>
            <w:r>
              <w:rPr>
                <w:rFonts w:ascii="Times New Roman" w:hAnsi="Times New Roman"/>
                <w:sz w:val="20"/>
              </w:rPr>
              <w:t xml:space="preserve">our employees as well as patients and subjects enrolled in our clinical trials; and </w:t>
            </w:r>
          </w:p>
        </w:tc>
      </w:tr>
    </w:tbl>
    <w:p>
      <w:pPr>
        <w:pStyle w:val="TextBody"/>
        <w:spacing w:before="0" w:after="0"/>
        <w:jc w:val="left"/>
        <w:rPr>
          <w:spacing w:val="0"/>
        </w:rPr>
      </w:pPr>
      <w:r>
        <w:rPr>
          <w:spacing w:val="0"/>
        </w:rPr>
        <w:t> </w:t>
      </w:r>
    </w:p>
    <w:tbl>
      <w:tblPr>
        <w:tblW w:w="7000" w:type="dxa"/>
        <w:jc w:val="left"/>
        <w:tblInd w:w="0" w:type="dxa"/>
        <w:tblCellMar>
          <w:top w:w="0" w:type="dxa"/>
          <w:left w:w="0" w:type="dxa"/>
          <w:bottom w:w="0" w:type="dxa"/>
          <w:right w:w="0" w:type="dxa"/>
        </w:tblCellMar>
      </w:tblPr>
      <w:tblGrid>
        <w:gridCol w:w="75"/>
        <w:gridCol w:w="110"/>
        <w:gridCol w:w="60"/>
        <w:gridCol w:w="6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maintain a continued acceptable safety profile of our products following approval.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will need to raise substantial additional funding. If we are unable to raise capital when needed or on terms acceptable to us, we would be forced to delay, reduce or eliminate some of our product development programs or commercialization efforts.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development of pharmaceutical products is capital-intensive. We are currently advancing our precision oncology programs through preclinical development. We plan to file an IND for TNG908 in the fourth quarter of 2021 and begin a Phase 1/2 clinical trial in the first half of 2022. We also plan to file an IND for our USP1 inhibitor program in 2022 and file an IND for our undisclosed target for STK11-mutant cancers (Target 3) in 2023. Consequently,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will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expect that our existing cash and cash equivalents will fund our projected operating requirements at least into the second half of 2024. However, our future capital requirements will depend on and could increase significantly as a result of many factors, including: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scope, progress, results and costs of product discovery, preclinical and clinical development, and clinical trials for our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potential additional expenses attributable to adjusting our development plans (including any supply related matters) to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 pandemic;</w:t>
            </w:r>
          </w:p>
        </w:tc>
      </w:tr>
    </w:tbl>
    <w:p>
      <w:pPr>
        <w:pStyle w:val="TextBody"/>
        <w:spacing w:before="0" w:after="0"/>
        <w:jc w:val="left"/>
        <w:rPr>
          <w:spacing w:val="0"/>
        </w:rPr>
      </w:pPr>
      <w:r>
        <w:rPr>
          <w:spacing w:val="0"/>
        </w:rPr>
        <w:t> </w:t>
      </w:r>
    </w:p>
    <w:tbl>
      <w:tblPr>
        <w:tblW w:w="6805" w:type="dxa"/>
        <w:jc w:val="left"/>
        <w:tblInd w:w="0" w:type="dxa"/>
        <w:tblCellMar>
          <w:top w:w="0" w:type="dxa"/>
          <w:left w:w="0" w:type="dxa"/>
          <w:bottom w:w="0" w:type="dxa"/>
          <w:right w:w="0" w:type="dxa"/>
        </w:tblCellMar>
      </w:tblPr>
      <w:tblGrid>
        <w:gridCol w:w="75"/>
        <w:gridCol w:w="110"/>
        <w:gridCol w:w="60"/>
        <w:gridCol w:w="6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scope, prioritization and number of our research and development programs; </w:t>
            </w:r>
          </w:p>
        </w:tc>
      </w:tr>
    </w:tbl>
    <w:p>
      <w:pPr>
        <w:pStyle w:val="TextBody"/>
        <w:spacing w:before="0" w:after="0"/>
        <w:jc w:val="left"/>
        <w:rPr>
          <w:spacing w:val="0"/>
        </w:rPr>
      </w:pPr>
      <w:r>
        <w:rPr>
          <w:spacing w:val="0"/>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costs, timing and outcome of regulatory review of our product candidates; </w:t>
            </w:r>
          </w:p>
        </w:tc>
      </w:tr>
    </w:tbl>
    <w:p>
      <w:pPr>
        <w:pStyle w:val="TextBody"/>
        <w:spacing w:before="0" w:after="0"/>
        <w:jc w:val="left"/>
        <w:rPr>
          <w:spacing w:val="0"/>
        </w:rPr>
      </w:pPr>
      <w:r>
        <w:rPr>
          <w:spacing w:val="0"/>
        </w:rPr>
        <w:t> </w:t>
      </w:r>
    </w:p>
    <w:tbl>
      <w:tblPr>
        <w:tblW w:w="7630" w:type="dxa"/>
        <w:jc w:val="left"/>
        <w:tblInd w:w="0" w:type="dxa"/>
        <w:tblCellMar>
          <w:top w:w="0" w:type="dxa"/>
          <w:left w:w="0" w:type="dxa"/>
          <w:bottom w:w="0" w:type="dxa"/>
          <w:right w:w="0" w:type="dxa"/>
        </w:tblCellMar>
      </w:tblPr>
      <w:tblGrid>
        <w:gridCol w:w="75"/>
        <w:gridCol w:w="110"/>
        <w:gridCol w:w="60"/>
        <w:gridCol w:w="7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establish and maintain additional collaborations on favorable terms, if at all;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achievement of milestones or occurrence of other developments that trigger payments under our existing collaboration agreements or any additional collaboration agreements we may establish;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extent to which we are obligated to reimburse, or entitled to reimbursement of, clinical trial costs under future collaboration agreements, if any;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costs of preparing, filing and prosecuting patent applications, maintaining and enforcing our intellectual property rights and defending intellectual property-related claims; </w:t>
            </w:r>
          </w:p>
        </w:tc>
      </w:tr>
    </w:tbl>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75"/>
        <w:gridCol w:w="110"/>
        <w:gridCol w:w="60"/>
        <w:gridCol w:w="3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extent to which we acquire or </w:t>
            </w:r>
          </w:p>
          <w:p>
            <w:pPr>
              <w:pStyle w:val="TableContents"/>
              <w:spacing w:before="0" w:after="0"/>
              <w:jc w:val="left"/>
              <w:rPr>
                <w:rFonts w:ascii="Times New Roman" w:hAnsi="Times New Roman"/>
                <w:spacing w:val="0"/>
                <w:sz w:val="20"/>
              </w:rPr>
            </w:pPr>
            <w:r>
              <w:rPr>
                <w:rFonts w:ascii="Times New Roman" w:hAnsi="Times New Roman"/>
                <w:spacing w:val="0"/>
                <w:sz w:val="20"/>
              </w:rPr>
              <w:t>in-license other</w:t>
            </w:r>
          </w:p>
          <w:p>
            <w:pPr>
              <w:pStyle w:val="TableContents"/>
              <w:spacing w:before="0" w:after="0"/>
              <w:jc w:val="left"/>
              <w:rPr>
                <w:rFonts w:ascii="Times New Roman" w:hAnsi="Times New Roman"/>
                <w:sz w:val="20"/>
              </w:rPr>
            </w:pPr>
            <w:r>
              <w:rPr>
                <w:rFonts w:ascii="Times New Roman" w:hAnsi="Times New Roman"/>
                <w:sz w:val="20"/>
              </w:rPr>
              <w:t xml:space="preserve">product candidates and technologies; </w:t>
            </w:r>
          </w:p>
        </w:tc>
      </w:tr>
    </w:tbl>
    <w:p>
      <w:pPr>
        <w:pStyle w:val="TextBody"/>
        <w:spacing w:before="0" w:after="0"/>
        <w:jc w:val="left"/>
        <w:rPr>
          <w:spacing w:val="0"/>
        </w:rPr>
      </w:pPr>
      <w:r>
        <w:rPr>
          <w:spacing w:val="0"/>
        </w:rPr>
        <w:t> </w:t>
      </w:r>
    </w:p>
    <w:tbl>
      <w:tblPr>
        <w:tblW w:w="7600" w:type="dxa"/>
        <w:jc w:val="left"/>
        <w:tblInd w:w="0" w:type="dxa"/>
        <w:tblCellMar>
          <w:top w:w="0" w:type="dxa"/>
          <w:left w:w="0" w:type="dxa"/>
          <w:bottom w:w="0" w:type="dxa"/>
          <w:right w:w="0" w:type="dxa"/>
        </w:tblCellMar>
      </w:tblPr>
      <w:tblGrid>
        <w:gridCol w:w="75"/>
        <w:gridCol w:w="110"/>
        <w:gridCol w:w="60"/>
        <w:gridCol w:w="7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costs of securing manufacturing arrangements for clinical and commercial production; </w:t>
            </w:r>
          </w:p>
        </w:tc>
      </w:tr>
    </w:tbl>
    <w:p>
      <w:pPr>
        <w:pStyle w:val="TextBody"/>
        <w:spacing w:before="0" w:after="0"/>
        <w:jc w:val="left"/>
        <w:rPr>
          <w:spacing w:val="0"/>
        </w:rPr>
      </w:pPr>
      <w:r>
        <w:rPr>
          <w:spacing w:val="0"/>
        </w:rPr>
        <w:t> </w:t>
      </w:r>
    </w:p>
    <w:tbl>
      <w:tblPr>
        <w:tblW w:w="7855" w:type="dxa"/>
        <w:jc w:val="left"/>
        <w:tblInd w:w="0" w:type="dxa"/>
        <w:tblCellMar>
          <w:top w:w="0" w:type="dxa"/>
          <w:left w:w="0" w:type="dxa"/>
          <w:bottom w:w="0" w:type="dxa"/>
          <w:right w:w="0" w:type="dxa"/>
        </w:tblCellMar>
      </w:tblPr>
      <w:tblGrid>
        <w:gridCol w:w="75"/>
        <w:gridCol w:w="110"/>
        <w:gridCol w:w="6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costs related to the development of any companion diagnostics we may use in the future;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costs of establishing or contracting for sales and marketing capabilities if we obtain regulatory approvals to market our product candidates.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 </w:t>
      </w:r>
    </w:p>
    <w:p>
      <w:pPr>
        <w:pStyle w:val="TextBody"/>
        <w:spacing w:before="240" w:after="0"/>
        <w:jc w:val="left"/>
        <w:rPr>
          <w:rFonts w:ascii="Times New Roman" w:hAnsi="Times New Roman"/>
          <w:sz w:val="20"/>
        </w:rPr>
      </w:pPr>
      <w:r>
        <w:rPr>
          <w:rFonts w:ascii="Times New Roman" w:hAnsi="Times New Roman"/>
          <w:sz w:val="20"/>
        </w:rPr>
        <w:t xml:space="preserve">Any additional fundraising efforts may divert our management from their </w:t>
      </w:r>
    </w:p>
    <w:p>
      <w:pPr>
        <w:pStyle w:val="TextBody"/>
        <w:spacing w:before="240" w:after="0"/>
        <w:jc w:val="left"/>
        <w:rPr>
          <w:rFonts w:ascii="Times New Roman" w:hAnsi="Times New Roman"/>
          <w:spacing w:val="0"/>
          <w:sz w:val="20"/>
        </w:rPr>
      </w:pPr>
      <w:r>
        <w:rPr>
          <w:rFonts w:ascii="Times New Roman" w:hAnsi="Times New Roman"/>
          <w:spacing w:val="0"/>
          <w:sz w:val="20"/>
        </w:rPr>
        <w:t>day-to-day activities,</w:t>
      </w:r>
    </w:p>
    <w:p>
      <w:pPr>
        <w:pStyle w:val="TextBody"/>
        <w:spacing w:before="240" w:after="0"/>
        <w:jc w:val="left"/>
        <w:rPr>
          <w:rFonts w:ascii="Times New Roman" w:hAnsi="Times New Roman"/>
          <w:sz w:val="20"/>
        </w:rPr>
      </w:pPr>
      <w:r>
        <w:rPr>
          <w:rFonts w:ascii="Times New Roman" w:hAnsi="Times New Roman"/>
          <w:sz w:val="20"/>
        </w:rPr>
        <w:t xml:space="preserve">which may adversely affect our ability to develop and commercialize our product candidates. Disruptions in the financial markets in general and more recently due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 pandemic</w:t>
      </w:r>
    </w:p>
    <w:p>
      <w:pPr>
        <w:pStyle w:val="TextBody"/>
        <w:spacing w:before="240" w:after="0"/>
        <w:jc w:val="left"/>
        <w:rPr>
          <w:rFonts w:ascii="Times New Roman" w:hAnsi="Times New Roman"/>
          <w:sz w:val="20"/>
        </w:rPr>
      </w:pPr>
      <w:r>
        <w:rPr>
          <w:rFonts w:ascii="Times New Roman" w:hAnsi="Times New Roman"/>
          <w:sz w:val="20"/>
        </w:rPr>
        <w:t xml:space="preserve">may make equity and debt financing more difficult to obtain and may have a material adverse effect on our ability to meet our fundraising needs. We cannot guarantee that future financing will be available in sufficient amounts or on terms acceptable to us, if at all.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Raising additional capital may cause dilution to our stockholders, restrict our operations or require us to relinquish rights to our technologies or product candidates.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Until such time, if ever, as we can generate substantial product revenue, we expect to finance our cash needs through a combination of private and public equity offerings, debt financings, collaborations, strategic alliances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Related to the Development of our Precision Oncology and Other Programs and Product Candidates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have never successfully completed any clinical trials and we may be unable to do so for any product candidates we develop. Certain of our programs are still in preclinical development and may never advance to clinical development. </w:t>
      </w:r>
    </w:p>
    <w:p>
      <w:pPr>
        <w:pStyle w:val="TextBody"/>
        <w:spacing w:before="120" w:after="0"/>
        <w:jc w:val="left"/>
        <w:rPr>
          <w:rFonts w:ascii="Times New Roman" w:hAnsi="Times New Roman"/>
          <w:sz w:val="20"/>
        </w:rPr>
      </w:pPr>
      <w:r>
        <w:rPr>
          <w:rFonts w:ascii="Times New Roman" w:hAnsi="Times New Roman"/>
          <w:sz w:val="20"/>
        </w:rPr>
        <w:t xml:space="preserve">We have not yet demonstrated our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development and may never advance to clinical development. We plan to file an IND for TNG908 in the fourth quarter of 2021 and expect to begin a Phase 1/2 clinical trial in the first half of 2022. We also plan to file an IND for our USP1 inhibitor program in 2022 and file an IND for our undisclosed target for STK11-mutant cancers (Target 3) in 2023. We may not be able to file such IND or INDs for any of our other product candidates on the timelines we expect, if at all. Moreover, we cannot be sure that submission of an IND will result in the U.S. Food and Drug Administration, or FDA, allowing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we currently expect. Successful completion of our clinical trials is a prerequisite to submitting a new drug application, or NDA to the FDA, a Marketing Authorization Application, or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Our lead development candidate, TNG908, is currently in </w:t>
      </w:r>
    </w:p>
    <w:p>
      <w:pPr>
        <w:pStyle w:val="TextBody"/>
        <w:spacing w:before="120" w:after="0"/>
        <w:jc w:val="left"/>
        <w:rPr>
          <w:rFonts w:ascii="Times New Roman" w:hAnsi="Times New Roman"/>
          <w:spacing w:val="0"/>
          <w:sz w:val="20"/>
        </w:rPr>
      </w:pPr>
      <w:r>
        <w:rPr>
          <w:rFonts w:ascii="Times New Roman" w:hAnsi="Times New Roman"/>
          <w:spacing w:val="0"/>
          <w:sz w:val="20"/>
        </w:rPr>
        <w:t>IND-enabling studies.</w:t>
      </w:r>
    </w:p>
    <w:p>
      <w:pPr>
        <w:pStyle w:val="TextBody"/>
        <w:spacing w:before="120" w:after="0"/>
        <w:jc w:val="left"/>
        <w:rPr>
          <w:rFonts w:ascii="Times New Roman" w:hAnsi="Times New Roman"/>
          <w:sz w:val="20"/>
        </w:rPr>
      </w:pPr>
      <w:r>
        <w:rPr>
          <w:rFonts w:ascii="Times New Roman" w:hAnsi="Times New Roman"/>
          <w:sz w:val="20"/>
        </w:rPr>
        <w:t xml:space="preserve">However, we do not know whether this will advance to future clinical trials, and if so, whether it or any of our future clinical trials will begin on time or be completed on schedule, if at all.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 </w:t>
      </w:r>
    </w:p>
    <w:p>
      <w:pPr>
        <w:pStyle w:val="TextBody"/>
        <w:spacing w:before="0" w:after="0"/>
        <w:jc w:val="left"/>
        <w:rPr>
          <w:spacing w:val="0"/>
        </w:rPr>
      </w:pPr>
      <w:r>
        <w:rPr>
          <w:spacing w:val="0"/>
        </w:rPr>
        <w:t> </w:t>
      </w:r>
    </w:p>
    <w:tbl>
      <w:tblPr>
        <w:tblW w:w="6145" w:type="dxa"/>
        <w:jc w:val="left"/>
        <w:tblInd w:w="0" w:type="dxa"/>
        <w:tblCellMar>
          <w:top w:w="0" w:type="dxa"/>
          <w:left w:w="0" w:type="dxa"/>
          <w:bottom w:w="0" w:type="dxa"/>
          <w:right w:w="0" w:type="dxa"/>
        </w:tblCellMar>
      </w:tblPr>
      <w:tblGrid>
        <w:gridCol w:w="75"/>
        <w:gridCol w:w="110"/>
        <w:gridCol w:w="60"/>
        <w:gridCol w:w="5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be delayed in obtaining regulatory approval for our product candidates; </w:t>
            </w:r>
          </w:p>
        </w:tc>
      </w:tr>
    </w:tbl>
    <w:p>
      <w:pPr>
        <w:pStyle w:val="TextBody"/>
        <w:spacing w:before="0" w:after="0"/>
        <w:jc w:val="left"/>
        <w:rPr>
          <w:spacing w:val="0"/>
        </w:rPr>
      </w:pPr>
      <w:r>
        <w:rPr>
          <w:spacing w:val="0"/>
        </w:rPr>
        <w:t> </w:t>
      </w:r>
    </w:p>
    <w:tbl>
      <w:tblPr>
        <w:tblW w:w="3325" w:type="dxa"/>
        <w:jc w:val="left"/>
        <w:tblInd w:w="0" w:type="dxa"/>
        <w:tblCellMar>
          <w:top w:w="0" w:type="dxa"/>
          <w:left w:w="0" w:type="dxa"/>
          <w:bottom w:w="0" w:type="dxa"/>
          <w:right w:w="0" w:type="dxa"/>
        </w:tblCellMar>
      </w:tblPr>
      <w:tblGrid>
        <w:gridCol w:w="75"/>
        <w:gridCol w:w="110"/>
        <w:gridCol w:w="60"/>
        <w:gridCol w:w="3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not obtain regulatory approval at all; </w:t>
            </w:r>
          </w:p>
        </w:tc>
      </w:tr>
    </w:tbl>
    <w:p>
      <w:pPr>
        <w:pStyle w:val="TextBody"/>
        <w:spacing w:before="0" w:after="0"/>
        <w:jc w:val="left"/>
        <w:rPr>
          <w:spacing w:val="0"/>
        </w:rPr>
      </w:pPr>
      <w:r>
        <w:rPr>
          <w:spacing w:val="0"/>
        </w:rPr>
        <w:t> </w:t>
      </w:r>
    </w:p>
    <w:tbl>
      <w:tblPr>
        <w:tblW w:w="9130" w:type="dxa"/>
        <w:jc w:val="left"/>
        <w:tblInd w:w="0" w:type="dxa"/>
        <w:tblCellMar>
          <w:top w:w="0" w:type="dxa"/>
          <w:left w:w="0" w:type="dxa"/>
          <w:bottom w:w="0" w:type="dxa"/>
          <w:right w:w="0" w:type="dxa"/>
        </w:tblCellMar>
      </w:tblPr>
      <w:tblGrid>
        <w:gridCol w:w="75"/>
        <w:gridCol w:w="110"/>
        <w:gridCol w:w="60"/>
        <w:gridCol w:w="8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obtain regulatory approval for indications or patient populations that are not as broad as intended or desired; </w:t>
            </w:r>
          </w:p>
        </w:tc>
      </w:tr>
    </w:tbl>
    <w:p>
      <w:pPr>
        <w:pStyle w:val="TextBody"/>
        <w:spacing w:before="0" w:after="0"/>
        <w:jc w:val="left"/>
        <w:rPr>
          <w:spacing w:val="0"/>
        </w:rPr>
      </w:pPr>
      <w:r>
        <w:rPr>
          <w:spacing w:val="0"/>
        </w:rPr>
        <w:t> </w:t>
      </w:r>
    </w:p>
    <w:tbl>
      <w:tblPr>
        <w:tblW w:w="5575" w:type="dxa"/>
        <w:jc w:val="left"/>
        <w:tblInd w:w="0" w:type="dxa"/>
        <w:tblCellMar>
          <w:top w:w="0" w:type="dxa"/>
          <w:left w:w="0" w:type="dxa"/>
          <w:bottom w:w="0" w:type="dxa"/>
          <w:right w:w="0" w:type="dxa"/>
        </w:tblCellMar>
      </w:tblPr>
      <w:tblGrid>
        <w:gridCol w:w="75"/>
        <w:gridCol w:w="110"/>
        <w:gridCol w:w="60"/>
        <w:gridCol w:w="5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continue to be subject to post-marketing testing requirements; or </w:t>
            </w:r>
          </w:p>
        </w:tc>
      </w:tr>
    </w:tbl>
    <w:p>
      <w:pPr>
        <w:pStyle w:val="TextBody"/>
        <w:spacing w:before="0" w:after="0"/>
        <w:jc w:val="left"/>
        <w:rPr>
          <w:spacing w:val="0"/>
        </w:rPr>
      </w:pPr>
      <w:r>
        <w:rPr>
          <w:spacing w:val="0"/>
        </w:rPr>
        <w:t> </w:t>
      </w:r>
    </w:p>
    <w:tbl>
      <w:tblPr>
        <w:tblW w:w="7810" w:type="dxa"/>
        <w:jc w:val="left"/>
        <w:tblInd w:w="0" w:type="dxa"/>
        <w:tblCellMar>
          <w:top w:w="0" w:type="dxa"/>
          <w:left w:w="0" w:type="dxa"/>
          <w:bottom w:w="0" w:type="dxa"/>
          <w:right w:w="0" w:type="dxa"/>
        </w:tblCellMar>
      </w:tblPr>
      <w:tblGrid>
        <w:gridCol w:w="75"/>
        <w:gridCol w:w="110"/>
        <w:gridCol w:w="60"/>
        <w:gridCol w:w="7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experience having the product removed from the market after obtaining regulatory approval.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discovery and development of oncology therapeutics for patients with genetically defined or biomarker-driven cancers is an emerging field,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for each alternation will be large enough to allow us to successfully obtain approval for each alternation type and commercialize our product candidates and achieve profitability.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Clinical product development involves a lengthy and expensive process, with an uncertain outcome.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preclinical studies and future clinical trials may not be successful. Currently, all our programs are in preclinical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 </w:t>
      </w:r>
    </w:p>
    <w:p>
      <w:pPr>
        <w:pStyle w:val="TextBody"/>
        <w:spacing w:before="120" w:after="0"/>
        <w:jc w:val="left"/>
        <w:rPr>
          <w:rFonts w:ascii="Times New Roman" w:hAnsi="Times New Roman"/>
          <w:sz w:val="20"/>
        </w:rPr>
      </w:pPr>
      <w:r>
        <w:rPr>
          <w:rFonts w:ascii="Times New Roman" w:hAnsi="Times New Roman"/>
          <w:sz w:val="20"/>
        </w:rPr>
        <w:t>In connection with the clinical development of our product candidates for certain indications, we may engage third parties to develop or otherwise obtain access to</w:t>
      </w:r>
    </w:p>
    <w:p>
      <w:pPr>
        <w:pStyle w:val="TextBody"/>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120" w:after="0"/>
        <w:jc w:val="left"/>
        <w:rPr/>
      </w:pPr>
      <w:r>
        <w:rPr/>
        <w:t> </w:t>
      </w:r>
      <w:r>
        <w:rPr>
          <w:rFonts w:ascii="Times New Roman" w:hAnsi="Times New Roman"/>
          <w:sz w:val="20"/>
        </w:rPr>
        <w:t>companion diagnostic tests to identify patient subsets within a disease category who may derive selective and meaningful benefit from our product candidates. Such companion diagnostics would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w:t>
      </w:r>
    </w:p>
    <w:p>
      <w:pPr>
        <w:pStyle w:val="TextBody"/>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120" w:after="0"/>
        <w:jc w:val="left"/>
        <w:rPr/>
      </w:pPr>
      <w:r>
        <w:rPr/>
        <w:t> </w:t>
      </w:r>
      <w:r>
        <w:rPr>
          <w:rFonts w:ascii="Times New Roman" w:hAnsi="Times New Roman"/>
          <w:sz w:val="20"/>
        </w:rPr>
        <w:t xml:space="preserve">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Interim,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top-line,</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and preliminary data from our future clinical trials that we announce or publish from time to time may change as more patient data become available and are subject to confirmation, audit and verification procedures that could result in material changes in the final data. </w:t>
      </w:r>
    </w:p>
    <w:p>
      <w:pPr>
        <w:pStyle w:val="TextBody"/>
        <w:spacing w:before="120" w:after="0"/>
        <w:jc w:val="left"/>
        <w:rPr>
          <w:rFonts w:ascii="Times New Roman" w:hAnsi="Times New Roman"/>
          <w:sz w:val="20"/>
        </w:rPr>
      </w:pPr>
      <w:r>
        <w:rPr>
          <w:rFonts w:ascii="Times New Roman" w:hAnsi="Times New Roman"/>
          <w:sz w:val="20"/>
        </w:rPr>
        <w:t xml:space="preserve">From time to time, we may publicly disclose interim, </w:t>
      </w:r>
    </w:p>
    <w:p>
      <w:pPr>
        <w:pStyle w:val="TextBody"/>
        <w:spacing w:before="120" w:after="0"/>
        <w:jc w:val="left"/>
        <w:rPr>
          <w:rFonts w:ascii="Times New Roman" w:hAnsi="Times New Roman"/>
          <w:spacing w:val="0"/>
          <w:sz w:val="20"/>
        </w:rPr>
      </w:pPr>
      <w:r>
        <w:rPr>
          <w:rFonts w:ascii="Times New Roman" w:hAnsi="Times New Roman"/>
          <w:spacing w:val="0"/>
          <w:sz w:val="20"/>
        </w:rPr>
        <w:t>top-line or</w:t>
      </w:r>
    </w:p>
    <w:p>
      <w:pPr>
        <w:pStyle w:val="TextBody"/>
        <w:spacing w:before="120" w:after="0"/>
        <w:jc w:val="left"/>
        <w:rPr>
          <w:rFonts w:ascii="Times New Roman" w:hAnsi="Times New Roman"/>
          <w:sz w:val="20"/>
        </w:rPr>
      </w:pPr>
      <w:r>
        <w:rPr>
          <w:rFonts w:ascii="Times New Roman" w:hAnsi="Times New Roman"/>
          <w:sz w:val="20"/>
        </w:rPr>
        <w:t xml:space="preserve">preliminary data from our future clinical trials, which is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interim, </w:t>
      </w:r>
    </w:p>
    <w:p>
      <w:pPr>
        <w:pStyle w:val="TextBody"/>
        <w:spacing w:before="120" w:after="0"/>
        <w:jc w:val="left"/>
        <w:rPr>
          <w:rFonts w:ascii="Times New Roman" w:hAnsi="Times New Roman"/>
          <w:spacing w:val="0"/>
          <w:sz w:val="20"/>
        </w:rPr>
      </w:pPr>
      <w:r>
        <w:rPr>
          <w:rFonts w:ascii="Times New Roman" w:hAnsi="Times New Roman"/>
          <w:spacing w:val="0"/>
          <w:sz w:val="20"/>
        </w:rPr>
        <w:t>top-line or</w:t>
      </w:r>
    </w:p>
    <w:p>
      <w:pPr>
        <w:pStyle w:val="TextBody"/>
        <w:spacing w:before="120" w:after="0"/>
        <w:jc w:val="left"/>
        <w:rPr>
          <w:rFonts w:ascii="Times New Roman" w:hAnsi="Times New Roman"/>
          <w:sz w:val="20"/>
        </w:rPr>
      </w:pPr>
      <w:r>
        <w:rPr>
          <w:rFonts w:ascii="Times New Roman" w:hAnsi="Times New Roman"/>
          <w:sz w:val="20"/>
        </w:rPr>
        <w:t xml:space="preserve">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w:t>
      </w:r>
    </w:p>
    <w:p>
      <w:pPr>
        <w:pStyle w:val="TextBody"/>
        <w:spacing w:before="120" w:after="0"/>
        <w:jc w:val="left"/>
        <w:rPr>
          <w:rFonts w:ascii="Times New Roman" w:hAnsi="Times New Roman"/>
          <w:spacing w:val="0"/>
          <w:sz w:val="20"/>
        </w:rPr>
      </w:pPr>
      <w:r>
        <w:rPr>
          <w:rFonts w:ascii="Times New Roman" w:hAnsi="Times New Roman"/>
          <w:spacing w:val="0"/>
          <w:sz w:val="20"/>
        </w:rPr>
        <w:t>top-line data</w:t>
      </w:r>
    </w:p>
    <w:p>
      <w:pPr>
        <w:pStyle w:val="TextBody"/>
        <w:spacing w:before="120" w:after="0"/>
        <w:jc w:val="left"/>
        <w:rPr>
          <w:rFonts w:ascii="Times New Roman" w:hAnsi="Times New Roman"/>
          <w:sz w:val="20"/>
        </w:rPr>
      </w:pPr>
      <w:r>
        <w:rPr>
          <w:rFonts w:ascii="Times New Roman" w:hAnsi="Times New Roman"/>
          <w:sz w:val="20"/>
        </w:rPr>
        <w:t xml:space="preserve">also remain subject to audit and verification procedures that may result in the final data being materially different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from the preliminary </w:t>
      </w:r>
    </w:p>
    <w:p>
      <w:pPr>
        <w:pStyle w:val="TextBody"/>
        <w:spacing w:before="0" w:after="0"/>
        <w:jc w:val="left"/>
        <w:rPr>
          <w:rFonts w:ascii="Times New Roman" w:hAnsi="Times New Roman"/>
          <w:spacing w:val="0"/>
          <w:sz w:val="20"/>
        </w:rPr>
      </w:pPr>
      <w:r>
        <w:rPr>
          <w:rFonts w:ascii="Times New Roman" w:hAnsi="Times New Roman"/>
          <w:spacing w:val="0"/>
          <w:sz w:val="20"/>
        </w:rPr>
        <w:t>top-line data</w:t>
      </w:r>
    </w:p>
    <w:p>
      <w:pPr>
        <w:pStyle w:val="TextBody"/>
        <w:spacing w:before="0" w:after="0"/>
        <w:jc w:val="left"/>
        <w:rPr>
          <w:rFonts w:ascii="Times New Roman" w:hAnsi="Times New Roman"/>
          <w:sz w:val="20"/>
        </w:rPr>
      </w:pPr>
      <w:r>
        <w:rPr>
          <w:rFonts w:ascii="Times New Roman" w:hAnsi="Times New Roman"/>
          <w:sz w:val="20"/>
        </w:rPr>
        <w:t xml:space="preserve">we previously published. As a result, preliminary, interim and </w:t>
      </w:r>
    </w:p>
    <w:p>
      <w:pPr>
        <w:pStyle w:val="TextBody"/>
        <w:spacing w:before="0" w:after="0"/>
        <w:jc w:val="left"/>
        <w:rPr>
          <w:rFonts w:ascii="Times New Roman" w:hAnsi="Times New Roman"/>
          <w:spacing w:val="0"/>
          <w:sz w:val="20"/>
        </w:rPr>
      </w:pPr>
      <w:r>
        <w:rPr>
          <w:rFonts w:ascii="Times New Roman" w:hAnsi="Times New Roman"/>
          <w:spacing w:val="0"/>
          <w:sz w:val="20"/>
        </w:rPr>
        <w:t>top-line data</w:t>
      </w:r>
    </w:p>
    <w:p>
      <w:pPr>
        <w:pStyle w:val="TextBody"/>
        <w:spacing w:before="0" w:after="0"/>
        <w:jc w:val="left"/>
        <w:rPr>
          <w:rFonts w:ascii="Times New Roman" w:hAnsi="Times New Roman"/>
          <w:sz w:val="20"/>
        </w:rPr>
      </w:pPr>
      <w:r>
        <w:rPr>
          <w:rFonts w:ascii="Times New Roman" w:hAnsi="Times New Roman"/>
          <w:sz w:val="20"/>
        </w:rPr>
        <w:t xml:space="preserve">should be viewed with caution until the final data are available. Adverse differences between preliminary or interim data and final data could significantly harm our business prospects and may cause the price of our common stock to fluctuate or decline.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w:t>
      </w:r>
    </w:p>
    <w:p>
      <w:pPr>
        <w:pStyle w:val="TextBody"/>
        <w:spacing w:before="240" w:after="0"/>
        <w:jc w:val="left"/>
        <w:rPr>
          <w:rFonts w:ascii="Times New Roman" w:hAnsi="Times New Roman"/>
          <w:sz w:val="20"/>
        </w:rPr>
      </w:pPr>
      <w:r>
        <w:rPr>
          <w:rFonts w:ascii="Times New Roman" w:hAnsi="Times New Roman"/>
          <w:sz w:val="20"/>
        </w:rPr>
        <w:t xml:space="preserve">If the preliminary, interim or </w:t>
      </w:r>
    </w:p>
    <w:p>
      <w:pPr>
        <w:pStyle w:val="TextBody"/>
        <w:spacing w:before="240" w:after="0"/>
        <w:jc w:val="left"/>
        <w:rPr>
          <w:rFonts w:ascii="Times New Roman" w:hAnsi="Times New Roman"/>
          <w:spacing w:val="0"/>
          <w:sz w:val="20"/>
        </w:rPr>
      </w:pPr>
      <w:r>
        <w:rPr>
          <w:rFonts w:ascii="Times New Roman" w:hAnsi="Times New Roman"/>
          <w:spacing w:val="0"/>
          <w:sz w:val="20"/>
        </w:rPr>
        <w:t>top-line data</w:t>
      </w:r>
    </w:p>
    <w:p>
      <w:pPr>
        <w:pStyle w:val="TextBody"/>
        <w:spacing w:before="240" w:after="0"/>
        <w:jc w:val="left"/>
        <w:rPr>
          <w:rFonts w:ascii="Times New Roman" w:hAnsi="Times New Roman"/>
          <w:sz w:val="20"/>
        </w:rPr>
      </w:pPr>
      <w:r>
        <w:rPr>
          <w:rFonts w:ascii="Times New Roman" w:hAnsi="Times New Roman"/>
          <w:sz w:val="20"/>
        </w:rPr>
        <w:t xml:space="preserve">that we report differ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incur additional costs or experience delays in initiating or completing, or ultimately be unable to complete, the development and commercialization of our product candidates.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receive feedback from regulatory authorities that require us to modify the design or implementation of our preclinical studies or clinical trials or to delay or terminate a clinical trial;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regulators or institutional review boards, or IRBs, or ethics committees may delay or may not authorize us or our investigators to commence a clinical trial or conduct a clinical trial at a prospective trial site;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preclinical studies or clinical trials of our product candidates may not produce differentiated or clinically significant results across tumor types or indications;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w:t>
            </w:r>
          </w:p>
          <w:p>
            <w:pPr>
              <w:pStyle w:val="TableContents"/>
              <w:spacing w:before="0" w:after="0"/>
              <w:jc w:val="left"/>
              <w:rPr>
                <w:rFonts w:ascii="Times New Roman" w:hAnsi="Times New Roman"/>
                <w:spacing w:val="0"/>
                <w:sz w:val="20"/>
              </w:rPr>
            </w:pPr>
            <w:r>
              <w:rPr>
                <w:rFonts w:ascii="Times New Roman" w:hAnsi="Times New Roman"/>
                <w:spacing w:val="0"/>
                <w:sz w:val="20"/>
              </w:rPr>
              <w:t>post-treatment follow-up at</w:t>
            </w:r>
          </w:p>
          <w:p>
            <w:pPr>
              <w:pStyle w:val="TableContents"/>
              <w:spacing w:before="0" w:after="0"/>
              <w:jc w:val="left"/>
              <w:rPr>
                <w:rFonts w:ascii="Times New Roman" w:hAnsi="Times New Roman"/>
                <w:sz w:val="20"/>
              </w:rPr>
            </w:pPr>
            <w:r>
              <w:rPr>
                <w:rFonts w:ascii="Times New Roman" w:hAnsi="Times New Roman"/>
                <w:sz w:val="20"/>
              </w:rPr>
              <w:t xml:space="preserve">a higher rate than we anticipate;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20 </w:t>
      </w:r>
    </w:p>
    <w:p>
      <w:pPr>
        <w:pStyle w:val="HorizontalLine"/>
        <w:rPr/>
      </w:pPr>
      <w:r>
        <w:rPr/>
      </w:r>
    </w:p>
    <w:p>
      <w:pPr>
        <w:pStyle w:val="TextBody"/>
        <w:spacing w:before="0" w:after="0"/>
        <w:ind w:left="0" w:right="0" w:hanging="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or at all, or may deviate from the clinical trial protocol or drop out of the trial, which may require that we add new clinical trial sites or investigators;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tc>
      </w:tr>
    </w:tbl>
    <w:p>
      <w:pPr>
        <w:pStyle w:val="TextBody"/>
        <w:spacing w:before="0" w:after="0"/>
        <w:jc w:val="left"/>
        <w:rPr>
          <w:spacing w:val="0"/>
        </w:rPr>
      </w:pPr>
      <w:r>
        <w:rPr>
          <w:spacing w:val="0"/>
        </w:rPr>
        <w:t> </w:t>
      </w:r>
    </w:p>
    <w:tbl>
      <w:tblPr>
        <w:tblW w:w="7210" w:type="dxa"/>
        <w:jc w:val="left"/>
        <w:tblInd w:w="0" w:type="dxa"/>
        <w:tblCellMar>
          <w:top w:w="0" w:type="dxa"/>
          <w:left w:w="0" w:type="dxa"/>
          <w:bottom w:w="0" w:type="dxa"/>
          <w:right w:w="0" w:type="dxa"/>
        </w:tblCellMar>
      </w:tblPr>
      <w:tblGrid>
        <w:gridCol w:w="75"/>
        <w:gridCol w:w="110"/>
        <w:gridCol w:w="60"/>
        <w:gridCol w:w="69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 of clinical trials of our product candidates may be greater than we anticipate; </w:t>
            </w:r>
          </w:p>
        </w:tc>
      </w:tr>
    </w:tbl>
    <w:p>
      <w:pPr>
        <w:pStyle w:val="TextBody"/>
        <w:spacing w:before="0" w:after="0"/>
        <w:jc w:val="left"/>
        <w:rPr>
          <w:spacing w:val="0"/>
        </w:rPr>
      </w:pPr>
      <w:r>
        <w:rPr>
          <w:spacing w:val="0"/>
        </w:rPr>
        <w:t> </w:t>
      </w:r>
    </w:p>
    <w:tbl>
      <w:tblPr>
        <w:tblW w:w="8950" w:type="dxa"/>
        <w:jc w:val="left"/>
        <w:tblInd w:w="0" w:type="dxa"/>
        <w:tblCellMar>
          <w:top w:w="0" w:type="dxa"/>
          <w:left w:w="0" w:type="dxa"/>
          <w:bottom w:w="0" w:type="dxa"/>
          <w:right w:w="0" w:type="dxa"/>
        </w:tblCellMar>
      </w:tblPr>
      <w:tblGrid>
        <w:gridCol w:w="75"/>
        <w:gridCol w:w="110"/>
        <w:gridCol w:w="60"/>
        <w:gridCol w:w="8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clinical trials of our product candidates may be delayed due to complications associated with the evolving </w:t>
            </w:r>
          </w:p>
          <w:p>
            <w:pPr>
              <w:pStyle w:val="TableContents"/>
              <w:spacing w:before="0" w:after="0"/>
              <w:jc w:val="left"/>
              <w:rPr>
                <w:rFonts w:ascii="Times New Roman" w:hAnsi="Times New Roman"/>
                <w:spacing w:val="0"/>
                <w:sz w:val="20"/>
              </w:rPr>
            </w:pPr>
            <w:r>
              <w:rPr>
                <w:rFonts w:ascii="Times New Roman" w:hAnsi="Times New Roman"/>
                <w:spacing w:val="0"/>
                <w:sz w:val="20"/>
              </w:rPr>
              <w:t>COVID-19 pandemic;</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supply or quality of our product candidates or other materials necessary to conduct clinical trials of our product candidates may be insufficient or inadequate;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regulators may revise the requirements for approving our product candidates, or such requirements may not be as we anticipate;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regulatory developments with respect to our competitors’ products, including any developments, litigation or public concern about the safety of such products.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spacing w:before="240" w:after="0"/>
        <w:jc w:val="left"/>
        <w:rPr>
          <w:rFonts w:ascii="Times New Roman" w:hAnsi="Times New Roman"/>
          <w:sz w:val="20"/>
        </w:rPr>
      </w:pPr>
      <w:r>
        <w:rPr>
          <w:rFonts w:ascii="Times New Roman" w:hAnsi="Times New Roman"/>
          <w:sz w:val="20"/>
        </w:rPr>
        <w:t xml:space="preserve">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w:t>
      </w:r>
    </w:p>
    <w:p>
      <w:pPr>
        <w:pStyle w:val="TextBody"/>
        <w:spacing w:before="240" w:after="0"/>
        <w:jc w:val="left"/>
        <w:rPr>
          <w:rFonts w:ascii="Times New Roman" w:hAnsi="Times New Roman"/>
          <w:spacing w:val="0"/>
          <w:sz w:val="20"/>
        </w:rPr>
      </w:pPr>
      <w:r>
        <w:rPr>
          <w:rFonts w:ascii="Times New Roman" w:hAnsi="Times New Roman"/>
          <w:spacing w:val="0"/>
          <w:sz w:val="20"/>
        </w:rPr>
        <w:t>COVID-19 pandemic,</w:t>
      </w:r>
    </w:p>
    <w:p>
      <w:pPr>
        <w:pStyle w:val="TextBody"/>
        <w:spacing w:before="240" w:after="0"/>
        <w:jc w:val="left"/>
        <w:rPr>
          <w:rFonts w:ascii="Times New Roman" w:hAnsi="Times New Roman"/>
          <w:sz w:val="20"/>
        </w:rPr>
      </w:pPr>
      <w:r>
        <w:rPr>
          <w:rFonts w:ascii="Times New Roman" w:hAnsi="Times New Roman"/>
          <w:sz w:val="20"/>
        </w:rPr>
        <w:t xml:space="preserve">also could shorten any periods during which we may have the exclusive right to commercialize our product candidates or allow our competitors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to bring products to market before we do, which would impair our ability to successfully commercialize our product candidates and may significantly harm our business, operating results, financial condition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experience delays or difficulties in the enrollment of patients in clinical trials, our receipt of necessary regulatory approvals could be delayed or prevented.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orphan indications have small populations, our ability to enroll eligible patients may be limited or may result in slower enrollment than we anticipate.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 </w:t>
      </w:r>
    </w:p>
    <w:p>
      <w:pPr>
        <w:pStyle w:val="TextBody"/>
        <w:spacing w:before="240" w:after="0"/>
        <w:jc w:val="left"/>
        <w:rPr>
          <w:rFonts w:ascii="Times New Roman" w:hAnsi="Times New Roman"/>
          <w:sz w:val="20"/>
        </w:rPr>
      </w:pPr>
      <w:r>
        <w:rPr>
          <w:rFonts w:ascii="Times New Roman" w:hAnsi="Times New Roman"/>
          <w:sz w:val="20"/>
        </w:rPr>
        <w:t xml:space="preserve">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Furthermore, our ability to enroll patients may be significantly delayed by the evolving </w:t>
      </w:r>
    </w:p>
    <w:p>
      <w:pPr>
        <w:pStyle w:val="TextBody"/>
        <w:spacing w:before="240" w:after="0"/>
        <w:jc w:val="left"/>
        <w:rPr>
          <w:rFonts w:ascii="Times New Roman" w:hAnsi="Times New Roman"/>
          <w:spacing w:val="0"/>
          <w:sz w:val="20"/>
        </w:rPr>
      </w:pPr>
      <w:r>
        <w:rPr>
          <w:rFonts w:ascii="Times New Roman" w:hAnsi="Times New Roman"/>
          <w:spacing w:val="0"/>
          <w:sz w:val="20"/>
        </w:rPr>
        <w:t>COVID-19 pandemic,</w:t>
      </w:r>
    </w:p>
    <w:p>
      <w:pPr>
        <w:pStyle w:val="TextBody"/>
        <w:spacing w:before="240" w:after="0"/>
        <w:jc w:val="left"/>
        <w:rPr>
          <w:rFonts w:ascii="Times New Roman" w:hAnsi="Times New Roman"/>
          <w:sz w:val="20"/>
        </w:rPr>
      </w:pPr>
      <w:r>
        <w:rPr>
          <w:rFonts w:ascii="Times New Roman" w:hAnsi="Times New Roman"/>
          <w:sz w:val="20"/>
        </w:rPr>
        <w:t xml:space="preserve">and we cannot accurately predict the extent and scope of such delays at this point.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seek to accelerate clinical development and regulatory timelines. Patient enrollment may be affected by other factors, including: </w:t>
      </w:r>
    </w:p>
    <w:p>
      <w:pPr>
        <w:pStyle w:val="TextBody"/>
        <w:spacing w:before="0" w:after="0"/>
        <w:jc w:val="left"/>
        <w:rPr>
          <w:spacing w:val="0"/>
        </w:rPr>
      </w:pPr>
      <w:r>
        <w:rPr>
          <w:spacing w:val="0"/>
        </w:rPr>
        <w:t> </w:t>
      </w:r>
    </w:p>
    <w:tbl>
      <w:tblPr>
        <w:tblW w:w="4105" w:type="dxa"/>
        <w:jc w:val="left"/>
        <w:tblInd w:w="0" w:type="dxa"/>
        <w:tblCellMar>
          <w:top w:w="0" w:type="dxa"/>
          <w:left w:w="0" w:type="dxa"/>
          <w:bottom w:w="0" w:type="dxa"/>
          <w:right w:w="0" w:type="dxa"/>
        </w:tblCellMar>
      </w:tblPr>
      <w:tblGrid>
        <w:gridCol w:w="75"/>
        <w:gridCol w:w="110"/>
        <w:gridCol w:w="60"/>
        <w:gridCol w:w="38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severity of the disease under investigation; </w:t>
            </w:r>
          </w:p>
        </w:tc>
      </w:tr>
    </w:tbl>
    <w:p>
      <w:pPr>
        <w:pStyle w:val="TextBody"/>
        <w:spacing w:before="0" w:after="0"/>
        <w:jc w:val="left"/>
        <w:rPr>
          <w:spacing w:val="0"/>
        </w:rPr>
      </w:pPr>
      <w:r>
        <w:rPr>
          <w:spacing w:val="0"/>
        </w:rPr>
        <w:t> </w:t>
      </w:r>
    </w:p>
    <w:tbl>
      <w:tblPr>
        <w:tblW w:w="8380" w:type="dxa"/>
        <w:jc w:val="left"/>
        <w:tblInd w:w="0" w:type="dxa"/>
        <w:tblCellMar>
          <w:top w:w="0" w:type="dxa"/>
          <w:left w:w="0" w:type="dxa"/>
          <w:bottom w:w="0" w:type="dxa"/>
          <w:right w:w="0" w:type="dxa"/>
        </w:tblCellMar>
      </w:tblPr>
      <w:tblGrid>
        <w:gridCol w:w="75"/>
        <w:gridCol w:w="110"/>
        <w:gridCol w:w="60"/>
        <w:gridCol w:w="81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efforts to obtain and maintain patient consents and facilitate timely enrollment in clinical trials; </w:t>
            </w:r>
          </w:p>
        </w:tc>
      </w:tr>
    </w:tbl>
    <w:p>
      <w:pPr>
        <w:pStyle w:val="TextBody"/>
        <w:spacing w:before="0" w:after="0"/>
        <w:jc w:val="left"/>
        <w:rPr>
          <w:spacing w:val="0"/>
        </w:rPr>
      </w:pPr>
      <w:r>
        <w:rPr>
          <w:spacing w:val="0"/>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to monitor patients adequately during and after treatment; </w:t>
            </w:r>
          </w:p>
        </w:tc>
      </w:tr>
    </w:tbl>
    <w:p>
      <w:pPr>
        <w:pStyle w:val="TextBody"/>
        <w:spacing w:before="0" w:after="0"/>
        <w:jc w:val="left"/>
        <w:rPr>
          <w:spacing w:val="0"/>
        </w:rPr>
      </w:pPr>
      <w:r>
        <w:rPr>
          <w:spacing w:val="0"/>
        </w:rPr>
        <w:t> </w:t>
      </w:r>
    </w:p>
    <w:tbl>
      <w:tblPr>
        <w:tblW w:w="9355" w:type="dxa"/>
        <w:jc w:val="left"/>
        <w:tblInd w:w="0" w:type="dxa"/>
        <w:tblCellMar>
          <w:top w:w="0" w:type="dxa"/>
          <w:left w:w="0" w:type="dxa"/>
          <w:bottom w:w="0" w:type="dxa"/>
          <w:right w:w="0" w:type="dxa"/>
        </w:tblCellMar>
      </w:tblPr>
      <w:tblGrid>
        <w:gridCol w:w="75"/>
        <w:gridCol w:w="110"/>
        <w:gridCol w:w="60"/>
        <w:gridCol w:w="9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risk that patients enrolled in clinical trials will drop out of the clinical trials before clinical trial completion; </w:t>
            </w:r>
          </w:p>
        </w:tc>
      </w:tr>
    </w:tbl>
    <w:p>
      <w:pPr>
        <w:pStyle w:val="TextBody"/>
        <w:spacing w:before="0" w:after="0"/>
        <w:jc w:val="left"/>
        <w:rPr>
          <w:spacing w:val="0"/>
        </w:rPr>
      </w:pPr>
      <w:r>
        <w:rPr>
          <w:spacing w:val="0"/>
        </w:rPr>
        <w:t> </w:t>
      </w:r>
    </w:p>
    <w:tbl>
      <w:tblPr>
        <w:tblW w:w="8245" w:type="dxa"/>
        <w:jc w:val="left"/>
        <w:tblInd w:w="0" w:type="dxa"/>
        <w:tblCellMar>
          <w:top w:w="0" w:type="dxa"/>
          <w:left w:w="0" w:type="dxa"/>
          <w:bottom w:w="0" w:type="dxa"/>
          <w:right w:w="0" w:type="dxa"/>
        </w:tblCellMar>
      </w:tblPr>
      <w:tblGrid>
        <w:gridCol w:w="75"/>
        <w:gridCol w:w="110"/>
        <w:gridCol w:w="60"/>
        <w:gridCol w:w="8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ability to recruit clinical trial investigators with the appropriate competencies and experience; </w:t>
            </w:r>
          </w:p>
        </w:tc>
      </w:tr>
    </w:tbl>
    <w:p>
      <w:pPr>
        <w:pStyle w:val="TextBody"/>
        <w:spacing w:before="0" w:after="0"/>
        <w:jc w:val="left"/>
        <w:rPr>
          <w:spacing w:val="0"/>
        </w:rPr>
      </w:pPr>
      <w:r>
        <w:rPr>
          <w:spacing w:val="0"/>
        </w:rPr>
        <w:t> </w:t>
      </w:r>
    </w:p>
    <w:tbl>
      <w:tblPr>
        <w:tblW w:w="5740" w:type="dxa"/>
        <w:jc w:val="left"/>
        <w:tblInd w:w="0" w:type="dxa"/>
        <w:tblCellMar>
          <w:top w:w="0" w:type="dxa"/>
          <w:left w:w="0" w:type="dxa"/>
          <w:bottom w:w="0" w:type="dxa"/>
          <w:right w:w="0" w:type="dxa"/>
        </w:tblCellMar>
      </w:tblPr>
      <w:tblGrid>
        <w:gridCol w:w="75"/>
        <w:gridCol w:w="110"/>
        <w:gridCol w:w="60"/>
        <w:gridCol w:w="5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reporting of the preliminary results of any of our clinical trials; and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rPr/>
      </w:pPr>
      <w:r>
        <w:rPr/>
      </w:r>
    </w:p>
    <w:p>
      <w:pPr>
        <w:pStyle w:val="TextBody"/>
        <w:spacing w:before="0" w:after="0"/>
        <w:rPr/>
      </w:pPr>
      <w:hyperlink w:anchor="toc">
        <w:r>
          <w:rPr>
            <w:rStyle w:val="InternetLink"/>
            <w:b/>
            <w:sz w:val="20"/>
          </w:rPr>
          <w:t>Table of Contents</w:t>
        </w:r>
      </w:hyperlink>
    </w:p>
    <w:tbl>
      <w:tblPr>
        <w:tblW w:w="6910" w:type="dxa"/>
        <w:jc w:val="left"/>
        <w:tblInd w:w="0" w:type="dxa"/>
        <w:tblCellMar>
          <w:top w:w="0" w:type="dxa"/>
          <w:left w:w="0" w:type="dxa"/>
          <w:bottom w:w="0" w:type="dxa"/>
          <w:right w:w="0" w:type="dxa"/>
        </w:tblCellMar>
      </w:tblPr>
      <w:tblGrid>
        <w:gridCol w:w="75"/>
        <w:gridCol w:w="110"/>
        <w:gridCol w:w="60"/>
        <w:gridCol w:w="6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factors we may not be able to control, including the impacts of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 pandemic,</w:t>
            </w:r>
          </w:p>
          <w:p>
            <w:pPr>
              <w:pStyle w:val="TableContents"/>
              <w:spacing w:before="0" w:after="0"/>
              <w:jc w:val="left"/>
              <w:rPr>
                <w:rFonts w:ascii="Times New Roman" w:hAnsi="Times New Roman"/>
                <w:sz w:val="20"/>
              </w:rPr>
            </w:pPr>
            <w:r>
              <w:rPr>
                <w:rFonts w:ascii="Times New Roman" w:hAnsi="Times New Roman"/>
                <w:sz w:val="20"/>
              </w:rPr>
              <w:t xml:space="preserve">that may limit patients, principal investigators or staff or clinical site availability.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Certain of our current product candidates and any future product candidates have the potential to be administered in combination with existing standards of care like checkpoint inhibitor immunotherapies, chemotherapies, targeted therapies or radiotherapy. Our ability to develop and ultimately commercialize our current programs and product candidates and any future programs or product candidates used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failure to maintain or enter into new successful commercial relationships, or the expense of purchasing checkpoint inhibitor immunotherapies or other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Any results from our early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development timeline, the results from such preclinical studies and clinical trials of our product candidates may not be replicated in subsequent preclinical studies or clinical trial results.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not be able to file INDs for our precision oncology and other programs to commence clinical trials on the timelines we expect, and even if we are able to, the FDA may not permit us to proceed. </w:t>
      </w:r>
    </w:p>
    <w:p>
      <w:pPr>
        <w:pStyle w:val="TextBody"/>
        <w:spacing w:before="120" w:after="0"/>
        <w:jc w:val="left"/>
        <w:rPr>
          <w:rFonts w:ascii="Times New Roman" w:hAnsi="Times New Roman"/>
          <w:sz w:val="20"/>
        </w:rPr>
      </w:pPr>
      <w:r>
        <w:rPr>
          <w:rFonts w:ascii="Times New Roman" w:hAnsi="Times New Roman"/>
          <w:sz w:val="20"/>
        </w:rPr>
        <w:t xml:space="preserve">We expect to file an IND for TNG908 in the fourth quarter of 2021, file an IND for our USP1 inhibitor program in 2022 and file an IND for our undisclosed target for STK11-mutant cancers (Target 3) in 2023. However, we may not be able to file such INDs or INDs for future product candidates for our precision oncology or other programs on the timelines we expect. For example, we may experience manufacturing delays or other delays with </w:t>
      </w:r>
    </w:p>
    <w:p>
      <w:pPr>
        <w:pStyle w:val="TextBody"/>
        <w:spacing w:before="120" w:after="0"/>
        <w:jc w:val="left"/>
        <w:rPr>
          <w:rFonts w:ascii="Times New Roman" w:hAnsi="Times New Roman"/>
          <w:spacing w:val="0"/>
          <w:sz w:val="20"/>
        </w:rPr>
      </w:pPr>
      <w:r>
        <w:rPr>
          <w:rFonts w:ascii="Times New Roman" w:hAnsi="Times New Roman"/>
          <w:spacing w:val="0"/>
          <w:sz w:val="20"/>
        </w:rPr>
        <w:t>IND-enabling studies.</w:t>
      </w:r>
    </w:p>
    <w:p>
      <w:pPr>
        <w:pStyle w:val="TextBody"/>
        <w:spacing w:before="120" w:after="0"/>
        <w:jc w:val="left"/>
        <w:rPr>
          <w:rFonts w:ascii="Times New Roman" w:hAnsi="Times New Roman"/>
          <w:sz w:val="20"/>
        </w:rPr>
      </w:pPr>
      <w:r>
        <w:rPr>
          <w:rFonts w:ascii="Times New Roman" w:hAnsi="Times New Roman"/>
          <w:sz w:val="20"/>
        </w:rPr>
        <w:t xml:space="preserve">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our precision oncology programs,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Treatment-related side effects could also affect patient recruitment or the ability of enrolled patients to complete the trial or result in potential product liability claims. </w:t>
      </w:r>
    </w:p>
    <w:p>
      <w:pPr>
        <w:pStyle w:val="TextBody"/>
        <w:spacing w:before="240" w:after="0"/>
        <w:jc w:val="left"/>
        <w:rPr>
          <w:rFonts w:ascii="Times New Roman" w:hAnsi="Times New Roman"/>
          <w:sz w:val="20"/>
        </w:rPr>
      </w:pPr>
      <w:r>
        <w:rPr>
          <w:rFonts w:ascii="Times New Roman" w:hAnsi="Times New Roman"/>
          <w:sz w:val="20"/>
        </w:rPr>
        <w:t xml:space="preserve">Further, our product candidates could cause undesirable side effects in clinical trials related to </w:t>
      </w:r>
    </w:p>
    <w:p>
      <w:pPr>
        <w:pStyle w:val="TextBody"/>
        <w:spacing w:before="240" w:after="0"/>
        <w:jc w:val="left"/>
        <w:rPr>
          <w:rFonts w:ascii="Times New Roman" w:hAnsi="Times New Roman"/>
          <w:spacing w:val="0"/>
          <w:sz w:val="20"/>
        </w:rPr>
      </w:pPr>
      <w:r>
        <w:rPr>
          <w:rFonts w:ascii="Times New Roman" w:hAnsi="Times New Roman"/>
          <w:spacing w:val="0"/>
          <w:sz w:val="20"/>
        </w:rPr>
        <w:t>on-target toxicity.</w:t>
      </w:r>
    </w:p>
    <w:p>
      <w:pPr>
        <w:pStyle w:val="TextBody"/>
        <w:spacing w:before="240" w:after="0"/>
        <w:jc w:val="left"/>
        <w:rPr>
          <w:rFonts w:ascii="Times New Roman" w:hAnsi="Times New Roman"/>
          <w:sz w:val="20"/>
        </w:rPr>
      </w:pPr>
      <w:r>
        <w:rPr>
          <w:rFonts w:ascii="Times New Roman" w:hAnsi="Times New Roman"/>
          <w:sz w:val="20"/>
        </w:rPr>
        <w:t xml:space="preserve">If </w:t>
      </w:r>
    </w:p>
    <w:p>
      <w:pPr>
        <w:pStyle w:val="TextBody"/>
        <w:spacing w:before="240" w:after="0"/>
        <w:jc w:val="left"/>
        <w:rPr>
          <w:rFonts w:ascii="Times New Roman" w:hAnsi="Times New Roman"/>
          <w:spacing w:val="0"/>
          <w:sz w:val="20"/>
        </w:rPr>
      </w:pPr>
      <w:r>
        <w:rPr>
          <w:rFonts w:ascii="Times New Roman" w:hAnsi="Times New Roman"/>
          <w:spacing w:val="0"/>
          <w:sz w:val="20"/>
        </w:rPr>
        <w:t>on-target toxicity</w:t>
      </w:r>
    </w:p>
    <w:p>
      <w:pPr>
        <w:pStyle w:val="TextBody"/>
        <w:spacing w:before="240" w:after="0"/>
        <w:jc w:val="left"/>
        <w:rPr>
          <w:rFonts w:ascii="Times New Roman" w:hAnsi="Times New Roman"/>
          <w:sz w:val="20"/>
        </w:rPr>
      </w:pPr>
      <w:r>
        <w:rPr>
          <w:rFonts w:ascii="Times New Roman" w:hAnsi="Times New Roman"/>
          <w:sz w:val="20"/>
        </w:rPr>
        <w:t xml:space="preserve">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Some of our product candidates modulate pathway for which there are currently no approved or effective therapies, which may result in uncertainty regarding our current and future development efforts and ability to obtain regulatory approval for such candidates. We select programs for cancer driver targets based on compelling biological rationale. We explore new programs based on extensive preclinical data analysis which sometimes cannot predict efficacy or safety in humans.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Some of our product candidates utilize novel binding locations, which may result in greater research and development expenses, regulatory issues that could delay or prevent approval, or discovery of unknown or unanticipated adverse effects. We utilize structural biology in tight integration with our medicinal chemistry and biology capabilities to predict and design the compounds that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we raise problems we may not be able to resolve.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in the future conduct clinical trials for our product candidates outside the United States, and the FDA and comparable foreign regulatory authorities may not accept data from such trials. </w:t>
      </w:r>
    </w:p>
    <w:p>
      <w:pPr>
        <w:pStyle w:val="TextBody"/>
        <w:spacing w:before="120" w:after="0"/>
        <w:jc w:val="left"/>
        <w:rPr>
          <w:rFonts w:ascii="Times New Roman" w:hAnsi="Times New Roman"/>
          <w:sz w:val="20"/>
        </w:rPr>
      </w:pPr>
      <w:r>
        <w:rPr>
          <w:rFonts w:ascii="Times New Roman" w:hAnsi="Times New Roman"/>
          <w:sz w:val="20"/>
        </w:rPr>
        <w:t xml:space="preserve">We may in the future choose to conduct additional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w:t>
      </w:r>
    </w:p>
    <w:p>
      <w:pPr>
        <w:pStyle w:val="TextBody"/>
        <w:spacing w:before="120" w:after="0"/>
        <w:jc w:val="left"/>
        <w:rPr>
          <w:rFonts w:ascii="Times New Roman" w:hAnsi="Times New Roman"/>
          <w:spacing w:val="0"/>
          <w:sz w:val="20"/>
        </w:rPr>
      </w:pPr>
      <w:r>
        <w:rPr>
          <w:rFonts w:ascii="Times New Roman" w:hAnsi="Times New Roman"/>
          <w:spacing w:val="0"/>
          <w:sz w:val="20"/>
        </w:rPr>
        <w:t>on-site inspection</w:t>
      </w:r>
    </w:p>
    <w:p>
      <w:pPr>
        <w:pStyle w:val="TextBody"/>
        <w:spacing w:before="120" w:after="0"/>
        <w:jc w:val="left"/>
        <w:rPr>
          <w:rFonts w:ascii="Times New Roman" w:hAnsi="Times New Roman"/>
          <w:sz w:val="20"/>
        </w:rPr>
      </w:pPr>
      <w:r>
        <w:rPr>
          <w:rFonts w:ascii="Times New Roman" w:hAnsi="Times New Roman"/>
          <w:sz w:val="20"/>
        </w:rPr>
        <w:t xml:space="preserve">by the FDA or, if the FDA considers such an inspection to be necessary, the FDA is able to validate the data through an </w:t>
      </w:r>
    </w:p>
    <w:p>
      <w:pPr>
        <w:pStyle w:val="TextBody"/>
        <w:spacing w:before="120" w:after="0"/>
        <w:jc w:val="left"/>
        <w:rPr>
          <w:rFonts w:ascii="Times New Roman" w:hAnsi="Times New Roman"/>
          <w:spacing w:val="0"/>
          <w:sz w:val="20"/>
        </w:rPr>
      </w:pPr>
      <w:r>
        <w:rPr>
          <w:rFonts w:ascii="Times New Roman" w:hAnsi="Times New Roman"/>
          <w:spacing w:val="0"/>
          <w:sz w:val="20"/>
        </w:rPr>
        <w:t>on-site inspection</w:t>
      </w:r>
    </w:p>
    <w:p>
      <w:pPr>
        <w:pStyle w:val="TextBody"/>
        <w:spacing w:before="120" w:after="0"/>
        <w:jc w:val="left"/>
        <w:rPr>
          <w:rFonts w:ascii="Times New Roman" w:hAnsi="Times New Roman"/>
          <w:sz w:val="20"/>
        </w:rPr>
      </w:pPr>
      <w:r>
        <w:rPr>
          <w:rFonts w:ascii="Times New Roman" w:hAnsi="Times New Roman"/>
          <w:sz w:val="20"/>
        </w:rPr>
        <w:t xml:space="preserve">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 </w:t>
      </w:r>
    </w:p>
    <w:p>
      <w:pPr>
        <w:pStyle w:val="TextBody"/>
        <w:spacing w:before="0" w:after="0"/>
        <w:jc w:val="left"/>
        <w:rPr>
          <w:spacing w:val="0"/>
        </w:rPr>
      </w:pPr>
      <w:r>
        <w:rPr>
          <w:spacing w:val="0"/>
        </w:rPr>
        <w:t> </w:t>
      </w:r>
    </w:p>
    <w:tbl>
      <w:tblPr>
        <w:tblW w:w="9790" w:type="dxa"/>
        <w:jc w:val="left"/>
        <w:tblInd w:w="0" w:type="dxa"/>
        <w:tblCellMar>
          <w:top w:w="0" w:type="dxa"/>
          <w:left w:w="0" w:type="dxa"/>
          <w:bottom w:w="0" w:type="dxa"/>
          <w:right w:w="0" w:type="dxa"/>
        </w:tblCellMar>
      </w:tblPr>
      <w:tblGrid>
        <w:gridCol w:w="75"/>
        <w:gridCol w:w="110"/>
        <w:gridCol w:w="60"/>
        <w:gridCol w:w="9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research methodology used may not be successful in identifying potential indications and/or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potential product candidates may, after further study, be shown to have harmful adverse effects or other characteristics that indicate they are unlikely to be effective products; or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it may take greater human and financial resources than we will possess to identify additional therapeutic opportunities for our product candidates or to develop suitable potential product candidates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26 </w:t>
      </w:r>
    </w:p>
    <w:p>
      <w:pPr>
        <w:pStyle w:val="HorizontalLine"/>
        <w:rPr/>
      </w:pPr>
      <w:r>
        <w:rPr/>
      </w:r>
    </w:p>
    <w:p>
      <w:pPr>
        <w:pStyle w:val="TextBody"/>
        <w:spacing w:before="0" w:after="0"/>
        <w:rPr/>
      </w:pPr>
      <w:hyperlink w:anchor="toc">
        <w:r>
          <w:rPr>
            <w:rStyle w:val="InternetLink"/>
            <w:b/>
            <w:sz w:val="20"/>
          </w:rPr>
          <w:t>Table of Contents</w:t>
        </w:r>
      </w:hyperlink>
    </w:p>
    <w:tbl>
      <w:tblPr>
        <w:tblW w:w="9800" w:type="dxa"/>
        <w:jc w:val="left"/>
        <w:tblInd w:w="0" w:type="dxa"/>
        <w:tblCellMar>
          <w:top w:w="0" w:type="dxa"/>
          <w:left w:w="0" w:type="dxa"/>
          <w:bottom w:w="0" w:type="dxa"/>
          <w:right w:w="0" w:type="dxa"/>
        </w:tblCellMar>
      </w:tblPr>
      <w:tblGrid>
        <w:gridCol w:w="75"/>
        <w:gridCol w:w="9725"/>
      </w:tblGrid>
      <w:tr>
        <w:trPr/>
        <w:tc>
          <w:tcPr>
            <w:tcW w:w="75" w:type="dxa"/>
            <w:tcBorders/>
            <w:shd w:fill="auto" w:val="clear"/>
            <w:vAlign w:val="center"/>
          </w:tcPr>
          <w:p>
            <w:pPr>
              <w:pStyle w:val="TableContents"/>
              <w:spacing w:before="0" w:after="283"/>
              <w:rPr/>
            </w:pPr>
            <w:r>
              <w:rPr/>
              <w:t> </w:t>
            </w:r>
          </w:p>
        </w:tc>
        <w:tc>
          <w:tcPr>
            <w:tcW w:w="97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through internal research programs, thereby limiting our ability to develop, diversify and expand our product portfolio.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or preclinical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FDA or comparable foreign regulatory authorities may disagree with the design or implementation of our clinical trials; </w:t>
            </w:r>
          </w:p>
        </w:tc>
      </w:tr>
    </w:tbl>
    <w:p>
      <w:pPr>
        <w:pStyle w:val="TextBody"/>
        <w:spacing w:before="0" w:after="0"/>
        <w:jc w:val="left"/>
        <w:rPr>
          <w:spacing w:val="0"/>
        </w:rPr>
      </w:pPr>
      <w:r>
        <w:rPr>
          <w:spacing w:val="0"/>
        </w:rPr>
        <w:t> </w:t>
      </w:r>
    </w:p>
    <w:tbl>
      <w:tblPr>
        <w:tblW w:w="6985" w:type="dxa"/>
        <w:jc w:val="left"/>
        <w:tblInd w:w="0" w:type="dxa"/>
        <w:tblCellMar>
          <w:top w:w="0" w:type="dxa"/>
          <w:left w:w="0" w:type="dxa"/>
          <w:bottom w:w="0" w:type="dxa"/>
          <w:right w:w="0" w:type="dxa"/>
        </w:tblCellMar>
      </w:tblPr>
      <w:tblGrid>
        <w:gridCol w:w="75"/>
        <w:gridCol w:w="110"/>
        <w:gridCol w:w="60"/>
        <w:gridCol w:w="6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not be able to enroll a sufficient number of patients in our clinical studies;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27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be unable to demonstrate to the satisfaction of the FDA or comparable foreign regulatory authorities that a product candidate is safe and effective for its proposed indication or a related companion diagnostic is suitable to identify appropriate patient populations;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results of clinical trials may not meet the level of statistical significance required by the FDA or comparable foreign regulatory authorities for approval; </w:t>
            </w:r>
          </w:p>
        </w:tc>
      </w:tr>
    </w:tbl>
    <w:p>
      <w:pPr>
        <w:pStyle w:val="TextBody"/>
        <w:spacing w:before="0" w:after="0"/>
        <w:jc w:val="left"/>
        <w:rPr>
          <w:spacing w:val="0"/>
        </w:rPr>
      </w:pPr>
      <w:r>
        <w:rPr>
          <w:spacing w:val="0"/>
        </w:rPr>
        <w:t> </w:t>
      </w:r>
    </w:p>
    <w:tbl>
      <w:tblPr>
        <w:tblW w:w="9385" w:type="dxa"/>
        <w:jc w:val="left"/>
        <w:tblInd w:w="0" w:type="dxa"/>
        <w:tblCellMar>
          <w:top w:w="0" w:type="dxa"/>
          <w:left w:w="0" w:type="dxa"/>
          <w:bottom w:w="0" w:type="dxa"/>
          <w:right w:w="0" w:type="dxa"/>
        </w:tblCellMar>
      </w:tblPr>
      <w:tblGrid>
        <w:gridCol w:w="75"/>
        <w:gridCol w:w="110"/>
        <w:gridCol w:w="60"/>
        <w:gridCol w:w="9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be unable to demonstrate that a product candidate’s clinical and other benefits outweigh its safety risks;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FDA or comparable foreign regulatory authorities may disagree with our interpretation of data from preclinical studies or clinical trials;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data collected from clinical trials of our product candidates may not be sufficient to support the submission of an NDA, or other submission or to obtain regulatory approval in the United States or elsewhere;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approval policies or regulations of the FDA or comparable foreign regulatory authorities may significantly change such that our clinical data are insufficient for approval.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we experience delays in obtaining, or if we fail to obtain, approval of our product candidates, the commercial prospects for our product candidates may be harmed and our ability to generate revenue will be materially impaired.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COVID-19</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pandemic, or a similar pandemic, epidemic, or outbreak of an infectious disease, may materially and adversely affect our business and our financial results and could cause a disruption to the development of our product candidates. </w:t>
      </w:r>
    </w:p>
    <w:p>
      <w:pPr>
        <w:pStyle w:val="TextBody"/>
        <w:spacing w:before="120" w:after="0"/>
        <w:jc w:val="left"/>
        <w:rPr>
          <w:rFonts w:ascii="Times New Roman" w:hAnsi="Times New Roman"/>
          <w:sz w:val="20"/>
        </w:rPr>
      </w:pPr>
      <w:r>
        <w:rPr>
          <w:rFonts w:ascii="Times New Roman" w:hAnsi="Times New Roman"/>
          <w:sz w:val="20"/>
        </w:rPr>
        <w:t xml:space="preserve">Public health crises such as pandemics or similar outbreaks could adversely impact our business. In 2020 and continuing into 2021, a novel strain of a virus named </w:t>
      </w:r>
    </w:p>
    <w:p>
      <w:pPr>
        <w:pStyle w:val="TextBody"/>
        <w:spacing w:before="120" w:after="0"/>
        <w:jc w:val="left"/>
        <w:rPr>
          <w:rFonts w:ascii="Times New Roman" w:hAnsi="Times New Roman"/>
          <w:spacing w:val="0"/>
          <w:sz w:val="20"/>
        </w:rPr>
      </w:pPr>
      <w:r>
        <w:rPr>
          <w:rFonts w:ascii="Times New Roman" w:hAnsi="Times New Roman"/>
          <w:spacing w:val="0"/>
          <w:sz w:val="20"/>
        </w:rPr>
        <w:t>SARS-CoV-2 (severe</w:t>
      </w:r>
    </w:p>
    <w:p>
      <w:pPr>
        <w:pStyle w:val="TextBody"/>
        <w:spacing w:before="120" w:after="0"/>
        <w:jc w:val="left"/>
        <w:rPr>
          <w:rFonts w:ascii="Times New Roman" w:hAnsi="Times New Roman"/>
          <w:sz w:val="20"/>
        </w:rPr>
      </w:pPr>
      <w:r>
        <w:rPr>
          <w:rFonts w:ascii="Times New Roman" w:hAnsi="Times New Roman"/>
          <w:sz w:val="20"/>
        </w:rPr>
        <w:t xml:space="preserve">acute respiratory syndrome coronavirus 2), or coronavirus, which causes </w:t>
      </w:r>
    </w:p>
    <w:p>
      <w:pPr>
        <w:pStyle w:val="TextBody"/>
        <w:spacing w:before="120" w:after="0"/>
        <w:jc w:val="left"/>
        <w:rPr>
          <w:rFonts w:ascii="Times New Roman" w:hAnsi="Times New Roman"/>
          <w:spacing w:val="0"/>
          <w:sz w:val="20"/>
        </w:rPr>
      </w:pPr>
      <w:r>
        <w:rPr>
          <w:rFonts w:ascii="Times New Roman" w:hAnsi="Times New Roman"/>
          <w:spacing w:val="0"/>
          <w:sz w:val="20"/>
        </w:rPr>
        <w:t>COVID-19 has</w:t>
      </w:r>
    </w:p>
    <w:p>
      <w:pPr>
        <w:pStyle w:val="TextBody"/>
        <w:spacing w:before="120" w:after="0"/>
        <w:jc w:val="left"/>
        <w:rPr>
          <w:rFonts w:ascii="Times New Roman" w:hAnsi="Times New Roman"/>
          <w:sz w:val="20"/>
        </w:rPr>
      </w:pPr>
      <w:r>
        <w:rPr>
          <w:rFonts w:ascii="Times New Roman" w:hAnsi="Times New Roman"/>
          <w:sz w:val="20"/>
        </w:rPr>
        <w:t xml:space="preserve">spread to most countries across the world, including all 50 states within the United States,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w:t>
      </w:r>
    </w:p>
    <w:p>
      <w:pPr>
        <w:pStyle w:val="TextBody"/>
        <w:spacing w:before="120" w:after="0"/>
        <w:jc w:val="left"/>
        <w:rPr>
          <w:rFonts w:ascii="Times New Roman" w:hAnsi="Times New Roman"/>
          <w:spacing w:val="0"/>
          <w:sz w:val="20"/>
        </w:rPr>
      </w:pPr>
      <w:r>
        <w:rPr>
          <w:rFonts w:ascii="Times New Roman" w:hAnsi="Times New Roman"/>
          <w:spacing w:val="0"/>
          <w:sz w:val="20"/>
        </w:rPr>
        <w:t>of COVID-19 globally</w:t>
      </w:r>
    </w:p>
    <w:p>
      <w:pPr>
        <w:pStyle w:val="TextBody"/>
        <w:spacing w:before="120" w:after="0"/>
        <w:jc w:val="left"/>
        <w:rPr>
          <w:rFonts w:ascii="Times New Roman" w:hAnsi="Times New Roman"/>
          <w:sz w:val="20"/>
        </w:rPr>
      </w:pPr>
      <w:r>
        <w:rPr>
          <w:rFonts w:ascii="Times New Roman" w:hAnsi="Times New Roman"/>
          <w:sz w:val="20"/>
        </w:rPr>
        <w:t xml:space="preserve">could adversely impact our preclinical or clinical trial operations in the United States, including our ability to recruit and retain patients and principal investigators and site staff who, as healthcare providers, may have heightened exposure </w:t>
      </w:r>
    </w:p>
    <w:p>
      <w:pPr>
        <w:pStyle w:val="TextBody"/>
        <w:spacing w:before="120" w:after="0"/>
        <w:jc w:val="left"/>
        <w:rPr>
          <w:rFonts w:ascii="Times New Roman" w:hAnsi="Times New Roman"/>
          <w:spacing w:val="0"/>
          <w:sz w:val="20"/>
        </w:rPr>
      </w:pPr>
      <w:r>
        <w:rPr>
          <w:rFonts w:ascii="Times New Roman" w:hAnsi="Times New Roman"/>
          <w:spacing w:val="0"/>
          <w:sz w:val="20"/>
        </w:rPr>
        <w:t>to COVID-19 if</w:t>
      </w:r>
    </w:p>
    <w:p>
      <w:pPr>
        <w:pStyle w:val="TextBody"/>
        <w:spacing w:before="120" w:after="0"/>
        <w:jc w:val="left"/>
        <w:rPr>
          <w:rFonts w:ascii="Times New Roman" w:hAnsi="Times New Roman"/>
          <w:sz w:val="20"/>
        </w:rPr>
      </w:pPr>
      <w:r>
        <w:rPr>
          <w:rFonts w:ascii="Times New Roman" w:hAnsi="Times New Roman"/>
          <w:sz w:val="20"/>
        </w:rPr>
        <w:t xml:space="preserve">an outbreak occurs in their geography. For example, similar to other biopharmaceutical companies, we may experience delays in initiating </w:t>
      </w:r>
    </w:p>
    <w:p>
      <w:pPr>
        <w:pStyle w:val="TextBody"/>
        <w:spacing w:before="120" w:after="0"/>
        <w:jc w:val="left"/>
        <w:rPr>
          <w:rFonts w:ascii="Times New Roman" w:hAnsi="Times New Roman"/>
          <w:spacing w:val="0"/>
          <w:sz w:val="20"/>
        </w:rPr>
      </w:pPr>
      <w:r>
        <w:rPr>
          <w:rFonts w:ascii="Times New Roman" w:hAnsi="Times New Roman"/>
          <w:spacing w:val="0"/>
          <w:sz w:val="20"/>
        </w:rPr>
        <w:t>IND-enabling studies,</w:t>
      </w:r>
    </w:p>
    <w:p>
      <w:pPr>
        <w:pStyle w:val="TextBody"/>
        <w:spacing w:before="120" w:after="0"/>
        <w:jc w:val="left"/>
        <w:rPr>
          <w:rFonts w:ascii="Times New Roman" w:hAnsi="Times New Roman"/>
          <w:sz w:val="20"/>
        </w:rPr>
      </w:pPr>
      <w:r>
        <w:rPr>
          <w:rFonts w:ascii="Times New Roman" w:hAnsi="Times New Roman"/>
          <w:sz w:val="20"/>
        </w:rPr>
        <w:t xml:space="preserve">protocol deviations, enrolling our clinical trials, or dosing of patients in our clinical trials as well as in activating new trial sites. </w:t>
      </w:r>
    </w:p>
    <w:p>
      <w:pPr>
        <w:pStyle w:val="TextBody"/>
        <w:spacing w:before="120" w:after="0"/>
        <w:jc w:val="left"/>
        <w:rPr>
          <w:rFonts w:ascii="Times New Roman" w:hAnsi="Times New Roman"/>
          <w:spacing w:val="0"/>
          <w:sz w:val="20"/>
        </w:rPr>
      </w:pPr>
      <w:r>
        <w:rPr>
          <w:rFonts w:ascii="Times New Roman" w:hAnsi="Times New Roman"/>
          <w:spacing w:val="0"/>
          <w:sz w:val="20"/>
        </w:rPr>
        <w:t>COVID-19 may</w:t>
      </w:r>
    </w:p>
    <w:p>
      <w:pPr>
        <w:pStyle w:val="TextBody"/>
        <w:spacing w:before="120" w:after="0"/>
        <w:jc w:val="left"/>
        <w:rPr>
          <w:rFonts w:ascii="Times New Roman" w:hAnsi="Times New Roman"/>
          <w:sz w:val="20"/>
        </w:rPr>
      </w:pPr>
      <w:r>
        <w:rPr>
          <w:rFonts w:ascii="Times New Roman" w:hAnsi="Times New Roman"/>
          <w:sz w:val="20"/>
        </w:rPr>
        <w:t xml:space="preserve">also affect employees of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third-party CROs located in affected geographies that we rely upon to carry out our clinical trials. Any negative </w:t>
      </w:r>
    </w:p>
    <w:p>
      <w:pPr>
        <w:pStyle w:val="TextBody"/>
        <w:spacing w:before="0" w:after="0"/>
        <w:jc w:val="left"/>
        <w:rPr>
          <w:rFonts w:ascii="Times New Roman" w:hAnsi="Times New Roman"/>
          <w:spacing w:val="0"/>
          <w:sz w:val="20"/>
        </w:rPr>
      </w:pPr>
      <w:r>
        <w:rPr>
          <w:rFonts w:ascii="Times New Roman" w:hAnsi="Times New Roman"/>
          <w:spacing w:val="0"/>
          <w:sz w:val="20"/>
        </w:rPr>
        <w:t>impact COVID-19 has</w:t>
      </w:r>
    </w:p>
    <w:p>
      <w:pPr>
        <w:pStyle w:val="TextBody"/>
        <w:spacing w:before="0" w:after="0"/>
        <w:jc w:val="left"/>
        <w:rPr>
          <w:rFonts w:ascii="Times New Roman" w:hAnsi="Times New Roman"/>
          <w:sz w:val="20"/>
        </w:rPr>
      </w:pPr>
      <w:r>
        <w:rPr>
          <w:rFonts w:ascii="Times New Roman" w:hAnsi="Times New Roman"/>
          <w:sz w:val="20"/>
        </w:rPr>
        <w:t xml:space="preserve">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 </w:t>
      </w:r>
    </w:p>
    <w:p>
      <w:pPr>
        <w:pStyle w:val="TextBody"/>
        <w:spacing w:before="240" w:after="0"/>
        <w:jc w:val="left"/>
        <w:rPr>
          <w:rFonts w:ascii="Times New Roman" w:hAnsi="Times New Roman"/>
          <w:sz w:val="20"/>
        </w:rPr>
      </w:pPr>
      <w:r>
        <w:rPr>
          <w:rFonts w:ascii="Times New Roman" w:hAnsi="Times New Roman"/>
          <w:sz w:val="20"/>
        </w:rPr>
        <w:t xml:space="preserve">Additionally, timely enrollment in planned clinical trials is dependent upon clinical trial sites which could be adversely affected by global health matters, such as pandemics. We plan to conduct clinical trials for our product candidates in geographies which are currently being affected by the </w:t>
      </w:r>
    </w:p>
    <w:p>
      <w:pPr>
        <w:pStyle w:val="TextBody"/>
        <w:spacing w:before="240" w:after="0"/>
        <w:jc w:val="left"/>
        <w:rPr>
          <w:rFonts w:ascii="Times New Roman" w:hAnsi="Times New Roman"/>
          <w:spacing w:val="0"/>
          <w:sz w:val="20"/>
        </w:rPr>
      </w:pPr>
      <w:r>
        <w:rPr>
          <w:rFonts w:ascii="Times New Roman" w:hAnsi="Times New Roman"/>
          <w:spacing w:val="0"/>
          <w:sz w:val="20"/>
        </w:rPr>
        <w:t>COVID-19 pandemic.</w:t>
      </w:r>
    </w:p>
    <w:p>
      <w:pPr>
        <w:pStyle w:val="TextBody"/>
        <w:spacing w:before="240" w:after="0"/>
        <w:jc w:val="left"/>
        <w:rPr>
          <w:rFonts w:ascii="Times New Roman" w:hAnsi="Times New Roman"/>
          <w:sz w:val="20"/>
        </w:rPr>
      </w:pPr>
      <w:r>
        <w:rPr>
          <w:rFonts w:ascii="Times New Roman" w:hAnsi="Times New Roman"/>
          <w:sz w:val="20"/>
        </w:rPr>
        <w:t xml:space="preserve">Some factors from the </w:t>
      </w:r>
    </w:p>
    <w:p>
      <w:pPr>
        <w:pStyle w:val="TextBody"/>
        <w:spacing w:before="240" w:after="0"/>
        <w:jc w:val="left"/>
        <w:rPr>
          <w:rFonts w:ascii="Times New Roman" w:hAnsi="Times New Roman"/>
          <w:spacing w:val="0"/>
          <w:sz w:val="20"/>
        </w:rPr>
      </w:pPr>
      <w:r>
        <w:rPr>
          <w:rFonts w:ascii="Times New Roman" w:hAnsi="Times New Roman"/>
          <w:spacing w:val="0"/>
          <w:sz w:val="20"/>
        </w:rPr>
        <w:t>COVID-19 pandemic</w:t>
      </w:r>
    </w:p>
    <w:p>
      <w:pPr>
        <w:pStyle w:val="TextBody"/>
        <w:spacing w:before="240" w:after="0"/>
        <w:jc w:val="left"/>
        <w:rPr>
          <w:rFonts w:ascii="Times New Roman" w:hAnsi="Times New Roman"/>
          <w:sz w:val="20"/>
        </w:rPr>
      </w:pPr>
      <w:r>
        <w:rPr>
          <w:rFonts w:ascii="Times New Roman" w:hAnsi="Times New Roman"/>
          <w:sz w:val="20"/>
        </w:rPr>
        <w:t xml:space="preserve">that may delay or otherwise adversely affect enrollment in the clinical trials of our product candidates, as well as our business generally, include: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w:t>
            </w:r>
          </w:p>
          <w:p>
            <w:pPr>
              <w:pStyle w:val="TableContents"/>
              <w:spacing w:before="0" w:after="0"/>
              <w:jc w:val="left"/>
              <w:rPr>
                <w:rFonts w:ascii="Times New Roman" w:hAnsi="Times New Roman"/>
                <w:spacing w:val="0"/>
                <w:sz w:val="20"/>
              </w:rPr>
            </w:pPr>
            <w:r>
              <w:rPr>
                <w:rFonts w:ascii="Times New Roman" w:hAnsi="Times New Roman"/>
                <w:spacing w:val="0"/>
                <w:sz w:val="20"/>
              </w:rPr>
              <w:t>face-to-face meetings</w:t>
            </w:r>
          </w:p>
          <w:p>
            <w:pPr>
              <w:pStyle w:val="TableContents"/>
              <w:spacing w:before="0" w:after="0"/>
              <w:jc w:val="left"/>
              <w:rPr>
                <w:rFonts w:ascii="Times New Roman" w:hAnsi="Times New Roman"/>
                <w:sz w:val="20"/>
              </w:rPr>
            </w:pPr>
            <w:r>
              <w:rPr>
                <w:rFonts w:ascii="Times New Roman" w:hAnsi="Times New Roman"/>
                <w:sz w:val="20"/>
              </w:rPr>
              <w:t xml:space="preserve">and other interactions with potential partners, any of which could delay or adversely impact the conduct or progress of our prospective clinical trials; </w:t>
            </w:r>
          </w:p>
        </w:tc>
      </w:tr>
    </w:tbl>
    <w:p>
      <w:pPr>
        <w:pStyle w:val="TextBody"/>
        <w:spacing w:before="0" w:after="0"/>
        <w:jc w:val="left"/>
        <w:rPr>
          <w:spacing w:val="0"/>
        </w:rPr>
      </w:pPr>
      <w:r>
        <w:rPr>
          <w:spacing w:val="0"/>
        </w:rPr>
        <w:t> </w:t>
      </w:r>
    </w:p>
    <w:tbl>
      <w:tblPr>
        <w:tblW w:w="6745" w:type="dxa"/>
        <w:jc w:val="left"/>
        <w:tblInd w:w="0" w:type="dxa"/>
        <w:tblCellMar>
          <w:top w:w="0" w:type="dxa"/>
          <w:left w:w="0" w:type="dxa"/>
          <w:bottom w:w="0" w:type="dxa"/>
          <w:right w:w="0" w:type="dxa"/>
        </w:tblCellMar>
      </w:tblPr>
      <w:tblGrid>
        <w:gridCol w:w="75"/>
        <w:gridCol w:w="110"/>
        <w:gridCol w:w="60"/>
        <w:gridCol w:w="6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potential negative affect on the operations of our third-party manufacturers;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interruption in global shipping affecting the transport of clinical trial materials, such as patient samples, investigational drug product and conditioning drugs and other supplies used in our prospective clinical trials;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business disruptions caused by potential workplace, laboratory and office closures and an increased reliance on employees working from home, disruptions to or delays in ongoing laboratory experiments;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operations, staffing shortages, travel limitations or mass transit disruptions, any of which could adversely impact our business operations or delay necessary interactions with local regulators, ethics committees and other important agencies and contractors;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local regulations as part of a response to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 pandemic,</w:t>
            </w:r>
          </w:p>
          <w:p>
            <w:pPr>
              <w:pStyle w:val="TableContents"/>
              <w:spacing w:before="0" w:after="0"/>
              <w:jc w:val="left"/>
              <w:rPr>
                <w:rFonts w:ascii="Times New Roman" w:hAnsi="Times New Roman"/>
                <w:sz w:val="20"/>
              </w:rPr>
            </w:pPr>
            <w:r>
              <w:rPr>
                <w:rFonts w:ascii="Times New Roman" w:hAnsi="Times New Roman"/>
                <w:sz w:val="20"/>
              </w:rPr>
              <w:t xml:space="preserve">which may require us to change the ways in which our clinical trials are conducted, which may result in unexpected costs, or to discontinue such clinical trials altogether;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interruption or delays in the operations of the FDA or other regulatory authorities, which may impact review and approval timelines. </w:t>
            </w:r>
          </w:p>
        </w:tc>
      </w:tr>
    </w:tbl>
    <w:p>
      <w:pPr>
        <w:pStyle w:val="TextBody"/>
        <w:spacing w:before="240" w:after="0"/>
        <w:jc w:val="left"/>
        <w:rPr>
          <w:rFonts w:ascii="Times New Roman" w:hAnsi="Times New Roman"/>
          <w:sz w:val="20"/>
        </w:rPr>
      </w:pPr>
      <w:r>
        <w:rPr>
          <w:rFonts w:ascii="Times New Roman" w:hAnsi="Times New Roman"/>
          <w:sz w:val="20"/>
        </w:rPr>
        <w:t xml:space="preserve">We have taken temporary precautionary measures intended to help minimize the risk of the virus to our employees, including temporarily requiring certain of our employees to work remotely, suspending all </w:t>
      </w:r>
    </w:p>
    <w:p>
      <w:pPr>
        <w:pStyle w:val="TextBody"/>
        <w:spacing w:before="240" w:after="0"/>
        <w:jc w:val="left"/>
        <w:rPr>
          <w:rFonts w:ascii="Times New Roman" w:hAnsi="Times New Roman"/>
          <w:spacing w:val="0"/>
          <w:sz w:val="20"/>
        </w:rPr>
      </w:pPr>
      <w:r>
        <w:rPr>
          <w:rFonts w:ascii="Times New Roman" w:hAnsi="Times New Roman"/>
          <w:spacing w:val="0"/>
          <w:sz w:val="20"/>
        </w:rPr>
        <w:t>non-essential travel</w:t>
      </w:r>
    </w:p>
    <w:p>
      <w:pPr>
        <w:pStyle w:val="TextBody"/>
        <w:spacing w:before="240" w:after="0"/>
        <w:jc w:val="left"/>
        <w:rPr>
          <w:rFonts w:ascii="Times New Roman" w:hAnsi="Times New Roman"/>
          <w:sz w:val="20"/>
        </w:rPr>
      </w:pPr>
      <w:r>
        <w:rPr>
          <w:rFonts w:ascii="Times New Roman" w:hAnsi="Times New Roman"/>
          <w:sz w:val="20"/>
        </w:rPr>
        <w:t xml:space="preserve">worldwide for our employees, implementing </w:t>
      </w:r>
    </w:p>
    <w:p>
      <w:pPr>
        <w:pStyle w:val="TextBody"/>
        <w:spacing w:before="240" w:after="0"/>
        <w:jc w:val="left"/>
        <w:rPr>
          <w:rFonts w:ascii="Times New Roman" w:hAnsi="Times New Roman"/>
          <w:spacing w:val="0"/>
          <w:sz w:val="20"/>
        </w:rPr>
      </w:pPr>
      <w:r>
        <w:rPr>
          <w:rFonts w:ascii="Times New Roman" w:hAnsi="Times New Roman"/>
          <w:spacing w:val="0"/>
          <w:sz w:val="20"/>
        </w:rPr>
        <w:t>COVID-19 testing</w:t>
      </w:r>
    </w:p>
    <w:p>
      <w:pPr>
        <w:pStyle w:val="TextBody"/>
        <w:spacing w:before="240" w:after="0"/>
        <w:jc w:val="left"/>
        <w:rPr>
          <w:rFonts w:ascii="Times New Roman" w:hAnsi="Times New Roman"/>
          <w:sz w:val="20"/>
        </w:rPr>
      </w:pPr>
      <w:r>
        <w:rPr>
          <w:rFonts w:ascii="Times New Roman" w:hAnsi="Times New Roman"/>
          <w:sz w:val="20"/>
        </w:rPr>
        <w:t xml:space="preserve">policies for employees in certain instances and discouraging employee attendance at industry events and </w:t>
      </w:r>
    </w:p>
    <w:p>
      <w:pPr>
        <w:pStyle w:val="TextBody"/>
        <w:spacing w:before="240" w:after="0"/>
        <w:jc w:val="left"/>
        <w:rPr>
          <w:rFonts w:ascii="Times New Roman" w:hAnsi="Times New Roman"/>
          <w:spacing w:val="0"/>
          <w:sz w:val="20"/>
        </w:rPr>
      </w:pPr>
      <w:r>
        <w:rPr>
          <w:rFonts w:ascii="Times New Roman" w:hAnsi="Times New Roman"/>
          <w:spacing w:val="0"/>
          <w:sz w:val="20"/>
        </w:rPr>
        <w:t>in-person work-related meetings,</w:t>
      </w:r>
    </w:p>
    <w:p>
      <w:pPr>
        <w:pStyle w:val="TextBody"/>
        <w:spacing w:before="240" w:after="0"/>
        <w:jc w:val="left"/>
        <w:rPr>
          <w:rFonts w:ascii="Times New Roman" w:hAnsi="Times New Roman"/>
          <w:sz w:val="20"/>
        </w:rPr>
      </w:pPr>
      <w:r>
        <w:rPr>
          <w:rFonts w:ascii="Times New Roman" w:hAnsi="Times New Roman"/>
          <w:sz w:val="20"/>
        </w:rPr>
        <w:t xml:space="preserve">which could negatively affect our business. We cannot presently predict the scope and severity of the planned and potential shutdowns or disruptions of businesses and government agencies, such as the SEC or FDA. </w:t>
      </w:r>
    </w:p>
    <w:p>
      <w:pPr>
        <w:pStyle w:val="TextBody"/>
        <w:spacing w:before="240" w:after="0"/>
        <w:jc w:val="left"/>
        <w:rPr>
          <w:rFonts w:ascii="Times New Roman" w:hAnsi="Times New Roman"/>
          <w:sz w:val="20"/>
        </w:rPr>
      </w:pPr>
      <w:r>
        <w:rPr>
          <w:rFonts w:ascii="Times New Roman" w:hAnsi="Times New Roman"/>
          <w:sz w:val="20"/>
        </w:rPr>
        <w:t xml:space="preserve">These and other factors arising from </w:t>
      </w:r>
    </w:p>
    <w:p>
      <w:pPr>
        <w:pStyle w:val="TextBody"/>
        <w:spacing w:before="240" w:after="0"/>
        <w:jc w:val="left"/>
        <w:rPr>
          <w:rFonts w:ascii="Times New Roman" w:hAnsi="Times New Roman"/>
          <w:spacing w:val="0"/>
          <w:sz w:val="20"/>
        </w:rPr>
      </w:pPr>
      <w:r>
        <w:rPr>
          <w:rFonts w:ascii="Times New Roman" w:hAnsi="Times New Roman"/>
          <w:spacing w:val="0"/>
          <w:sz w:val="20"/>
        </w:rPr>
        <w:t>COVID-19 could</w:t>
      </w:r>
    </w:p>
    <w:p>
      <w:pPr>
        <w:pStyle w:val="TextBody"/>
        <w:spacing w:before="240" w:after="0"/>
        <w:jc w:val="left"/>
        <w:rPr>
          <w:rFonts w:ascii="Times New Roman" w:hAnsi="Times New Roman"/>
          <w:sz w:val="20"/>
        </w:rPr>
      </w:pPr>
      <w:r>
        <w:rPr>
          <w:rFonts w:ascii="Times New Roman" w:hAnsi="Times New Roman"/>
          <w:sz w:val="20"/>
        </w:rPr>
        <w:t xml:space="preserve">worsen in countries that are already afflicted with </w:t>
      </w:r>
    </w:p>
    <w:p>
      <w:pPr>
        <w:pStyle w:val="TextBody"/>
        <w:spacing w:before="240" w:after="0"/>
        <w:jc w:val="left"/>
        <w:rPr>
          <w:rFonts w:ascii="Times New Roman" w:hAnsi="Times New Roman"/>
          <w:spacing w:val="0"/>
          <w:sz w:val="20"/>
        </w:rPr>
      </w:pPr>
      <w:r>
        <w:rPr>
          <w:rFonts w:ascii="Times New Roman" w:hAnsi="Times New Roman"/>
          <w:spacing w:val="0"/>
          <w:sz w:val="20"/>
        </w:rPr>
        <w:t>COVID-19 or</w:t>
      </w:r>
    </w:p>
    <w:p>
      <w:pPr>
        <w:pStyle w:val="TextBody"/>
        <w:spacing w:before="240" w:after="0"/>
        <w:jc w:val="left"/>
        <w:rPr>
          <w:rFonts w:ascii="Times New Roman" w:hAnsi="Times New Roman"/>
          <w:sz w:val="20"/>
        </w:rPr>
      </w:pPr>
      <w:r>
        <w:rPr>
          <w:rFonts w:ascii="Times New Roman" w:hAnsi="Times New Roman"/>
          <w:sz w:val="20"/>
        </w:rPr>
        <w:t xml:space="preserve">could continue to spread to additional countries. Any of these factors, and other factors related to any such disruptions that are unforeseen, could have a material adverse effect on our business and our results of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Related to Commercialization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face substantial competition, which may result in others discovering, developing or commercializing products before or more successfully than we do.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We also compete more broadly across the market for cost-effective and reimbursable cancer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 </w:t>
      </w:r>
    </w:p>
    <w:p>
      <w:pPr>
        <w:pStyle w:val="TextBody"/>
        <w:spacing w:before="120" w:after="0"/>
        <w:jc w:val="left"/>
        <w:rPr>
          <w:rFonts w:ascii="Times New Roman" w:hAnsi="Times New Roman"/>
          <w:sz w:val="20"/>
        </w:rPr>
      </w:pPr>
      <w:r>
        <w:rPr>
          <w:rFonts w:ascii="Times New Roman" w:hAnsi="Times New Roman"/>
          <w:sz w:val="20"/>
        </w:rPr>
        <w:t xml:space="preserve">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genetic alteration which occurs in 10 to 15% of all human tumors, including many commonly occurring cancers with high unmet need such as squamous cell lung, esophageal and bladder cancer. Our second product candidate, USP1, is a strong synthetic lethal target for BRCA1-mutant which are present in approximately 15% of ovarian cancer, 5% of breast cancer, and 1% of prostate cancer. Additionally, our undisclosed Target 3 program is being developed for patients with STK11 </w:t>
      </w:r>
    </w:p>
    <w:p>
      <w:pPr>
        <w:pStyle w:val="TextBody"/>
        <w:spacing w:before="120" w:after="0"/>
        <w:jc w:val="left"/>
        <w:rPr>
          <w:rFonts w:ascii="Times New Roman" w:hAnsi="Times New Roman"/>
          <w:spacing w:val="0"/>
          <w:sz w:val="20"/>
        </w:rPr>
      </w:pPr>
      <w:r>
        <w:rPr>
          <w:rFonts w:ascii="Times New Roman" w:hAnsi="Times New Roman"/>
          <w:spacing w:val="0"/>
          <w:sz w:val="20"/>
        </w:rPr>
        <w:t>loss-of-function mutations,</w:t>
      </w:r>
    </w:p>
    <w:p>
      <w:pPr>
        <w:pStyle w:val="TextBody"/>
        <w:spacing w:before="120" w:after="0"/>
        <w:jc w:val="left"/>
        <w:rPr>
          <w:rFonts w:ascii="Times New Roman" w:hAnsi="Times New Roman"/>
          <w:sz w:val="20"/>
        </w:rPr>
      </w:pPr>
      <w:r>
        <w:rPr>
          <w:rFonts w:ascii="Times New Roman" w:hAnsi="Times New Roman"/>
          <w:sz w:val="20"/>
        </w:rPr>
        <w:t xml:space="preserve">a genetic alteration in approximately 20% of </w:t>
      </w:r>
    </w:p>
    <w:p>
      <w:pPr>
        <w:pStyle w:val="TextBody"/>
        <w:spacing w:before="120" w:after="0"/>
        <w:jc w:val="left"/>
        <w:rPr>
          <w:rFonts w:ascii="Times New Roman" w:hAnsi="Times New Roman"/>
          <w:spacing w:val="0"/>
          <w:sz w:val="20"/>
        </w:rPr>
      </w:pPr>
      <w:r>
        <w:rPr>
          <w:rFonts w:ascii="Times New Roman" w:hAnsi="Times New Roman"/>
          <w:spacing w:val="0"/>
          <w:sz w:val="20"/>
        </w:rPr>
        <w:t>non-small cell</w:t>
      </w:r>
    </w:p>
    <w:p>
      <w:pPr>
        <w:pStyle w:val="TextBody"/>
        <w:spacing w:before="120" w:after="0"/>
        <w:jc w:val="left"/>
        <w:rPr>
          <w:rFonts w:ascii="Times New Roman" w:hAnsi="Times New Roman"/>
          <w:sz w:val="20"/>
        </w:rPr>
      </w:pPr>
      <w:r>
        <w:rPr>
          <w:rFonts w:ascii="Times New Roman" w:hAnsi="Times New Roman"/>
          <w:sz w:val="20"/>
        </w:rPr>
        <w:t xml:space="preserve">lung cancer. Our projections of both the number of people who have these diseases, as well as the subset of people with these diseases who have the potential to benefit from treatment with our programs and product candidates, are based on our estimates.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our current product candidates or any future product candidates do not achieve broad market acceptance, the revenue that we generate from their sales may be limited, and we may never become profitable.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efficacy of our current product candidates and any future product candidates as single agents and in combination with marketed combination therapies;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31 </w:t>
      </w:r>
    </w:p>
    <w:p>
      <w:pPr>
        <w:pStyle w:val="HorizontalLine"/>
        <w:rPr/>
      </w:pPr>
      <w:r>
        <w:rPr/>
      </w:r>
    </w:p>
    <w:p>
      <w:pPr>
        <w:pStyle w:val="TextBody"/>
        <w:spacing w:before="0" w:after="0"/>
        <w:rPr/>
      </w:pPr>
      <w:hyperlink w:anchor="toc">
        <w:r>
          <w:rPr>
            <w:rStyle w:val="InternetLink"/>
            <w:b/>
            <w:sz w:val="20"/>
          </w:rPr>
          <w:t>Table of Contents</w:t>
        </w:r>
      </w:hyperlink>
    </w:p>
    <w:tbl>
      <w:tblPr>
        <w:tblW w:w="7615" w:type="dxa"/>
        <w:jc w:val="left"/>
        <w:tblInd w:w="0" w:type="dxa"/>
        <w:tblCellMar>
          <w:top w:w="0" w:type="dxa"/>
          <w:left w:w="0" w:type="dxa"/>
          <w:bottom w:w="0" w:type="dxa"/>
          <w:right w:w="0" w:type="dxa"/>
        </w:tblCellMar>
      </w:tblPr>
      <w:tblGrid>
        <w:gridCol w:w="75"/>
        <w:gridCol w:w="110"/>
        <w:gridCol w:w="60"/>
        <w:gridCol w:w="7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commercial success of the checkpoint blockade drugs with which our products may be </w:t>
            </w:r>
          </w:p>
          <w:p>
            <w:pPr>
              <w:pStyle w:val="TableContents"/>
              <w:spacing w:before="0" w:after="0"/>
              <w:jc w:val="left"/>
              <w:rPr>
                <w:rFonts w:ascii="Times New Roman" w:hAnsi="Times New Roman"/>
                <w:spacing w:val="0"/>
                <w:sz w:val="20"/>
              </w:rPr>
            </w:pPr>
            <w:r>
              <w:rPr>
                <w:rFonts w:ascii="Times New Roman" w:hAnsi="Times New Roman"/>
                <w:spacing w:val="0"/>
                <w:sz w:val="20"/>
              </w:rPr>
              <w:t>co-administered;</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prevalence and severity of adverse events associated with our current product candidates and any future product candidates or those products with which they may be </w:t>
            </w:r>
          </w:p>
          <w:p>
            <w:pPr>
              <w:pStyle w:val="TableContents"/>
              <w:spacing w:before="0" w:after="0"/>
              <w:jc w:val="left"/>
              <w:rPr>
                <w:rFonts w:ascii="Times New Roman" w:hAnsi="Times New Roman"/>
                <w:spacing w:val="0"/>
                <w:sz w:val="20"/>
              </w:rPr>
            </w:pPr>
            <w:r>
              <w:rPr>
                <w:rFonts w:ascii="Times New Roman" w:hAnsi="Times New Roman"/>
                <w:spacing w:val="0"/>
                <w:sz w:val="20"/>
              </w:rPr>
              <w:t>co-administered;</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clinical indications for which our product candidates are approved and the approved claims that we may make for the products;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limitations or warnings contained in the product’s </w:t>
            </w:r>
          </w:p>
          <w:p>
            <w:pPr>
              <w:pStyle w:val="TableContents"/>
              <w:spacing w:before="0" w:after="0"/>
              <w:jc w:val="left"/>
              <w:rPr>
                <w:rFonts w:ascii="Times New Roman" w:hAnsi="Times New Roman"/>
                <w:spacing w:val="0"/>
                <w:sz w:val="20"/>
              </w:rPr>
            </w:pPr>
            <w:r>
              <w:rPr>
                <w:rFonts w:ascii="Times New Roman" w:hAnsi="Times New Roman"/>
                <w:spacing w:val="0"/>
                <w:sz w:val="20"/>
              </w:rPr>
              <w:t>FDA-approved labeling</w:t>
            </w:r>
          </w:p>
          <w:p>
            <w:pPr>
              <w:pStyle w:val="TableContents"/>
              <w:spacing w:before="0" w:after="0"/>
              <w:jc w:val="left"/>
              <w:rPr>
                <w:rFonts w:ascii="Times New Roman" w:hAnsi="Times New Roman"/>
                <w:sz w:val="20"/>
              </w:rPr>
            </w:pPr>
            <w:r>
              <w:rPr>
                <w:rFonts w:ascii="Times New Roman" w:hAnsi="Times New Roman"/>
                <w:sz w:val="20"/>
              </w:rPr>
              <w:t xml:space="preserve">or those of comparable foreign regulatory authorities, including potential limitations or warnings for our current product candidates and any future product candidates that may be more restrictive than other competitive products;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relative convenience and ease of administration of our current product candidates and any future product candidates and any products with which they are </w:t>
            </w:r>
          </w:p>
          <w:p>
            <w:pPr>
              <w:pStyle w:val="TableContents"/>
              <w:spacing w:before="0" w:after="0"/>
              <w:jc w:val="left"/>
              <w:rPr>
                <w:rFonts w:ascii="Times New Roman" w:hAnsi="Times New Roman"/>
                <w:spacing w:val="0"/>
                <w:sz w:val="20"/>
              </w:rPr>
            </w:pPr>
            <w:r>
              <w:rPr>
                <w:rFonts w:ascii="Times New Roman" w:hAnsi="Times New Roman"/>
                <w:spacing w:val="0"/>
                <w:sz w:val="20"/>
              </w:rPr>
              <w:t>co-administered;</w:t>
            </w:r>
          </w:p>
        </w:tc>
      </w:tr>
    </w:tbl>
    <w:p>
      <w:pPr>
        <w:pStyle w:val="TextBody"/>
        <w:spacing w:before="0" w:after="0"/>
        <w:jc w:val="left"/>
        <w:rPr>
          <w:spacing w:val="0"/>
        </w:rPr>
      </w:pPr>
      <w:r>
        <w:rPr>
          <w:spacing w:val="0"/>
        </w:rPr>
        <w:t> </w:t>
      </w:r>
    </w:p>
    <w:tbl>
      <w:tblPr>
        <w:tblW w:w="9040" w:type="dxa"/>
        <w:jc w:val="left"/>
        <w:tblInd w:w="0" w:type="dxa"/>
        <w:tblCellMar>
          <w:top w:w="0" w:type="dxa"/>
          <w:left w:w="0" w:type="dxa"/>
          <w:bottom w:w="0" w:type="dxa"/>
          <w:right w:w="0" w:type="dxa"/>
        </w:tblCellMar>
      </w:tblPr>
      <w:tblGrid>
        <w:gridCol w:w="75"/>
        <w:gridCol w:w="110"/>
        <w:gridCol w:w="60"/>
        <w:gridCol w:w="8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 of treatment compared with the economic and clinical benefit of alternative treatments or therapies;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availability of adequate coverage or reimbursement by third party payors, including government healthcare programs such as Medicare and Medicaid and other healthcare payors; </w:t>
            </w:r>
          </w:p>
        </w:tc>
      </w:tr>
    </w:tbl>
    <w:p>
      <w:pPr>
        <w:pStyle w:val="TextBody"/>
        <w:spacing w:before="0" w:after="0"/>
        <w:jc w:val="left"/>
        <w:rPr>
          <w:spacing w:val="0"/>
        </w:rPr>
      </w:pPr>
      <w:r>
        <w:rPr>
          <w:spacing w:val="0"/>
        </w:rPr>
        <w:t> </w:t>
      </w:r>
    </w:p>
    <w:tbl>
      <w:tblPr>
        <w:tblW w:w="6145" w:type="dxa"/>
        <w:jc w:val="left"/>
        <w:tblInd w:w="0" w:type="dxa"/>
        <w:tblCellMar>
          <w:top w:w="0" w:type="dxa"/>
          <w:left w:w="0" w:type="dxa"/>
          <w:bottom w:w="0" w:type="dxa"/>
          <w:right w:w="0" w:type="dxa"/>
        </w:tblCellMar>
      </w:tblPr>
      <w:tblGrid>
        <w:gridCol w:w="75"/>
        <w:gridCol w:w="110"/>
        <w:gridCol w:w="60"/>
        <w:gridCol w:w="5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price concessions required by third-party payors to obtain coverage; </w:t>
            </w:r>
          </w:p>
        </w:tc>
      </w:tr>
    </w:tbl>
    <w:p>
      <w:pPr>
        <w:pStyle w:val="TextBody"/>
        <w:spacing w:before="0" w:after="0"/>
        <w:jc w:val="left"/>
        <w:rPr>
          <w:spacing w:val="0"/>
        </w:rPr>
      </w:pPr>
      <w:r>
        <w:rPr>
          <w:spacing w:val="0"/>
        </w:rPr>
        <w:t> </w:t>
      </w:r>
    </w:p>
    <w:tbl>
      <w:tblPr>
        <w:tblW w:w="4690" w:type="dxa"/>
        <w:jc w:val="left"/>
        <w:tblInd w:w="0" w:type="dxa"/>
        <w:tblCellMar>
          <w:top w:w="0" w:type="dxa"/>
          <w:left w:w="0" w:type="dxa"/>
          <w:bottom w:w="0" w:type="dxa"/>
          <w:right w:w="0" w:type="dxa"/>
        </w:tblCellMar>
      </w:tblPr>
      <w:tblGrid>
        <w:gridCol w:w="75"/>
        <w:gridCol w:w="110"/>
        <w:gridCol w:w="60"/>
        <w:gridCol w:w="44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willingness of patients to pay </w:t>
            </w:r>
          </w:p>
          <w:p>
            <w:pPr>
              <w:pStyle w:val="TableContents"/>
              <w:spacing w:before="0" w:after="0"/>
              <w:jc w:val="left"/>
              <w:rPr>
                <w:rFonts w:ascii="Times New Roman" w:hAnsi="Times New Roman"/>
                <w:spacing w:val="0"/>
                <w:sz w:val="20"/>
              </w:rPr>
            </w:pPr>
            <w:r>
              <w:rPr>
                <w:rFonts w:ascii="Times New Roman" w:hAnsi="Times New Roman"/>
                <w:spacing w:val="0"/>
                <w:sz w:val="20"/>
              </w:rPr>
              <w:t>out-of-pocket in</w:t>
            </w:r>
          </w:p>
          <w:p>
            <w:pPr>
              <w:pStyle w:val="TableContents"/>
              <w:spacing w:before="0" w:after="0"/>
              <w:jc w:val="left"/>
              <w:rPr>
                <w:rFonts w:ascii="Times New Roman" w:hAnsi="Times New Roman"/>
                <w:sz w:val="20"/>
              </w:rPr>
            </w:pPr>
            <w:r>
              <w:rPr>
                <w:rFonts w:ascii="Times New Roman" w:hAnsi="Times New Roman"/>
                <w:sz w:val="20"/>
              </w:rPr>
              <w:t xml:space="preserve">the absence of adequate coverage and reimbursement;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extent and strength of our marketing and distribution of our current product candidates and any future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safety, efficacy, and other potential advantages over, and availability of, alternative treatments already used or that may later be approved;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timing of market introduction of our current product candidates and any future product candidates, as well as competitive products; </w:t>
            </w:r>
          </w:p>
        </w:tc>
      </w:tr>
    </w:tbl>
    <w:p>
      <w:pPr>
        <w:pStyle w:val="TextBody"/>
        <w:spacing w:before="0" w:after="0"/>
        <w:jc w:val="left"/>
        <w:rPr>
          <w:spacing w:val="0"/>
        </w:rPr>
      </w:pPr>
      <w:r>
        <w:rPr>
          <w:spacing w:val="0"/>
        </w:rPr>
        <w:t> </w:t>
      </w:r>
    </w:p>
    <w:tbl>
      <w:tblPr>
        <w:tblW w:w="9565" w:type="dxa"/>
        <w:jc w:val="left"/>
        <w:tblInd w:w="0" w:type="dxa"/>
        <w:tblCellMar>
          <w:top w:w="0" w:type="dxa"/>
          <w:left w:w="0" w:type="dxa"/>
          <w:bottom w:w="0" w:type="dxa"/>
          <w:right w:w="0" w:type="dxa"/>
        </w:tblCellMar>
      </w:tblPr>
      <w:tblGrid>
        <w:gridCol w:w="75"/>
        <w:gridCol w:w="110"/>
        <w:gridCol w:w="60"/>
        <w:gridCol w:w="9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offer our current product candidates and any future product candidates for sale at competitive prices; </w:t>
            </w:r>
          </w:p>
        </w:tc>
      </w:tr>
    </w:tbl>
    <w:p>
      <w:pPr>
        <w:pStyle w:val="TextBody"/>
        <w:spacing w:before="0" w:after="0"/>
        <w:jc w:val="left"/>
        <w:rPr>
          <w:spacing w:val="0"/>
        </w:rPr>
      </w:pPr>
      <w:r>
        <w:rPr>
          <w:spacing w:val="0"/>
        </w:rPr>
        <w:t> </w:t>
      </w:r>
    </w:p>
    <w:tbl>
      <w:tblPr>
        <w:tblW w:w="9535" w:type="dxa"/>
        <w:jc w:val="left"/>
        <w:tblInd w:w="0" w:type="dxa"/>
        <w:tblCellMar>
          <w:top w:w="0" w:type="dxa"/>
          <w:left w:w="0" w:type="dxa"/>
          <w:bottom w:w="0" w:type="dxa"/>
          <w:right w:w="0" w:type="dxa"/>
        </w:tblCellMar>
      </w:tblPr>
      <w:tblGrid>
        <w:gridCol w:w="75"/>
        <w:gridCol w:w="110"/>
        <w:gridCol w:w="60"/>
        <w:gridCol w:w="9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willingness of the target patient population to try new therapies and of physicians to prescribe these therapies; </w:t>
            </w:r>
          </w:p>
        </w:tc>
      </w:tr>
    </w:tbl>
    <w:p>
      <w:pPr>
        <w:pStyle w:val="TextBody"/>
        <w:spacing w:before="0" w:after="0"/>
        <w:jc w:val="left"/>
        <w:rPr>
          <w:spacing w:val="0"/>
        </w:rPr>
      </w:pPr>
      <w:r>
        <w:rPr>
          <w:spacing w:val="0"/>
        </w:rPr>
        <w:t> </w:t>
      </w:r>
    </w:p>
    <w:tbl>
      <w:tblPr>
        <w:tblW w:w="6505" w:type="dxa"/>
        <w:jc w:val="left"/>
        <w:tblInd w:w="0" w:type="dxa"/>
        <w:tblCellMar>
          <w:top w:w="0" w:type="dxa"/>
          <w:left w:w="0" w:type="dxa"/>
          <w:bottom w:w="0" w:type="dxa"/>
          <w:right w:w="0" w:type="dxa"/>
        </w:tblCellMar>
      </w:tblPr>
      <w:tblGrid>
        <w:gridCol w:w="75"/>
        <w:gridCol w:w="110"/>
        <w:gridCol w:w="60"/>
        <w:gridCol w:w="6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extent and strength of our third-party manufacturer and supplier support;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actions of companies that market any products with which our current product candidates and any future product candidates may be </w:t>
            </w:r>
          </w:p>
          <w:p>
            <w:pPr>
              <w:pStyle w:val="TableContents"/>
              <w:spacing w:before="0" w:after="0"/>
              <w:jc w:val="left"/>
              <w:rPr>
                <w:rFonts w:ascii="Times New Roman" w:hAnsi="Times New Roman"/>
                <w:spacing w:val="0"/>
                <w:sz w:val="20"/>
              </w:rPr>
            </w:pPr>
            <w:r>
              <w:rPr>
                <w:rFonts w:ascii="Times New Roman" w:hAnsi="Times New Roman"/>
                <w:spacing w:val="0"/>
                <w:sz w:val="20"/>
              </w:rPr>
              <w:t>co-administered;</w:t>
            </w:r>
          </w:p>
        </w:tc>
      </w:tr>
    </w:tbl>
    <w:p>
      <w:pPr>
        <w:pStyle w:val="TextBody"/>
        <w:spacing w:before="0" w:after="0"/>
        <w:jc w:val="left"/>
        <w:rPr>
          <w:spacing w:val="0"/>
        </w:rPr>
      </w:pPr>
      <w:r>
        <w:rPr>
          <w:spacing w:val="0"/>
        </w:rPr>
        <w:t> </w:t>
      </w:r>
    </w:p>
    <w:tbl>
      <w:tblPr>
        <w:tblW w:w="3205" w:type="dxa"/>
        <w:jc w:val="left"/>
        <w:tblInd w:w="0" w:type="dxa"/>
        <w:tblCellMar>
          <w:top w:w="0" w:type="dxa"/>
          <w:left w:w="0" w:type="dxa"/>
          <w:bottom w:w="0" w:type="dxa"/>
          <w:right w:w="0" w:type="dxa"/>
        </w:tblCellMar>
      </w:tblPr>
      <w:tblGrid>
        <w:gridCol w:w="75"/>
        <w:gridCol w:w="110"/>
        <w:gridCol w:w="60"/>
        <w:gridCol w:w="2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approval of other new products;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adverse publicity about our current product candidates and any future product candidates or any products with which they are </w:t>
            </w:r>
          </w:p>
          <w:p>
            <w:pPr>
              <w:pStyle w:val="TableContents"/>
              <w:spacing w:before="0" w:after="0"/>
              <w:jc w:val="left"/>
              <w:rPr>
                <w:rFonts w:ascii="Times New Roman" w:hAnsi="Times New Roman"/>
                <w:spacing w:val="0"/>
                <w:sz w:val="20"/>
              </w:rPr>
            </w:pPr>
            <w:r>
              <w:rPr>
                <w:rFonts w:ascii="Times New Roman" w:hAnsi="Times New Roman"/>
                <w:spacing w:val="0"/>
                <w:sz w:val="20"/>
              </w:rPr>
              <w:t>co-administered,</w:t>
            </w:r>
          </w:p>
          <w:p>
            <w:pPr>
              <w:pStyle w:val="TableContents"/>
              <w:spacing w:before="0" w:after="0"/>
              <w:jc w:val="left"/>
              <w:rPr>
                <w:rFonts w:ascii="Times New Roman" w:hAnsi="Times New Roman"/>
                <w:sz w:val="20"/>
              </w:rPr>
            </w:pPr>
            <w:r>
              <w:rPr>
                <w:rFonts w:ascii="Times New Roman" w:hAnsi="Times New Roman"/>
                <w:sz w:val="20"/>
              </w:rPr>
              <w:t xml:space="preserve">or favorable publicity about competitive products; and </w:t>
            </w:r>
          </w:p>
        </w:tc>
      </w:tr>
    </w:tbl>
    <w:p>
      <w:pPr>
        <w:pStyle w:val="TextBody"/>
        <w:spacing w:before="0" w:after="0"/>
        <w:jc w:val="left"/>
        <w:rPr>
          <w:spacing w:val="0"/>
        </w:rPr>
      </w:pPr>
      <w:r>
        <w:rPr>
          <w:spacing w:val="0"/>
        </w:rPr>
        <w:t> </w:t>
      </w:r>
    </w:p>
    <w:tbl>
      <w:tblPr>
        <w:tblW w:w="3055" w:type="dxa"/>
        <w:jc w:val="left"/>
        <w:tblInd w:w="0" w:type="dxa"/>
        <w:tblCellMar>
          <w:top w:w="0" w:type="dxa"/>
          <w:left w:w="0" w:type="dxa"/>
          <w:bottom w:w="0" w:type="dxa"/>
          <w:right w:w="0" w:type="dxa"/>
        </w:tblCellMar>
      </w:tblPr>
      <w:tblGrid>
        <w:gridCol w:w="75"/>
        <w:gridCol w:w="110"/>
        <w:gridCol w:w="60"/>
        <w:gridCol w:w="2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potential product liability claims.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Risks Related to Our Reliance on Third Parties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 </w:t>
      </w:r>
    </w:p>
    <w:p>
      <w:pPr>
        <w:pStyle w:val="TextBody"/>
        <w:spacing w:before="120" w:after="0"/>
        <w:jc w:val="left"/>
        <w:rPr>
          <w:rFonts w:ascii="Times New Roman" w:hAnsi="Times New Roman"/>
          <w:sz w:val="20"/>
        </w:rPr>
      </w:pPr>
      <w:r>
        <w:rPr>
          <w:rFonts w:ascii="Times New Roman" w:hAnsi="Times New Roman"/>
          <w:sz w:val="20"/>
        </w:rPr>
        <w:t xml:space="preserve">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any other product candidates that emerge from our precision oncology programs. We may also rely on academic and private </w:t>
      </w:r>
    </w:p>
    <w:p>
      <w:pPr>
        <w:pStyle w:val="TextBody"/>
        <w:spacing w:before="120" w:after="0"/>
        <w:jc w:val="left"/>
        <w:rPr>
          <w:rFonts w:ascii="Times New Roman" w:hAnsi="Times New Roman"/>
          <w:spacing w:val="0"/>
          <w:sz w:val="20"/>
        </w:rPr>
      </w:pPr>
      <w:r>
        <w:rPr>
          <w:rFonts w:ascii="Times New Roman" w:hAnsi="Times New Roman"/>
          <w:spacing w:val="0"/>
          <w:sz w:val="20"/>
        </w:rPr>
        <w:t>non-academic institutions</w:t>
      </w:r>
    </w:p>
    <w:p>
      <w:pPr>
        <w:pStyle w:val="TextBody"/>
        <w:spacing w:before="120" w:after="0"/>
        <w:jc w:val="left"/>
        <w:rPr>
          <w:rFonts w:ascii="Times New Roman" w:hAnsi="Times New Roman"/>
          <w:sz w:val="20"/>
        </w:rPr>
      </w:pPr>
      <w:r>
        <w:rPr>
          <w:rFonts w:ascii="Times New Roman" w:hAnsi="Times New Roman"/>
          <w:sz w:val="20"/>
        </w:rPr>
        <w:t xml:space="preserve">to conduct and sponsor clinical trials relating to our product candidates. We will not control the design or conduct of the investigator-sponsored trials, and it is possible that the FDA or </w:t>
      </w:r>
    </w:p>
    <w:p>
      <w:pPr>
        <w:pStyle w:val="TextBody"/>
        <w:spacing w:before="120" w:after="0"/>
        <w:jc w:val="left"/>
        <w:rPr>
          <w:rFonts w:ascii="Times New Roman" w:hAnsi="Times New Roman"/>
          <w:spacing w:val="0"/>
          <w:sz w:val="20"/>
        </w:rPr>
      </w:pPr>
      <w:r>
        <w:rPr>
          <w:rFonts w:ascii="Times New Roman" w:hAnsi="Times New Roman"/>
          <w:spacing w:val="0"/>
          <w:sz w:val="20"/>
        </w:rPr>
        <w:t>non-U.S.</w:t>
      </w:r>
    </w:p>
    <w:p>
      <w:pPr>
        <w:pStyle w:val="TextBody"/>
        <w:spacing w:before="120" w:after="0"/>
        <w:jc w:val="left"/>
        <w:rPr>
          <w:rFonts w:ascii="Times New Roman" w:hAnsi="Times New Roman"/>
          <w:sz w:val="20"/>
        </w:rPr>
      </w:pPr>
      <w:r>
        <w:rPr>
          <w:rFonts w:ascii="Times New Roman" w:hAnsi="Times New Roman"/>
          <w:sz w:val="20"/>
        </w:rPr>
        <w:t xml:space="preserve">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register ongoing clinical trials and post the results of completed clinical trials on a government-sponsored database, ClinicalTrials.gov, within certain timeframes. Failure to do so can result in fines, adverse publicity and civil and criminal sanctions.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Although we plan to design our Phase 1/2 clinical trial of TNG908 and intend to design the future clinical trials for our product candidates, these trials are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have entered into collaborations and may enter into additional collaborations in the future, and we might not realize the anticipated benefits of such collaborations.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Research, development, commercialization and/or strategic collaborations, including the existing collaboration that we have with Gilead, are subject to numerous risks, which include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collaborators may have significant control or discretion in determining the efforts and resources that they will apply to a collaboration, and might not commit sufficient efforts and resources or might misapply those efforts and resources;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have limited influence or control over the approaches to research, development and/or commercialization of product candidates in the territories in which our collaboration partners lead research, development and/or commercialization;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collaborators might delay, provide insufficient resources to, or modify or stop research or clinical development for collaboration product candidates or require a new formulation of a product candidate for clinical testing;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collaborators with sales, marketing and distribution rights to one or more product candidates might not commit sufficient resources to sales, marketing and distribution or might otherwise fail to successfully commercialize those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collaborators might not properly maintain or defend our intellectual property rights or might use our intellectual property improperly or in a way that jeopardizes our intellectual property or exposes us to potential liability;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collaboration activities might result in the collaborator having intellectual property covering our activities or product candidates, which could limit our rights or ability to research, develop and/or commercialize our product candidates;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collaborators might not be in compliance with laws applicable to their activities under the collaboration, which could impact the collaboration and us;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disputes might arise between a collaborator and us that could cause a delay or termination of the collaboration or result in costly litigation that diverts management attention and resources;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collaborations might be terminated, which could result in a need for additional capital to pursue further research, development and/or commercialization of our product candidates.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one or more of these risks, if realized, could reduce or eliminate future revenue from product candidates under our collaborations, and could have a material adverse effect on our business, financial condition, results of operations and/or growth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facilities used by our contract manufacturers to manufacture our product candidates must be inspected by the FDA pursuant to </w:t>
      </w:r>
    </w:p>
    <w:p>
      <w:pPr>
        <w:pStyle w:val="TextBody"/>
        <w:spacing w:before="0" w:after="0"/>
        <w:jc w:val="left"/>
        <w:rPr>
          <w:rFonts w:ascii="Times New Roman" w:hAnsi="Times New Roman"/>
          <w:spacing w:val="0"/>
          <w:sz w:val="20"/>
        </w:rPr>
      </w:pPr>
      <w:r>
        <w:rPr>
          <w:rFonts w:ascii="Times New Roman" w:hAnsi="Times New Roman"/>
          <w:spacing w:val="0"/>
          <w:sz w:val="20"/>
        </w:rPr>
        <w:t>pre-approval inspections</w:t>
      </w:r>
    </w:p>
    <w:p>
      <w:pPr>
        <w:pStyle w:val="TextBody"/>
        <w:spacing w:before="0" w:after="0"/>
        <w:jc w:val="left"/>
        <w:rPr>
          <w:rFonts w:ascii="Times New Roman" w:hAnsi="Times New Roman"/>
          <w:sz w:val="20"/>
        </w:rPr>
      </w:pPr>
      <w:r>
        <w:rPr>
          <w:rFonts w:ascii="Times New Roman" w:hAnsi="Times New Roman"/>
          <w:sz w:val="20"/>
        </w:rPr>
        <w:t xml:space="preserve">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w:t>
      </w:r>
    </w:p>
    <w:p>
      <w:pPr>
        <w:pStyle w:val="TextBody"/>
        <w:spacing w:before="240" w:after="0"/>
        <w:jc w:val="left"/>
        <w:rPr>
          <w:rFonts w:ascii="Times New Roman" w:hAnsi="Times New Roman"/>
          <w:sz w:val="20"/>
        </w:rPr>
      </w:pPr>
      <w:r>
        <w:rPr>
          <w:rFonts w:ascii="Times New Roman" w:hAnsi="Times New Roman"/>
          <w:sz w:val="20"/>
        </w:rPr>
        <w:t xml:space="preserve">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w:t>
      </w:r>
    </w:p>
    <w:p>
      <w:pPr>
        <w:pStyle w:val="TextBody"/>
        <w:spacing w:before="240" w:after="0"/>
        <w:jc w:val="left"/>
        <w:rPr>
          <w:rFonts w:ascii="Times New Roman" w:hAnsi="Times New Roman"/>
          <w:spacing w:val="0"/>
          <w:sz w:val="20"/>
        </w:rPr>
      </w:pPr>
      <w:r>
        <w:rPr>
          <w:rFonts w:ascii="Times New Roman" w:hAnsi="Times New Roman"/>
          <w:spacing w:val="0"/>
          <w:sz w:val="20"/>
        </w:rPr>
        <w:t>back-up or</w:t>
      </w:r>
    </w:p>
    <w:p>
      <w:pPr>
        <w:pStyle w:val="TextBody"/>
        <w:spacing w:before="240" w:after="0"/>
        <w:jc w:val="left"/>
        <w:rPr>
          <w:rFonts w:ascii="Times New Roman" w:hAnsi="Times New Roman"/>
          <w:sz w:val="20"/>
        </w:rPr>
      </w:pPr>
      <w:r>
        <w:rPr>
          <w:rFonts w:ascii="Times New Roman" w:hAnsi="Times New Roman"/>
          <w:sz w:val="20"/>
        </w:rPr>
        <w:t xml:space="preserve">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be unable to establish any additional agreements with third-party manufacturers or do so on acceptable terms. Reliance on third-party manufacturers entails additional risks, including: </w:t>
      </w:r>
    </w:p>
    <w:p>
      <w:pPr>
        <w:pStyle w:val="TextBody"/>
        <w:spacing w:before="0" w:after="0"/>
        <w:jc w:val="left"/>
        <w:rPr>
          <w:spacing w:val="0"/>
        </w:rPr>
      </w:pPr>
      <w:r>
        <w:rPr>
          <w:spacing w:val="0"/>
        </w:rPr>
        <w:t> </w:t>
      </w:r>
    </w:p>
    <w:tbl>
      <w:tblPr>
        <w:tblW w:w="6430" w:type="dxa"/>
        <w:jc w:val="left"/>
        <w:tblInd w:w="0" w:type="dxa"/>
        <w:tblCellMar>
          <w:top w:w="0" w:type="dxa"/>
          <w:left w:w="0" w:type="dxa"/>
          <w:bottom w:w="0" w:type="dxa"/>
          <w:right w:w="0" w:type="dxa"/>
        </w:tblCellMar>
      </w:tblPr>
      <w:tblGrid>
        <w:gridCol w:w="75"/>
        <w:gridCol w:w="110"/>
        <w:gridCol w:w="60"/>
        <w:gridCol w:w="6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reliance on the third party for regulatory compliance and quality assurance; </w:t>
            </w:r>
          </w:p>
        </w:tc>
      </w:tr>
    </w:tbl>
    <w:p>
      <w:pPr>
        <w:pStyle w:val="TextBody"/>
        <w:spacing w:before="0" w:after="0"/>
        <w:jc w:val="left"/>
        <w:rPr>
          <w:spacing w:val="0"/>
        </w:rPr>
      </w:pPr>
      <w:r>
        <w:rPr>
          <w:spacing w:val="0"/>
        </w:rPr>
        <w:t> </w:t>
      </w:r>
    </w:p>
    <w:tbl>
      <w:tblPr>
        <w:tblW w:w="6025" w:type="dxa"/>
        <w:jc w:val="left"/>
        <w:tblInd w:w="0" w:type="dxa"/>
        <w:tblCellMar>
          <w:top w:w="0" w:type="dxa"/>
          <w:left w:w="0" w:type="dxa"/>
          <w:bottom w:w="0" w:type="dxa"/>
          <w:right w:w="0" w:type="dxa"/>
        </w:tblCellMar>
      </w:tblPr>
      <w:tblGrid>
        <w:gridCol w:w="75"/>
        <w:gridCol w:w="110"/>
        <w:gridCol w:w="60"/>
        <w:gridCol w:w="5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possible breach of the manufacturing agreement by the third party; </w:t>
            </w:r>
          </w:p>
        </w:tc>
      </w:tr>
    </w:tbl>
    <w:p>
      <w:pPr>
        <w:pStyle w:val="TextBody"/>
        <w:spacing w:before="0" w:after="0"/>
        <w:jc w:val="left"/>
        <w:rPr>
          <w:spacing w:val="0"/>
        </w:rPr>
      </w:pPr>
      <w:r>
        <w:rPr>
          <w:spacing w:val="0"/>
        </w:rPr>
        <w:t> </w:t>
      </w:r>
    </w:p>
    <w:tbl>
      <w:tblPr>
        <w:tblW w:w="7795" w:type="dxa"/>
        <w:jc w:val="left"/>
        <w:tblInd w:w="0" w:type="dxa"/>
        <w:tblCellMar>
          <w:top w:w="0" w:type="dxa"/>
          <w:left w:w="0" w:type="dxa"/>
          <w:bottom w:w="0" w:type="dxa"/>
          <w:right w:w="0" w:type="dxa"/>
        </w:tblCellMar>
      </w:tblPr>
      <w:tblGrid>
        <w:gridCol w:w="75"/>
        <w:gridCol w:w="110"/>
        <w:gridCol w:w="60"/>
        <w:gridCol w:w="7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possible misappropriation of our proprietary information, including our trade secrets and </w:t>
            </w:r>
          </w:p>
          <w:p>
            <w:pPr>
              <w:pStyle w:val="TableContents"/>
              <w:spacing w:before="0" w:after="0"/>
              <w:jc w:val="left"/>
              <w:rPr>
                <w:rFonts w:ascii="Times New Roman" w:hAnsi="Times New Roman"/>
                <w:spacing w:val="0"/>
                <w:sz w:val="20"/>
              </w:rPr>
            </w:pPr>
            <w:r>
              <w:rPr>
                <w:rFonts w:ascii="Times New Roman" w:hAnsi="Times New Roman"/>
                <w:spacing w:val="0"/>
                <w:sz w:val="20"/>
              </w:rPr>
              <w:t>know-how;</w:t>
            </w:r>
          </w:p>
          <w:p>
            <w:pPr>
              <w:pStyle w:val="TableContents"/>
              <w:spacing w:before="0" w:after="0"/>
              <w:jc w:val="left"/>
              <w:rPr>
                <w:rFonts w:ascii="Times New Roman" w:hAnsi="Times New Roman"/>
                <w:sz w:val="20"/>
              </w:rPr>
            </w:pPr>
            <w:r>
              <w:rPr>
                <w:rFonts w:ascii="Times New Roman" w:hAnsi="Times New Roman"/>
                <w:sz w:val="20"/>
              </w:rPr>
              <w:t xml:space="preserve">and </w:t>
            </w:r>
          </w:p>
        </w:tc>
      </w:tr>
    </w:tbl>
    <w:p>
      <w:pPr>
        <w:pStyle w:val="TextBody"/>
        <w:spacing w:before="0" w:after="0"/>
        <w:jc w:val="left"/>
        <w:rPr>
          <w:spacing w:val="0"/>
        </w:rPr>
      </w:pPr>
      <w:r>
        <w:rPr>
          <w:spacing w:val="0"/>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possible termination or nonrenewal of the agreement by the third party at a time that is costly or inconvenient for us.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current and anticipated future dependence upon others for the manufacture of our product candidates or products may adversely affect our future profit margins and our ability to commercialize any products that receive regulatory approval on a timely and competitive basis.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third parties upon whom we rely for the supply of the active pharmaceutical ingredients and drug product to be used in our product candidates are our sole source of supply, and the loss of any of these suppliers could significantly harm our business. </w:t>
      </w:r>
    </w:p>
    <w:p>
      <w:pPr>
        <w:pStyle w:val="TextBody"/>
        <w:spacing w:before="120" w:after="0"/>
        <w:jc w:val="left"/>
        <w:rPr>
          <w:rFonts w:ascii="Times New Roman" w:hAnsi="Times New Roman"/>
          <w:sz w:val="20"/>
        </w:rPr>
      </w:pPr>
      <w:r>
        <w:rPr>
          <w:rFonts w:ascii="Times New Roman" w:hAnsi="Times New Roman"/>
          <w:sz w:val="20"/>
        </w:rPr>
        <w:t xml:space="preserve">The active pharmaceutical ingredients, or API, and drug product we expect to use in all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and drug product for these products in accordance with regulatory requirements and in sufficient quantities for clinical testing and commercialization. We are also unable to predict how changing global economic conditions or potential global health concerns such as the </w:t>
      </w:r>
    </w:p>
    <w:p>
      <w:pPr>
        <w:pStyle w:val="TextBody"/>
        <w:spacing w:before="120" w:after="0"/>
        <w:jc w:val="left"/>
        <w:rPr>
          <w:rFonts w:ascii="Times New Roman" w:hAnsi="Times New Roman"/>
          <w:spacing w:val="0"/>
          <w:sz w:val="20"/>
        </w:rPr>
      </w:pPr>
      <w:r>
        <w:rPr>
          <w:rFonts w:ascii="Times New Roman" w:hAnsi="Times New Roman"/>
          <w:spacing w:val="0"/>
          <w:sz w:val="20"/>
        </w:rPr>
        <w:t>COVID-19 pandemic will</w:t>
      </w:r>
    </w:p>
    <w:p>
      <w:pPr>
        <w:pStyle w:val="TextBody"/>
        <w:spacing w:before="120" w:after="0"/>
        <w:jc w:val="left"/>
        <w:rPr>
          <w:rFonts w:ascii="Times New Roman" w:hAnsi="Times New Roman"/>
          <w:sz w:val="20"/>
        </w:rPr>
      </w:pPr>
      <w:r>
        <w:rPr>
          <w:rFonts w:ascii="Times New Roman" w:hAnsi="Times New Roman"/>
          <w:sz w:val="20"/>
        </w:rPr>
        <w:t xml:space="preserve">affect our third-party suppliers and manufacturers. Any negative impact of such matters on our third-party suppliers and manufacturers may also have an adverse impact on our results of operations or financial condition.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Establishing additional or replacement suppliers for the API and drug product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seek to establish additional collaborations, and, if we are not able to establish them on commercially reasonable terms, or at all, we may have to alter our development and commercialization plans.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Related to Our Intellectual Property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know-how and</w:t>
      </w:r>
    </w:p>
    <w:p>
      <w:pPr>
        <w:pStyle w:val="TextBody"/>
        <w:spacing w:before="0" w:after="0"/>
        <w:jc w:val="left"/>
        <w:rPr>
          <w:rFonts w:ascii="Times New Roman" w:hAnsi="Times New Roman"/>
          <w:sz w:val="20"/>
        </w:rPr>
      </w:pPr>
      <w:r>
        <w:rPr>
          <w:rFonts w:ascii="Times New Roman" w:hAnsi="Times New Roman"/>
          <w:sz w:val="20"/>
        </w:rPr>
        <w:t xml:space="preserve">continuing technological innovation to develop and maintain our proprietary and intellectual property position. </w:t>
      </w:r>
    </w:p>
    <w:p>
      <w:pPr>
        <w:pStyle w:val="TextBody"/>
        <w:spacing w:before="240" w:after="0"/>
        <w:jc w:val="left"/>
        <w:rPr>
          <w:rFonts w:ascii="Times New Roman" w:hAnsi="Times New Roman"/>
          <w:sz w:val="20"/>
        </w:rPr>
      </w:pPr>
      <w:r>
        <w:rPr>
          <w:rFonts w:ascii="Times New Roman" w:hAnsi="Times New Roman"/>
          <w:sz w:val="20"/>
        </w:rPr>
        <w:t xml:space="preserve">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 is</w:t>
      </w:r>
    </w:p>
    <w:p>
      <w:pPr>
        <w:pStyle w:val="TextBody"/>
        <w:spacing w:before="240" w:after="0"/>
        <w:jc w:val="left"/>
        <w:rPr>
          <w:rFonts w:ascii="Times New Roman" w:hAnsi="Times New Roman"/>
          <w:sz w:val="20"/>
        </w:rPr>
      </w:pPr>
      <w:r>
        <w:rPr>
          <w:rFonts w:ascii="Times New Roman" w:hAnsi="Times New Roman"/>
          <w:sz w:val="20"/>
        </w:rPr>
        <w:t xml:space="preserve">threatened, it could dissuade companies from collaborating with us to license, develop or commercialize current or future product candidates. </w:t>
      </w:r>
    </w:p>
    <w:p>
      <w:pPr>
        <w:pStyle w:val="TextBody"/>
        <w:spacing w:before="240" w:after="0"/>
        <w:jc w:val="left"/>
        <w:rPr>
          <w:rFonts w:ascii="Times New Roman" w:hAnsi="Times New Roman"/>
          <w:sz w:val="20"/>
        </w:rPr>
      </w:pPr>
      <w:r>
        <w:rPr>
          <w:rFonts w:ascii="Times New Roman" w:hAnsi="Times New Roman"/>
          <w:sz w:val="20"/>
        </w:rPr>
        <w:t xml:space="preserve">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w:t>
      </w:r>
    </w:p>
    <w:p>
      <w:pPr>
        <w:pStyle w:val="TextBody"/>
        <w:spacing w:before="240" w:after="0"/>
        <w:jc w:val="left"/>
        <w:rPr>
          <w:rFonts w:ascii="Times New Roman" w:hAnsi="Times New Roman"/>
          <w:spacing w:val="0"/>
          <w:sz w:val="20"/>
        </w:rPr>
      </w:pPr>
      <w:r>
        <w:rPr>
          <w:rFonts w:ascii="Times New Roman" w:hAnsi="Times New Roman"/>
          <w:spacing w:val="0"/>
          <w:sz w:val="20"/>
        </w:rPr>
        <w:t>co-owner of</w:t>
      </w:r>
    </w:p>
    <w:p>
      <w:pPr>
        <w:pStyle w:val="TextBody"/>
        <w:spacing w:before="240" w:after="0"/>
        <w:jc w:val="left"/>
        <w:rPr>
          <w:rFonts w:ascii="Times New Roman" w:hAnsi="Times New Roman"/>
          <w:sz w:val="20"/>
        </w:rPr>
      </w:pPr>
      <w:r>
        <w:rPr>
          <w:rFonts w:ascii="Times New Roman" w:hAnsi="Times New Roman"/>
          <w:sz w:val="20"/>
        </w:rPr>
        <w:t xml:space="preserve">our patent rights could seek monetary or equitable relief requiring us to pay it compensation for, or refrain from, exploiting these patents due to such </w:t>
      </w:r>
    </w:p>
    <w:p>
      <w:pPr>
        <w:pStyle w:val="TextBody"/>
        <w:spacing w:before="240" w:after="0"/>
        <w:jc w:val="left"/>
        <w:rPr>
          <w:rFonts w:ascii="Times New Roman" w:hAnsi="Times New Roman"/>
          <w:spacing w:val="0"/>
          <w:sz w:val="20"/>
        </w:rPr>
      </w:pPr>
      <w:r>
        <w:rPr>
          <w:rFonts w:ascii="Times New Roman" w:hAnsi="Times New Roman"/>
          <w:spacing w:val="0"/>
          <w:sz w:val="20"/>
        </w:rPr>
        <w:t>co-ownership.</w:t>
      </w:r>
    </w:p>
    <w:p>
      <w:pPr>
        <w:pStyle w:val="TextBody"/>
        <w:spacing w:before="240" w:after="0"/>
        <w:jc w:val="left"/>
        <w:rPr>
          <w:rFonts w:ascii="Times New Roman" w:hAnsi="Times New Roman"/>
          <w:sz w:val="20"/>
        </w:rPr>
      </w:pPr>
      <w:r>
        <w:rPr>
          <w:rFonts w:ascii="Times New Roman" w:hAnsi="Times New Roman"/>
          <w:sz w:val="20"/>
        </w:rPr>
        <w:t xml:space="preserve">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w:t>
      </w:r>
    </w:p>
    <w:p>
      <w:pPr>
        <w:pStyle w:val="TextBody"/>
        <w:spacing w:before="240" w:after="0"/>
        <w:jc w:val="left"/>
        <w:rPr>
          <w:rFonts w:ascii="Times New Roman" w:hAnsi="Times New Roman"/>
          <w:spacing w:val="0"/>
          <w:sz w:val="20"/>
        </w:rPr>
      </w:pPr>
      <w:r>
        <w:rPr>
          <w:rFonts w:ascii="Times New Roman" w:hAnsi="Times New Roman"/>
          <w:spacing w:val="0"/>
          <w:sz w:val="20"/>
        </w:rPr>
        <w:t>jurisdiction-by-jurisdiction basis;</w:t>
      </w:r>
    </w:p>
    <w:p>
      <w:pPr>
        <w:pStyle w:val="TextBody"/>
        <w:spacing w:before="240" w:after="0"/>
        <w:jc w:val="left"/>
        <w:rPr>
          <w:rFonts w:ascii="Times New Roman" w:hAnsi="Times New Roman"/>
          <w:sz w:val="20"/>
        </w:rPr>
      </w:pPr>
      <w:r>
        <w:rPr>
          <w:rFonts w:ascii="Times New Roman" w:hAnsi="Times New Roman"/>
          <w:sz w:val="20"/>
        </w:rPr>
        <w:t xml:space="preserve">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 may</w:t>
      </w:r>
    </w:p>
    <w:p>
      <w:pPr>
        <w:pStyle w:val="TextBody"/>
        <w:spacing w:before="240" w:after="0"/>
        <w:jc w:val="left"/>
        <w:rPr>
          <w:rFonts w:ascii="Times New Roman" w:hAnsi="Times New Roman"/>
          <w:sz w:val="20"/>
        </w:rPr>
      </w:pPr>
      <w:r>
        <w:rPr>
          <w:rFonts w:ascii="Times New Roman" w:hAnsi="Times New Roman"/>
          <w:sz w:val="20"/>
        </w:rPr>
        <w:t xml:space="preserve">not provide us with adequate and continuing patent protection sufficient to exclude others from commercializing drugs similar or identical to our current or future product candidates, including generic versions of such drugs. </w:t>
      </w:r>
    </w:p>
    <w:p>
      <w:pPr>
        <w:pStyle w:val="TextBody"/>
        <w:spacing w:before="240" w:after="0"/>
        <w:jc w:val="left"/>
        <w:rPr>
          <w:rFonts w:ascii="Times New Roman" w:hAnsi="Times New Roman"/>
          <w:sz w:val="20"/>
        </w:rPr>
      </w:pPr>
      <w:r>
        <w:rPr>
          <w:rFonts w:ascii="Times New Roman" w:hAnsi="Times New Roman"/>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 patents</w:t>
      </w:r>
    </w:p>
    <w:p>
      <w:pPr>
        <w:pStyle w:val="TextBody"/>
        <w:spacing w:before="240" w:after="0"/>
        <w:jc w:val="left"/>
        <w:rPr>
          <w:rFonts w:ascii="Times New Roman" w:hAnsi="Times New Roman"/>
          <w:sz w:val="20"/>
        </w:rPr>
      </w:pPr>
      <w:r>
        <w:rPr>
          <w:rFonts w:ascii="Times New Roman" w:hAnsi="Times New Roman"/>
          <w:sz w:val="20"/>
        </w:rPr>
        <w:t xml:space="preserve">or pending patent applications, or that we were the first to file for patent protection of such inventions. As a result, the issuance, scope, validity, enforceability and commercial value of our patent rights cannot be predicted with any certainty.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Even if we acquire patent protection that we expect should enable us to establish and/or maintain a competitive advantage, third parties may challenge the validity, enforceability or scope thereof, which may result in such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inter partes</w:t>
      </w:r>
    </w:p>
    <w:p>
      <w:pPr>
        <w:pStyle w:val="TextBody"/>
        <w:spacing w:before="0" w:after="0"/>
        <w:jc w:val="left"/>
        <w:rPr/>
      </w:pPr>
      <w:r>
        <w:rPr/>
        <w:t> </w:t>
      </w:r>
      <w:r>
        <w:rPr>
          <w:rFonts w:ascii="Times New Roman" w:hAnsi="Times New Roman"/>
          <w:sz w:val="20"/>
        </w:rPr>
        <w:t xml:space="preserve">review, post-grant review,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 </w:t>
      </w:r>
    </w:p>
    <w:p>
      <w:pPr>
        <w:pStyle w:val="TextBody"/>
        <w:spacing w:before="240" w:after="0"/>
        <w:jc w:val="left"/>
        <w:rPr>
          <w:rFonts w:ascii="Times New Roman" w:hAnsi="Times New Roman"/>
          <w:sz w:val="20"/>
        </w:rPr>
      </w:pPr>
      <w:r>
        <w:rPr>
          <w:rFonts w:ascii="Times New Roman" w:hAnsi="Times New Roman"/>
          <w:sz w:val="20"/>
        </w:rPr>
        <w:t xml:space="preserve">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w:t>
      </w:r>
    </w:p>
    <w:p>
      <w:pPr>
        <w:pStyle w:val="TextBody"/>
        <w:spacing w:before="240" w:after="0"/>
        <w:jc w:val="left"/>
        <w:rPr>
          <w:rFonts w:ascii="Times New Roman" w:hAnsi="Times New Roman"/>
          <w:spacing w:val="0"/>
          <w:sz w:val="20"/>
        </w:rPr>
      </w:pPr>
      <w:r>
        <w:rPr>
          <w:rFonts w:ascii="Times New Roman" w:hAnsi="Times New Roman"/>
          <w:spacing w:val="0"/>
          <w:sz w:val="20"/>
        </w:rPr>
        <w:t>know-how,</w:t>
      </w:r>
    </w:p>
    <w:p>
      <w:pPr>
        <w:pStyle w:val="TextBody"/>
        <w:spacing w:before="240" w:after="0"/>
        <w:jc w:val="left"/>
        <w:rPr>
          <w:rFonts w:ascii="Times New Roman" w:hAnsi="Times New Roman"/>
          <w:sz w:val="20"/>
        </w:rPr>
      </w:pPr>
      <w:r>
        <w:rPr>
          <w:rFonts w:ascii="Times New Roman" w:hAnsi="Times New Roman"/>
          <w:sz w:val="20"/>
        </w:rPr>
        <w:t xml:space="preserve">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spacing w:before="240" w:after="0"/>
        <w:jc w:val="left"/>
        <w:rPr>
          <w:rFonts w:ascii="Times New Roman" w:hAnsi="Times New Roman"/>
          <w:sz w:val="20"/>
        </w:rPr>
      </w:pPr>
      <w:r>
        <w:rPr>
          <w:rFonts w:ascii="Times New Roman" w:hAnsi="Times New Roman"/>
          <w:sz w:val="20"/>
        </w:rPr>
        <w:t xml:space="preserve">Even if they are unchallenged, our issued patents and our pending patent applications, if issued, may not provide us with any meaningful protection or prevent competitors from designing around our patent claims to circumvent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 by</w:t>
      </w:r>
    </w:p>
    <w:p>
      <w:pPr>
        <w:pStyle w:val="TextBody"/>
        <w:spacing w:before="240" w:after="0"/>
        <w:jc w:val="left"/>
        <w:rPr>
          <w:rFonts w:ascii="Times New Roman" w:hAnsi="Times New Roman"/>
          <w:sz w:val="20"/>
        </w:rPr>
      </w:pPr>
      <w:r>
        <w:rPr>
          <w:rFonts w:ascii="Times New Roman" w:hAnsi="Times New Roman"/>
          <w:sz w:val="20"/>
        </w:rPr>
        <w:t xml:space="preserve">developing similar or alternative technologies or drugs in a </w:t>
      </w:r>
    </w:p>
    <w:p>
      <w:pPr>
        <w:pStyle w:val="TextBody"/>
        <w:spacing w:before="240" w:after="0"/>
        <w:jc w:val="left"/>
        <w:rPr>
          <w:rFonts w:ascii="Times New Roman" w:hAnsi="Times New Roman"/>
          <w:spacing w:val="0"/>
          <w:sz w:val="20"/>
        </w:rPr>
      </w:pPr>
      <w:r>
        <w:rPr>
          <w:rFonts w:ascii="Times New Roman" w:hAnsi="Times New Roman"/>
          <w:spacing w:val="0"/>
          <w:sz w:val="20"/>
        </w:rPr>
        <w:t>non-infringing manner.</w:t>
      </w:r>
    </w:p>
    <w:p>
      <w:pPr>
        <w:pStyle w:val="TextBody"/>
        <w:spacing w:before="240" w:after="0"/>
        <w:jc w:val="left"/>
        <w:rPr>
          <w:rFonts w:ascii="Times New Roman" w:hAnsi="Times New Roman"/>
          <w:sz w:val="20"/>
        </w:rPr>
      </w:pPr>
      <w:r>
        <w:rPr>
          <w:rFonts w:ascii="Times New Roman" w:hAnsi="Times New Roman"/>
          <w:sz w:val="20"/>
        </w:rPr>
        <w:t xml:space="preserve">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 </w:t>
      </w:r>
    </w:p>
    <w:p>
      <w:pPr>
        <w:pStyle w:val="TextBody"/>
        <w:spacing w:before="120" w:after="0"/>
        <w:jc w:val="left"/>
        <w:rPr>
          <w:rFonts w:ascii="Times New Roman" w:hAnsi="Times New Roman"/>
          <w:sz w:val="20"/>
        </w:rPr>
      </w:pPr>
      <w:r>
        <w:rPr>
          <w:rFonts w:ascii="Times New Roman" w:hAnsi="Times New Roman"/>
          <w:sz w:val="20"/>
        </w:rPr>
        <w:t xml:space="preserve">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w:t>
      </w:r>
    </w:p>
    <w:p>
      <w:pPr>
        <w:pStyle w:val="TextBody"/>
        <w:spacing w:before="120" w:after="0"/>
        <w:jc w:val="left"/>
        <w:rPr>
          <w:rFonts w:ascii="Times New Roman" w:hAnsi="Times New Roman"/>
          <w:spacing w:val="0"/>
          <w:sz w:val="20"/>
        </w:rPr>
      </w:pPr>
      <w:r>
        <w:rPr>
          <w:rFonts w:ascii="Times New Roman" w:hAnsi="Times New Roman"/>
          <w:spacing w:val="0"/>
          <w:sz w:val="20"/>
        </w:rPr>
        <w:t>non-payment of</w:t>
      </w:r>
    </w:p>
    <w:p>
      <w:pPr>
        <w:pStyle w:val="TextBody"/>
        <w:spacing w:before="120" w:after="0"/>
        <w:jc w:val="left"/>
        <w:rPr>
          <w:rFonts w:ascii="Times New Roman" w:hAnsi="Times New Roman"/>
          <w:sz w:val="20"/>
        </w:rPr>
      </w:pPr>
      <w:r>
        <w:rPr>
          <w:rFonts w:ascii="Times New Roman" w:hAnsi="Times New Roman"/>
          <w:sz w:val="20"/>
        </w:rPr>
        <w:t xml:space="preserve">fees and failure to properly legalize and submit formal documents. In such an event, our competitors might be able to enter the market with similar or identical products or platforms, which could have a material adverse effect on our business prospects and financial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do not obtain patent term extension for our product candidates, our business may be materially harmed.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are unable to adequately protect and enforce our trade secrets, our business and competitive position would be harmed. </w:t>
      </w:r>
    </w:p>
    <w:p>
      <w:pPr>
        <w:pStyle w:val="TextBody"/>
        <w:spacing w:before="120" w:after="0"/>
        <w:jc w:val="left"/>
        <w:rPr>
          <w:rFonts w:ascii="Times New Roman" w:hAnsi="Times New Roman"/>
          <w:sz w:val="20"/>
        </w:rPr>
      </w:pPr>
      <w:r>
        <w:rPr>
          <w:rFonts w:ascii="Times New Roman" w:hAnsi="Times New Roman"/>
          <w:sz w:val="20"/>
        </w:rPr>
        <w:t xml:space="preserve">In addition to the protection afforded by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w:t>
      </w:r>
    </w:p>
    <w:p>
      <w:pPr>
        <w:pStyle w:val="TextBody"/>
        <w:spacing w:before="120" w:after="0"/>
        <w:jc w:val="left"/>
        <w:rPr>
          <w:rFonts w:ascii="Times New Roman" w:hAnsi="Times New Roman"/>
          <w:sz w:val="20"/>
        </w:rPr>
      </w:pPr>
      <w:r>
        <w:rPr>
          <w:rFonts w:ascii="Times New Roman" w:hAnsi="Times New Roman"/>
          <w:sz w:val="20"/>
        </w:rPr>
        <w:t xml:space="preserve">we seek to rely on trade secret protection, confidentiality agreements, and license agreements to protect proprietary </w:t>
      </w:r>
    </w:p>
    <w:p>
      <w:pPr>
        <w:pStyle w:val="TextBody"/>
        <w:spacing w:before="120" w:after="0"/>
        <w:jc w:val="left"/>
        <w:rPr>
          <w:rFonts w:ascii="Times New Roman" w:hAnsi="Times New Roman"/>
          <w:spacing w:val="0"/>
          <w:sz w:val="20"/>
        </w:rPr>
      </w:pPr>
      <w:r>
        <w:rPr>
          <w:rFonts w:ascii="Times New Roman" w:hAnsi="Times New Roman"/>
          <w:spacing w:val="0"/>
          <w:sz w:val="20"/>
        </w:rPr>
        <w:t>know-how that</w:t>
      </w:r>
    </w:p>
    <w:p>
      <w:pPr>
        <w:pStyle w:val="TextBody"/>
        <w:spacing w:before="120" w:after="0"/>
        <w:jc w:val="left"/>
        <w:rPr>
          <w:rFonts w:ascii="Times New Roman" w:hAnsi="Times New Roman"/>
          <w:sz w:val="20"/>
        </w:rPr>
      </w:pPr>
      <w:r>
        <w:rPr>
          <w:rFonts w:ascii="Times New Roman" w:hAnsi="Times New Roman"/>
          <w:sz w:val="20"/>
        </w:rPr>
        <w:t xml:space="preserve">may not be patentable, processes for which patents are difficult to enforce and any other elements of our product discovery and development processes that involve proprietary </w:t>
      </w:r>
    </w:p>
    <w:p>
      <w:pPr>
        <w:pStyle w:val="TextBody"/>
        <w:spacing w:before="120" w:after="0"/>
        <w:jc w:val="left"/>
        <w:rPr>
          <w:rFonts w:ascii="Times New Roman" w:hAnsi="Times New Roman"/>
          <w:spacing w:val="0"/>
          <w:sz w:val="20"/>
        </w:rPr>
      </w:pPr>
      <w:r>
        <w:rPr>
          <w:rFonts w:ascii="Times New Roman" w:hAnsi="Times New Roman"/>
          <w:spacing w:val="0"/>
          <w:sz w:val="20"/>
        </w:rPr>
        <w:t>know-how,</w:t>
      </w:r>
    </w:p>
    <w:p>
      <w:pPr>
        <w:pStyle w:val="TextBody"/>
        <w:spacing w:before="120" w:after="0"/>
        <w:jc w:val="left"/>
        <w:rPr>
          <w:rFonts w:ascii="Times New Roman" w:hAnsi="Times New Roman"/>
          <w:sz w:val="20"/>
        </w:rPr>
      </w:pPr>
      <w:r>
        <w:rPr>
          <w:rFonts w:ascii="Times New Roman" w:hAnsi="Times New Roman"/>
          <w:sz w:val="20"/>
        </w:rPr>
        <w:t xml:space="preserve">information, or technology that may not be covered by patents. Although we require all of our employees, consultants, advisors, and any third parties who have access to our proprietary </w:t>
      </w:r>
    </w:p>
    <w:p>
      <w:pPr>
        <w:pStyle w:val="TextBody"/>
        <w:spacing w:before="120" w:after="0"/>
        <w:jc w:val="left"/>
        <w:rPr>
          <w:rFonts w:ascii="Times New Roman" w:hAnsi="Times New Roman"/>
          <w:spacing w:val="0"/>
          <w:sz w:val="20"/>
        </w:rPr>
      </w:pPr>
      <w:r>
        <w:rPr>
          <w:rFonts w:ascii="Times New Roman" w:hAnsi="Times New Roman"/>
          <w:spacing w:val="0"/>
          <w:sz w:val="20"/>
        </w:rPr>
        <w:t>know-how,</w:t>
      </w:r>
    </w:p>
    <w:p>
      <w:pPr>
        <w:pStyle w:val="TextBody"/>
        <w:spacing w:before="120" w:after="0"/>
        <w:jc w:val="left"/>
        <w:rPr>
          <w:rFonts w:ascii="Times New Roman" w:hAnsi="Times New Roman"/>
          <w:sz w:val="20"/>
        </w:rPr>
      </w:pPr>
      <w:r>
        <w:rPr>
          <w:rFonts w:ascii="Times New Roman" w:hAnsi="Times New Roman"/>
          <w:sz w:val="20"/>
        </w:rPr>
        <w:t xml:space="preserve">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initiate, become a defendant in, or otherwise become party to lawsuits to protect or enforce our intellectual property rights, which could be expensive, time-consuming, and unsuccessful. </w:t>
      </w:r>
    </w:p>
    <w:p>
      <w:pPr>
        <w:pStyle w:val="TextBody"/>
        <w:spacing w:before="120" w:after="0"/>
        <w:jc w:val="left"/>
        <w:rPr>
          <w:rFonts w:ascii="Times New Roman" w:hAnsi="Times New Roman"/>
          <w:sz w:val="20"/>
        </w:rPr>
      </w:pPr>
      <w:r>
        <w:rPr>
          <w:rFonts w:ascii="Times New Roman" w:hAnsi="Times New Roman"/>
          <w:sz w:val="20"/>
        </w:rPr>
        <w:t xml:space="preserve">Competitors may infringe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w:t>
      </w:r>
    </w:p>
    <w:p>
      <w:pPr>
        <w:pStyle w:val="TextBody"/>
        <w:spacing w:before="120" w:after="0"/>
        <w:jc w:val="left"/>
        <w:rPr>
          <w:rFonts w:ascii="Times New Roman" w:hAnsi="Times New Roman"/>
          <w:sz w:val="20"/>
        </w:rPr>
      </w:pPr>
      <w:r>
        <w:rPr>
          <w:rFonts w:ascii="Times New Roman" w:hAnsi="Times New Roman"/>
          <w:sz w:val="20"/>
        </w:rPr>
        <w:t xml:space="preserve">In addition,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 also</w:t>
      </w:r>
    </w:p>
    <w:p>
      <w:pPr>
        <w:pStyle w:val="TextBody"/>
        <w:spacing w:before="120" w:after="0"/>
        <w:jc w:val="left"/>
        <w:rPr>
          <w:rFonts w:ascii="Times New Roman" w:hAnsi="Times New Roman"/>
          <w:sz w:val="20"/>
        </w:rPr>
      </w:pPr>
      <w:r>
        <w:rPr>
          <w:rFonts w:ascii="Times New Roman" w:hAnsi="Times New Roman"/>
          <w:sz w:val="20"/>
        </w:rPr>
        <w:t xml:space="preserve">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 is</w:t>
      </w:r>
    </w:p>
    <w:p>
      <w:pPr>
        <w:pStyle w:val="TextBody"/>
        <w:spacing w:before="120" w:after="0"/>
        <w:jc w:val="left"/>
        <w:rPr>
          <w:rFonts w:ascii="Times New Roman" w:hAnsi="Times New Roman"/>
          <w:sz w:val="20"/>
        </w:rPr>
      </w:pPr>
      <w:r>
        <w:rPr>
          <w:rFonts w:ascii="Times New Roman" w:hAnsi="Times New Roman"/>
          <w:sz w:val="20"/>
        </w:rPr>
        <w:t xml:space="preserve">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 do</w:t>
      </w:r>
    </w:p>
    <w:p>
      <w:pPr>
        <w:pStyle w:val="TextBody"/>
        <w:spacing w:before="120" w:after="0"/>
        <w:jc w:val="left"/>
        <w:rPr>
          <w:rFonts w:ascii="Times New Roman" w:hAnsi="Times New Roman"/>
          <w:sz w:val="20"/>
        </w:rPr>
      </w:pPr>
      <w:r>
        <w:rPr>
          <w:rFonts w:ascii="Times New Roman" w:hAnsi="Times New Roman"/>
          <w:sz w:val="20"/>
        </w:rPr>
        <w:t xml:space="preserve">not cover the technology in question or that such third party’s activities do not infringe our patent applications or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w:t>
      </w:r>
    </w:p>
    <w:p>
      <w:pPr>
        <w:pStyle w:val="TextBody"/>
        <w:spacing w:before="120" w:after="0"/>
        <w:jc w:val="left"/>
        <w:rPr>
          <w:rFonts w:ascii="Times New Roman" w:hAnsi="Times New Roman"/>
          <w:sz w:val="20"/>
        </w:rPr>
      </w:pPr>
      <w:r>
        <w:rPr>
          <w:rFonts w:ascii="Times New Roman" w:hAnsi="Times New Roman"/>
          <w:sz w:val="20"/>
        </w:rPr>
        <w:t xml:space="preserve">An adverse result in any litigation or defense proceedings could put one or more of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 at</w:t>
      </w:r>
    </w:p>
    <w:p>
      <w:pPr>
        <w:pStyle w:val="TextBody"/>
        <w:spacing w:before="120" w:after="0"/>
        <w:jc w:val="left"/>
        <w:rPr>
          <w:rFonts w:ascii="Times New Roman" w:hAnsi="Times New Roman"/>
          <w:sz w:val="20"/>
        </w:rPr>
      </w:pPr>
      <w:r>
        <w:rPr>
          <w:rFonts w:ascii="Times New Roman" w:hAnsi="Times New Roman"/>
          <w:sz w:val="20"/>
        </w:rPr>
        <w:t xml:space="preserve">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spacing w:before="240" w:after="0"/>
        <w:jc w:val="left"/>
        <w:rPr>
          <w:rFonts w:ascii="Times New Roman" w:hAnsi="Times New Roman"/>
          <w:sz w:val="20"/>
        </w:rPr>
      </w:pPr>
      <w:r>
        <w:rPr>
          <w:rFonts w:ascii="Times New Roman" w:hAnsi="Times New Roman"/>
          <w:sz w:val="20"/>
        </w:rPr>
        <w:t xml:space="preserve">Post-grant proceedings provoked by third parties or brought by the USPTO may be necessary to determine the validity or priority of inventions with respect to our patent applications or any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w:t>
      </w:r>
    </w:p>
    <w:p>
      <w:pPr>
        <w:pStyle w:val="TextBody"/>
        <w:spacing w:before="240" w:after="0"/>
        <w:jc w:val="left"/>
        <w:rPr>
          <w:rFonts w:ascii="Times New Roman" w:hAnsi="Times New Roman"/>
          <w:sz w:val="20"/>
        </w:rPr>
      </w:pPr>
      <w:r>
        <w:rPr>
          <w:rFonts w:ascii="Times New Roman" w:hAnsi="Times New Roman"/>
          <w:sz w:val="20"/>
        </w:rPr>
        <w:t xml:space="preserve">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spacing w:before="240" w:after="0"/>
        <w:jc w:val="left"/>
        <w:rPr>
          <w:rFonts w:ascii="Times New Roman" w:hAnsi="Times New Roman"/>
          <w:sz w:val="20"/>
        </w:rPr>
      </w:pPr>
      <w:r>
        <w:rPr>
          <w:rFonts w:ascii="Times New Roman" w:hAnsi="Times New Roman"/>
          <w:sz w:val="20"/>
        </w:rPr>
        <w:t xml:space="preserve">We may not be able to detect infringement against any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w:t>
      </w:r>
    </w:p>
    <w:p>
      <w:pPr>
        <w:pStyle w:val="TextBody"/>
        <w:spacing w:before="240" w:after="0"/>
        <w:jc w:val="left"/>
        <w:rPr>
          <w:rFonts w:ascii="Times New Roman" w:hAnsi="Times New Roman"/>
          <w:sz w:val="20"/>
        </w:rPr>
      </w:pPr>
      <w:r>
        <w:rPr>
          <w:rFonts w:ascii="Times New Roman" w:hAnsi="Times New Roman"/>
          <w:sz w:val="20"/>
        </w:rPr>
        <w:t xml:space="preserve">Even if we detect infringement by a third party of any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w:t>
      </w:r>
    </w:p>
    <w:p>
      <w:pPr>
        <w:pStyle w:val="TextBody"/>
        <w:spacing w:before="240" w:after="0"/>
        <w:jc w:val="left"/>
        <w:rPr>
          <w:rFonts w:ascii="Times New Roman" w:hAnsi="Times New Roman"/>
          <w:sz w:val="20"/>
        </w:rPr>
      </w:pPr>
      <w:r>
        <w:rPr>
          <w:rFonts w:ascii="Times New Roman" w:hAnsi="Times New Roman"/>
          <w:sz w:val="20"/>
        </w:rPr>
        <w:t xml:space="preserve">we may choose not to pursue litigation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w:t>
      </w:r>
    </w:p>
    <w:p>
      <w:pPr>
        <w:pStyle w:val="TextBody"/>
        <w:spacing w:before="0" w:after="0"/>
        <w:jc w:val="left"/>
        <w:rPr>
          <w:rFonts w:ascii="Times New Roman" w:hAnsi="Times New Roman"/>
          <w:spacing w:val="0"/>
          <w:sz w:val="20"/>
        </w:rPr>
      </w:pPr>
      <w:r>
        <w:rPr>
          <w:rFonts w:ascii="Times New Roman" w:hAnsi="Times New Roman"/>
          <w:spacing w:val="0"/>
          <w:sz w:val="20"/>
        </w:rPr>
        <w:t>in-license against</w:t>
      </w:r>
    </w:p>
    <w:p>
      <w:pPr>
        <w:pStyle w:val="TextBody"/>
        <w:spacing w:before="0" w:after="0"/>
        <w:jc w:val="left"/>
        <w:rPr>
          <w:rFonts w:ascii="Times New Roman" w:hAnsi="Times New Roman"/>
          <w:sz w:val="20"/>
        </w:rPr>
      </w:pPr>
      <w:r>
        <w:rPr>
          <w:rFonts w:ascii="Times New Roman" w:hAnsi="Times New Roman"/>
          <w:sz w:val="20"/>
        </w:rPr>
        <w:t xml:space="preserve">such third party.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Intellectual property litigation and administrative patent office patent validity challenges in one or more countries could cause us to spend substantial resources and distract our personnel from their normal responsibilities.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 </w:t>
      </w:r>
    </w:p>
    <w:p>
      <w:pPr>
        <w:pStyle w:val="TextBody"/>
        <w:spacing w:before="120" w:after="0"/>
        <w:jc w:val="left"/>
        <w:rPr>
          <w:rFonts w:ascii="Times New Roman" w:hAnsi="Times New Roman"/>
          <w:sz w:val="20"/>
        </w:rPr>
      </w:pPr>
      <w:r>
        <w:rPr>
          <w:rFonts w:ascii="Times New Roman" w:hAnsi="Times New Roman"/>
          <w:sz w:val="20"/>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w:t>
      </w:r>
    </w:p>
    <w:p>
      <w:pPr>
        <w:pStyle w:val="TextBody"/>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inter partes</w:t>
      </w:r>
    </w:p>
    <w:p>
      <w:pPr>
        <w:pStyle w:val="TextBody"/>
        <w:spacing w:before="120" w:after="0"/>
        <w:jc w:val="left"/>
        <w:rPr/>
      </w:pPr>
      <w:r>
        <w:rPr/>
        <w:t> </w:t>
      </w:r>
      <w:r>
        <w:rPr>
          <w:rFonts w:ascii="Times New Roman" w:hAnsi="Times New Roman"/>
          <w:sz w:val="20"/>
        </w:rPr>
        <w:t xml:space="preserve">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w:t>
      </w:r>
    </w:p>
    <w:p>
      <w:pPr>
        <w:pStyle w:val="TextBody"/>
        <w:spacing w:before="120" w:after="0"/>
        <w:jc w:val="left"/>
        <w:rPr>
          <w:rFonts w:ascii="Times New Roman" w:hAnsi="Times New Roman"/>
          <w:spacing w:val="0"/>
          <w:sz w:val="20"/>
        </w:rPr>
      </w:pPr>
      <w:r>
        <w:rPr>
          <w:rFonts w:ascii="Times New Roman" w:hAnsi="Times New Roman"/>
          <w:spacing w:val="0"/>
          <w:sz w:val="20"/>
        </w:rPr>
        <w:t>know-how of</w:t>
      </w:r>
    </w:p>
    <w:p>
      <w:pPr>
        <w:pStyle w:val="TextBody"/>
        <w:spacing w:before="120" w:after="0"/>
        <w:jc w:val="left"/>
        <w:rPr>
          <w:rFonts w:ascii="Times New Roman" w:hAnsi="Times New Roman"/>
          <w:sz w:val="20"/>
        </w:rPr>
      </w:pPr>
      <w:r>
        <w:rPr>
          <w:rFonts w:ascii="Times New Roman" w:hAnsi="Times New Roman"/>
          <w:sz w:val="20"/>
        </w:rPr>
        <w:t xml:space="preserve">others in their work for us, we may be subject to claims that we or these individuals have used or disclosed intellectual property, including trade secrets or other proprietary information, of any such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a third party claims that we infringe, misappropriate or otherwise violate its intellectual property rights, we may face a number of issues, including, but not limited to: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infringement, misappropriation and other intellectual property claims which, regardless of merit, may be expensive and time-consuming to litigate and may divert our management’s attention from our core business and may impact our reputation;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 license is available from a third party, we may have to pay substantial royalties, upfront fees and other amounts, and/or grant cross-licenses to intellectual property rights for our products, or the license to us may be </w:t>
            </w:r>
          </w:p>
          <w:p>
            <w:pPr>
              <w:pStyle w:val="TableContents"/>
              <w:spacing w:before="0" w:after="0"/>
              <w:jc w:val="left"/>
              <w:rPr>
                <w:rFonts w:ascii="Times New Roman" w:hAnsi="Times New Roman"/>
                <w:spacing w:val="0"/>
                <w:sz w:val="20"/>
              </w:rPr>
            </w:pPr>
            <w:r>
              <w:rPr>
                <w:rFonts w:ascii="Times New Roman" w:hAnsi="Times New Roman"/>
                <w:spacing w:val="0"/>
                <w:sz w:val="20"/>
              </w:rPr>
              <w:t>non-exclusive,</w:t>
            </w:r>
          </w:p>
          <w:p>
            <w:pPr>
              <w:pStyle w:val="TableContents"/>
              <w:spacing w:before="0" w:after="0"/>
              <w:jc w:val="left"/>
              <w:rPr>
                <w:rFonts w:ascii="Times New Roman" w:hAnsi="Times New Roman"/>
                <w:sz w:val="20"/>
              </w:rPr>
            </w:pPr>
            <w:r>
              <w:rPr>
                <w:rFonts w:ascii="Times New Roman" w:hAnsi="Times New Roman"/>
                <w:sz w:val="20"/>
              </w:rPr>
              <w:t xml:space="preserve">which would permit third parties to use the same intellectual property to compete with us;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redesigning our current or future product candidates or processes so they do not infringe, misappropriate or violate third-party intellectual property rights, which may not be possible or may require substantial monetary expenditures and time;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may choose to challenge the patentability of claims in a third party’s U.S. patent by requesting that the USPTO review the patent claims in an </w:t>
      </w:r>
    </w:p>
    <w:p>
      <w:pPr>
        <w:pStyle w:val="TextBody"/>
        <w:spacing w:before="0" w:after="0"/>
        <w:jc w:val="left"/>
        <w:rPr>
          <w:rFonts w:ascii="Times New Roman" w:hAnsi="Times New Roman"/>
          <w:spacing w:val="0"/>
          <w:sz w:val="20"/>
        </w:rPr>
      </w:pPr>
      <w:r>
        <w:rPr>
          <w:rFonts w:ascii="Times New Roman" w:hAnsi="Times New Roman"/>
          <w:spacing w:val="0"/>
          <w:sz w:val="20"/>
        </w:rPr>
        <w:t>ex-parte re-exam,</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inter partes</w:t>
      </w:r>
    </w:p>
    <w:p>
      <w:pPr>
        <w:pStyle w:val="TextBody"/>
        <w:spacing w:before="0" w:after="0"/>
        <w:jc w:val="left"/>
        <w:rPr/>
      </w:pPr>
      <w:r>
        <w:rPr/>
        <w:t> </w:t>
      </w:r>
      <w:r>
        <w:rPr>
          <w:rFonts w:ascii="Times New Roman" w:hAnsi="Times New Roman"/>
          <w:sz w:val="20"/>
        </w:rPr>
        <w:t xml:space="preserve">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 </w:t>
      </w:r>
    </w:p>
    <w:p>
      <w:pPr>
        <w:pStyle w:val="TextBody"/>
        <w:spacing w:before="240" w:after="0"/>
        <w:jc w:val="left"/>
        <w:rPr>
          <w:rFonts w:ascii="Times New Roman" w:hAnsi="Times New Roman"/>
          <w:sz w:val="20"/>
        </w:rPr>
      </w:pPr>
      <w:r>
        <w:rPr>
          <w:rFonts w:ascii="Times New Roman" w:hAnsi="Times New Roman"/>
          <w:sz w:val="20"/>
        </w:rPr>
        <w:t xml:space="preserve">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w:t>
      </w:r>
    </w:p>
    <w:p>
      <w:pPr>
        <w:pStyle w:val="TextBody"/>
        <w:spacing w:before="240" w:after="0"/>
        <w:jc w:val="left"/>
        <w:rPr>
          <w:rFonts w:ascii="Times New Roman" w:hAnsi="Times New Roman"/>
          <w:sz w:val="20"/>
        </w:rPr>
      </w:pPr>
      <w:r>
        <w:rPr>
          <w:rFonts w:ascii="Times New Roman" w:hAnsi="Times New Roman"/>
          <w:sz w:val="20"/>
        </w:rPr>
        <w:t xml:space="preserve">we may be required to obtain rights to such patents owned by third parties which may not be available on commercially reasonable terms or at all, or may only be available on a </w:t>
      </w:r>
    </w:p>
    <w:p>
      <w:pPr>
        <w:pStyle w:val="TextBody"/>
        <w:spacing w:before="240" w:after="0"/>
        <w:jc w:val="left"/>
        <w:rPr>
          <w:rFonts w:ascii="Times New Roman" w:hAnsi="Times New Roman"/>
          <w:spacing w:val="0"/>
          <w:sz w:val="20"/>
        </w:rPr>
      </w:pPr>
      <w:r>
        <w:rPr>
          <w:rFonts w:ascii="Times New Roman" w:hAnsi="Times New Roman"/>
          <w:spacing w:val="0"/>
          <w:sz w:val="20"/>
        </w:rPr>
        <w:t>non-exclusive basis.</w:t>
      </w:r>
    </w:p>
    <w:p>
      <w:pPr>
        <w:pStyle w:val="TextBody"/>
        <w:spacing w:before="240" w:after="0"/>
        <w:jc w:val="left"/>
        <w:rPr>
          <w:rFonts w:ascii="Times New Roman" w:hAnsi="Times New Roman"/>
          <w:sz w:val="20"/>
        </w:rPr>
      </w:pPr>
      <w:r>
        <w:rPr>
          <w:rFonts w:ascii="Times New Roman" w:hAnsi="Times New Roman"/>
          <w:sz w:val="20"/>
        </w:rPr>
        <w:t xml:space="preserve">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w:t>
      </w:r>
    </w:p>
    <w:p>
      <w:pPr>
        <w:pStyle w:val="TextBody"/>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 or</w:t>
      </w:r>
    </w:p>
    <w:p>
      <w:pPr>
        <w:pStyle w:val="TextBody"/>
        <w:spacing w:before="240" w:after="0"/>
        <w:jc w:val="left"/>
        <w:rPr>
          <w:rFonts w:ascii="Times New Roman" w:hAnsi="Times New Roman"/>
          <w:sz w:val="20"/>
        </w:rPr>
      </w:pPr>
      <w:r>
        <w:rPr>
          <w:rFonts w:ascii="Times New Roman" w:hAnsi="Times New Roman"/>
          <w:sz w:val="20"/>
        </w:rPr>
        <w:t xml:space="preserve">marketing of competing products in violation of our proprietary rights generally. Proceedings to enforce any rights we may have in our patent applications or any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 in</w:t>
      </w:r>
    </w:p>
    <w:p>
      <w:pPr>
        <w:pStyle w:val="TextBody"/>
        <w:spacing w:before="240" w:after="0"/>
        <w:jc w:val="left"/>
        <w:rPr>
          <w:rFonts w:ascii="Times New Roman" w:hAnsi="Times New Roman"/>
          <w:sz w:val="20"/>
        </w:rPr>
      </w:pPr>
      <w:r>
        <w:rPr>
          <w:rFonts w:ascii="Times New Roman" w:hAnsi="Times New Roman"/>
          <w:sz w:val="20"/>
        </w:rPr>
        <w:t xml:space="preserve">foreign jurisdictions could result in substantial costs and divert our efforts and attention from other aspects of our business, could put any patents we may own or </w:t>
      </w:r>
    </w:p>
    <w:p>
      <w:pPr>
        <w:pStyle w:val="TextBody"/>
        <w:spacing w:before="240" w:after="0"/>
        <w:jc w:val="left"/>
        <w:rPr>
          <w:rFonts w:ascii="Times New Roman" w:hAnsi="Times New Roman"/>
          <w:spacing w:val="0"/>
          <w:sz w:val="20"/>
        </w:rPr>
      </w:pPr>
      <w:r>
        <w:rPr>
          <w:rFonts w:ascii="Times New Roman" w:hAnsi="Times New Roman"/>
          <w:spacing w:val="0"/>
          <w:sz w:val="20"/>
        </w:rPr>
        <w:t>in-license at</w:t>
      </w:r>
    </w:p>
    <w:p>
      <w:pPr>
        <w:pStyle w:val="TextBody"/>
        <w:spacing w:before="240" w:after="0"/>
        <w:jc w:val="left"/>
        <w:rPr>
          <w:rFonts w:ascii="Times New Roman" w:hAnsi="Times New Roman"/>
          <w:sz w:val="20"/>
        </w:rPr>
      </w:pPr>
      <w:r>
        <w:rPr>
          <w:rFonts w:ascii="Times New Roman" w:hAnsi="Times New Roman"/>
          <w:sz w:val="20"/>
        </w:rPr>
        <w:t xml:space="preserve">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not obtain or grant licenses or sublicenses to intellectual property rights in all markets on equally or sufficiently favorable terms with third parties.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w:t>
      </w:r>
    </w:p>
    <w:p>
      <w:pPr>
        <w:pStyle w:val="TextBody"/>
        <w:spacing w:before="0" w:after="0"/>
        <w:jc w:val="left"/>
        <w:rPr>
          <w:rFonts w:ascii="Times New Roman" w:hAnsi="Times New Roman"/>
          <w:spacing w:val="0"/>
          <w:sz w:val="20"/>
        </w:rPr>
      </w:pPr>
      <w:r>
        <w:rPr>
          <w:rFonts w:ascii="Times New Roman" w:hAnsi="Times New Roman"/>
          <w:spacing w:val="0"/>
          <w:sz w:val="20"/>
        </w:rPr>
        <w:t>non-exclusive,</w:t>
      </w:r>
    </w:p>
    <w:p>
      <w:pPr>
        <w:pStyle w:val="TextBody"/>
        <w:spacing w:before="0" w:after="0"/>
        <w:jc w:val="left"/>
        <w:rPr>
          <w:rFonts w:ascii="Times New Roman" w:hAnsi="Times New Roman"/>
          <w:sz w:val="20"/>
        </w:rPr>
      </w:pPr>
      <w:r>
        <w:rPr>
          <w:rFonts w:ascii="Times New Roman" w:hAnsi="Times New Roman"/>
          <w:sz w:val="20"/>
        </w:rPr>
        <w:t xml:space="preserve">thereby giving our competitors access to the same technologies licensed to us. Any of the foregoing could harm our competitive position, business, financial condition, results of operations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Disputes may also arise between us and our licensors regarding intellectual property subject to a license agreement, including: </w:t>
      </w:r>
    </w:p>
    <w:p>
      <w:pPr>
        <w:pStyle w:val="TextBody"/>
        <w:spacing w:before="0" w:after="0"/>
        <w:jc w:val="left"/>
        <w:rPr>
          <w:spacing w:val="0"/>
        </w:rPr>
      </w:pPr>
      <w:r>
        <w:rPr>
          <w:spacing w:val="0"/>
        </w:rPr>
        <w:t> </w:t>
      </w:r>
    </w:p>
    <w:tbl>
      <w:tblPr>
        <w:tblW w:w="7945" w:type="dxa"/>
        <w:jc w:val="left"/>
        <w:tblInd w:w="0" w:type="dxa"/>
        <w:tblCellMar>
          <w:top w:w="0" w:type="dxa"/>
          <w:left w:w="0" w:type="dxa"/>
          <w:bottom w:w="0" w:type="dxa"/>
          <w:right w:w="0" w:type="dxa"/>
        </w:tblCellMar>
      </w:tblPr>
      <w:tblGrid>
        <w:gridCol w:w="75"/>
        <w:gridCol w:w="110"/>
        <w:gridCol w:w="60"/>
        <w:gridCol w:w="7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scope of rights granted under the license agreement and other interpretation-related issues;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whether and the extent to which our technology and processes infringe, misappropriate or otherwise violate intellectual property rights of the licensor that is not subject to the licensing agreement; </w:t>
            </w:r>
          </w:p>
        </w:tc>
      </w:tr>
    </w:tbl>
    <w:p>
      <w:pPr>
        <w:pStyle w:val="TextBody"/>
        <w:spacing w:before="0" w:after="0"/>
        <w:jc w:val="left"/>
        <w:rPr>
          <w:spacing w:val="0"/>
        </w:rPr>
      </w:pPr>
      <w:r>
        <w:rPr>
          <w:spacing w:val="0"/>
        </w:rPr>
        <w:t> </w:t>
      </w:r>
    </w:p>
    <w:tbl>
      <w:tblPr>
        <w:tblW w:w="9145" w:type="dxa"/>
        <w:jc w:val="left"/>
        <w:tblInd w:w="0" w:type="dxa"/>
        <w:tblCellMar>
          <w:top w:w="0" w:type="dxa"/>
          <w:left w:w="0" w:type="dxa"/>
          <w:bottom w:w="0" w:type="dxa"/>
          <w:right w:w="0" w:type="dxa"/>
        </w:tblCellMar>
      </w:tblPr>
      <w:tblGrid>
        <w:gridCol w:w="75"/>
        <w:gridCol w:w="110"/>
        <w:gridCol w:w="60"/>
        <w:gridCol w:w="8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right to sublicense patent and other rights to third parties under collaborative development relationships;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diligence obligations with respect to the use of the licensed technology in relation to our development and commercialization of our current or future product candidates, and what activities satisfy those diligence obligations; </w:t>
            </w:r>
          </w:p>
        </w:tc>
      </w:tr>
    </w:tbl>
    <w:p>
      <w:pPr>
        <w:pStyle w:val="TextBody"/>
        <w:spacing w:before="0" w:after="0"/>
        <w:jc w:val="left"/>
        <w:rPr>
          <w:spacing w:val="0"/>
        </w:rPr>
      </w:pPr>
      <w:r>
        <w:rPr>
          <w:spacing w:val="0"/>
        </w:rPr>
        <w:t> </w:t>
      </w:r>
    </w:p>
    <w:tbl>
      <w:tblPr>
        <w:tblW w:w="4975" w:type="dxa"/>
        <w:jc w:val="left"/>
        <w:tblInd w:w="0" w:type="dxa"/>
        <w:tblCellMar>
          <w:top w:w="0" w:type="dxa"/>
          <w:left w:w="0" w:type="dxa"/>
          <w:bottom w:w="0" w:type="dxa"/>
          <w:right w:w="0" w:type="dxa"/>
        </w:tblCellMar>
      </w:tblPr>
      <w:tblGrid>
        <w:gridCol w:w="75"/>
        <w:gridCol w:w="110"/>
        <w:gridCol w:w="60"/>
        <w:gridCol w:w="4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priority of invention of any patented technology; and </w:t>
            </w:r>
          </w:p>
        </w:tc>
      </w:tr>
    </w:tbl>
    <w:p>
      <w:pPr>
        <w:pStyle w:val="TextBody"/>
        <w:spacing w:before="0" w:after="0"/>
        <w:jc w:val="left"/>
        <w:rPr>
          <w:spacing w:val="0"/>
        </w:rPr>
      </w:pPr>
      <w:r>
        <w:rPr>
          <w:spacing w:val="0"/>
        </w:rPr>
        <w:t> </w:t>
      </w:r>
    </w:p>
    <w:tbl>
      <w:tblPr>
        <w:tblW w:w="8410" w:type="dxa"/>
        <w:jc w:val="left"/>
        <w:tblInd w:w="0" w:type="dxa"/>
        <w:tblCellMar>
          <w:top w:w="0" w:type="dxa"/>
          <w:left w:w="0" w:type="dxa"/>
          <w:bottom w:w="0" w:type="dxa"/>
          <w:right w:w="0" w:type="dxa"/>
        </w:tblCellMar>
      </w:tblPr>
      <w:tblGrid>
        <w:gridCol w:w="75"/>
        <w:gridCol w:w="110"/>
        <w:gridCol w:w="60"/>
        <w:gridCol w:w="8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ownership of inventions and </w:t>
            </w:r>
          </w:p>
          <w:p>
            <w:pPr>
              <w:pStyle w:val="TableContents"/>
              <w:spacing w:before="0" w:after="0"/>
              <w:jc w:val="left"/>
              <w:rPr>
                <w:rFonts w:ascii="Times New Roman" w:hAnsi="Times New Roman"/>
                <w:spacing w:val="0"/>
                <w:sz w:val="20"/>
              </w:rPr>
            </w:pPr>
            <w:r>
              <w:rPr>
                <w:rFonts w:ascii="Times New Roman" w:hAnsi="Times New Roman"/>
                <w:spacing w:val="0"/>
                <w:sz w:val="20"/>
              </w:rPr>
              <w:t>know-how resulting</w:t>
            </w:r>
          </w:p>
          <w:p>
            <w:pPr>
              <w:pStyle w:val="TableContents"/>
              <w:spacing w:before="0" w:after="0"/>
              <w:jc w:val="left"/>
              <w:rPr>
                <w:rFonts w:ascii="Times New Roman" w:hAnsi="Times New Roman"/>
                <w:sz w:val="20"/>
              </w:rPr>
            </w:pPr>
            <w:r>
              <w:rPr>
                <w:rFonts w:ascii="Times New Roman" w:hAnsi="Times New Roman"/>
                <w:sz w:val="20"/>
              </w:rPr>
              <w:t xml:space="preserve">from the joint creation or use of intellectual property by our future licensors and us and our partners.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Any granted patents we may own or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in-license</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 </w:t>
      </w:r>
    </w:p>
    <w:p>
      <w:pPr>
        <w:pStyle w:val="TextBody"/>
        <w:spacing w:before="120" w:after="0"/>
        <w:jc w:val="left"/>
        <w:rPr>
          <w:rFonts w:ascii="Times New Roman" w:hAnsi="Times New Roman"/>
          <w:sz w:val="20"/>
        </w:rPr>
      </w:pPr>
      <w:r>
        <w:rPr>
          <w:rFonts w:ascii="Times New Roman" w:hAnsi="Times New Roman"/>
          <w:sz w:val="20"/>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w:t>
      </w:r>
    </w:p>
    <w:p>
      <w:pPr>
        <w:pStyle w:val="TextBody"/>
        <w:spacing w:before="120" w:after="0"/>
        <w:jc w:val="left"/>
        <w:rPr>
          <w:rFonts w:ascii="Times New Roman" w:hAnsi="Times New Roman"/>
          <w:spacing w:val="0"/>
          <w:sz w:val="20"/>
        </w:rPr>
      </w:pPr>
      <w:r>
        <w:rPr>
          <w:rFonts w:ascii="Times New Roman" w:hAnsi="Times New Roman"/>
          <w:spacing w:val="0"/>
          <w:sz w:val="20"/>
        </w:rPr>
        <w:t>non-enablement.</w:t>
      </w:r>
    </w:p>
    <w:p>
      <w:pPr>
        <w:pStyle w:val="TextBody"/>
        <w:spacing w:before="120" w:after="0"/>
        <w:jc w:val="left"/>
        <w:rPr>
          <w:rFonts w:ascii="Times New Roman" w:hAnsi="Times New Roman"/>
          <w:sz w:val="20"/>
        </w:rPr>
      </w:pPr>
      <w:r>
        <w:rPr>
          <w:rFonts w:ascii="Times New Roman" w:hAnsi="Times New Roman"/>
          <w:sz w:val="20"/>
        </w:rPr>
        <w:t xml:space="preserve">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w:t>
      </w:r>
    </w:p>
    <w:p>
      <w:pPr>
        <w:pStyle w:val="TextBody"/>
        <w:spacing w:before="120" w:after="0"/>
        <w:jc w:val="left"/>
        <w:rPr>
          <w:rFonts w:ascii="Times New Roman" w:hAnsi="Times New Roman"/>
          <w:spacing w:val="0"/>
          <w:sz w:val="20"/>
        </w:rPr>
      </w:pPr>
      <w:r>
        <w:rPr>
          <w:rFonts w:ascii="Times New Roman" w:hAnsi="Times New Roman"/>
          <w:spacing w:val="0"/>
          <w:sz w:val="20"/>
        </w:rPr>
        <w:t>re-examination,</w:t>
      </w:r>
    </w:p>
    <w:p>
      <w:pPr>
        <w:pStyle w:val="TextBody"/>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inter partes</w:t>
      </w:r>
    </w:p>
    <w:p>
      <w:pPr>
        <w:pStyle w:val="TextBody"/>
        <w:spacing w:before="120" w:after="0"/>
        <w:jc w:val="left"/>
        <w:rPr/>
      </w:pPr>
      <w:r>
        <w:rPr/>
        <w:t> </w:t>
      </w:r>
      <w:r>
        <w:rPr>
          <w:rFonts w:ascii="Times New Roman" w:hAnsi="Times New Roman"/>
          <w:sz w:val="20"/>
        </w:rPr>
        <w:t xml:space="preserve">review, post grant review and equivalent proceedings in foreign jurisdictions (such as opposition proceedings). Such proceedings could result in revocation or amendment to our patent applications or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 in</w:t>
      </w:r>
    </w:p>
    <w:p>
      <w:pPr>
        <w:pStyle w:val="TextBody"/>
        <w:spacing w:before="120" w:after="0"/>
        <w:jc w:val="left"/>
        <w:rPr>
          <w:rFonts w:ascii="Times New Roman" w:hAnsi="Times New Roman"/>
          <w:sz w:val="20"/>
        </w:rPr>
      </w:pPr>
      <w:r>
        <w:rPr>
          <w:rFonts w:ascii="Times New Roman" w:hAnsi="Times New Roman"/>
          <w:sz w:val="20"/>
        </w:rPr>
        <w:t xml:space="preserve">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w:t>
      </w:r>
    </w:p>
    <w:p>
      <w:pPr>
        <w:pStyle w:val="TextBody"/>
        <w:spacing w:before="120" w:after="0"/>
        <w:jc w:val="left"/>
        <w:rPr>
          <w:rFonts w:ascii="Times New Roman" w:hAnsi="Times New Roman"/>
          <w:sz w:val="20"/>
        </w:rPr>
      </w:pPr>
      <w:r>
        <w:rPr>
          <w:rFonts w:ascii="Times New Roman" w:hAnsi="Times New Roman"/>
          <w:sz w:val="20"/>
        </w:rPr>
        <w:t xml:space="preserve">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w:t>
      </w:r>
    </w:p>
    <w:p>
      <w:pPr>
        <w:pStyle w:val="TextBody"/>
        <w:spacing w:before="120" w:after="0"/>
        <w:jc w:val="left"/>
        <w:rPr>
          <w:rFonts w:ascii="Times New Roman" w:hAnsi="Times New Roman"/>
          <w:spacing w:val="0"/>
          <w:sz w:val="20"/>
        </w:rPr>
      </w:pPr>
      <w:r>
        <w:rPr>
          <w:rFonts w:ascii="Times New Roman" w:hAnsi="Times New Roman"/>
          <w:spacing w:val="0"/>
          <w:sz w:val="20"/>
        </w:rPr>
        <w:t>in-license.</w:t>
      </w:r>
    </w:p>
    <w:p>
      <w:pPr>
        <w:pStyle w:val="TextBody"/>
        <w:spacing w:before="120" w:after="0"/>
        <w:jc w:val="left"/>
        <w:rPr>
          <w:rFonts w:ascii="Times New Roman" w:hAnsi="Times New Roman"/>
          <w:sz w:val="20"/>
        </w:rPr>
      </w:pPr>
      <w:r>
        <w:rPr>
          <w:rFonts w:ascii="Times New Roman" w:hAnsi="Times New Roman"/>
          <w:sz w:val="20"/>
        </w:rPr>
        <w:t xml:space="preserve">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w:t>
      </w:r>
    </w:p>
    <w:p>
      <w:pPr>
        <w:pStyle w:val="TextBody"/>
        <w:spacing w:before="0" w:after="0"/>
        <w:jc w:val="left"/>
        <w:rPr>
          <w:rFonts w:ascii="Times New Roman" w:hAnsi="Times New Roman"/>
          <w:spacing w:val="0"/>
          <w:sz w:val="20"/>
        </w:rPr>
      </w:pPr>
      <w:r>
        <w:rPr>
          <w:rFonts w:ascii="Times New Roman" w:hAnsi="Times New Roman"/>
          <w:spacing w:val="0"/>
          <w:sz w:val="20"/>
        </w:rPr>
        <w:t>non-exclusive.</w:t>
      </w:r>
    </w:p>
    <w:p>
      <w:pPr>
        <w:pStyle w:val="TextBody"/>
        <w:spacing w:before="0" w:after="0"/>
        <w:jc w:val="left"/>
        <w:rPr>
          <w:rFonts w:ascii="Times New Roman" w:hAnsi="Times New Roman"/>
          <w:sz w:val="20"/>
        </w:rPr>
      </w:pPr>
      <w:r>
        <w:rPr>
          <w:rFonts w:ascii="Times New Roman" w:hAnsi="Times New Roman"/>
          <w:sz w:val="20"/>
        </w:rPr>
        <w:t xml:space="preserve">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in patent law could diminish the value of patents in general, thereby impairing our ability to protect our current or future product candidates. </w:t>
      </w:r>
    </w:p>
    <w:p>
      <w:pPr>
        <w:pStyle w:val="TextBody"/>
        <w:spacing w:before="120" w:after="0"/>
        <w:jc w:val="left"/>
        <w:rPr>
          <w:rFonts w:ascii="Times New Roman" w:hAnsi="Times New Roman"/>
          <w:sz w:val="20"/>
        </w:rPr>
      </w:pPr>
      <w:r>
        <w:rPr>
          <w:rFonts w:ascii="Times New Roman" w:hAnsi="Times New Roman"/>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 partes</w:t>
      </w:r>
    </w:p>
    <w:p>
      <w:pPr>
        <w:pStyle w:val="TextBody"/>
        <w:spacing w:before="120" w:after="0"/>
        <w:jc w:val="left"/>
        <w:rPr/>
      </w:pPr>
      <w:r>
        <w:rPr/>
        <w:t> </w:t>
      </w:r>
      <w:r>
        <w:rPr>
          <w:rFonts w:ascii="Times New Roman" w:hAnsi="Times New Roman"/>
          <w:sz w:val="20"/>
        </w:rPr>
        <w:t xml:space="preserve">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spacing w:before="240" w:after="0"/>
        <w:jc w:val="left"/>
        <w:rPr>
          <w:rFonts w:ascii="Times New Roman" w:hAnsi="Times New Roman"/>
          <w:sz w:val="20"/>
        </w:rPr>
      </w:pPr>
      <w:r>
        <w:rPr>
          <w:rFonts w:ascii="Times New Roman" w:hAnsi="Times New Roman"/>
          <w:sz w:val="20"/>
        </w:rPr>
        <w:t xml:space="preserve">In addition, the Leahy-Smith Act has transformed the U.S. patent system into a “first inventor to file” system. The </w:t>
      </w:r>
    </w:p>
    <w:p>
      <w:pPr>
        <w:pStyle w:val="TextBody"/>
        <w:spacing w:before="240" w:after="0"/>
        <w:jc w:val="left"/>
        <w:rPr>
          <w:rFonts w:ascii="Times New Roman" w:hAnsi="Times New Roman"/>
          <w:spacing w:val="0"/>
          <w:sz w:val="20"/>
        </w:rPr>
      </w:pPr>
      <w:r>
        <w:rPr>
          <w:rFonts w:ascii="Times New Roman" w:hAnsi="Times New Roman"/>
          <w:spacing w:val="0"/>
          <w:sz w:val="20"/>
        </w:rPr>
        <w:t>first-inventor-to-file provisions,</w:t>
      </w:r>
    </w:p>
    <w:p>
      <w:pPr>
        <w:pStyle w:val="TextBody"/>
        <w:spacing w:before="240" w:after="0"/>
        <w:jc w:val="left"/>
        <w:rPr>
          <w:rFonts w:ascii="Times New Roman" w:hAnsi="Times New Roman"/>
          <w:sz w:val="20"/>
        </w:rPr>
      </w:pPr>
      <w:r>
        <w:rPr>
          <w:rFonts w:ascii="Times New Roman" w:hAnsi="Times New Roman"/>
          <w:sz w:val="20"/>
        </w:rPr>
        <w:t xml:space="preserve">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w:t>
      </w:r>
    </w:p>
    <w:p>
      <w:pPr>
        <w:pStyle w:val="TextBody"/>
        <w:spacing w:before="240" w:after="0"/>
        <w:jc w:val="left"/>
        <w:rPr>
          <w:rFonts w:ascii="Times New Roman" w:hAnsi="Times New Roman"/>
          <w:spacing w:val="0"/>
          <w:sz w:val="20"/>
        </w:rPr>
      </w:pPr>
      <w:r>
        <w:rPr>
          <w:rFonts w:ascii="Times New Roman" w:hAnsi="Times New Roman"/>
          <w:spacing w:val="0"/>
          <w:sz w:val="20"/>
        </w:rPr>
        <w:t>law-making bodies</w:t>
      </w:r>
    </w:p>
    <w:p>
      <w:pPr>
        <w:pStyle w:val="TextBody"/>
        <w:spacing w:before="240" w:after="0"/>
        <w:jc w:val="left"/>
        <w:rPr>
          <w:rFonts w:ascii="Times New Roman" w:hAnsi="Times New Roman"/>
          <w:sz w:val="20"/>
        </w:rPr>
      </w:pPr>
      <w:r>
        <w:rPr>
          <w:rFonts w:ascii="Times New Roman" w:hAnsi="Times New Roman"/>
          <w:sz w:val="20"/>
        </w:rPr>
        <w:t xml:space="preserve">in other countries, the laws and regulations governing patents could change in unpredictable ways that would weaken our ability to obtain new patents or to enforce our existing patents and patents that we might obtain in the future.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not identify relevant third-party patents or may incorrectly interpret the relevance, scope or expiration of a third-party patent, which might subject us to infringement claims or adversely affect our ability to develop and market our current or future product candidates.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Intellectual property rights do not guarantee commercial success of current or future product candidates or other business activities. Numerous factors may limit any potential competitive advantage provided by our intellectual property rights. </w:t>
      </w:r>
    </w:p>
    <w:p>
      <w:pPr>
        <w:pStyle w:val="TextBody"/>
        <w:spacing w:before="120" w:after="0"/>
        <w:jc w:val="left"/>
        <w:rPr>
          <w:rFonts w:ascii="Times New Roman" w:hAnsi="Times New Roman"/>
          <w:sz w:val="20"/>
        </w:rPr>
      </w:pPr>
      <w:r>
        <w:rPr>
          <w:rFonts w:ascii="Times New Roman" w:hAnsi="Times New Roman"/>
          <w:sz w:val="20"/>
        </w:rPr>
        <w:t xml:space="preserve">The degree of future protection afforded by our intellectual property rights, whether owned or </w:t>
      </w:r>
    </w:p>
    <w:p>
      <w:pPr>
        <w:pStyle w:val="TextBody"/>
        <w:spacing w:before="120" w:after="0"/>
        <w:jc w:val="left"/>
        <w:rPr>
          <w:rFonts w:ascii="Times New Roman" w:hAnsi="Times New Roman"/>
          <w:spacing w:val="0"/>
          <w:sz w:val="20"/>
        </w:rPr>
      </w:pPr>
      <w:r>
        <w:rPr>
          <w:rFonts w:ascii="Times New Roman" w:hAnsi="Times New Roman"/>
          <w:spacing w:val="0"/>
          <w:sz w:val="20"/>
        </w:rPr>
        <w:t>in-licensed,</w:t>
      </w:r>
    </w:p>
    <w:p>
      <w:pPr>
        <w:pStyle w:val="TextBody"/>
        <w:spacing w:before="120" w:after="0"/>
        <w:jc w:val="left"/>
        <w:rPr>
          <w:rFonts w:ascii="Times New Roman" w:hAnsi="Times New Roman"/>
          <w:sz w:val="20"/>
        </w:rPr>
      </w:pPr>
      <w:r>
        <w:rPr>
          <w:rFonts w:ascii="Times New Roman" w:hAnsi="Times New Roman"/>
          <w:sz w:val="20"/>
        </w:rPr>
        <w:t xml:space="preserve">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 </w:t>
      </w:r>
    </w:p>
    <w:p>
      <w:pPr>
        <w:pStyle w:val="TextBody"/>
        <w:spacing w:before="0" w:after="0"/>
        <w:jc w:val="left"/>
        <w:rPr>
          <w:spacing w:val="0"/>
        </w:rPr>
      </w:pPr>
      <w:r>
        <w:rPr>
          <w:spacing w:val="0"/>
        </w:rPr>
        <w:t> </w:t>
      </w:r>
    </w:p>
    <w:tbl>
      <w:tblPr>
        <w:tblW w:w="3505" w:type="dxa"/>
        <w:jc w:val="left"/>
        <w:tblInd w:w="0" w:type="dxa"/>
        <w:tblCellMar>
          <w:top w:w="0" w:type="dxa"/>
          <w:left w:w="0" w:type="dxa"/>
          <w:bottom w:w="0" w:type="dxa"/>
          <w:right w:w="0" w:type="dxa"/>
        </w:tblCellMar>
      </w:tblPr>
      <w:tblGrid>
        <w:gridCol w:w="75"/>
        <w:gridCol w:w="110"/>
        <w:gridCol w:w="60"/>
        <w:gridCol w:w="3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patent applications that we own or may </w:t>
            </w:r>
          </w:p>
          <w:p>
            <w:pPr>
              <w:pStyle w:val="TableContents"/>
              <w:spacing w:before="0" w:after="0"/>
              <w:jc w:val="left"/>
              <w:rPr>
                <w:rFonts w:ascii="Times New Roman" w:hAnsi="Times New Roman"/>
                <w:spacing w:val="0"/>
                <w:sz w:val="20"/>
              </w:rPr>
            </w:pPr>
            <w:r>
              <w:rPr>
                <w:rFonts w:ascii="Times New Roman" w:hAnsi="Times New Roman"/>
                <w:spacing w:val="0"/>
                <w:sz w:val="20"/>
              </w:rPr>
              <w:t>in-license may</w:t>
            </w:r>
          </w:p>
          <w:p>
            <w:pPr>
              <w:pStyle w:val="TableContents"/>
              <w:spacing w:before="0" w:after="0"/>
              <w:jc w:val="left"/>
              <w:rPr>
                <w:rFonts w:ascii="Times New Roman" w:hAnsi="Times New Roman"/>
                <w:sz w:val="20"/>
              </w:rPr>
            </w:pPr>
            <w:r>
              <w:rPr>
                <w:rFonts w:ascii="Times New Roman" w:hAnsi="Times New Roman"/>
                <w:sz w:val="20"/>
              </w:rPr>
              <w:t xml:space="preserve">not lead to issued patents;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patents, should they issue, that we may own or </w:t>
            </w:r>
          </w:p>
          <w:p>
            <w:pPr>
              <w:pStyle w:val="TableContents"/>
              <w:spacing w:before="0" w:after="0"/>
              <w:jc w:val="left"/>
              <w:rPr>
                <w:rFonts w:ascii="Times New Roman" w:hAnsi="Times New Roman"/>
                <w:spacing w:val="0"/>
                <w:sz w:val="20"/>
              </w:rPr>
            </w:pPr>
            <w:r>
              <w:rPr>
                <w:rFonts w:ascii="Times New Roman" w:hAnsi="Times New Roman"/>
                <w:spacing w:val="0"/>
                <w:sz w:val="20"/>
              </w:rPr>
              <w:t>in-license,</w:t>
            </w:r>
          </w:p>
          <w:p>
            <w:pPr>
              <w:pStyle w:val="TableContents"/>
              <w:spacing w:before="0" w:after="0"/>
              <w:jc w:val="left"/>
              <w:rPr>
                <w:rFonts w:ascii="Times New Roman" w:hAnsi="Times New Roman"/>
                <w:sz w:val="20"/>
              </w:rPr>
            </w:pPr>
            <w:r>
              <w:rPr>
                <w:rFonts w:ascii="Times New Roman" w:hAnsi="Times New Roman"/>
                <w:sz w:val="20"/>
              </w:rPr>
              <w:t xml:space="preserve">may not provide us with any competitive advantages, may be narrowed in scope, or may be challenged and held invalid or unenforceable;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51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w:t>
            </w:r>
          </w:p>
          <w:p>
            <w:pPr>
              <w:pStyle w:val="TableContents"/>
              <w:spacing w:before="0" w:after="0"/>
              <w:jc w:val="left"/>
              <w:rPr>
                <w:rFonts w:ascii="Times New Roman" w:hAnsi="Times New Roman"/>
                <w:spacing w:val="0"/>
                <w:sz w:val="20"/>
              </w:rPr>
            </w:pPr>
            <w:r>
              <w:rPr>
                <w:rFonts w:ascii="Times New Roman" w:hAnsi="Times New Roman"/>
                <w:spacing w:val="0"/>
                <w:sz w:val="20"/>
              </w:rPr>
              <w:t>in-license,</w:t>
            </w:r>
          </w:p>
          <w:p>
            <w:pPr>
              <w:pStyle w:val="TableContents"/>
              <w:spacing w:before="0" w:after="0"/>
              <w:jc w:val="left"/>
              <w:rPr>
                <w:rFonts w:ascii="Times New Roman" w:hAnsi="Times New Roman"/>
                <w:sz w:val="20"/>
              </w:rPr>
            </w:pPr>
            <w:r>
              <w:rPr>
                <w:rFonts w:ascii="Times New Roman" w:hAnsi="Times New Roman"/>
                <w:sz w:val="20"/>
              </w:rPr>
              <w:t xml:space="preserve">should any patents issue; </w:t>
            </w:r>
          </w:p>
        </w:tc>
      </w:tr>
    </w:tbl>
    <w:p>
      <w:pPr>
        <w:pStyle w:val="TextBody"/>
        <w:spacing w:before="0" w:after="0"/>
        <w:jc w:val="left"/>
        <w:rPr>
          <w:spacing w:val="0"/>
        </w:rPr>
      </w:pPr>
      <w:r>
        <w:rPr>
          <w:spacing w:val="0"/>
        </w:rPr>
        <w:t> </w:t>
      </w:r>
    </w:p>
    <w:tbl>
      <w:tblPr>
        <w:tblW w:w="8695" w:type="dxa"/>
        <w:jc w:val="left"/>
        <w:tblInd w:w="0" w:type="dxa"/>
        <w:tblCellMar>
          <w:top w:w="0" w:type="dxa"/>
          <w:left w:w="0" w:type="dxa"/>
          <w:bottom w:w="0" w:type="dxa"/>
          <w:right w:w="0" w:type="dxa"/>
        </w:tblCellMar>
      </w:tblPr>
      <w:tblGrid>
        <w:gridCol w:w="75"/>
        <w:gridCol w:w="110"/>
        <w:gridCol w:w="60"/>
        <w:gridCol w:w="8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third parties may compete with us in jurisdictions where we do not pursue and obtain patent protection;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or our future licensors or collaborators, might not have been the first to make the inventions covered by a patent application that we own or may </w:t>
            </w:r>
          </w:p>
          <w:p>
            <w:pPr>
              <w:pStyle w:val="TableContents"/>
              <w:spacing w:before="0" w:after="0"/>
              <w:jc w:val="left"/>
              <w:rPr>
                <w:rFonts w:ascii="Times New Roman" w:hAnsi="Times New Roman"/>
                <w:spacing w:val="0"/>
                <w:sz w:val="20"/>
              </w:rPr>
            </w:pPr>
            <w:r>
              <w:rPr>
                <w:rFonts w:ascii="Times New Roman" w:hAnsi="Times New Roman"/>
                <w:spacing w:val="0"/>
                <w:sz w:val="20"/>
              </w:rPr>
              <w:t>in-license;</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or our future licensors or collaborators, might not have been the first to file patent applications covering a particular invention;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others may independently develop similar or alternative technologies without infringing, misappropriating or otherwise violating our intellectual property rights;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 </w:t>
            </w:r>
          </w:p>
        </w:tc>
      </w:tr>
    </w:tbl>
    <w:p>
      <w:pPr>
        <w:pStyle w:val="TextBody"/>
        <w:spacing w:before="0" w:after="0"/>
        <w:jc w:val="left"/>
        <w:rPr>
          <w:spacing w:val="0"/>
        </w:rPr>
      </w:pPr>
      <w:r>
        <w:rPr>
          <w:spacing w:val="0"/>
        </w:rPr>
        <w:t> </w:t>
      </w:r>
    </w:p>
    <w:tbl>
      <w:tblPr>
        <w:tblW w:w="7885" w:type="dxa"/>
        <w:jc w:val="left"/>
        <w:tblInd w:w="0" w:type="dxa"/>
        <w:tblCellMar>
          <w:top w:w="0" w:type="dxa"/>
          <w:left w:w="0" w:type="dxa"/>
          <w:bottom w:w="0" w:type="dxa"/>
          <w:right w:w="0" w:type="dxa"/>
        </w:tblCellMar>
      </w:tblPr>
      <w:tblGrid>
        <w:gridCol w:w="75"/>
        <w:gridCol w:w="110"/>
        <w:gridCol w:w="60"/>
        <w:gridCol w:w="7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not be able to obtain and/or maintain necessary licenses on reasonable terms or at all;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third parties may assert an ownership interest in our intellectual property and, if successful, such disputes may preclude us from exercising exclusive rights, or any rights at all, over that intellectual property; </w:t>
            </w:r>
          </w:p>
        </w:tc>
      </w:tr>
    </w:tbl>
    <w:p>
      <w:pPr>
        <w:pStyle w:val="TextBody"/>
        <w:spacing w:before="0" w:after="0"/>
        <w:jc w:val="left"/>
        <w:rPr>
          <w:spacing w:val="0"/>
        </w:rPr>
      </w:pPr>
      <w:r>
        <w:rPr>
          <w:spacing w:val="0"/>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may choose not to file a patent in order to maintain certain trade secrets or </w:t>
            </w:r>
          </w:p>
          <w:p>
            <w:pPr>
              <w:pStyle w:val="TableContents"/>
              <w:spacing w:before="0" w:after="0"/>
              <w:jc w:val="left"/>
              <w:rPr>
                <w:rFonts w:ascii="Times New Roman" w:hAnsi="Times New Roman"/>
                <w:spacing w:val="0"/>
                <w:sz w:val="20"/>
              </w:rPr>
            </w:pPr>
            <w:r>
              <w:rPr>
                <w:rFonts w:ascii="Times New Roman" w:hAnsi="Times New Roman"/>
                <w:spacing w:val="0"/>
                <w:sz w:val="20"/>
              </w:rPr>
              <w:t>know-how,</w:t>
            </w:r>
          </w:p>
          <w:p>
            <w:pPr>
              <w:pStyle w:val="TableContents"/>
              <w:spacing w:before="0" w:after="0"/>
              <w:jc w:val="left"/>
              <w:rPr>
                <w:rFonts w:ascii="Times New Roman" w:hAnsi="Times New Roman"/>
                <w:sz w:val="20"/>
              </w:rPr>
            </w:pPr>
            <w:r>
              <w:rPr>
                <w:rFonts w:ascii="Times New Roman" w:hAnsi="Times New Roman"/>
                <w:sz w:val="20"/>
              </w:rPr>
              <w:t xml:space="preserve">and a third party may subsequently file a patent covering such trade secrets or </w:t>
            </w:r>
          </w:p>
          <w:p>
            <w:pPr>
              <w:pStyle w:val="TableContents"/>
              <w:spacing w:before="0" w:after="0"/>
              <w:jc w:val="left"/>
              <w:rPr>
                <w:rFonts w:ascii="Times New Roman" w:hAnsi="Times New Roman"/>
                <w:spacing w:val="0"/>
                <w:sz w:val="20"/>
              </w:rPr>
            </w:pPr>
            <w:r>
              <w:rPr>
                <w:rFonts w:ascii="Times New Roman" w:hAnsi="Times New Roman"/>
                <w:spacing w:val="0"/>
                <w:sz w:val="20"/>
              </w:rPr>
              <w:t>know-how;</w:t>
            </w:r>
          </w:p>
        </w:tc>
      </w:tr>
    </w:tbl>
    <w:p>
      <w:pPr>
        <w:pStyle w:val="TextBody"/>
        <w:spacing w:before="0" w:after="0"/>
        <w:jc w:val="left"/>
        <w:rPr>
          <w:spacing w:val="0"/>
        </w:rPr>
      </w:pPr>
      <w:r>
        <w:rPr>
          <w:spacing w:val="0"/>
        </w:rPr>
        <w:t> </w:t>
      </w:r>
    </w:p>
    <w:tbl>
      <w:tblPr>
        <w:tblW w:w="8665" w:type="dxa"/>
        <w:jc w:val="left"/>
        <w:tblInd w:w="0" w:type="dxa"/>
        <w:tblCellMar>
          <w:top w:w="0" w:type="dxa"/>
          <w:left w:w="0" w:type="dxa"/>
          <w:bottom w:w="0" w:type="dxa"/>
          <w:right w:w="0" w:type="dxa"/>
        </w:tblCellMar>
      </w:tblPr>
      <w:tblGrid>
        <w:gridCol w:w="75"/>
        <w:gridCol w:w="110"/>
        <w:gridCol w:w="60"/>
        <w:gridCol w:w="84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not be able to maintain the confidentiality of our trade secrets or other proprietary information; </w:t>
            </w:r>
          </w:p>
        </w:tc>
      </w:tr>
    </w:tbl>
    <w:p>
      <w:pPr>
        <w:pStyle w:val="TextBody"/>
        <w:spacing w:before="0" w:after="0"/>
        <w:jc w:val="left"/>
        <w:rPr>
          <w:spacing w:val="0"/>
        </w:rPr>
      </w:pPr>
      <w:r>
        <w:rPr>
          <w:spacing w:val="0"/>
        </w:rPr>
        <w:t> </w:t>
      </w:r>
    </w:p>
    <w:tbl>
      <w:tblPr>
        <w:tblW w:w="4270" w:type="dxa"/>
        <w:jc w:val="left"/>
        <w:tblInd w:w="0" w:type="dxa"/>
        <w:tblCellMar>
          <w:top w:w="0" w:type="dxa"/>
          <w:left w:w="0" w:type="dxa"/>
          <w:bottom w:w="0" w:type="dxa"/>
          <w:right w:w="0" w:type="dxa"/>
        </w:tblCellMar>
      </w:tblPr>
      <w:tblGrid>
        <w:gridCol w:w="75"/>
        <w:gridCol w:w="110"/>
        <w:gridCol w:w="60"/>
        <w:gridCol w:w="4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may not develop or </w:t>
            </w:r>
          </w:p>
          <w:p>
            <w:pPr>
              <w:pStyle w:val="TableContents"/>
              <w:spacing w:before="0" w:after="0"/>
              <w:jc w:val="left"/>
              <w:rPr>
                <w:rFonts w:ascii="Times New Roman" w:hAnsi="Times New Roman"/>
                <w:spacing w:val="0"/>
                <w:sz w:val="20"/>
              </w:rPr>
            </w:pPr>
            <w:r>
              <w:rPr>
                <w:rFonts w:ascii="Times New Roman" w:hAnsi="Times New Roman"/>
                <w:spacing w:val="0"/>
                <w:sz w:val="20"/>
              </w:rPr>
              <w:t>in-license additional</w:t>
            </w:r>
          </w:p>
          <w:p>
            <w:pPr>
              <w:pStyle w:val="TableContents"/>
              <w:spacing w:before="0" w:after="0"/>
              <w:jc w:val="left"/>
              <w:rPr>
                <w:rFonts w:ascii="Times New Roman" w:hAnsi="Times New Roman"/>
                <w:sz w:val="20"/>
              </w:rPr>
            </w:pPr>
            <w:r>
              <w:rPr>
                <w:rFonts w:ascii="Times New Roman" w:hAnsi="Times New Roman"/>
                <w:sz w:val="20"/>
              </w:rPr>
              <w:t xml:space="preserve">proprietary technologies that are patentable; and </w:t>
            </w:r>
          </w:p>
        </w:tc>
      </w:tr>
    </w:tbl>
    <w:p>
      <w:pPr>
        <w:pStyle w:val="TextBody"/>
        <w:spacing w:before="0" w:after="0"/>
        <w:jc w:val="left"/>
        <w:rPr>
          <w:spacing w:val="0"/>
        </w:rPr>
      </w:pPr>
      <w:r>
        <w:rPr>
          <w:spacing w:val="0"/>
        </w:rPr>
        <w:t> </w:t>
      </w:r>
    </w:p>
    <w:tbl>
      <w:tblPr>
        <w:tblW w:w="5530" w:type="dxa"/>
        <w:jc w:val="left"/>
        <w:tblInd w:w="0" w:type="dxa"/>
        <w:tblCellMar>
          <w:top w:w="0" w:type="dxa"/>
          <w:left w:w="0" w:type="dxa"/>
          <w:bottom w:w="0" w:type="dxa"/>
          <w:right w:w="0" w:type="dxa"/>
        </w:tblCellMar>
      </w:tblPr>
      <w:tblGrid>
        <w:gridCol w:w="75"/>
        <w:gridCol w:w="110"/>
        <w:gridCol w:w="60"/>
        <w:gridCol w:w="5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patents of others may have an adverse effect on our business.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Should any of these events occur, they could significantly harm our business, financial condition, results of operations and prospects.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Related to Government Regulation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seek priority review designation for one or more of our other product candidates, but we might not receive such designation, and even if we do, such designation may not lead to a faster regulatory review or approval process. </w:t>
      </w:r>
    </w:p>
    <w:p>
      <w:pPr>
        <w:pStyle w:val="TextBody"/>
        <w:spacing w:before="120" w:after="0"/>
        <w:jc w:val="left"/>
        <w:rPr>
          <w:rFonts w:ascii="Times New Roman" w:hAnsi="Times New Roman"/>
          <w:sz w:val="20"/>
        </w:rPr>
      </w:pPr>
      <w:r>
        <w:rPr>
          <w:rFonts w:ascii="Times New Roman" w:hAnsi="Times New Roman"/>
          <w:sz w:val="20"/>
        </w:rPr>
        <w:t xml:space="preserve">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w:t>
      </w:r>
    </w:p>
    <w:p>
      <w:pPr>
        <w:pStyle w:val="TextBody"/>
        <w:spacing w:before="120" w:after="0"/>
        <w:jc w:val="left"/>
        <w:rPr>
          <w:rFonts w:ascii="Times New Roman" w:hAnsi="Times New Roman"/>
          <w:spacing w:val="0"/>
          <w:sz w:val="20"/>
        </w:rPr>
      </w:pPr>
      <w:r>
        <w:rPr>
          <w:rFonts w:ascii="Times New Roman" w:hAnsi="Times New Roman"/>
          <w:spacing w:val="0"/>
          <w:sz w:val="20"/>
        </w:rPr>
        <w:t>six-month review</w:t>
      </w:r>
    </w:p>
    <w:p>
      <w:pPr>
        <w:pStyle w:val="TextBody"/>
        <w:spacing w:before="120" w:after="0"/>
        <w:jc w:val="left"/>
        <w:rPr>
          <w:rFonts w:ascii="Times New Roman" w:hAnsi="Times New Roman"/>
          <w:sz w:val="20"/>
        </w:rPr>
      </w:pPr>
      <w:r>
        <w:rPr>
          <w:rFonts w:ascii="Times New Roman" w:hAnsi="Times New Roman"/>
          <w:sz w:val="20"/>
        </w:rPr>
        <w:t xml:space="preserve">cycle or at all.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seek orphan drug designation for certain of our product candidates, and we may be unsuccessful or may be unable to maintain the benefits associated with orphan drug designation, including the potential for market exclusivity. </w:t>
      </w:r>
    </w:p>
    <w:p>
      <w:pPr>
        <w:pStyle w:val="TextBody"/>
        <w:spacing w:before="120" w:after="0"/>
        <w:jc w:val="left"/>
        <w:rPr>
          <w:rFonts w:ascii="Times New Roman" w:hAnsi="Times New Roman"/>
          <w:sz w:val="20"/>
        </w:rPr>
      </w:pPr>
      <w:r>
        <w:rPr>
          <w:rFonts w:ascii="Times New Roman" w:hAnsi="Times New Roman"/>
          <w:sz w:val="20"/>
        </w:rPr>
        <w:t xml:space="preserve">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w:t>
      </w:r>
    </w:p>
    <w:p>
      <w:pPr>
        <w:pStyle w:val="TextBody"/>
        <w:spacing w:before="120" w:after="0"/>
        <w:jc w:val="left"/>
        <w:rPr>
          <w:rFonts w:ascii="Times New Roman" w:hAnsi="Times New Roman"/>
          <w:spacing w:val="0"/>
          <w:sz w:val="20"/>
        </w:rPr>
      </w:pPr>
      <w:r>
        <w:rPr>
          <w:rFonts w:ascii="Times New Roman" w:hAnsi="Times New Roman"/>
          <w:spacing w:val="0"/>
          <w:sz w:val="20"/>
        </w:rPr>
        <w:t>user-fee waivers.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no longer meets the criteria for orphan drug designation or if the product is sufficiently profitable so that market exclusivity is no longer justified.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Even if we obtain orphan drug exclusivity for one of our product candidates, that exclusivity may not effectively protect our product candidate from competition because different products can be approved for the same condition.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seek fast track designation for some of our product candidates.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 </w:t>
      </w:r>
    </w:p>
    <w:p>
      <w:pPr>
        <w:pStyle w:val="TextBody"/>
        <w:spacing w:before="120" w:after="0"/>
        <w:jc w:val="left"/>
        <w:rPr>
          <w:rFonts w:ascii="Times New Roman" w:hAnsi="Times New Roman"/>
          <w:sz w:val="20"/>
        </w:rPr>
      </w:pPr>
      <w:r>
        <w:rPr>
          <w:rFonts w:ascii="Times New Roman" w:hAnsi="Times New Roman"/>
          <w:sz w:val="20"/>
        </w:rPr>
        <w:t xml:space="preserve">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w:t>
      </w:r>
    </w:p>
    <w:p>
      <w:pPr>
        <w:pStyle w:val="TextBody"/>
        <w:spacing w:before="120" w:after="0"/>
        <w:jc w:val="left"/>
        <w:rPr>
          <w:rFonts w:ascii="Times New Roman" w:hAnsi="Times New Roman"/>
          <w:spacing w:val="0"/>
          <w:sz w:val="20"/>
        </w:rPr>
      </w:pPr>
      <w:r>
        <w:rPr>
          <w:rFonts w:ascii="Times New Roman" w:hAnsi="Times New Roman"/>
          <w:spacing w:val="0"/>
          <w:sz w:val="20"/>
        </w:rPr>
        <w:t>pre-approval of</w:t>
      </w:r>
    </w:p>
    <w:p>
      <w:pPr>
        <w:pStyle w:val="TextBody"/>
        <w:spacing w:before="120" w:after="0"/>
        <w:jc w:val="left"/>
        <w:rPr>
          <w:rFonts w:ascii="Times New Roman" w:hAnsi="Times New Roman"/>
          <w:sz w:val="20"/>
        </w:rPr>
      </w:pPr>
      <w:r>
        <w:rPr>
          <w:rFonts w:ascii="Times New Roman" w:hAnsi="Times New Roman"/>
          <w:sz w:val="20"/>
        </w:rPr>
        <w:t xml:space="preserve">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FDA, the EMA and other regulatory authorities may implement additional regulations or restrictions on the development and commercialization of our product candidates, and such changes can be difficult to predict.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spacing w:before="240" w:after="0"/>
        <w:jc w:val="left"/>
        <w:rPr>
          <w:rFonts w:ascii="Times New Roman" w:hAnsi="Times New Roman"/>
          <w:sz w:val="20"/>
        </w:rPr>
      </w:pPr>
      <w:r>
        <w:rPr>
          <w:rFonts w:ascii="Times New Roman" w:hAnsi="Times New Roman"/>
          <w:sz w:val="20"/>
        </w:rPr>
        <w:t xml:space="preserve">Separately, since March 2020 when foreign and domestic inspections were largely placed on hold due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the FDA has been working to resume routine surveillance, bioresearch monitoring and </w:t>
      </w:r>
    </w:p>
    <w:p>
      <w:pPr>
        <w:pStyle w:val="TextBody"/>
        <w:spacing w:before="240" w:after="0"/>
        <w:jc w:val="left"/>
        <w:rPr>
          <w:rFonts w:ascii="Times New Roman" w:hAnsi="Times New Roman"/>
          <w:spacing w:val="0"/>
          <w:sz w:val="20"/>
        </w:rPr>
      </w:pPr>
      <w:r>
        <w:rPr>
          <w:rFonts w:ascii="Times New Roman" w:hAnsi="Times New Roman"/>
          <w:spacing w:val="0"/>
          <w:sz w:val="20"/>
        </w:rPr>
        <w:t>pre-approval</w:t>
      </w:r>
    </w:p>
    <w:p>
      <w:pPr>
        <w:pStyle w:val="TextBody"/>
        <w:spacing w:before="240" w:after="0"/>
        <w:jc w:val="left"/>
        <w:rPr>
          <w:rFonts w:ascii="Times New Roman" w:hAnsi="Times New Roman"/>
          <w:sz w:val="20"/>
        </w:rPr>
      </w:pPr>
      <w:r>
        <w:rPr>
          <w:rFonts w:ascii="Times New Roman" w:hAnsi="Times New Roman"/>
          <w:sz w:val="20"/>
        </w:rPr>
        <w:t xml:space="preserve">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w:t>
      </w:r>
    </w:p>
    <w:p>
      <w:pPr>
        <w:pStyle w:val="TextBody"/>
        <w:spacing w:before="240" w:after="0"/>
        <w:jc w:val="left"/>
        <w:rPr>
          <w:rFonts w:ascii="Times New Roman" w:hAnsi="Times New Roman"/>
          <w:sz w:val="20"/>
        </w:rPr>
      </w:pPr>
      <w:r>
        <w:rPr>
          <w:rFonts w:ascii="Times New Roman" w:hAnsi="Times New Roman"/>
          <w:sz w:val="20"/>
        </w:rPr>
        <w:t xml:space="preserve">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in line with its user fee performance goals and conducting mission critical domestic and foreign inspections to ensure compliance of manufacturing facilities with the FDA quality standards. However, the FDA may not be able to continue its current pace and approval timelines could be extended, including where a </w:t>
      </w:r>
    </w:p>
    <w:p>
      <w:pPr>
        <w:pStyle w:val="TextBody"/>
        <w:spacing w:before="240" w:after="0"/>
        <w:jc w:val="left"/>
        <w:rPr>
          <w:rFonts w:ascii="Times New Roman" w:hAnsi="Times New Roman"/>
          <w:spacing w:val="0"/>
          <w:sz w:val="20"/>
        </w:rPr>
      </w:pPr>
      <w:r>
        <w:rPr>
          <w:rFonts w:ascii="Times New Roman" w:hAnsi="Times New Roman"/>
          <w:spacing w:val="0"/>
          <w:sz w:val="20"/>
        </w:rPr>
        <w:t>pre-approval</w:t>
      </w:r>
    </w:p>
    <w:p>
      <w:pPr>
        <w:pStyle w:val="TextBody"/>
        <w:spacing w:before="240" w:after="0"/>
        <w:jc w:val="left"/>
        <w:rPr>
          <w:rFonts w:ascii="Times New Roman" w:hAnsi="Times New Roman"/>
          <w:sz w:val="20"/>
        </w:rPr>
      </w:pPr>
      <w:r>
        <w:rPr>
          <w:rFonts w:ascii="Times New Roman" w:hAnsi="Times New Roman"/>
          <w:sz w:val="20"/>
        </w:rPr>
        <w:t xml:space="preserve">inspection or an inspection of clinical sites is required and due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and travel restrictions FDA is unable to complete such required inspections during the review period. In 2020, several companies announced receipt of complete response letters due to the FDA’s inability to complete required inspections for their applications. </w:t>
      </w:r>
    </w:p>
    <w:p>
      <w:pPr>
        <w:pStyle w:val="TextBody"/>
        <w:spacing w:before="240" w:after="0"/>
        <w:jc w:val="left"/>
        <w:rPr>
          <w:rFonts w:ascii="Times New Roman" w:hAnsi="Times New Roman"/>
          <w:sz w:val="20"/>
        </w:rPr>
      </w:pPr>
      <w:r>
        <w:rPr>
          <w:rFonts w:ascii="Times New Roman" w:hAnsi="Times New Roman"/>
          <w:sz w:val="20"/>
        </w:rPr>
        <w:t xml:space="preserve">Regulatory authorities outside the United States may adopt similar restrictions or other policy measures in response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Healthcare legislative reform measures may have a material adverse effect on our business and results of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the United States, there have been and continue to be a number of legislative initiatives to contain healthcare costs. For example, in March 2010, the ACA was passed, which substantially changed the way health care is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w:t>
      </w:r>
    </w:p>
    <w:p>
      <w:pPr>
        <w:pStyle w:val="TextBody"/>
        <w:spacing w:before="0" w:after="0"/>
        <w:jc w:val="left"/>
        <w:rPr>
          <w:rFonts w:ascii="Times New Roman" w:hAnsi="Times New Roman"/>
          <w:spacing w:val="0"/>
          <w:sz w:val="20"/>
        </w:rPr>
      </w:pPr>
      <w:r>
        <w:rPr>
          <w:rFonts w:ascii="Times New Roman" w:hAnsi="Times New Roman"/>
          <w:spacing w:val="0"/>
          <w:sz w:val="20"/>
        </w:rPr>
        <w:t>point-of-sale</w:t>
      </w:r>
    </w:p>
    <w:p>
      <w:pPr>
        <w:pStyle w:val="TextBody"/>
        <w:spacing w:before="0" w:after="0"/>
        <w:jc w:val="left"/>
        <w:rPr>
          <w:rFonts w:ascii="Times New Roman" w:hAnsi="Times New Roman"/>
          <w:sz w:val="20"/>
        </w:rPr>
      </w:pPr>
      <w:r>
        <w:rPr>
          <w:rFonts w:ascii="Times New Roman" w:hAnsi="Times New Roman"/>
          <w:sz w:val="20"/>
        </w:rPr>
        <w:t xml:space="preserve">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the Centers for Medicare &amp; Medicaid Services, or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We cannot predict what effect the healthcare reform measures of the Biden administration or other efforts, if any, to challenge, repeal or replace the ACA would have on our business. </w:t>
      </w:r>
    </w:p>
    <w:p>
      <w:pPr>
        <w:pStyle w:val="TextBody"/>
        <w:spacing w:before="240" w:after="0"/>
        <w:jc w:val="left"/>
        <w:rPr>
          <w:rFonts w:ascii="Times New Roman" w:hAnsi="Times New Roman"/>
          <w:sz w:val="20"/>
        </w:rPr>
      </w:pPr>
      <w:r>
        <w:rPr>
          <w:rFonts w:ascii="Times New Roman" w:hAnsi="Times New Roman"/>
          <w:sz w:val="20"/>
        </w:rPr>
        <w:t xml:space="preserve">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Proposed legislation, if passed, would extend this suspension until the end of the pandemic.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 </w:t>
      </w:r>
    </w:p>
    <w:p>
      <w:pPr>
        <w:pStyle w:val="TextBody"/>
        <w:spacing w:before="240" w:after="0"/>
        <w:jc w:val="left"/>
        <w:rPr>
          <w:rFonts w:ascii="Times New Roman" w:hAnsi="Times New Roman"/>
          <w:sz w:val="20"/>
        </w:rPr>
      </w:pPr>
      <w:r>
        <w:rPr>
          <w:rFonts w:ascii="Times New Roman" w:hAnsi="Times New Roman"/>
          <w:sz w:val="20"/>
        </w:rPr>
        <w:t xml:space="preserve">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w:t>
      </w:r>
    </w:p>
    <w:p>
      <w:pPr>
        <w:pStyle w:val="TextBody"/>
        <w:spacing w:before="240" w:after="0"/>
        <w:jc w:val="left"/>
        <w:rPr>
          <w:rFonts w:ascii="Times New Roman" w:hAnsi="Times New Roman"/>
          <w:spacing w:val="0"/>
          <w:sz w:val="20"/>
        </w:rPr>
      </w:pPr>
      <w:r>
        <w:rPr>
          <w:rFonts w:ascii="Times New Roman" w:hAnsi="Times New Roman"/>
          <w:spacing w:val="0"/>
          <w:sz w:val="20"/>
        </w:rPr>
        <w:t>point-of-sale,</w:t>
      </w:r>
    </w:p>
    <w:p>
      <w:pPr>
        <w:pStyle w:val="TextBody"/>
        <w:spacing w:before="240" w:after="0"/>
        <w:jc w:val="left"/>
        <w:rPr>
          <w:rFonts w:ascii="Times New Roman" w:hAnsi="Times New Roman"/>
          <w:sz w:val="20"/>
        </w:rPr>
      </w:pPr>
      <w:r>
        <w:rPr>
          <w:rFonts w:ascii="Times New Roman" w:hAnsi="Times New Roman"/>
          <w:sz w:val="20"/>
        </w:rPr>
        <w:t xml:space="preserve">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healthcare, the increasing influence of health maintenance organizations, cost containment initiatives and additional legislative changes.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FCA;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(currently defined to include doctors, dentists, optometrists, podiatrists and chiropractors) and teaching hospitals, as well as ownership and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59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investment interests of such physicians and their immediate family members. Effective January 1, 2022, these reporting obligations will extend to include transfers of value made to certain </w:t>
            </w:r>
          </w:p>
          <w:p>
            <w:pPr>
              <w:pStyle w:val="TableContents"/>
              <w:spacing w:before="0" w:after="0"/>
              <w:rPr>
                <w:rFonts w:ascii="Times New Roman" w:hAnsi="Times New Roman"/>
                <w:spacing w:val="0"/>
                <w:sz w:val="20"/>
              </w:rPr>
            </w:pPr>
            <w:r>
              <w:rPr>
                <w:rFonts w:ascii="Times New Roman" w:hAnsi="Times New Roman"/>
                <w:spacing w:val="0"/>
                <w:sz w:val="20"/>
              </w:rPr>
              <w:t>non-physician providers</w:t>
            </w:r>
          </w:p>
          <w:p>
            <w:pPr>
              <w:pStyle w:val="TableContents"/>
              <w:spacing w:before="0" w:after="0"/>
              <w:rPr>
                <w:rFonts w:ascii="Times New Roman" w:hAnsi="Times New Roman"/>
                <w:sz w:val="20"/>
              </w:rPr>
            </w:pPr>
            <w:r>
              <w:rPr>
                <w:rFonts w:ascii="Times New Roman" w:hAnsi="Times New Roman"/>
                <w:sz w:val="20"/>
              </w:rPr>
              <w:t xml:space="preserve">such as physician assistants and nurse practitioners;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HIPAA, as amended by the Health Information Technology for Economic and Clinical Health Act of 2009, or HITECH, and its implementing regulations, which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federal consumer protection and unfair competition laws, which broadly regulate marketplace activities and activities that potentially harm consumers;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federal price reporting laws, which require manufacturers to calculate and report complex pricing metrics to government programs, where such reported prices may be used in the calculation of reimbursement and/or discounts on approved products;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which may apply to sales or marketing arrangements and claims involving healthcare items or services reimbursed by </w:t>
            </w:r>
          </w:p>
          <w:p>
            <w:pPr>
              <w:pStyle w:val="TableContents"/>
              <w:spacing w:before="0" w:after="0"/>
              <w:jc w:val="left"/>
              <w:rPr>
                <w:rFonts w:ascii="Times New Roman" w:hAnsi="Times New Roman"/>
                <w:spacing w:val="0"/>
                <w:sz w:val="20"/>
              </w:rPr>
            </w:pPr>
            <w:r>
              <w:rPr>
                <w:rFonts w:ascii="Times New Roman" w:hAnsi="Times New Roman"/>
                <w:spacing w:val="0"/>
                <w:sz w:val="20"/>
              </w:rPr>
              <w:t>non-governmental third-party payors,</w:t>
            </w:r>
          </w:p>
          <w:p>
            <w:pPr>
              <w:pStyle w:val="TableContents"/>
              <w:spacing w:before="0" w:after="0"/>
              <w:jc w:val="left"/>
              <w:rPr>
                <w:rFonts w:ascii="Times New Roman" w:hAnsi="Times New Roman"/>
                <w:sz w:val="20"/>
              </w:rPr>
            </w:pPr>
            <w:r>
              <w:rPr>
                <w:rFonts w:ascii="Times New Roman" w:hAnsi="Times New Roman"/>
                <w:sz w:val="20"/>
              </w:rPr>
              <w:t xml:space="preserve">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fail to comply with environmental, health and safety laws and regulations, we could become subject to fines or penalties or incur costs that could have a material adverse effect on the success of our business.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restrictions on the marketing or manufacturing of the product, withdrawal of the product from the market, or voluntary or mandatory product recalls;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manufacturing delays and supply disruptions where regulatory inspections identify observations of noncompliance requiring remediation;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revisions to the labeling, including limitation on approved uses or the addition of additional warnings, contraindications or other safety information, including boxed warnings; </w:t>
            </w:r>
          </w:p>
        </w:tc>
      </w:tr>
    </w:tbl>
    <w:p>
      <w:pPr>
        <w:pStyle w:val="TextBody"/>
        <w:spacing w:before="0" w:after="0"/>
        <w:jc w:val="left"/>
        <w:rPr>
          <w:spacing w:val="0"/>
        </w:rPr>
      </w:pPr>
      <w:r>
        <w:rPr>
          <w:spacing w:val="0"/>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imposition of a REMS which may include distribution or use restrictions; </w:t>
            </w:r>
          </w:p>
        </w:tc>
      </w:tr>
    </w:tbl>
    <w:p>
      <w:pPr>
        <w:pStyle w:val="TextBody"/>
        <w:spacing w:before="0" w:after="0"/>
        <w:jc w:val="left"/>
        <w:rPr>
          <w:spacing w:val="0"/>
        </w:rPr>
      </w:pPr>
      <w:r>
        <w:rPr>
          <w:spacing w:val="0"/>
        </w:rPr>
        <w:t> </w:t>
      </w:r>
    </w:p>
    <w:tbl>
      <w:tblPr>
        <w:tblW w:w="8095" w:type="dxa"/>
        <w:jc w:val="left"/>
        <w:tblInd w:w="0" w:type="dxa"/>
        <w:tblCellMar>
          <w:top w:w="0" w:type="dxa"/>
          <w:left w:w="0" w:type="dxa"/>
          <w:bottom w:w="0" w:type="dxa"/>
          <w:right w:w="0" w:type="dxa"/>
        </w:tblCellMar>
      </w:tblPr>
      <w:tblGrid>
        <w:gridCol w:w="75"/>
        <w:gridCol w:w="110"/>
        <w:gridCol w:w="60"/>
        <w:gridCol w:w="7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requirements to conduct additional post-market clinical trials to assess the safety of the product; </w:t>
            </w:r>
          </w:p>
        </w:tc>
      </w:tr>
    </w:tbl>
    <w:p>
      <w:pPr>
        <w:pStyle w:val="TextBody"/>
        <w:spacing w:before="0" w:after="0"/>
        <w:jc w:val="left"/>
        <w:rPr>
          <w:spacing w:val="0"/>
        </w:rPr>
      </w:pPr>
      <w:r>
        <w:rPr>
          <w:spacing w:val="0"/>
        </w:rPr>
        <w:t> </w:t>
      </w:r>
    </w:p>
    <w:tbl>
      <w:tblPr>
        <w:tblW w:w="1870" w:type="dxa"/>
        <w:jc w:val="left"/>
        <w:tblInd w:w="0" w:type="dxa"/>
        <w:tblCellMar>
          <w:top w:w="0" w:type="dxa"/>
          <w:left w:w="0" w:type="dxa"/>
          <w:bottom w:w="0" w:type="dxa"/>
          <w:right w:w="0" w:type="dxa"/>
        </w:tblCellMar>
      </w:tblPr>
      <w:tblGrid>
        <w:gridCol w:w="75"/>
        <w:gridCol w:w="110"/>
        <w:gridCol w:w="60"/>
        <w:gridCol w:w="1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clinical trial holds; </w:t>
            </w:r>
          </w:p>
        </w:tc>
      </w:tr>
    </w:tbl>
    <w:p>
      <w:pPr>
        <w:pStyle w:val="TextBody"/>
        <w:spacing w:before="0" w:after="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75"/>
        <w:gridCol w:w="110"/>
        <w:gridCol w:w="60"/>
        <w:gridCol w:w="49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fines, warning letters or other regulatory enforcement action;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refusal by the FDA to approve pending applications or supplements to approved applications filed by us or suspension or revocation of approvals; </w:t>
            </w:r>
          </w:p>
        </w:tc>
      </w:tr>
    </w:tbl>
    <w:p>
      <w:pPr>
        <w:pStyle w:val="TextBody"/>
        <w:spacing w:before="0" w:after="0"/>
        <w:jc w:val="left"/>
        <w:rPr>
          <w:spacing w:val="0"/>
        </w:rPr>
      </w:pPr>
      <w:r>
        <w:rPr>
          <w:spacing w:val="0"/>
        </w:rPr>
        <w:t> </w:t>
      </w:r>
    </w:p>
    <w:tbl>
      <w:tblPr>
        <w:tblW w:w="7255" w:type="dxa"/>
        <w:jc w:val="left"/>
        <w:tblInd w:w="0" w:type="dxa"/>
        <w:tblCellMar>
          <w:top w:w="0" w:type="dxa"/>
          <w:left w:w="0" w:type="dxa"/>
          <w:bottom w:w="0" w:type="dxa"/>
          <w:right w:w="0" w:type="dxa"/>
        </w:tblCellMar>
      </w:tblPr>
      <w:tblGrid>
        <w:gridCol w:w="75"/>
        <w:gridCol w:w="110"/>
        <w:gridCol w:w="60"/>
        <w:gridCol w:w="7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product seizure or detention, or refusal to permit the import or export of products; and </w:t>
            </w:r>
          </w:p>
        </w:tc>
      </w:tr>
    </w:tbl>
    <w:p>
      <w:pPr>
        <w:pStyle w:val="TextBody"/>
        <w:spacing w:before="0" w:after="0"/>
        <w:jc w:val="left"/>
        <w:rPr>
          <w:spacing w:val="0"/>
        </w:rPr>
      </w:pPr>
      <w:r>
        <w:rPr>
          <w:spacing w:val="0"/>
        </w:rPr>
        <w:t> </w:t>
      </w:r>
    </w:p>
    <w:tbl>
      <w:tblPr>
        <w:tblW w:w="5080" w:type="dxa"/>
        <w:jc w:val="left"/>
        <w:tblInd w:w="0" w:type="dxa"/>
        <w:tblCellMar>
          <w:top w:w="0" w:type="dxa"/>
          <w:left w:w="0" w:type="dxa"/>
          <w:bottom w:w="0" w:type="dxa"/>
          <w:right w:w="0" w:type="dxa"/>
        </w:tblCellMar>
      </w:tblPr>
      <w:tblGrid>
        <w:gridCol w:w="75"/>
        <w:gridCol w:w="110"/>
        <w:gridCol w:w="60"/>
        <w:gridCol w:w="4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injunctions or the imposition of civil or criminal penalties.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European data collection is governed by restrictive regulations governing the use, processing and cross-border transfer of personal information.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Laws and regulations governing any international operations we may have in the future may preclude us from developing, manufacturing and selling certain products outside of the United States and require us to develop and implement costly compliance programs.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spacing w:before="240" w:after="0"/>
        <w:jc w:val="left"/>
        <w:rPr>
          <w:rFonts w:ascii="Times New Roman" w:hAnsi="Times New Roman"/>
          <w:sz w:val="20"/>
        </w:rPr>
      </w:pPr>
      <w:r>
        <w:rPr>
          <w:rFonts w:ascii="Times New Roman" w:hAnsi="Times New Roman"/>
          <w:sz w:val="20"/>
        </w:rPr>
        <w:t xml:space="preserve">Various laws, regulations and executive orders also restrict the use and dissemination outside of the United States, or the sharing with certain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Relating to Employee Matters and Managing Growth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future success depends on our ability to retain key executives and experienced scientists and to attract, retain and motivate qualified personnel.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highly dependent on many of our key employees and members of our executive management team as well as the other principal members of our management, scientific and clinical team. Although we have entered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be unable to adequately protect our information systems from cyberattacks, which could result in the disclosure of confidential or proprietary information, including personal data, damage our reputation, and subject us to significant financial and legal exposure. </w:t>
      </w:r>
    </w:p>
    <w:p>
      <w:pPr>
        <w:pStyle w:val="TextBody"/>
        <w:spacing w:before="120" w:after="0"/>
        <w:jc w:val="left"/>
        <w:rPr>
          <w:rFonts w:ascii="Times New Roman" w:hAnsi="Times New Roman"/>
          <w:sz w:val="20"/>
        </w:rPr>
      </w:pPr>
      <w:r>
        <w:rPr>
          <w:rFonts w:ascii="Times New Roman" w:hAnsi="Times New Roman"/>
          <w:sz w:val="20"/>
        </w:rPr>
        <w:t xml:space="preserve">We rely on information technology systems that we or our third-party providers operate to process, transmit and store electronic information in our </w:t>
      </w:r>
    </w:p>
    <w:p>
      <w:pPr>
        <w:pStyle w:val="TextBody"/>
        <w:spacing w:before="120" w:after="0"/>
        <w:jc w:val="left"/>
        <w:rPr>
          <w:rFonts w:ascii="Times New Roman" w:hAnsi="Times New Roman"/>
          <w:spacing w:val="0"/>
          <w:sz w:val="20"/>
        </w:rPr>
      </w:pPr>
      <w:r>
        <w:rPr>
          <w:rFonts w:ascii="Times New Roman" w:hAnsi="Times New Roman"/>
          <w:spacing w:val="0"/>
          <w:sz w:val="20"/>
        </w:rPr>
        <w:t>day-to-day operations.</w:t>
      </w:r>
    </w:p>
    <w:p>
      <w:pPr>
        <w:pStyle w:val="TextBody"/>
        <w:spacing w:before="120" w:after="0"/>
        <w:jc w:val="left"/>
        <w:rPr>
          <w:rFonts w:ascii="Times New Roman" w:hAnsi="Times New Roman"/>
          <w:sz w:val="20"/>
        </w:rPr>
      </w:pPr>
      <w:r>
        <w:rPr>
          <w:rFonts w:ascii="Times New Roman" w:hAnsi="Times New Roman"/>
          <w:sz w:val="20"/>
        </w:rPr>
        <w:t xml:space="preserve">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w:t>
      </w:r>
    </w:p>
    <w:p>
      <w:pPr>
        <w:pStyle w:val="TextBody"/>
        <w:spacing w:before="120" w:after="0"/>
        <w:jc w:val="left"/>
        <w:rPr>
          <w:rFonts w:ascii="Times New Roman" w:hAnsi="Times New Roman"/>
          <w:spacing w:val="0"/>
          <w:sz w:val="20"/>
        </w:rPr>
      </w:pPr>
      <w:r>
        <w:rPr>
          <w:rFonts w:ascii="Times New Roman" w:hAnsi="Times New Roman"/>
          <w:spacing w:val="0"/>
          <w:sz w:val="20"/>
        </w:rPr>
        <w:t>malware, denial-of-service, social</w:t>
      </w:r>
    </w:p>
    <w:p>
      <w:pPr>
        <w:pStyle w:val="TextBody"/>
        <w:spacing w:before="120" w:after="0"/>
        <w:jc w:val="left"/>
        <w:rPr>
          <w:rFonts w:ascii="Times New Roman" w:hAnsi="Times New Roman"/>
          <w:sz w:val="20"/>
        </w:rPr>
      </w:pPr>
      <w:r>
        <w:rPr>
          <w:rFonts w:ascii="Times New Roman" w:hAnsi="Times New Roman"/>
          <w:sz w:val="20"/>
        </w:rPr>
        <w:t xml:space="preserve">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expect to expand our development and regulatory capabilities and potentially implement sales, marketing and distribution capabilities, and as a result, we may encounter difficulties in managing our growth, which could disrupt our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August 31, 2021, we had 86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alliance or acquisition that delay or prevent us from realizing their expected benefits or enhancing our business. We cannot assure you that, following any such acquisition, we will achieve the expected synergies to justify the transaction.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Risks Related to Our Common Stock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executive officers, directors, principal stockholders and their affiliates own a significant percentage of our stock and will be able to exert significant control over matters subject to stockholder approval. </w:t>
      </w:r>
    </w:p>
    <w:p>
      <w:pPr>
        <w:pStyle w:val="TextBody"/>
        <w:spacing w:before="120" w:after="0"/>
        <w:jc w:val="left"/>
        <w:rPr>
          <w:rFonts w:ascii="Times New Roman" w:hAnsi="Times New Roman"/>
          <w:sz w:val="20"/>
        </w:rPr>
      </w:pPr>
      <w:r>
        <w:rPr>
          <w:rFonts w:ascii="Times New Roman" w:hAnsi="Times New Roman"/>
          <w:sz w:val="20"/>
        </w:rPr>
        <w:t>Based on our common stock outstanding as of August 31, 2021,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 See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Security Ownership Of Certain Beneficial Owners and Management</w:t>
      </w:r>
    </w:p>
    <w:p>
      <w:pPr>
        <w:pStyle w:val="TextBody"/>
        <w:spacing w:before="120" w:after="0"/>
        <w:jc w:val="left"/>
        <w:rPr/>
      </w:pPr>
      <w:r>
        <w:rPr/>
        <w:t xml:space="preserve">” </w:t>
      </w:r>
      <w:r>
        <w:rPr>
          <w:rFonts w:ascii="Times New Roman" w:hAnsi="Times New Roman"/>
          <w:sz w:val="20"/>
        </w:rPr>
        <w:t xml:space="preserve">for more information regarding the ownership of our outstanding common stock by our executive officers, directors, principal stockholders and their affiliates.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ability to utilize our net operating loss carryforwards and certain other tax attributes may be limited. </w:t>
      </w:r>
    </w:p>
    <w:p>
      <w:pPr>
        <w:pStyle w:val="TextBody"/>
        <w:spacing w:before="120" w:after="0"/>
        <w:jc w:val="left"/>
        <w:rPr>
          <w:rFonts w:ascii="Times New Roman" w:hAnsi="Times New Roman"/>
          <w:sz w:val="20"/>
        </w:rPr>
      </w:pPr>
      <w:r>
        <w:rPr>
          <w:rFonts w:ascii="Times New Roman" w:hAnsi="Times New Roman"/>
          <w:sz w:val="20"/>
        </w:rPr>
        <w:t xml:space="preserve">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w:t>
      </w:r>
    </w:p>
    <w:p>
      <w:pPr>
        <w:pStyle w:val="TextBody"/>
        <w:spacing w:before="120" w:after="0"/>
        <w:jc w:val="left"/>
        <w:rPr>
          <w:rFonts w:ascii="Times New Roman" w:hAnsi="Times New Roman"/>
          <w:spacing w:val="0"/>
          <w:sz w:val="20"/>
        </w:rPr>
      </w:pPr>
      <w:r>
        <w:rPr>
          <w:rFonts w:ascii="Times New Roman" w:hAnsi="Times New Roman"/>
          <w:spacing w:val="0"/>
          <w:sz w:val="20"/>
        </w:rPr>
        <w:t>pre-change net</w:t>
      </w:r>
    </w:p>
    <w:p>
      <w:pPr>
        <w:pStyle w:val="TextBody"/>
        <w:spacing w:before="120" w:after="0"/>
        <w:jc w:val="left"/>
        <w:rPr>
          <w:rFonts w:ascii="Times New Roman" w:hAnsi="Times New Roman"/>
          <w:sz w:val="20"/>
        </w:rPr>
      </w:pPr>
      <w:r>
        <w:rPr>
          <w:rFonts w:ascii="Times New Roman" w:hAnsi="Times New Roman"/>
          <w:sz w:val="20"/>
        </w:rPr>
        <w:t xml:space="preserve">operating loss carryforwards and certain other </w:t>
      </w:r>
    </w:p>
    <w:p>
      <w:pPr>
        <w:pStyle w:val="TextBody"/>
        <w:spacing w:before="120" w:after="0"/>
        <w:jc w:val="left"/>
        <w:rPr>
          <w:rFonts w:ascii="Times New Roman" w:hAnsi="Times New Roman"/>
          <w:spacing w:val="0"/>
          <w:sz w:val="20"/>
        </w:rPr>
      </w:pPr>
      <w:r>
        <w:rPr>
          <w:rFonts w:ascii="Times New Roman" w:hAnsi="Times New Roman"/>
          <w:spacing w:val="0"/>
          <w:sz w:val="20"/>
        </w:rPr>
        <w:t>pre-change tax</w:t>
      </w:r>
    </w:p>
    <w:p>
      <w:pPr>
        <w:pStyle w:val="TextBody"/>
        <w:spacing w:before="120" w:after="0"/>
        <w:jc w:val="left"/>
        <w:rPr>
          <w:rFonts w:ascii="Times New Roman" w:hAnsi="Times New Roman"/>
          <w:sz w:val="20"/>
        </w:rPr>
      </w:pPr>
      <w:r>
        <w:rPr>
          <w:rFonts w:ascii="Times New Roman" w:hAnsi="Times New Roman"/>
          <w:sz w:val="20"/>
        </w:rPr>
        <w:t xml:space="preserve">attributes to offset its post-change income may be limited. We have experienced such ownership changes in the past, and we may experience ownership changes in the future as a result of shifts in our stock ownership, some of which are outside our control. As of December 31, 2020, we had federal net operating loss carryforwards of approximately $41.0 million, and our ability to utilize those net operating loss carryforwards could be limited by an “ownership change” as described above, which could result in increased tax liability to us. We have not yet conducted a study to assess whether a change of control has occurred as a result of the Business Combination. A study will be conducted in the near term. If we experience a change of control, as defined by Section 382 of the Code, as a result of the Business Combination or otherwise, utilization of net operating loss carryforwards or research and development tax credit carryforwards could be subject to an annual limitation under Sections 382 and 383 of the Code, as applicable. Any limitation may result in expiration of a portion of the net operating loss carryforwards or research and development tax credit carryforwards before utilization. Moreover, our ability to utilize our net operating loss carryforwards or credits is conditioned upon our attaining profitability and generating U.S. federal and state taxable income. As a result, the amount of the net operating loss and tax credit carryforwards presented in our financial statements could be limited and may expire unutilized.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generated after December 31, 2017. For these reasons, we may not be able to utilize some portion of our net operating loss carryforwards, none of which are currently reflected on our balance sheet, even if we attain profitability.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Anti-takeover provisions in our charter documents and under Delaware law could make an acquisition of us, which may be beneficial to our stockholders, more difficult and may prevent attempts by our stockholders to replace or remove our current management.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certificate of incorporation and bylaws contain provisions that could delay or prevent a change of control of our company or changes in our board of directors that our stockholders might consider favorable. Some of these provisions include: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board of directors divided into three classes serving staggered three-year terms, such that not all members of the board will be elected at one time;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prohibition on stockholder action through written consent, which requires that all stockholder actions be taken at a meeting of our stockholders;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w:t>
            </w:r>
          </w:p>
        </w:tc>
      </w:tr>
    </w:tbl>
    <w:p>
      <w:pPr>
        <w:pStyle w:val="TextBody"/>
        <w:spacing w:before="0" w:after="0"/>
        <w:jc w:val="left"/>
        <w:rPr>
          <w:spacing w:val="0"/>
        </w:rPr>
      </w:pPr>
      <w:r>
        <w:rPr>
          <w:spacing w:val="0"/>
        </w:rPr>
        <w:t> </w:t>
      </w:r>
    </w:p>
    <w:tbl>
      <w:tblPr>
        <w:tblW w:w="9190" w:type="dxa"/>
        <w:jc w:val="left"/>
        <w:tblInd w:w="0" w:type="dxa"/>
        <w:tblCellMar>
          <w:top w:w="0" w:type="dxa"/>
          <w:left w:w="0" w:type="dxa"/>
          <w:bottom w:w="0" w:type="dxa"/>
          <w:right w:w="0" w:type="dxa"/>
        </w:tblCellMar>
      </w:tblPr>
      <w:tblGrid>
        <w:gridCol w:w="75"/>
        <w:gridCol w:w="110"/>
        <w:gridCol w:w="60"/>
        <w:gridCol w:w="8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advance notice requirements for stockholder proposals and nominations for election to our board of directors;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supermajority voting requirements to amend our bylaws by stockholder action (unless our board recommends that our stockholders approve such amendment(s)) and to amend specific provisions of our certificate of incorporation;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authority of the board of directors to issue preferred stock on terms determined by the board of directors without stockholder approval, which preferred stock may include rights superior to the rights of the holders of common stock.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bylaws designate specific courts as the exclusive forum for certain litigation that may be initiated by our stockholders, which could limit our stockholders’ ability to obtain a favorable judicial forum for disputes with us.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in this prospectus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be the sole and exclusive forum for resolving any complaint asserting a cause of action arising under the Securities Act. We refer to such provision in this prospectus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subject to certain U.S. and foreign anti-corruption, anti-money laundering, export control, sanctions, and other trade laws and regulations. We can face serious consequences for violations. </w:t>
      </w:r>
    </w:p>
    <w:p>
      <w:pPr>
        <w:pStyle w:val="TextBody"/>
        <w:spacing w:before="120" w:after="0"/>
        <w:jc w:val="left"/>
        <w:rPr>
          <w:rFonts w:ascii="Times New Roman" w:hAnsi="Times New Roman"/>
          <w:sz w:val="20"/>
        </w:rPr>
      </w:pPr>
      <w:r>
        <w:rPr>
          <w:rFonts w:ascii="Times New Roman" w:hAnsi="Times New Roman"/>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w:t>
      </w:r>
    </w:p>
    <w:p>
      <w:pPr>
        <w:pStyle w:val="TextBody"/>
        <w:spacing w:before="120" w:after="0"/>
        <w:jc w:val="left"/>
        <w:rPr>
          <w:rFonts w:ascii="Times New Roman" w:hAnsi="Times New Roman"/>
          <w:spacing w:val="0"/>
          <w:sz w:val="20"/>
        </w:rPr>
      </w:pPr>
      <w:r>
        <w:rPr>
          <w:rFonts w:ascii="Times New Roman" w:hAnsi="Times New Roman"/>
          <w:spacing w:val="0"/>
          <w:sz w:val="20"/>
        </w:rPr>
        <w:t>non-U.S.</w:t>
      </w:r>
    </w:p>
    <w:p>
      <w:pPr>
        <w:pStyle w:val="TextBody"/>
        <w:spacing w:before="120" w:after="0"/>
        <w:jc w:val="left"/>
        <w:rPr>
          <w:rFonts w:ascii="Times New Roman" w:hAnsi="Times New Roman"/>
          <w:sz w:val="20"/>
        </w:rPr>
      </w:pPr>
      <w:r>
        <w:rPr>
          <w:rFonts w:ascii="Times New Roman" w:hAnsi="Times New Roman"/>
          <w:sz w:val="20"/>
        </w:rPr>
        <w:t xml:space="preserve">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employees, principal investigators, CROs and consultants may engage in misconduct or other improper activities, including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non-compliance</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with regulatory standards and requirements and insider trading.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information obtained in the course of clinical trials or creating fraudulent data in our preclinical studies or clinical trials, which could result in regulatory sanctions and cause serious harm to our reputation. We intend to adopt, prior to the completion of the Business Combination,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Because we do not anticipate paying any cash dividends on our capital stock in the foreseeable future, capital appreciation, if any, will be your sole source of gain.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price of our common stock may be volatile and fluctuate substantially, which could result in substantial losses for purchasers of our common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 </w:t>
      </w:r>
    </w:p>
    <w:p>
      <w:pPr>
        <w:pStyle w:val="TextBody"/>
        <w:spacing w:before="0" w:after="0"/>
        <w:jc w:val="left"/>
        <w:rPr>
          <w:spacing w:val="0"/>
        </w:rPr>
      </w:pPr>
      <w:r>
        <w:rPr>
          <w:spacing w:val="0"/>
        </w:rPr>
        <w:t> </w:t>
      </w:r>
    </w:p>
    <w:tbl>
      <w:tblPr>
        <w:tblW w:w="4570" w:type="dxa"/>
        <w:jc w:val="left"/>
        <w:tblInd w:w="0" w:type="dxa"/>
        <w:tblCellMar>
          <w:top w:w="0" w:type="dxa"/>
          <w:left w:w="0" w:type="dxa"/>
          <w:bottom w:w="0" w:type="dxa"/>
          <w:right w:w="0" w:type="dxa"/>
        </w:tblCellMar>
      </w:tblPr>
      <w:tblGrid>
        <w:gridCol w:w="75"/>
        <w:gridCol w:w="110"/>
        <w:gridCol w:w="6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success of competitive products or technologies; </w:t>
            </w:r>
          </w:p>
        </w:tc>
      </w:tr>
    </w:tbl>
    <w:p>
      <w:pPr>
        <w:pStyle w:val="TextBody"/>
        <w:spacing w:before="0" w:after="0"/>
        <w:jc w:val="left"/>
        <w:rPr>
          <w:spacing w:val="0"/>
        </w:rPr>
      </w:pPr>
      <w:r>
        <w:rPr>
          <w:spacing w:val="0"/>
        </w:rPr>
        <w:t> </w:t>
      </w:r>
    </w:p>
    <w:tbl>
      <w:tblPr>
        <w:tblW w:w="8695" w:type="dxa"/>
        <w:jc w:val="left"/>
        <w:tblInd w:w="0" w:type="dxa"/>
        <w:tblCellMar>
          <w:top w:w="0" w:type="dxa"/>
          <w:left w:w="0" w:type="dxa"/>
          <w:bottom w:w="0" w:type="dxa"/>
          <w:right w:w="0" w:type="dxa"/>
        </w:tblCellMar>
      </w:tblPr>
      <w:tblGrid>
        <w:gridCol w:w="75"/>
        <w:gridCol w:w="110"/>
        <w:gridCol w:w="60"/>
        <w:gridCol w:w="8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advancement of our preclinical programs, such as our targeted oncology programs, into clinical testing; </w:t>
            </w:r>
          </w:p>
        </w:tc>
      </w:tr>
    </w:tbl>
    <w:p>
      <w:pPr>
        <w:pStyle w:val="TextBody"/>
        <w:spacing w:before="0" w:after="0"/>
        <w:jc w:val="left"/>
        <w:rPr>
          <w:spacing w:val="0"/>
        </w:rPr>
      </w:pPr>
      <w:r>
        <w:rPr>
          <w:spacing w:val="0"/>
        </w:rPr>
        <w:t> </w:t>
      </w:r>
    </w:p>
    <w:tbl>
      <w:tblPr>
        <w:tblW w:w="6565" w:type="dxa"/>
        <w:jc w:val="left"/>
        <w:tblInd w:w="0" w:type="dxa"/>
        <w:tblCellMar>
          <w:top w:w="0" w:type="dxa"/>
          <w:left w:w="0" w:type="dxa"/>
          <w:bottom w:w="0" w:type="dxa"/>
          <w:right w:w="0" w:type="dxa"/>
        </w:tblCellMar>
      </w:tblPr>
      <w:tblGrid>
        <w:gridCol w:w="75"/>
        <w:gridCol w:w="110"/>
        <w:gridCol w:w="6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results of clinical trials of our product candidates or those of our competitors; </w:t>
            </w:r>
          </w:p>
        </w:tc>
      </w:tr>
    </w:tbl>
    <w:p>
      <w:pPr>
        <w:pStyle w:val="TextBody"/>
        <w:spacing w:before="0" w:after="0"/>
        <w:jc w:val="left"/>
        <w:rPr>
          <w:spacing w:val="0"/>
        </w:rPr>
      </w:pPr>
      <w:r>
        <w:rPr>
          <w:spacing w:val="0"/>
        </w:rPr>
        <w:t> </w:t>
      </w:r>
    </w:p>
    <w:tbl>
      <w:tblPr>
        <w:tblW w:w="6310" w:type="dxa"/>
        <w:jc w:val="left"/>
        <w:tblInd w:w="0" w:type="dxa"/>
        <w:tblCellMar>
          <w:top w:w="0" w:type="dxa"/>
          <w:left w:w="0" w:type="dxa"/>
          <w:bottom w:w="0" w:type="dxa"/>
          <w:right w:w="0" w:type="dxa"/>
        </w:tblCellMar>
      </w:tblPr>
      <w:tblGrid>
        <w:gridCol w:w="75"/>
        <w:gridCol w:w="110"/>
        <w:gridCol w:w="60"/>
        <w:gridCol w:w="6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regulatory or legal developments in the United States and other countries; </w:t>
            </w:r>
          </w:p>
        </w:tc>
      </w:tr>
    </w:tbl>
    <w:p>
      <w:pPr>
        <w:pStyle w:val="TextBody"/>
        <w:spacing w:before="0" w:after="0"/>
        <w:jc w:val="left"/>
        <w:rPr>
          <w:spacing w:val="0"/>
        </w:rPr>
      </w:pPr>
      <w:r>
        <w:rPr>
          <w:spacing w:val="0"/>
        </w:rPr>
        <w:t> </w:t>
      </w:r>
    </w:p>
    <w:tbl>
      <w:tblPr>
        <w:tblW w:w="8380" w:type="dxa"/>
        <w:jc w:val="left"/>
        <w:tblInd w:w="0" w:type="dxa"/>
        <w:tblCellMar>
          <w:top w:w="0" w:type="dxa"/>
          <w:left w:w="0" w:type="dxa"/>
          <w:bottom w:w="0" w:type="dxa"/>
          <w:right w:w="0" w:type="dxa"/>
        </w:tblCellMar>
      </w:tblPr>
      <w:tblGrid>
        <w:gridCol w:w="75"/>
        <w:gridCol w:w="110"/>
        <w:gridCol w:w="60"/>
        <w:gridCol w:w="81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developments or disputes concerning patent applications, issued patents or other proprietary rights; </w:t>
            </w:r>
          </w:p>
        </w:tc>
      </w:tr>
    </w:tbl>
    <w:p>
      <w:pPr>
        <w:pStyle w:val="TextBody"/>
        <w:spacing w:before="0" w:after="0"/>
        <w:jc w:val="left"/>
        <w:rPr>
          <w:spacing w:val="0"/>
        </w:rPr>
      </w:pPr>
      <w:r>
        <w:rPr>
          <w:spacing w:val="0"/>
        </w:rPr>
        <w:t> </w:t>
      </w:r>
    </w:p>
    <w:tbl>
      <w:tblPr>
        <w:tblW w:w="4030" w:type="dxa"/>
        <w:jc w:val="left"/>
        <w:tblInd w:w="0" w:type="dxa"/>
        <w:tblCellMar>
          <w:top w:w="0" w:type="dxa"/>
          <w:left w:w="0" w:type="dxa"/>
          <w:bottom w:w="0" w:type="dxa"/>
          <w:right w:w="0" w:type="dxa"/>
        </w:tblCellMar>
      </w:tblPr>
      <w:tblGrid>
        <w:gridCol w:w="75"/>
        <w:gridCol w:w="110"/>
        <w:gridCol w:w="60"/>
        <w:gridCol w:w="3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recruitment or departure of key personnel;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level of expenses related to any of our programs and product candidates or preclinical and clinical development programs; </w:t>
            </w:r>
          </w:p>
        </w:tc>
      </w:tr>
    </w:tbl>
    <w:p>
      <w:pPr>
        <w:pStyle w:val="TextBody"/>
        <w:spacing w:before="0" w:after="0"/>
        <w:jc w:val="left"/>
        <w:rPr>
          <w:spacing w:val="0"/>
        </w:rPr>
      </w:pPr>
      <w:r>
        <w:rPr>
          <w:spacing w:val="0"/>
        </w:rPr>
        <w:t> </w:t>
      </w:r>
    </w:p>
    <w:tbl>
      <w:tblPr>
        <w:tblW w:w="9160" w:type="dxa"/>
        <w:jc w:val="left"/>
        <w:tblInd w:w="0" w:type="dxa"/>
        <w:tblCellMar>
          <w:top w:w="0" w:type="dxa"/>
          <w:left w:w="0" w:type="dxa"/>
          <w:bottom w:w="0" w:type="dxa"/>
          <w:right w:w="0" w:type="dxa"/>
        </w:tblCellMar>
      </w:tblPr>
      <w:tblGrid>
        <w:gridCol w:w="75"/>
        <w:gridCol w:w="110"/>
        <w:gridCol w:w="60"/>
        <w:gridCol w:w="8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results of our efforts to discover, develop, acquire or in-license additional product candidates or products;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actual or anticipated changes in estimates as to financial results, development timelines or recommendations by securities analysts; </w:t>
            </w:r>
          </w:p>
        </w:tc>
      </w:tr>
    </w:tbl>
    <w:p>
      <w:pPr>
        <w:pStyle w:val="TextBody"/>
        <w:spacing w:before="0" w:after="0"/>
        <w:jc w:val="left"/>
        <w:rPr>
          <w:spacing w:val="0"/>
        </w:rPr>
      </w:pPr>
      <w:r>
        <w:rPr>
          <w:spacing w:val="0"/>
        </w:rPr>
        <w:t> </w:t>
      </w:r>
    </w:p>
    <w:tbl>
      <w:tblPr>
        <w:tblW w:w="7840" w:type="dxa"/>
        <w:jc w:val="left"/>
        <w:tblInd w:w="0" w:type="dxa"/>
        <w:tblCellMar>
          <w:top w:w="0" w:type="dxa"/>
          <w:left w:w="0" w:type="dxa"/>
          <w:bottom w:w="0" w:type="dxa"/>
          <w:right w:w="0" w:type="dxa"/>
        </w:tblCellMar>
      </w:tblPr>
      <w:tblGrid>
        <w:gridCol w:w="75"/>
        <w:gridCol w:w="110"/>
        <w:gridCol w:w="60"/>
        <w:gridCol w:w="7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variations in our financial results or those of companies that are perceived to be similar to us; </w:t>
            </w:r>
          </w:p>
        </w:tc>
      </w:tr>
    </w:tbl>
    <w:p>
      <w:pPr>
        <w:pStyle w:val="TextBody"/>
        <w:spacing w:before="0" w:after="0"/>
        <w:jc w:val="left"/>
        <w:rPr>
          <w:spacing w:val="0"/>
        </w:rPr>
      </w:pPr>
      <w:r>
        <w:rPr>
          <w:spacing w:val="0"/>
        </w:rPr>
        <w:t> </w:t>
      </w:r>
    </w:p>
    <w:tbl>
      <w:tblPr>
        <w:tblW w:w="4825" w:type="dxa"/>
        <w:jc w:val="left"/>
        <w:tblInd w:w="0" w:type="dxa"/>
        <w:tblCellMar>
          <w:top w:w="0" w:type="dxa"/>
          <w:left w:w="0" w:type="dxa"/>
          <w:bottom w:w="0" w:type="dxa"/>
          <w:right w:w="0" w:type="dxa"/>
        </w:tblCellMar>
      </w:tblPr>
      <w:tblGrid>
        <w:gridCol w:w="75"/>
        <w:gridCol w:w="110"/>
        <w:gridCol w:w="60"/>
        <w:gridCol w:w="4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changes in the structure of healthcare payment systems; </w:t>
            </w:r>
          </w:p>
        </w:tc>
      </w:tr>
    </w:tbl>
    <w:p>
      <w:pPr>
        <w:pStyle w:val="TextBody"/>
        <w:spacing w:before="0" w:after="0"/>
        <w:jc w:val="left"/>
        <w:rPr>
          <w:spacing w:val="0"/>
        </w:rPr>
      </w:pPr>
      <w:r>
        <w:rPr>
          <w:spacing w:val="0"/>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market conditions in the pharmaceutical and biotechnology sectors; </w:t>
            </w:r>
          </w:p>
        </w:tc>
      </w:tr>
    </w:tbl>
    <w:p>
      <w:pPr>
        <w:pStyle w:val="TextBody"/>
        <w:spacing w:before="0" w:after="0"/>
        <w:jc w:val="left"/>
        <w:rPr>
          <w:spacing w:val="0"/>
        </w:rPr>
      </w:pPr>
      <w:r>
        <w:rPr>
          <w:spacing w:val="0"/>
        </w:rPr>
        <w:t> </w:t>
      </w:r>
    </w:p>
    <w:tbl>
      <w:tblPr>
        <w:tblW w:w="4795" w:type="dxa"/>
        <w:jc w:val="left"/>
        <w:tblInd w:w="0" w:type="dxa"/>
        <w:tblCellMar>
          <w:top w:w="0" w:type="dxa"/>
          <w:left w:w="0" w:type="dxa"/>
          <w:bottom w:w="0" w:type="dxa"/>
          <w:right w:w="0" w:type="dxa"/>
        </w:tblCellMar>
      </w:tblPr>
      <w:tblGrid>
        <w:gridCol w:w="75"/>
        <w:gridCol w:w="110"/>
        <w:gridCol w:w="60"/>
        <w:gridCol w:w="4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general economic, industry and market conditions; and </w:t>
            </w:r>
          </w:p>
        </w:tc>
      </w:tr>
    </w:tbl>
    <w:p>
      <w:pPr>
        <w:pStyle w:val="TextBody"/>
        <w:spacing w:before="0" w:after="0"/>
        <w:jc w:val="left"/>
        <w:rPr>
          <w:spacing w:val="0"/>
        </w:rPr>
      </w:pPr>
      <w:r>
        <w:rPr>
          <w:spacing w:val="0"/>
        </w:rPr>
        <w:t> </w:t>
      </w:r>
    </w:p>
    <w:tbl>
      <w:tblPr>
        <w:tblW w:w="3100" w:type="dxa"/>
        <w:jc w:val="left"/>
        <w:tblInd w:w="0" w:type="dxa"/>
        <w:tblCellMar>
          <w:top w:w="0" w:type="dxa"/>
          <w:left w:w="0" w:type="dxa"/>
          <w:bottom w:w="0" w:type="dxa"/>
          <w:right w:w="0" w:type="dxa"/>
        </w:tblCellMar>
      </w:tblPr>
      <w:tblGrid>
        <w:gridCol w:w="75"/>
        <w:gridCol w:w="110"/>
        <w:gridCol w:w="60"/>
        <w:gridCol w:w="2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other factors described in this “</w:t>
            </w:r>
          </w:p>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Factors</w:t>
            </w:r>
          </w:p>
          <w:p>
            <w:pPr>
              <w:pStyle w:val="TableContents"/>
              <w:spacing w:before="0" w:after="0"/>
              <w:jc w:val="left"/>
              <w:rPr/>
            </w:pPr>
            <w:r>
              <w:rPr/>
              <w:t xml:space="preserve">” </w:t>
            </w:r>
            <w:r>
              <w:rPr>
                <w:rFonts w:ascii="Times New Roman" w:hAnsi="Times New Roman"/>
                <w:sz w:val="20"/>
              </w:rPr>
              <w:t xml:space="preserve">section.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will incur increased costs as a result of operating as a public company, and our management will be required to devote substantial time to new compliance initiatives.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Stock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disclosure controls and procedures may not prevent or detect all errors or acts of fraud.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securities analysts do not publish research or reports about our business or if they publish negative evaluations of our stock, the price of our stock could decline.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trading market for our common stock relies in part on the research and reports that industry or financial analysts publish about us or our business. We do not control these analysts. If one or more of the analysts covering our business downgrade their evaluations of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stock, which in turn could cause our stock price to decline. In addition, if we are the subject of negative publicity, whether from an analyst, academic, industry group or the general or financial press, our stock price may decline.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be subject to securities litigation, which is expensive and could divert management attention.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General Risk Factors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Comprehensive tax reform legislation could adversely affect our business and financial condition. </w:t>
      </w:r>
    </w:p>
    <w:p>
      <w:pPr>
        <w:pStyle w:val="TextBody"/>
        <w:spacing w:before="120" w:after="0"/>
        <w:jc w:val="left"/>
        <w:rPr>
          <w:rFonts w:ascii="Times New Roman" w:hAnsi="Times New Roman"/>
          <w:sz w:val="20"/>
        </w:rPr>
      </w:pPr>
      <w:r>
        <w:rPr>
          <w:rFonts w:ascii="Times New Roman" w:hAnsi="Times New Roman"/>
          <w:sz w:val="20"/>
        </w:rPr>
        <w:t xml:space="preserve">The tax regimes we are subject to or operate under are unsettled and may be subject to significant change. Changes in tax laws (including in response to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or tax rulings, or changes in interpretations of existing laws, could cause us to be subject to additional income-based taxes and </w:t>
      </w:r>
    </w:p>
    <w:p>
      <w:pPr>
        <w:pStyle w:val="TextBody"/>
        <w:spacing w:before="120" w:after="0"/>
        <w:jc w:val="left"/>
        <w:rPr>
          <w:rFonts w:ascii="Times New Roman" w:hAnsi="Times New Roman"/>
          <w:spacing w:val="0"/>
          <w:sz w:val="20"/>
        </w:rPr>
      </w:pPr>
      <w:r>
        <w:rPr>
          <w:rFonts w:ascii="Times New Roman" w:hAnsi="Times New Roman"/>
          <w:spacing w:val="0"/>
          <w:sz w:val="20"/>
        </w:rPr>
        <w:t>non-</w:t>
      </w:r>
    </w:p>
    <w:p>
      <w:pPr>
        <w:pStyle w:val="TextBody"/>
        <w:spacing w:before="120" w:after="0"/>
        <w:jc w:val="left"/>
        <w:rPr>
          <w:rFonts w:ascii="Times New Roman" w:hAnsi="Times New Roman"/>
          <w:sz w:val="20"/>
        </w:rPr>
      </w:pPr>
      <w:r>
        <w:rPr>
          <w:rFonts w:ascii="Times New Roman" w:hAnsi="Times New Roman"/>
          <w:sz w:val="20"/>
        </w:rPr>
        <w:t xml:space="preserve">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Unfavorable global economic conditions could adversely affect our business, financial condition or results of operations. </w:t>
      </w:r>
    </w:p>
    <w:p>
      <w:pPr>
        <w:pStyle w:val="TextBody"/>
        <w:spacing w:before="120" w:after="0"/>
        <w:jc w:val="left"/>
        <w:rPr>
          <w:rFonts w:ascii="Times New Roman" w:hAnsi="Times New Roman"/>
          <w:sz w:val="20"/>
        </w:rPr>
      </w:pPr>
      <w:r>
        <w:rPr>
          <w:rFonts w:ascii="Times New Roman" w:hAnsi="Times New Roman"/>
          <w:sz w:val="20"/>
        </w:rPr>
        <w:t xml:space="preserve">Our results of operations could be adversely affected by general conditions in the global economy and in the global financial markets. For example, in 2008, the global financial crisis caused extreme volatility and disruptions in the capital and credit markets and the current </w:t>
      </w:r>
    </w:p>
    <w:p>
      <w:pPr>
        <w:pStyle w:val="TextBody"/>
        <w:spacing w:before="120" w:after="0"/>
        <w:jc w:val="left"/>
        <w:rPr>
          <w:rFonts w:ascii="Times New Roman" w:hAnsi="Times New Roman"/>
          <w:spacing w:val="0"/>
          <w:sz w:val="20"/>
        </w:rPr>
      </w:pPr>
      <w:r>
        <w:rPr>
          <w:rFonts w:ascii="Times New Roman" w:hAnsi="Times New Roman"/>
          <w:spacing w:val="0"/>
          <w:sz w:val="20"/>
        </w:rPr>
        <w:t>COVID-19 pandemic</w:t>
      </w:r>
    </w:p>
    <w:p>
      <w:pPr>
        <w:pStyle w:val="TextBody"/>
        <w:spacing w:before="120" w:after="0"/>
        <w:jc w:val="left"/>
        <w:rPr>
          <w:rFonts w:ascii="Times New Roman" w:hAnsi="Times New Roman"/>
          <w:sz w:val="20"/>
        </w:rPr>
      </w:pPr>
      <w:r>
        <w:rPr>
          <w:rFonts w:ascii="Times New Roman" w:hAnsi="Times New Roman"/>
          <w:sz w:val="20"/>
        </w:rPr>
        <w:t xml:space="preserve">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An active trading market for our common stock may not be sustained, and you may not be able to resell your shares at the price you paid.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Although our common stock is listed on the Nasdaq Capital Market, an active trading market for our shares may not be sustained. In the absence of an active trading market for our common stock, investors may be unable to sell their shares.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USE OF PROCEEDS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All of the shares of Common Stock offered by the Selling Securityholders pursuant to this prospectus will be sold by the Selling Securityholders for their respective accounts. We will not receive any of the proceeds from these sales.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480" w:after="0"/>
        <w:jc w:val="center"/>
        <w:rPr>
          <w:rFonts w:ascii="Times New Roman" w:hAnsi="Times New Roman"/>
          <w:b/>
          <w:spacing w:val="0"/>
          <w:sz w:val="20"/>
        </w:rPr>
      </w:pPr>
      <w:r>
        <w:rPr>
          <w:rFonts w:ascii="Times New Roman" w:hAnsi="Times New Roman"/>
          <w:b/>
          <w:spacing w:val="0"/>
          <w:sz w:val="20"/>
        </w:rPr>
        <w:t xml:space="preserve">DIVIDEND POLICY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currently intend to retain all available funds and any future earnings to fund the growth and development of our business. We have never declared or paid any cash dividends on our capital stock. We do not intend to pay cash dividends on our common stock in the foreseeable future. Investors should not purchase our common stock with the expectation of receiving cash dividends.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future determination to declare dividends will be made at the discretion of our board of directors and will depend on our financial condition, operating results, capital requirements, general business conditions, and other factors that our board of directors may deem relevant.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480" w:after="0"/>
        <w:jc w:val="center"/>
        <w:rPr>
          <w:rFonts w:ascii="Times New Roman" w:hAnsi="Times New Roman"/>
          <w:b/>
          <w:spacing w:val="0"/>
          <w:sz w:val="20"/>
        </w:rPr>
      </w:pPr>
      <w:r>
        <w:rPr>
          <w:rFonts w:ascii="Times New Roman" w:hAnsi="Times New Roman"/>
          <w:b/>
          <w:spacing w:val="0"/>
          <w:sz w:val="20"/>
        </w:rPr>
        <w:t xml:space="preserve">DETERMINATION OF OFFERING PRICE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cannot currently determine the price or prices at which the shares of Common Stock may be sold by the Selling Securityholders under this prospectus.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PRO FORMA CONDENSED COMBINED FINANCIAL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unaudited pro forma condensed combined balance sheet of New Tango as of June 30, 2021 and the unaudited pro forma condensed combined statements of operations of New Tango for six months ended June 30, 2021 and for the year ended December 31, 2020 present the combination of the financial information of BCTG and Tango, after giving effect to the Business Combination, PIPE Financing and related adjustments described in the accompanying notes. BCTG and Tango are collectively referred to herein as the “Companies,” and the Companies, subsequent to the Business Combination and the PIPE Financing, are referred to herein as New Tango.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unaudited pro forma condensed combined statements of operations for the six months ended June 30, 2021 and the year ended December 31, 2020 give pro forma effect to the Business Combination and PIPE Financing as if they had occurred on January 1, 2021. The unaudited pro forma condensed combined balance sheet as of June 30, 2021 gives pro forma effect to the Business Combination and PIPE Financing as if they were completed on June 30, 2021. </w:t>
      </w:r>
    </w:p>
    <w:p>
      <w:pPr>
        <w:pStyle w:val="TextBody"/>
        <w:spacing w:before="240" w:after="0"/>
        <w:jc w:val="left"/>
        <w:rPr>
          <w:rFonts w:ascii="Times New Roman" w:hAnsi="Times New Roman"/>
          <w:sz w:val="20"/>
        </w:rPr>
      </w:pPr>
      <w:r>
        <w:rPr>
          <w:rFonts w:ascii="Times New Roman" w:hAnsi="Times New Roman"/>
          <w:sz w:val="20"/>
        </w:rPr>
        <w:t>The unaudited pro forma condensed combined financial information is based on and should be read in conjunction with the accompanying notes to the unaudited pro forma condensed combined financial information, the audited and unaudited historical financial statements of each of BCTG and Tango and the notes thereto, and the disclosures contained in this prospectus in the section titled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Management’s Discussion and Analysis of Financial Condition and Results of Operations</w:t>
      </w:r>
    </w:p>
    <w:p>
      <w:pPr>
        <w:pStyle w:val="TextBody"/>
        <w:spacing w:before="240" w:after="0"/>
        <w:jc w:val="left"/>
        <w:rPr>
          <w:rFonts w:ascii="Times New Roman" w:hAnsi="Times New Roman"/>
          <w:sz w:val="20"/>
        </w:rPr>
      </w:pPr>
      <w:r>
        <w:rPr>
          <w:rFonts w:ascii="Times New Roman" w:hAnsi="Times New Roman"/>
          <w:sz w:val="20"/>
        </w:rPr>
        <w:t xml:space="preserv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unaudited pro forma condensed combined financial statements have been presented for illustrative purposes only and do not necessarily reflect what New Tango’s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New Tango.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 We believe that our assumptions and methodologies provide a reasonable basis for presenting all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unaudited pro forma condensed combined information contained herein incorporates the results of BCTG’s public stockholders having elected to redeem their shares of BCTG common stock for cash upon the approval of the Business Combination.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PRO FORMA CONDENSED COMBINED BALANCE SHEET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AS OF JUNE 30, 2021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531"/>
        <w:gridCol w:w="60"/>
        <w:gridCol w:w="140"/>
        <w:gridCol w:w="890"/>
        <w:gridCol w:w="155"/>
        <w:gridCol w:w="60"/>
        <w:gridCol w:w="148"/>
        <w:gridCol w:w="847"/>
        <w:gridCol w:w="155"/>
        <w:gridCol w:w="60"/>
        <w:gridCol w:w="180"/>
        <w:gridCol w:w="1130"/>
        <w:gridCol w:w="155"/>
        <w:gridCol w:w="60"/>
        <w:gridCol w:w="60"/>
        <w:gridCol w:w="259"/>
        <w:gridCol w:w="60"/>
        <w:gridCol w:w="120"/>
        <w:gridCol w:w="195"/>
        <w:gridCol w:w="1115"/>
        <w:gridCol w:w="60"/>
        <w:gridCol w:w="60"/>
        <w:gridCol w:w="60"/>
        <w:gridCol w:w="256"/>
        <w:gridCol w:w="60"/>
        <w:gridCol w:w="60"/>
        <w:gridCol w:w="150"/>
        <w:gridCol w:w="946"/>
        <w:gridCol w:w="173"/>
      </w:tblGrid>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253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0"/>
              <w:jc w:val="center"/>
              <w:rPr>
                <w:b/>
                <w:spacing w:val="0"/>
              </w:rPr>
            </w:pPr>
            <w:r>
              <w:rPr>
                <w:b/>
                <w:spacing w:val="0"/>
              </w:rPr>
              <w:t>(A)</w:t>
              <w:br/>
              <w:t>Tango</w:t>
              <w:br/>
              <w:t>Historical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0"/>
              <w:jc w:val="center"/>
              <w:rPr>
                <w:b/>
                <w:spacing w:val="0"/>
              </w:rPr>
            </w:pPr>
            <w:r>
              <w:rPr>
                <w:b/>
                <w:spacing w:val="0"/>
              </w:rPr>
              <w:t>(B)</w:t>
              <w:br/>
              <w:t>BCTG</w:t>
              <w:br/>
              <w:t>Historical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0"/>
              <w:jc w:val="center"/>
              <w:rPr>
                <w:b/>
                <w:spacing w:val="0"/>
              </w:rPr>
            </w:pPr>
            <w:r>
              <w:rPr>
                <w:b/>
                <w:spacing w:val="0"/>
              </w:rPr>
              <w:t>Transaction</w:t>
              <w:br/>
              <w:t>Accounting</w:t>
              <w:br/>
              <w:t>Adjustments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0"/>
              <w:jc w:val="center"/>
              <w:rPr>
                <w:b/>
                <w:spacing w:val="0"/>
              </w:rPr>
            </w:pPr>
            <w:r>
              <w:rPr>
                <w:b/>
                <w:spacing w:val="0"/>
              </w:rPr>
              <w:t>PIPE</w:t>
              <w:br/>
              <w:t>Transaction</w:t>
              <w:br/>
              <w:t>Adjustments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6"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6" w:type="dxa"/>
            <w:gridSpan w:val="2"/>
            <w:tcBorders/>
            <w:shd w:fill="auto" w:val="clear"/>
            <w:vAlign w:val="center"/>
          </w:tcPr>
          <w:p>
            <w:pPr>
              <w:pStyle w:val="TableContents"/>
              <w:spacing w:before="0" w:after="0"/>
              <w:jc w:val="center"/>
              <w:rPr>
                <w:b/>
                <w:spacing w:val="0"/>
              </w:rPr>
            </w:pPr>
            <w:r>
              <w:rPr>
                <w:b/>
                <w:spacing w:val="0"/>
              </w:rPr>
              <w:t>Pro Forma</w:t>
              <w:br/>
              <w:t>Combined</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b/>
                <w:spacing w:val="0"/>
                <w:sz w:val="19"/>
              </w:rPr>
            </w:pPr>
            <w:r>
              <w:rPr>
                <w:rFonts w:ascii="Times New Roman" w:hAnsi="Times New Roman"/>
                <w:b/>
                <w:spacing w:val="0"/>
                <w:sz w:val="19"/>
              </w:rPr>
              <w:t>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9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sz w:val="4"/>
                <w:szCs w:val="4"/>
              </w:rPr>
            </w:pPr>
            <w:r>
              <w:rPr>
                <w:sz w:val="4"/>
                <w:szCs w:val="4"/>
              </w:rPr>
            </w:r>
          </w:p>
        </w:tc>
        <w:tc>
          <w:tcPr>
            <w:tcW w:w="847"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sz w:val="4"/>
                <w:szCs w:val="4"/>
              </w:rPr>
            </w:pPr>
            <w:r>
              <w:rPr>
                <w:sz w:val="4"/>
                <w:szCs w:val="4"/>
              </w:rPr>
            </w:r>
          </w:p>
        </w:tc>
        <w:tc>
          <w:tcPr>
            <w:tcW w:w="113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111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73" w:type="dxa"/>
            <w:tcBorders/>
            <w:shd w:fill="CCEEFF" w:val="clear"/>
            <w:vAlign w:val="center"/>
          </w:tcPr>
          <w:p>
            <w:pPr>
              <w:pStyle w:val="TableContents"/>
              <w:spacing w:before="0" w:after="283"/>
              <w:rPr>
                <w:sz w:val="4"/>
                <w:szCs w:val="4"/>
              </w:rPr>
            </w:pPr>
            <w:r>
              <w:rPr>
                <w:sz w:val="4"/>
                <w:szCs w:val="4"/>
              </w:rPr>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Current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jc w:val="right"/>
              <w:rPr/>
            </w:pPr>
            <w:r>
              <w:rPr/>
              <w:t>50,902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w:t>
            </w:r>
          </w:p>
        </w:tc>
        <w:tc>
          <w:tcPr>
            <w:tcW w:w="847" w:type="dxa"/>
            <w:tcBorders/>
            <w:shd w:fill="CCEEFF" w:val="clear"/>
            <w:vAlign w:val="center"/>
          </w:tcPr>
          <w:p>
            <w:pPr>
              <w:pStyle w:val="TableContents"/>
              <w:spacing w:before="0" w:after="283"/>
              <w:jc w:val="right"/>
              <w:rPr/>
            </w:pPr>
            <w:r>
              <w:rPr/>
              <w:t>583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147,963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9" w:type="dxa"/>
            <w:tcBorders/>
            <w:shd w:fill="CCEEFF" w:val="clear"/>
            <w:vAlign w:val="center"/>
          </w:tcPr>
          <w:p>
            <w:pPr>
              <w:pStyle w:val="TableContents"/>
              <w:spacing w:before="0" w:after="0"/>
              <w:jc w:val="right"/>
              <w:rPr>
                <w:b/>
                <w:spacing w:val="0"/>
              </w:rPr>
            </w:pPr>
            <w:r>
              <w:rPr>
                <w:b/>
                <w:spacing w:val="0"/>
              </w:rPr>
              <w:t>3(a)</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179,077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6" w:type="dxa"/>
            <w:tcBorders/>
            <w:shd w:fill="CCEEFF" w:val="clear"/>
            <w:vAlign w:val="center"/>
          </w:tcPr>
          <w:p>
            <w:pPr>
              <w:pStyle w:val="TableContents"/>
              <w:spacing w:before="0" w:after="0"/>
              <w:jc w:val="right"/>
              <w:rPr>
                <w:b/>
                <w:spacing w:val="0"/>
              </w:rPr>
            </w:pPr>
            <w:r>
              <w:rPr>
                <w:b/>
                <w:spacing w:val="0"/>
              </w:rPr>
              <w:t>3(a)</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w:t>
            </w:r>
          </w:p>
        </w:tc>
        <w:tc>
          <w:tcPr>
            <w:tcW w:w="946" w:type="dxa"/>
            <w:tcBorders/>
            <w:shd w:fill="CCEEFF" w:val="clear"/>
            <w:vAlign w:val="center"/>
          </w:tcPr>
          <w:p>
            <w:pPr>
              <w:pStyle w:val="TableContents"/>
              <w:spacing w:before="0" w:after="283"/>
              <w:jc w:val="right"/>
              <w:rPr/>
            </w:pPr>
            <w:r>
              <w:rPr/>
              <w:t>378,525</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Marketable securities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147,452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147,452</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Accounts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2,000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2,000</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Prepaid expenses and other current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1,707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151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1,858</w:t>
            </w:r>
          </w:p>
        </w:tc>
        <w:tc>
          <w:tcPr>
            <w:tcW w:w="173" w:type="dxa"/>
            <w:tcBorders/>
            <w:shd w:fill="auto"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202,061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734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147,963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179,077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529,835</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Property and equipment,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4,397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4,397</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Operating lease </w:t>
            </w:r>
          </w:p>
          <w:p>
            <w:pPr>
              <w:pStyle w:val="TableContents"/>
              <w:spacing w:before="0" w:after="0"/>
              <w:rPr>
                <w:rFonts w:ascii="Times New Roman" w:hAnsi="Times New Roman"/>
                <w:spacing w:val="0"/>
                <w:sz w:val="19"/>
              </w:rPr>
            </w:pPr>
            <w:r>
              <w:rPr>
                <w:rFonts w:ascii="Times New Roman" w:hAnsi="Times New Roman"/>
                <w:spacing w:val="0"/>
                <w:sz w:val="19"/>
              </w:rPr>
              <w:t>right-of-use</w:t>
            </w:r>
          </w:p>
          <w:p>
            <w:pPr>
              <w:pStyle w:val="TableContents"/>
              <w:spacing w:before="0" w:after="0"/>
              <w:rPr>
                <w:rFonts w:ascii="Times New Roman" w:hAnsi="Times New Roman"/>
                <w:sz w:val="19"/>
              </w:rPr>
            </w:pPr>
            <w:r>
              <w:rPr>
                <w:rFonts w:ascii="Times New Roman" w:hAnsi="Times New Roman"/>
                <w:sz w:val="19"/>
              </w:rPr>
              <w:t>assets,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6,988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6,988</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Restricted cash</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2,279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2,279</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Cash and investments held in trust account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166,815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(166,815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9" w:type="dxa"/>
            <w:tcBorders/>
            <w:shd w:fill="CCEEFF" w:val="clear"/>
            <w:vAlign w:val="center"/>
          </w:tcPr>
          <w:p>
            <w:pPr>
              <w:pStyle w:val="TableContents"/>
              <w:spacing w:before="0" w:after="0"/>
              <w:jc w:val="right"/>
              <w:rPr>
                <w:b/>
                <w:spacing w:val="0"/>
              </w:rPr>
            </w:pPr>
            <w:r>
              <w:rPr>
                <w:b/>
                <w:spacing w:val="0"/>
              </w:rPr>
              <w:t>3(b)</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  </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Other assets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1,515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(1,489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59" w:type="dxa"/>
            <w:tcBorders/>
            <w:shd w:fill="auto" w:val="clear"/>
            <w:vAlign w:val="center"/>
          </w:tcPr>
          <w:p>
            <w:pPr>
              <w:pStyle w:val="TableContents"/>
              <w:spacing w:before="0" w:after="0"/>
              <w:jc w:val="right"/>
              <w:rPr>
                <w:b/>
                <w:spacing w:val="0"/>
              </w:rPr>
            </w:pPr>
            <w:r>
              <w:rPr>
                <w:b/>
                <w:spacing w:val="0"/>
              </w:rPr>
              <w:t>3(b)</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26</w:t>
            </w:r>
          </w:p>
        </w:tc>
        <w:tc>
          <w:tcPr>
            <w:tcW w:w="173" w:type="dxa"/>
            <w:tcBorders/>
            <w:shd w:fill="auto"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jc w:val="right"/>
              <w:rPr/>
            </w:pPr>
            <w:r>
              <w:rPr/>
              <w:t>217,240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w:t>
            </w:r>
          </w:p>
        </w:tc>
        <w:tc>
          <w:tcPr>
            <w:tcW w:w="847" w:type="dxa"/>
            <w:tcBorders/>
            <w:shd w:fill="CCEEFF" w:val="clear"/>
            <w:vAlign w:val="center"/>
          </w:tcPr>
          <w:p>
            <w:pPr>
              <w:pStyle w:val="TableContents"/>
              <w:spacing w:before="0" w:after="283"/>
              <w:jc w:val="right"/>
              <w:rPr/>
            </w:pPr>
            <w:r>
              <w:rPr/>
              <w:t>167,549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(20,341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179,077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w:t>
            </w:r>
          </w:p>
        </w:tc>
        <w:tc>
          <w:tcPr>
            <w:tcW w:w="946" w:type="dxa"/>
            <w:tcBorders/>
            <w:shd w:fill="CCEEFF" w:val="clear"/>
            <w:vAlign w:val="center"/>
          </w:tcPr>
          <w:p>
            <w:pPr>
              <w:pStyle w:val="TableContents"/>
              <w:spacing w:before="0" w:after="283"/>
              <w:jc w:val="right"/>
              <w:rPr/>
            </w:pPr>
            <w:r>
              <w:rPr/>
              <w:t>543,525</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 w:type="dxa"/>
            <w:tcBorders/>
            <w:shd w:fill="auto"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b/>
                <w:spacing w:val="0"/>
                <w:sz w:val="19"/>
              </w:rPr>
            </w:pPr>
            <w:r>
              <w:rPr>
                <w:rFonts w:ascii="Times New Roman" w:hAnsi="Times New Roman"/>
                <w:b/>
                <w:spacing w:val="0"/>
                <w:sz w:val="19"/>
              </w:rPr>
              <w:t>Liabilities, Redeemable Convertible Preferred Stock and Stockholders’ Deficit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Current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9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sz w:val="4"/>
                <w:szCs w:val="4"/>
              </w:rPr>
            </w:pPr>
            <w:r>
              <w:rPr>
                <w:sz w:val="4"/>
                <w:szCs w:val="4"/>
              </w:rPr>
            </w:r>
          </w:p>
        </w:tc>
        <w:tc>
          <w:tcPr>
            <w:tcW w:w="847"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sz w:val="4"/>
                <w:szCs w:val="4"/>
              </w:rPr>
            </w:pPr>
            <w:r>
              <w:rPr>
                <w:sz w:val="4"/>
                <w:szCs w:val="4"/>
              </w:rPr>
            </w:r>
          </w:p>
        </w:tc>
        <w:tc>
          <w:tcPr>
            <w:tcW w:w="113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111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73" w:type="dxa"/>
            <w:tcBorders/>
            <w:shd w:fill="CCEEFF" w:val="clear"/>
            <w:vAlign w:val="center"/>
          </w:tcPr>
          <w:p>
            <w:pPr>
              <w:pStyle w:val="TableContents"/>
              <w:spacing w:before="0" w:after="283"/>
              <w:rPr>
                <w:sz w:val="4"/>
                <w:szCs w:val="4"/>
              </w:rPr>
            </w:pPr>
            <w:r>
              <w:rPr>
                <w:sz w:val="4"/>
                <w:szCs w:val="4"/>
              </w:rPr>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Accounts payable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jc w:val="right"/>
              <w:rPr/>
            </w:pPr>
            <w:r>
              <w:rPr/>
              <w:t>5,242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w:t>
            </w:r>
          </w:p>
        </w:tc>
        <w:tc>
          <w:tcPr>
            <w:tcW w:w="847" w:type="dxa"/>
            <w:tcBorders/>
            <w:shd w:fill="auto" w:val="clear"/>
            <w:vAlign w:val="center"/>
          </w:tcPr>
          <w:p>
            <w:pPr>
              <w:pStyle w:val="TableContents"/>
              <w:spacing w:before="0" w:after="283"/>
              <w:jc w:val="right"/>
              <w:rPr/>
            </w:pPr>
            <w:r>
              <w:rPr/>
              <w:t>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w:t>
            </w:r>
          </w:p>
        </w:tc>
        <w:tc>
          <w:tcPr>
            <w:tcW w:w="113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w:t>
            </w:r>
          </w:p>
        </w:tc>
        <w:tc>
          <w:tcPr>
            <w:tcW w:w="946" w:type="dxa"/>
            <w:tcBorders/>
            <w:shd w:fill="auto" w:val="clear"/>
            <w:vAlign w:val="center"/>
          </w:tcPr>
          <w:p>
            <w:pPr>
              <w:pStyle w:val="TableContents"/>
              <w:spacing w:before="0" w:after="283"/>
              <w:jc w:val="right"/>
              <w:rPr/>
            </w:pPr>
            <w:r>
              <w:rPr/>
              <w:t>5,268</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Accrued expenses and other current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6,434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293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(587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9" w:type="dxa"/>
            <w:tcBorders/>
            <w:shd w:fill="CCEEFF" w:val="clear"/>
            <w:vAlign w:val="center"/>
          </w:tcPr>
          <w:p>
            <w:pPr>
              <w:pStyle w:val="TableContents"/>
              <w:spacing w:before="0" w:after="0"/>
              <w:jc w:val="right"/>
              <w:rPr>
                <w:b/>
                <w:spacing w:val="0"/>
              </w:rPr>
            </w:pPr>
            <w:r>
              <w:rPr>
                <w:b/>
                <w:spacing w:val="0"/>
              </w:rPr>
              <w:t>3(c)</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6,140</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Operating lease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1,047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1,047</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Deferred revenue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24,500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24,500</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Accrued income taxes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59" w:type="dxa"/>
            <w:tcBorders/>
            <w:shd w:fill="auto" w:val="clear"/>
            <w:vAlign w:val="center"/>
          </w:tcPr>
          <w:p>
            <w:pPr>
              <w:pStyle w:val="TableContents"/>
              <w:spacing w:before="0" w:after="0"/>
              <w:jc w:val="right"/>
              <w:rPr>
                <w:b/>
                <w:spacing w:val="0"/>
              </w:rPr>
            </w:pPr>
            <w:r>
              <w:rPr>
                <w:b/>
                <w:spacing w:val="0"/>
              </w:rPr>
              <w:t>3(c)</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Franchise tax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9" w:type="dxa"/>
            <w:tcBorders/>
            <w:shd w:fill="CCEEFF" w:val="clear"/>
            <w:vAlign w:val="center"/>
          </w:tcPr>
          <w:p>
            <w:pPr>
              <w:pStyle w:val="TableContents"/>
              <w:spacing w:before="0" w:after="0"/>
              <w:jc w:val="right"/>
              <w:rPr>
                <w:b/>
                <w:spacing w:val="0"/>
              </w:rPr>
            </w:pPr>
            <w:r>
              <w:rPr>
                <w:b/>
                <w:spacing w:val="0"/>
              </w:rPr>
              <w:t>3(c)</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  </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 w:type="dxa"/>
            <w:tcBorders/>
            <w:shd w:fill="auto"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current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37,223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355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(623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36,955</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Operating lease liabilities, net of current portion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6,384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6,384</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Deferred underwriting commissions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5,836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(5,836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59" w:type="dxa"/>
            <w:tcBorders/>
            <w:shd w:fill="auto" w:val="clear"/>
            <w:vAlign w:val="center"/>
          </w:tcPr>
          <w:p>
            <w:pPr>
              <w:pStyle w:val="TableContents"/>
              <w:spacing w:before="0" w:after="0"/>
              <w:jc w:val="right"/>
              <w:rPr>
                <w:b/>
                <w:spacing w:val="0"/>
              </w:rPr>
            </w:pPr>
            <w:r>
              <w:rPr>
                <w:b/>
                <w:spacing w:val="0"/>
              </w:rPr>
              <w:t>3(d)</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Deferred revenue, net of current portion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118,742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118,742</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 w:type="dxa"/>
            <w:tcBorders/>
            <w:shd w:fill="auto"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162,349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6,191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(6,459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162,081</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Redeemable convertible preferred stock (Series A, B, and </w:t>
            </w:r>
          </w:p>
          <w:p>
            <w:pPr>
              <w:pStyle w:val="TableContents"/>
              <w:spacing w:before="0" w:after="0"/>
              <w:rPr>
                <w:rFonts w:ascii="Times New Roman" w:hAnsi="Times New Roman"/>
                <w:spacing w:val="0"/>
                <w:sz w:val="19"/>
              </w:rPr>
            </w:pPr>
            <w:r>
              <w:rPr>
                <w:rFonts w:ascii="Times New Roman" w:hAnsi="Times New Roman"/>
                <w:spacing w:val="0"/>
                <w:sz w:val="19"/>
              </w:rPr>
              <w:t>B-1)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166,534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(166,534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9" w:type="dxa"/>
            <w:tcBorders/>
            <w:shd w:fill="CCEEFF" w:val="clear"/>
            <w:vAlign w:val="center"/>
          </w:tcPr>
          <w:p>
            <w:pPr>
              <w:pStyle w:val="TableContents"/>
              <w:spacing w:before="0" w:after="0"/>
              <w:jc w:val="right"/>
              <w:rPr>
                <w:b/>
                <w:spacing w:val="0"/>
              </w:rPr>
            </w:pPr>
            <w:r>
              <w:rPr>
                <w:b/>
                <w:spacing w:val="0"/>
              </w:rPr>
              <w:t>3(d)</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  </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Common stock subject to redemption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156,358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(156,358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59" w:type="dxa"/>
            <w:tcBorders/>
            <w:shd w:fill="auto" w:val="clear"/>
            <w:vAlign w:val="center"/>
          </w:tcPr>
          <w:p>
            <w:pPr>
              <w:pStyle w:val="TableContents"/>
              <w:spacing w:before="0" w:after="0"/>
              <w:jc w:val="right"/>
              <w:rPr>
                <w:b/>
                <w:spacing w:val="0"/>
              </w:rPr>
            </w:pPr>
            <w:r>
              <w:rPr>
                <w:b/>
                <w:spacing w:val="0"/>
              </w:rPr>
              <w:t>3(d)</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Stockholders’ equity (deficit):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9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sz w:val="4"/>
                <w:szCs w:val="4"/>
              </w:rPr>
            </w:pPr>
            <w:r>
              <w:rPr>
                <w:sz w:val="4"/>
                <w:szCs w:val="4"/>
              </w:rPr>
            </w:r>
          </w:p>
        </w:tc>
        <w:tc>
          <w:tcPr>
            <w:tcW w:w="847"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sz w:val="4"/>
                <w:szCs w:val="4"/>
              </w:rPr>
            </w:pPr>
            <w:r>
              <w:rPr>
                <w:sz w:val="4"/>
                <w:szCs w:val="4"/>
              </w:rPr>
            </w:r>
          </w:p>
        </w:tc>
        <w:tc>
          <w:tcPr>
            <w:tcW w:w="113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111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sz w:val="4"/>
                <w:szCs w:val="4"/>
              </w:rPr>
            </w:pPr>
            <w:r>
              <w:rPr>
                <w:sz w:val="4"/>
                <w:szCs w:val="4"/>
              </w:rPr>
            </w:r>
          </w:p>
        </w:tc>
        <w:tc>
          <w:tcPr>
            <w:tcW w:w="946" w:type="dxa"/>
            <w:tcBorders/>
            <w:shd w:fill="CCEEFF" w:val="clear"/>
            <w:vAlign w:val="center"/>
          </w:tcPr>
          <w:p>
            <w:pPr>
              <w:pStyle w:val="TableContents"/>
              <w:spacing w:before="0" w:after="283"/>
              <w:rPr>
                <w:sz w:val="4"/>
                <w:szCs w:val="4"/>
              </w:rPr>
            </w:pPr>
            <w:r>
              <w:rPr>
                <w:sz w:val="4"/>
                <w:szCs w:val="4"/>
              </w:rPr>
            </w:r>
          </w:p>
        </w:tc>
        <w:tc>
          <w:tcPr>
            <w:tcW w:w="173" w:type="dxa"/>
            <w:tcBorders/>
            <w:shd w:fill="CCEEFF" w:val="clear"/>
            <w:vAlign w:val="center"/>
          </w:tcPr>
          <w:p>
            <w:pPr>
              <w:pStyle w:val="TableContents"/>
              <w:spacing w:before="0" w:after="283"/>
              <w:rPr>
                <w:sz w:val="4"/>
                <w:szCs w:val="4"/>
              </w:rPr>
            </w:pPr>
            <w:r>
              <w:rPr>
                <w:sz w:val="4"/>
                <w:szCs w:val="4"/>
              </w:rPr>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Common stock</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59" w:type="dxa"/>
            <w:tcBorders/>
            <w:shd w:fill="auto" w:val="clear"/>
            <w:vAlign w:val="center"/>
          </w:tcPr>
          <w:p>
            <w:pPr>
              <w:pStyle w:val="TableContents"/>
              <w:spacing w:before="0" w:after="0"/>
              <w:jc w:val="right"/>
              <w:rPr>
                <w:b/>
                <w:spacing w:val="0"/>
              </w:rPr>
            </w:pPr>
            <w:r>
              <w:rPr>
                <w:b/>
                <w:spacing w:val="0"/>
              </w:rPr>
              <w:t>3(d)</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56" w:type="dxa"/>
            <w:tcBorders/>
            <w:shd w:fill="auto" w:val="clear"/>
            <w:vAlign w:val="center"/>
          </w:tcPr>
          <w:p>
            <w:pPr>
              <w:pStyle w:val="TableContents"/>
              <w:spacing w:before="0" w:after="0"/>
              <w:jc w:val="right"/>
              <w:rPr>
                <w:b/>
                <w:spacing w:val="0"/>
              </w:rPr>
            </w:pPr>
            <w:r>
              <w:rPr>
                <w:b/>
                <w:spacing w:val="0"/>
              </w:rPr>
              <w:t>3(a)</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10</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Additional </w:t>
            </w:r>
          </w:p>
          <w:p>
            <w:pPr>
              <w:pStyle w:val="TableContents"/>
              <w:spacing w:before="0" w:after="0"/>
              <w:rPr>
                <w:rFonts w:ascii="Times New Roman" w:hAnsi="Times New Roman"/>
                <w:spacing w:val="0"/>
                <w:sz w:val="19"/>
              </w:rPr>
            </w:pPr>
            <w:r>
              <w:rPr>
                <w:rFonts w:ascii="Times New Roman" w:hAnsi="Times New Roman"/>
                <w:spacing w:val="0"/>
                <w:sz w:val="19"/>
              </w:rPr>
              <w:t>paid-in</w:t>
            </w:r>
          </w:p>
          <w:p>
            <w:pPr>
              <w:pStyle w:val="TableContents"/>
              <w:spacing w:before="0" w:after="0"/>
              <w:rPr>
                <w:rFonts w:ascii="Times New Roman" w:hAnsi="Times New Roman"/>
                <w:sz w:val="19"/>
              </w:rPr>
            </w:pPr>
            <w:r>
              <w:rPr>
                <w:rFonts w:ascii="Times New Roman" w:hAnsi="Times New Roman"/>
                <w:sz w:val="19"/>
              </w:rPr>
              <w:t>capital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right"/>
              <w:rPr/>
            </w:pPr>
            <w:r>
              <w:rPr/>
              <w:t>8,040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6,126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307,891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9" w:type="dxa"/>
            <w:tcBorders/>
            <w:shd w:fill="CCEEFF" w:val="clear"/>
            <w:vAlign w:val="center"/>
          </w:tcPr>
          <w:p>
            <w:pPr>
              <w:pStyle w:val="TableContents"/>
              <w:spacing w:before="0" w:after="0"/>
              <w:jc w:val="right"/>
              <w:rPr>
                <w:b/>
                <w:spacing w:val="0"/>
              </w:rPr>
            </w:pPr>
            <w:r>
              <w:rPr>
                <w:b/>
                <w:spacing w:val="0"/>
              </w:rPr>
              <w:t>3(d)</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179,075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6" w:type="dxa"/>
            <w:tcBorders/>
            <w:shd w:fill="CCEEFF" w:val="clear"/>
            <w:vAlign w:val="center"/>
          </w:tcPr>
          <w:p>
            <w:pPr>
              <w:pStyle w:val="TableContents"/>
              <w:spacing w:before="0" w:after="0"/>
              <w:jc w:val="right"/>
              <w:rPr>
                <w:b/>
                <w:spacing w:val="0"/>
              </w:rPr>
            </w:pPr>
            <w:r>
              <w:rPr>
                <w:b/>
                <w:spacing w:val="0"/>
              </w:rPr>
              <w:t>3(a)</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501,132</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Accumulated other comprehensive income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2</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Accumulated deficit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rPr/>
            </w:pPr>
            <w:r>
              <w:rPr/>
              <w:t>(119,700)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47" w:type="dxa"/>
            <w:tcBorders/>
            <w:shd w:fill="CCEEFF" w:val="clear"/>
            <w:vAlign w:val="center"/>
          </w:tcPr>
          <w:p>
            <w:pPr>
              <w:pStyle w:val="TableContents"/>
              <w:spacing w:before="0" w:after="283"/>
              <w:jc w:val="right"/>
              <w:rPr/>
            </w:pPr>
            <w:r>
              <w:rPr/>
              <w:t>(1,127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1,127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59" w:type="dxa"/>
            <w:tcBorders/>
            <w:shd w:fill="CCEEFF" w:val="clear"/>
            <w:vAlign w:val="center"/>
          </w:tcPr>
          <w:p>
            <w:pPr>
              <w:pStyle w:val="TableContents"/>
              <w:spacing w:before="0" w:after="0"/>
              <w:jc w:val="right"/>
              <w:rPr>
                <w:b/>
                <w:spacing w:val="0"/>
              </w:rPr>
            </w:pPr>
            <w:r>
              <w:rPr>
                <w:b/>
                <w:spacing w:val="0"/>
              </w:rPr>
              <w:t>3(d)</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946" w:type="dxa"/>
            <w:tcBorders/>
            <w:shd w:fill="CCEEFF" w:val="clear"/>
            <w:vAlign w:val="center"/>
          </w:tcPr>
          <w:p>
            <w:pPr>
              <w:pStyle w:val="TableContents"/>
              <w:spacing w:before="0" w:after="283"/>
              <w:jc w:val="right"/>
              <w:rPr/>
            </w:pPr>
            <w:r>
              <w:rPr/>
              <w:t>(119,700</w:t>
            </w:r>
          </w:p>
        </w:tc>
        <w:tc>
          <w:tcPr>
            <w:tcW w:w="173" w:type="dxa"/>
            <w:tcBorders/>
            <w:shd w:fill="CCEEFF"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 w:type="dxa"/>
            <w:tcBorders/>
            <w:shd w:fill="auto"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stockholders’ equity (deficit)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right"/>
              <w:rPr/>
            </w:pPr>
            <w:r>
              <w:rPr/>
              <w:t>(111,643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847" w:type="dxa"/>
            <w:tcBorders/>
            <w:shd w:fill="auto" w:val="clear"/>
            <w:vAlign w:val="center"/>
          </w:tcPr>
          <w:p>
            <w:pPr>
              <w:pStyle w:val="TableContents"/>
              <w:spacing w:before="0" w:after="283"/>
              <w:jc w:val="right"/>
              <w:rPr/>
            </w:pPr>
            <w:r>
              <w:rPr/>
              <w:t>5,000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309,010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179,077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right"/>
              <w:rPr/>
            </w:pPr>
            <w:r>
              <w:rPr/>
              <w:t>381,444</w:t>
            </w:r>
          </w:p>
        </w:tc>
        <w:tc>
          <w:tcPr>
            <w:tcW w:w="173" w:type="dxa"/>
            <w:tcBorders/>
            <w:shd w:fill="auto" w:val="clear"/>
            <w:vAlign w:val="center"/>
          </w:tcPr>
          <w:p>
            <w:pPr>
              <w:pStyle w:val="TableContents"/>
              <w:spacing w:before="0" w:after="283"/>
              <w:rPr/>
            </w:pPr>
            <w:r>
              <w:rPr/>
              <w:t> </w:t>
            </w:r>
          </w:p>
        </w:tc>
      </w:tr>
      <w:tr>
        <w:trPr/>
        <w:tc>
          <w:tcPr>
            <w:tcW w:w="25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 w:type="dxa"/>
            <w:tcBorders/>
            <w:shd w:fill="auto" w:val="clear"/>
            <w:vAlign w:val="center"/>
          </w:tcPr>
          <w:p>
            <w:pPr>
              <w:pStyle w:val="TableContents"/>
              <w:spacing w:before="0" w:after="283"/>
              <w:rPr/>
            </w:pPr>
            <w:r>
              <w:rPr/>
              <w:t> </w:t>
            </w:r>
          </w:p>
        </w:tc>
      </w:tr>
      <w:tr>
        <w:trPr/>
        <w:tc>
          <w:tcPr>
            <w:tcW w:w="2531"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liabilities, redeemable convertible preferred stock and stockholders’ equity (deficit)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jc w:val="right"/>
              <w:rPr/>
            </w:pPr>
            <w:r>
              <w:rPr/>
              <w:t>217,240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w:t>
            </w:r>
          </w:p>
        </w:tc>
        <w:tc>
          <w:tcPr>
            <w:tcW w:w="847" w:type="dxa"/>
            <w:tcBorders/>
            <w:shd w:fill="CCEEFF" w:val="clear"/>
            <w:vAlign w:val="center"/>
          </w:tcPr>
          <w:p>
            <w:pPr>
              <w:pStyle w:val="TableContents"/>
              <w:spacing w:before="0" w:after="283"/>
              <w:jc w:val="right"/>
              <w:rPr/>
            </w:pPr>
            <w:r>
              <w:rPr/>
              <w:t>167,549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(20,341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179,077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5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w:t>
            </w:r>
          </w:p>
        </w:tc>
        <w:tc>
          <w:tcPr>
            <w:tcW w:w="946" w:type="dxa"/>
            <w:tcBorders/>
            <w:shd w:fill="CCEEFF" w:val="clear"/>
            <w:vAlign w:val="center"/>
          </w:tcPr>
          <w:p>
            <w:pPr>
              <w:pStyle w:val="TableContents"/>
              <w:spacing w:before="0" w:after="283"/>
              <w:jc w:val="right"/>
              <w:rPr/>
            </w:pPr>
            <w:r>
              <w:rPr/>
              <w:t>543,525</w:t>
            </w:r>
          </w:p>
        </w:tc>
        <w:tc>
          <w:tcPr>
            <w:tcW w:w="173" w:type="dxa"/>
            <w:tcBorders/>
            <w:shd w:fill="CCEEFF" w:val="clear"/>
            <w:vAlign w:val="center"/>
          </w:tcPr>
          <w:p>
            <w:pPr>
              <w:pStyle w:val="TableContents"/>
              <w:spacing w:before="0" w:after="283"/>
              <w:rPr/>
            </w:pPr>
            <w:r>
              <w:rPr/>
              <w:t> </w:t>
            </w:r>
          </w:p>
        </w:tc>
      </w:tr>
    </w:tbl>
    <w:p>
      <w:pPr>
        <w:pStyle w:val="TextBody"/>
        <w:spacing w:before="20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 Forma notes </w:t>
      </w:r>
    </w:p>
    <w:tbl>
      <w:tblPr>
        <w:tblW w:w="8320" w:type="dxa"/>
        <w:jc w:val="left"/>
        <w:tblInd w:w="0" w:type="dxa"/>
        <w:tblCellMar>
          <w:top w:w="0" w:type="dxa"/>
          <w:left w:w="0" w:type="dxa"/>
          <w:bottom w:w="0" w:type="dxa"/>
          <w:right w:w="0" w:type="dxa"/>
        </w:tblCellMar>
      </w:tblPr>
      <w:tblGrid>
        <w:gridCol w:w="75"/>
        <w:gridCol w:w="350"/>
        <w:gridCol w:w="789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jc w:val="left"/>
              <w:rPr/>
            </w:pPr>
            <w:r>
              <w:rPr/>
              <w:t>(A)</w:t>
            </w:r>
          </w:p>
        </w:tc>
        <w:tc>
          <w:tcPr>
            <w:tcW w:w="78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Derived from the unaudited condensed consolidated balance sheet of Tango as of June 30, 2021. </w:t>
            </w:r>
          </w:p>
        </w:tc>
      </w:tr>
    </w:tbl>
    <w:tbl>
      <w:tblPr>
        <w:tblW w:w="8305" w:type="dxa"/>
        <w:jc w:val="left"/>
        <w:tblInd w:w="0" w:type="dxa"/>
        <w:tblCellMar>
          <w:top w:w="0" w:type="dxa"/>
          <w:left w:w="0" w:type="dxa"/>
          <w:bottom w:w="0" w:type="dxa"/>
          <w:right w:w="0" w:type="dxa"/>
        </w:tblCellMar>
      </w:tblPr>
      <w:tblGrid>
        <w:gridCol w:w="75"/>
        <w:gridCol w:w="335"/>
        <w:gridCol w:w="7895"/>
      </w:tblGrid>
      <w:tr>
        <w:trPr/>
        <w:tc>
          <w:tcPr>
            <w:tcW w:w="7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left"/>
              <w:rPr/>
            </w:pPr>
            <w:r>
              <w:rPr/>
              <w:t>(B)</w:t>
            </w:r>
          </w:p>
        </w:tc>
        <w:tc>
          <w:tcPr>
            <w:tcW w:w="78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Derived from the unaudited condensed consolidated balance sheet of BCTG as of June 30, 2021.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unaudited pro forma condensed combined financial information.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PRO FORMA CONDENSED COMBINED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STATEMENT OF OPERATIONS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FOR THE SIX MONTHS ENDED JUNE 30, 2021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(in thousands, except share and per share amounts)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197"/>
        <w:gridCol w:w="120"/>
        <w:gridCol w:w="140"/>
        <w:gridCol w:w="1100"/>
        <w:gridCol w:w="155"/>
        <w:gridCol w:w="60"/>
        <w:gridCol w:w="140"/>
        <w:gridCol w:w="1100"/>
        <w:gridCol w:w="155"/>
        <w:gridCol w:w="60"/>
        <w:gridCol w:w="352"/>
        <w:gridCol w:w="958"/>
        <w:gridCol w:w="155"/>
        <w:gridCol w:w="60"/>
        <w:gridCol w:w="60"/>
        <w:gridCol w:w="311"/>
        <w:gridCol w:w="60"/>
        <w:gridCol w:w="120"/>
        <w:gridCol w:w="140"/>
        <w:gridCol w:w="1100"/>
        <w:gridCol w:w="155"/>
        <w:gridCol w:w="60"/>
        <w:gridCol w:w="60"/>
        <w:gridCol w:w="311"/>
        <w:gridCol w:w="76"/>
      </w:tblGrid>
      <w:tr>
        <w:trPr/>
        <w:tc>
          <w:tcPr>
            <w:tcW w:w="3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(A)</w:t>
              <w:br/>
              <w:t>Tango</w:t>
              <w:br/>
              <w:t>Historical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(B)</w:t>
              <w:br/>
              <w:t>BCTG</w:t>
              <w:br/>
              <w:t>Historical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0"/>
              <w:jc w:val="center"/>
              <w:rPr>
                <w:b/>
                <w:spacing w:val="0"/>
              </w:rPr>
            </w:pPr>
            <w:r>
              <w:rPr>
                <w:b/>
                <w:spacing w:val="0"/>
              </w:rPr>
              <w:t>Transaction</w:t>
              <w:br/>
              <w:t>Accounting</w:t>
              <w:br/>
              <w:t>Adjustments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1"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Pro Forma</w:t>
              <w:br/>
              <w:t>Combined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1" w:type="dxa"/>
            <w:gridSpan w:val="2"/>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Collaboration revenue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24,539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24,539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34,079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34,079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7,097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11" w:type="dxa"/>
            <w:tcBorders/>
            <w:shd w:fill="auto" w:val="clear"/>
            <w:vAlign w:val="center"/>
          </w:tcPr>
          <w:p>
            <w:pPr>
              <w:pStyle w:val="TableContents"/>
              <w:spacing w:before="0" w:after="0"/>
              <w:jc w:val="right"/>
              <w:rPr>
                <w:b/>
                <w:spacing w:val="0"/>
              </w:rPr>
            </w:pPr>
            <w:r>
              <w:rPr>
                <w:b/>
                <w:spacing w:val="0"/>
              </w:rPr>
              <w:t>4(a)</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8,073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Administrative expenses — related party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11" w:type="dxa"/>
            <w:tcBorders/>
            <w:shd w:fill="auto" w:val="clear"/>
            <w:vAlign w:val="center"/>
          </w:tcPr>
          <w:p>
            <w:pPr>
              <w:pStyle w:val="TableContents"/>
              <w:spacing w:before="0" w:after="0"/>
              <w:jc w:val="right"/>
              <w:rPr>
                <w:b/>
                <w:spacing w:val="0"/>
              </w:rPr>
            </w:pPr>
            <w:r>
              <w:rPr>
                <w:b/>
                <w:spacing w:val="0"/>
              </w:rPr>
              <w:t>4(a)</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41,176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42,212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(16,637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(17,673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earned on investments held in trust account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11" w:type="dxa"/>
            <w:tcBorders/>
            <w:shd w:fill="auto" w:val="clear"/>
            <w:vAlign w:val="center"/>
          </w:tcPr>
          <w:p>
            <w:pPr>
              <w:pStyle w:val="TableContents"/>
              <w:spacing w:before="0" w:after="0"/>
              <w:jc w:val="right"/>
              <w:rPr>
                <w:b/>
                <w:spacing w:val="0"/>
              </w:rPr>
            </w:pPr>
            <w:r>
              <w:rPr>
                <w:b/>
                <w:spacing w:val="0"/>
              </w:rPr>
              <w:t>4(b)</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other income,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before income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(16,546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(17,582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311" w:type="dxa"/>
            <w:tcBorders/>
            <w:shd w:fill="CCEEFF" w:val="clear"/>
            <w:vAlign w:val="center"/>
          </w:tcPr>
          <w:p>
            <w:pPr>
              <w:pStyle w:val="TableContents"/>
              <w:spacing w:before="0" w:after="0"/>
              <w:jc w:val="right"/>
              <w:rPr>
                <w:b/>
                <w:spacing w:val="0"/>
              </w:rPr>
            </w:pPr>
            <w:r>
              <w:rPr>
                <w:b/>
                <w:spacing w:val="0"/>
              </w:rPr>
              <w:t>4(d)</w:t>
            </w:r>
          </w:p>
        </w:tc>
        <w:tc>
          <w:tcPr>
            <w:tcW w:w="76" w:type="dxa"/>
            <w:tcBorders/>
            <w:shd w:fill="CCEEFF" w:val="clear"/>
            <w:vAlign w:val="center"/>
          </w:tcPr>
          <w:p>
            <w:pPr>
              <w:pStyle w:val="TableContents"/>
              <w:spacing w:before="0" w:after="0"/>
              <w:rPr>
                <w:spacing w:val="0"/>
              </w:rPr>
            </w:pPr>
            <w:r>
              <w:rPr>
                <w:spacing w:val="0"/>
              </w:rPr>
              <w:t> </w:t>
            </w:r>
          </w:p>
        </w:tc>
      </w:tr>
      <w:tr>
        <w:trPr/>
        <w:tc>
          <w:tcPr>
            <w:tcW w:w="3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common stockholders — basic and 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(16,599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(1,004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w:t>
            </w:r>
          </w:p>
        </w:tc>
        <w:tc>
          <w:tcPr>
            <w:tcW w:w="958"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(17,635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14,214,543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16,675,000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loss per share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 or Founder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4,702,250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76" w:type="dxa"/>
            <w:tcBorders/>
            <w:shd w:fill="CCEEFF" w:val="clear"/>
            <w:vAlign w:val="center"/>
          </w:tcPr>
          <w:p>
            <w:pPr>
              <w:pStyle w:val="TableContents"/>
              <w:spacing w:before="0" w:after="283"/>
              <w:rPr>
                <w:sz w:val="4"/>
                <w:szCs w:val="4"/>
              </w:rPr>
            </w:pPr>
            <w:r>
              <w:rPr>
                <w:sz w:val="4"/>
                <w:szCs w:val="4"/>
              </w:rPr>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loss per share, Founder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19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86,435,024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311" w:type="dxa"/>
            <w:tcBorders/>
            <w:shd w:fill="CCEEFF" w:val="clear"/>
            <w:vAlign w:val="center"/>
          </w:tcPr>
          <w:p>
            <w:pPr>
              <w:pStyle w:val="TableContents"/>
              <w:spacing w:before="0" w:after="0"/>
              <w:jc w:val="right"/>
              <w:rPr>
                <w:b/>
                <w:spacing w:val="0"/>
              </w:rPr>
            </w:pPr>
            <w:r>
              <w:rPr>
                <w:b/>
                <w:spacing w:val="0"/>
              </w:rPr>
              <w:t>4(c)</w:t>
            </w:r>
          </w:p>
        </w:tc>
        <w:tc>
          <w:tcPr>
            <w:tcW w:w="76" w:type="dxa"/>
            <w:tcBorders/>
            <w:shd w:fill="CCEEFF" w:val="clear"/>
            <w:vAlign w:val="center"/>
          </w:tcPr>
          <w:p>
            <w:pPr>
              <w:pStyle w:val="TableContents"/>
              <w:spacing w:before="0" w:after="0"/>
              <w:rPr>
                <w:spacing w:val="0"/>
              </w:rPr>
            </w:pPr>
            <w:r>
              <w:rPr>
                <w:spacing w:val="0"/>
              </w:rPr>
              <w:t> </w:t>
            </w:r>
          </w:p>
        </w:tc>
      </w:tr>
      <w:tr>
        <w:trPr/>
        <w:tc>
          <w:tcPr>
            <w:tcW w:w="319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common shares outstanding — basic and 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11" w:type="dxa"/>
            <w:tcBorders/>
            <w:shd w:fill="auto" w:val="clear"/>
            <w:vAlign w:val="center"/>
          </w:tcPr>
          <w:p>
            <w:pPr>
              <w:pStyle w:val="TableContents"/>
              <w:spacing w:before="0" w:after="0"/>
              <w:jc w:val="right"/>
              <w:rPr>
                <w:b/>
                <w:spacing w:val="0"/>
              </w:rPr>
            </w:pPr>
            <w:r>
              <w:rPr>
                <w:b/>
                <w:spacing w:val="0"/>
              </w:rPr>
              <w:t>4(c)</w:t>
            </w:r>
          </w:p>
        </w:tc>
        <w:tc>
          <w:tcPr>
            <w:tcW w:w="76" w:type="dxa"/>
            <w:tcBorders/>
            <w:shd w:fill="auto" w:val="clear"/>
            <w:vAlign w:val="center"/>
          </w:tcPr>
          <w:p>
            <w:pPr>
              <w:pStyle w:val="TableContents"/>
              <w:spacing w:before="0" w:after="0"/>
              <w:rPr>
                <w:spacing w:val="0"/>
              </w:rPr>
            </w:pPr>
            <w:r>
              <w:rPr>
                <w:spacing w:val="0"/>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 Forma notes </w:t>
      </w:r>
    </w:p>
    <w:tbl>
      <w:tblPr>
        <w:tblW w:w="10205" w:type="dxa"/>
        <w:jc w:val="left"/>
        <w:tblInd w:w="0" w:type="dxa"/>
        <w:tblCellMar>
          <w:top w:w="0" w:type="dxa"/>
          <w:left w:w="0" w:type="dxa"/>
          <w:bottom w:w="0" w:type="dxa"/>
          <w:right w:w="0" w:type="dxa"/>
        </w:tblCellMar>
      </w:tblPr>
      <w:tblGrid>
        <w:gridCol w:w="75"/>
        <w:gridCol w:w="333"/>
        <w:gridCol w:w="9797"/>
      </w:tblGrid>
      <w:tr>
        <w:trPr/>
        <w:tc>
          <w:tcPr>
            <w:tcW w:w="75"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jc w:val="left"/>
              <w:rPr/>
            </w:pPr>
            <w:r>
              <w:rPr/>
              <w:t>(A)</w:t>
            </w:r>
          </w:p>
        </w:tc>
        <w:tc>
          <w:tcPr>
            <w:tcW w:w="979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Derived from the unaudited condensed consolidated statement of operations and comprehensive loss of Tango for the six months ended June 30, 2021. </w:t>
            </w:r>
          </w:p>
        </w:tc>
      </w:tr>
    </w:tbl>
    <w:tbl>
      <w:tblPr>
        <w:tblW w:w="10205" w:type="dxa"/>
        <w:jc w:val="left"/>
        <w:tblInd w:w="0" w:type="dxa"/>
        <w:tblCellMar>
          <w:top w:w="0" w:type="dxa"/>
          <w:left w:w="0" w:type="dxa"/>
          <w:bottom w:w="0" w:type="dxa"/>
          <w:right w:w="0" w:type="dxa"/>
        </w:tblCellMar>
      </w:tblPr>
      <w:tblGrid>
        <w:gridCol w:w="75"/>
        <w:gridCol w:w="330"/>
        <w:gridCol w:w="9800"/>
      </w:tblGrid>
      <w:tr>
        <w:trPr/>
        <w:tc>
          <w:tcPr>
            <w:tcW w:w="75"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jc w:val="left"/>
              <w:rPr/>
            </w:pPr>
            <w:r>
              <w:rPr/>
              <w:t>(B)</w:t>
            </w:r>
          </w:p>
        </w:tc>
        <w:tc>
          <w:tcPr>
            <w:tcW w:w="98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Derived from the unaudited condensed consolidated statement of operations of BCTG for the six months ended June 30, 2021.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unaudited pro forma condensed combined financial information.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PRO FORMA CONDENSED COMBINED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STATEMENT OF OPERATIONS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FOR THE YEAR ENDED DECEMBER 31, 2020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(in thousands, except share and per share amounts)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209"/>
        <w:gridCol w:w="120"/>
        <w:gridCol w:w="140"/>
        <w:gridCol w:w="1100"/>
        <w:gridCol w:w="155"/>
        <w:gridCol w:w="60"/>
        <w:gridCol w:w="140"/>
        <w:gridCol w:w="1100"/>
        <w:gridCol w:w="155"/>
        <w:gridCol w:w="60"/>
        <w:gridCol w:w="352"/>
        <w:gridCol w:w="958"/>
        <w:gridCol w:w="155"/>
        <w:gridCol w:w="60"/>
        <w:gridCol w:w="60"/>
        <w:gridCol w:w="311"/>
        <w:gridCol w:w="60"/>
        <w:gridCol w:w="120"/>
        <w:gridCol w:w="140"/>
        <w:gridCol w:w="1100"/>
        <w:gridCol w:w="155"/>
        <w:gridCol w:w="60"/>
        <w:gridCol w:w="60"/>
        <w:gridCol w:w="298"/>
        <w:gridCol w:w="77"/>
      </w:tblGrid>
      <w:tr>
        <w:trPr/>
        <w:tc>
          <w:tcPr>
            <w:tcW w:w="3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(A)</w:t>
              <w:br/>
              <w:t>Tango</w:t>
              <w:br/>
              <w:t>Historical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(B)</w:t>
              <w:br/>
              <w:t>BCTG</w:t>
              <w:br/>
              <w:t>Historical</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0"/>
              <w:jc w:val="center"/>
              <w:rPr>
                <w:b/>
                <w:spacing w:val="0"/>
              </w:rPr>
            </w:pPr>
            <w:r>
              <w:rPr>
                <w:b/>
                <w:spacing w:val="0"/>
              </w:rPr>
              <w:t>Transaction</w:t>
              <w:br/>
              <w:t>Accounting</w:t>
              <w:br/>
              <w:t>Adjustments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71"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Pro Forma</w:t>
              <w:br/>
              <w:t>Combined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8" w:type="dxa"/>
            <w:gridSpan w:val="2"/>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Collaboration revenue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7,656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7,656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49,991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49,991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9,865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11" w:type="dxa"/>
            <w:tcBorders/>
            <w:shd w:fill="auto" w:val="clear"/>
            <w:vAlign w:val="center"/>
          </w:tcPr>
          <w:p>
            <w:pPr>
              <w:pStyle w:val="TableContents"/>
              <w:spacing w:before="0" w:after="0"/>
              <w:jc w:val="right"/>
              <w:rPr>
                <w:b/>
                <w:spacing w:val="0"/>
              </w:rPr>
            </w:pPr>
            <w:r>
              <w:rPr>
                <w:b/>
                <w:spacing w:val="0"/>
              </w:rPr>
              <w:t>4(a)</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10,006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Administrative expenses — related party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11" w:type="dxa"/>
            <w:tcBorders/>
            <w:shd w:fill="auto" w:val="clear"/>
            <w:vAlign w:val="center"/>
          </w:tcPr>
          <w:p>
            <w:pPr>
              <w:pStyle w:val="TableContents"/>
              <w:spacing w:before="0" w:after="0"/>
              <w:jc w:val="right"/>
              <w:rPr>
                <w:b/>
                <w:spacing w:val="0"/>
              </w:rPr>
            </w:pPr>
            <w:r>
              <w:rPr>
                <w:b/>
                <w:spacing w:val="0"/>
              </w:rPr>
              <w:t>4(a)</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59,856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60,037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(52,200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(52,381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earned on investments held in trust account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311" w:type="dxa"/>
            <w:tcBorders/>
            <w:shd w:fill="auto" w:val="clear"/>
            <w:vAlign w:val="center"/>
          </w:tcPr>
          <w:p>
            <w:pPr>
              <w:pStyle w:val="TableContents"/>
              <w:spacing w:before="0" w:after="0"/>
              <w:jc w:val="right"/>
              <w:rPr>
                <w:b/>
                <w:spacing w:val="0"/>
              </w:rPr>
            </w:pPr>
            <w:r>
              <w:rPr>
                <w:b/>
                <w:spacing w:val="0"/>
              </w:rPr>
              <w:t>4(b)</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311" w:type="dxa"/>
            <w:tcBorders/>
            <w:shd w:fill="CCEEFF" w:val="clear"/>
            <w:vAlign w:val="center"/>
          </w:tcPr>
          <w:p>
            <w:pPr>
              <w:pStyle w:val="TableContents"/>
              <w:spacing w:before="0" w:after="0"/>
              <w:jc w:val="right"/>
              <w:rPr>
                <w:b/>
                <w:spacing w:val="0"/>
              </w:rPr>
            </w:pPr>
            <w:r>
              <w:rPr>
                <w:b/>
                <w:spacing w:val="0"/>
              </w:rPr>
              <w:t>4(b)</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 </w:t>
            </w:r>
          </w:p>
        </w:tc>
        <w:tc>
          <w:tcPr>
            <w:tcW w:w="958"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other income,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58" w:type="dxa"/>
            <w:tcBorders/>
            <w:shd w:fill="auto" w:val="clear"/>
            <w:vAlign w:val="center"/>
          </w:tcPr>
          <w:p>
            <w:pPr>
              <w:pStyle w:val="TableContents"/>
              <w:spacing w:before="0" w:after="283"/>
              <w:jc w:val="right"/>
              <w:rPr/>
            </w:pPr>
            <w:r>
              <w:rPr/>
              <w:t>(58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common stockholders — basic and 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(51,972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pPr>
            <w:r>
              <w:rPr/>
              <w:t>$</w:t>
            </w:r>
          </w:p>
        </w:tc>
        <w:tc>
          <w:tcPr>
            <w:tcW w:w="958" w:type="dxa"/>
            <w:tcBorders/>
            <w:shd w:fill="CCEEFF" w:val="clear"/>
            <w:vAlign w:val="center"/>
          </w:tcPr>
          <w:p>
            <w:pPr>
              <w:pStyle w:val="TableContents"/>
              <w:spacing w:before="0" w:after="283"/>
              <w:jc w:val="right"/>
              <w:rPr/>
            </w:pPr>
            <w:r>
              <w:rPr/>
              <w:t>(58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(52,153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11,461,011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16,675,000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loss per share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(4.53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 or Founder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4,212,127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loss per share, Founder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(0.04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86,435,024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298" w:type="dxa"/>
            <w:tcBorders/>
            <w:shd w:fill="auto" w:val="clear"/>
            <w:vAlign w:val="center"/>
          </w:tcPr>
          <w:p>
            <w:pPr>
              <w:pStyle w:val="TableContents"/>
              <w:spacing w:before="0" w:after="0"/>
              <w:jc w:val="right"/>
              <w:rPr>
                <w:b/>
                <w:spacing w:val="0"/>
              </w:rPr>
            </w:pPr>
            <w:r>
              <w:rPr>
                <w:b/>
                <w:spacing w:val="0"/>
              </w:rPr>
              <w:t>4(c)</w:t>
            </w:r>
          </w:p>
        </w:tc>
        <w:tc>
          <w:tcPr>
            <w:tcW w:w="77" w:type="dxa"/>
            <w:tcBorders/>
            <w:shd w:fill="auto" w:val="clear"/>
            <w:vAlign w:val="center"/>
          </w:tcPr>
          <w:p>
            <w:pPr>
              <w:pStyle w:val="TableContents"/>
              <w:spacing w:before="0" w:after="0"/>
              <w:rPr>
                <w:spacing w:val="0"/>
              </w:rPr>
            </w:pPr>
            <w:r>
              <w:rPr>
                <w:spacing w:val="0"/>
              </w:rPr>
              <w:t> </w:t>
            </w:r>
          </w:p>
        </w:tc>
      </w:tr>
      <w:tr>
        <w:trPr/>
        <w:tc>
          <w:tcPr>
            <w:tcW w:w="3209"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common shares outstanding — basic and 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rPr>
                <w:sz w:val="4"/>
                <w:szCs w:val="4"/>
              </w:rPr>
            </w:pPr>
            <w:r>
              <w:rPr>
                <w:sz w:val="4"/>
                <w:szCs w:val="4"/>
              </w:rPr>
            </w:r>
          </w:p>
        </w:tc>
        <w:tc>
          <w:tcPr>
            <w:tcW w:w="95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3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298" w:type="dxa"/>
            <w:tcBorders/>
            <w:shd w:fill="CCEEFF" w:val="clear"/>
            <w:vAlign w:val="center"/>
          </w:tcPr>
          <w:p>
            <w:pPr>
              <w:pStyle w:val="TableContents"/>
              <w:spacing w:before="0" w:after="0"/>
              <w:jc w:val="right"/>
              <w:rPr>
                <w:b/>
                <w:spacing w:val="0"/>
              </w:rPr>
            </w:pPr>
            <w:r>
              <w:rPr>
                <w:b/>
                <w:spacing w:val="0"/>
              </w:rPr>
              <w:t>4(c)</w:t>
            </w:r>
          </w:p>
        </w:tc>
        <w:tc>
          <w:tcPr>
            <w:tcW w:w="77" w:type="dxa"/>
            <w:tcBorders/>
            <w:shd w:fill="CCEEFF" w:val="clear"/>
            <w:vAlign w:val="center"/>
          </w:tcPr>
          <w:p>
            <w:pPr>
              <w:pStyle w:val="TableContents"/>
              <w:spacing w:before="0" w:after="0"/>
              <w:rPr>
                <w:spacing w:val="0"/>
              </w:rPr>
            </w:pPr>
            <w:r>
              <w:rPr>
                <w:spacing w:val="0"/>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 Forma notes </w:t>
      </w:r>
    </w:p>
    <w:tbl>
      <w:tblPr>
        <w:tblW w:w="10205" w:type="dxa"/>
        <w:jc w:val="left"/>
        <w:tblInd w:w="0" w:type="dxa"/>
        <w:tblCellMar>
          <w:top w:w="0" w:type="dxa"/>
          <w:left w:w="0" w:type="dxa"/>
          <w:bottom w:w="0" w:type="dxa"/>
          <w:right w:w="0" w:type="dxa"/>
        </w:tblCellMar>
      </w:tblPr>
      <w:tblGrid>
        <w:gridCol w:w="75"/>
        <w:gridCol w:w="340"/>
        <w:gridCol w:w="9790"/>
      </w:tblGrid>
      <w:tr>
        <w:trPr/>
        <w:tc>
          <w:tcPr>
            <w:tcW w:w="75"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jc w:val="left"/>
              <w:rPr/>
            </w:pPr>
            <w:r>
              <w:rPr/>
              <w:t>(A)</w:t>
            </w:r>
          </w:p>
        </w:tc>
        <w:tc>
          <w:tcPr>
            <w:tcW w:w="97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Derived from the audited consolidated statement of operations and comprehensive loss of Tango for the year ended December 31, 2020. </w:t>
            </w:r>
          </w:p>
        </w:tc>
      </w:tr>
    </w:tbl>
    <w:tbl>
      <w:tblPr>
        <w:tblW w:w="9970" w:type="dxa"/>
        <w:jc w:val="left"/>
        <w:tblInd w:w="0" w:type="dxa"/>
        <w:tblCellMar>
          <w:top w:w="0" w:type="dxa"/>
          <w:left w:w="0" w:type="dxa"/>
          <w:bottom w:w="0" w:type="dxa"/>
          <w:right w:w="0" w:type="dxa"/>
        </w:tblCellMar>
      </w:tblPr>
      <w:tblGrid>
        <w:gridCol w:w="75"/>
        <w:gridCol w:w="335"/>
        <w:gridCol w:w="9560"/>
      </w:tblGrid>
      <w:tr>
        <w:trPr/>
        <w:tc>
          <w:tcPr>
            <w:tcW w:w="7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left"/>
              <w:rPr/>
            </w:pPr>
            <w:r>
              <w:rPr/>
              <w:t>(B)</w:t>
            </w:r>
          </w:p>
        </w:tc>
        <w:tc>
          <w:tcPr>
            <w:tcW w:w="95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Derived from the audited statement of operations of BCTG for the period from inception through December 31, 2020.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See accompanying notes to the unaudited pro forma condensed combined financial information.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NOTES TO UNAUDITED PRO FORMA CONDENSED COMBINED FINANCIAL INFORMATION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 Description of the Merger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August 10, 2021, Tango consummated the Business Combination pursuant to the Merger Agreement. Upon the closing of the Business Combination, Merger Sub merged with and into Tango, with Tango as the surviving company in the Merger. Upon the closing of the Business Combination, BCTG changed its name to “Tango Therapeutics, Inc.”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terms and conditions of the Merger Agreement, the aggregate consideration paid to Tango equity holders upon the closing of the Merger was 55,000,000 shares of New Tango common stock. Subsequent to the closing of the Business Combination, BCTG consummated the private placement of 18,610,000 shares of New Tango common stock at $10.00 per share, for aggregate gross proceeds of $186.1 million, under the PIPE Financing.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represents the aggregate merger consideration paid to Tango equity holders upon the consummation of the Business Combination: </w:t>
      </w:r>
    </w:p>
    <w:p>
      <w:pPr>
        <w:pStyle w:val="TextBody"/>
        <w:spacing w:before="0" w:after="0"/>
        <w:jc w:val="left"/>
        <w:rPr>
          <w:spacing w:val="0"/>
        </w:rPr>
      </w:pPr>
      <w:r>
        <w:rPr>
          <w:spacing w:val="0"/>
        </w:rPr>
        <w:t> </w:t>
      </w:r>
    </w:p>
    <w:tbl>
      <w:tblPr>
        <w:tblW w:w="7440" w:type="dxa"/>
        <w:jc w:val="left"/>
        <w:tblInd w:w="0" w:type="dxa"/>
        <w:tblCellMar>
          <w:top w:w="0" w:type="dxa"/>
          <w:left w:w="0" w:type="dxa"/>
          <w:bottom w:w="0" w:type="dxa"/>
          <w:right w:w="0" w:type="dxa"/>
        </w:tblCellMar>
      </w:tblPr>
      <w:tblGrid>
        <w:gridCol w:w="4940"/>
        <w:gridCol w:w="120"/>
        <w:gridCol w:w="143"/>
        <w:gridCol w:w="822"/>
        <w:gridCol w:w="60"/>
        <w:gridCol w:w="120"/>
        <w:gridCol w:w="60"/>
        <w:gridCol w:w="1100"/>
        <w:gridCol w:w="75"/>
      </w:tblGrid>
      <w:tr>
        <w:trPr/>
        <w:tc>
          <w:tcPr>
            <w:tcW w:w="49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940" w:type="dxa"/>
            <w:tcBorders/>
            <w:shd w:fill="auto" w:val="clear"/>
            <w:vAlign w:val="center"/>
          </w:tcPr>
          <w:p>
            <w:pPr>
              <w:pStyle w:val="TableContents"/>
              <w:spacing w:before="0" w:after="0"/>
              <w:jc w:val="center"/>
              <w:rPr>
                <w:i/>
                <w:caps w:val="false"/>
                <w:smallCaps w:val="false"/>
                <w:spacing w:val="0"/>
              </w:rPr>
            </w:pPr>
            <w:r>
              <w:rPr>
                <w:i/>
                <w:caps w:val="false"/>
                <w:smallCaps w:val="false"/>
                <w:spacing w:val="0"/>
              </w:rPr>
              <w:t>(in thousands, except share and per share amounts)</w:t>
            </w:r>
          </w:p>
        </w:tc>
        <w:tc>
          <w:tcPr>
            <w:tcW w:w="12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0"/>
              <w:jc w:val="center"/>
              <w:rPr>
                <w:b/>
                <w:spacing w:val="0"/>
              </w:rPr>
            </w:pPr>
            <w:r>
              <w:rPr>
                <w:b/>
                <w:spacing w:val="0"/>
              </w:rPr>
              <w:t>Purchase</w:t>
              <w:br/>
              <w:t>price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br/>
              <w:t>Issued</w:t>
            </w:r>
          </w:p>
        </w:tc>
        <w:tc>
          <w:tcPr>
            <w:tcW w:w="75" w:type="dxa"/>
            <w:tcBorders/>
            <w:shd w:fill="auto" w:val="clear"/>
            <w:vAlign w:val="center"/>
          </w:tcPr>
          <w:p>
            <w:pPr>
              <w:pStyle w:val="TableContents"/>
              <w:spacing w:before="0" w:after="283"/>
              <w:rPr/>
            </w:pPr>
            <w:r>
              <w:rPr/>
              <w:t> </w:t>
            </w:r>
          </w:p>
        </w:tc>
      </w:tr>
      <w:tr>
        <w:trPr/>
        <w:tc>
          <w:tcPr>
            <w:tcW w:w="49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 consideration to Tango(a)(b)</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822" w:type="dxa"/>
            <w:tcBorders/>
            <w:shd w:fill="CCEEFF" w:val="clear"/>
            <w:vAlign w:val="center"/>
          </w:tcPr>
          <w:p>
            <w:pPr>
              <w:pStyle w:val="TableContents"/>
              <w:spacing w:before="0" w:after="283"/>
              <w:jc w:val="right"/>
              <w:rPr/>
            </w:pPr>
            <w:r>
              <w:rPr/>
              <w:t>550,000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55,000,000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62"/>
        <w:gridCol w:w="9868"/>
      </w:tblGrid>
      <w:tr>
        <w:trPr/>
        <w:tc>
          <w:tcPr>
            <w:tcW w:w="75"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jc w:val="left"/>
              <w:rPr/>
            </w:pPr>
            <w:r>
              <w:rPr/>
              <w:t>(a)</w:t>
            </w:r>
          </w:p>
        </w:tc>
        <w:tc>
          <w:tcPr>
            <w:tcW w:w="986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value of common stock issued to Tango included in the consideration is reflected at $10.00 per share as defined in the Merger Agreement. </w:t>
            </w:r>
          </w:p>
        </w:tc>
      </w:tr>
    </w:tbl>
    <w:tbl>
      <w:tblPr>
        <w:tblW w:w="10205" w:type="dxa"/>
        <w:jc w:val="left"/>
        <w:tblInd w:w="0" w:type="dxa"/>
        <w:tblCellMar>
          <w:top w:w="0" w:type="dxa"/>
          <w:left w:w="0" w:type="dxa"/>
          <w:bottom w:w="0" w:type="dxa"/>
          <w:right w:w="0" w:type="dxa"/>
        </w:tblCellMar>
      </w:tblPr>
      <w:tblGrid>
        <w:gridCol w:w="75"/>
        <w:gridCol w:w="236"/>
        <w:gridCol w:w="9894"/>
      </w:tblGrid>
      <w:tr>
        <w:trPr/>
        <w:tc>
          <w:tcPr>
            <w:tcW w:w="75" w:type="dxa"/>
            <w:tcBorders/>
            <w:shd w:fill="auto" w:val="clear"/>
            <w:vAlign w:val="center"/>
          </w:tcPr>
          <w:p>
            <w:pPr>
              <w:pStyle w:val="TableContents"/>
              <w:spacing w:before="0" w:after="283"/>
              <w:rPr/>
            </w:pPr>
            <w:r>
              <w:rPr/>
              <w:t> </w:t>
            </w:r>
          </w:p>
        </w:tc>
        <w:tc>
          <w:tcPr>
            <w:tcW w:w="236" w:type="dxa"/>
            <w:tcBorders/>
            <w:shd w:fill="auto" w:val="clear"/>
            <w:vAlign w:val="center"/>
          </w:tcPr>
          <w:p>
            <w:pPr>
              <w:pStyle w:val="TableContents"/>
              <w:spacing w:before="0" w:after="283"/>
              <w:jc w:val="left"/>
              <w:rPr/>
            </w:pPr>
            <w:r>
              <w:rPr/>
              <w:t>(b)</w:t>
            </w:r>
          </w:p>
        </w:tc>
        <w:tc>
          <w:tcPr>
            <w:tcW w:w="989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total 55,000,0000 consideration shares to be issued for all outstanding Tango common and preferred stock includes underlying unvested and/or unexercised stock options of 6,406,197 and excludes unissued options of 1,191,103. These amounts are based on Tango’s outstanding shares as of June 30, 2021 and the exchange ratio of 0.340 at the effective time of the Business Combination. </w:t>
            </w:r>
          </w:p>
        </w:tc>
      </w:tr>
    </w:tbl>
    <w:p>
      <w:pPr>
        <w:pStyle w:val="TextBody"/>
        <w:spacing w:before="240" w:after="0"/>
        <w:jc w:val="left"/>
        <w:rPr>
          <w:rFonts w:ascii="Times New Roman" w:hAnsi="Times New Roman"/>
          <w:sz w:val="20"/>
        </w:rPr>
      </w:pPr>
      <w:r>
        <w:rPr>
          <w:rFonts w:ascii="Times New Roman" w:hAnsi="Times New Roman"/>
          <w:sz w:val="20"/>
        </w:rPr>
        <w:t xml:space="preserve">As of the effective time of the Business Combination, the conversion ratio was 0.340. The closing conversion ratio was calculated in accordance with the methodology and procedures set forth in the Merger Agreement, and was announced by BCTG through a Current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8-K</w:t>
      </w:r>
    </w:p>
    <w:p>
      <w:pPr>
        <w:pStyle w:val="TextBody"/>
        <w:spacing w:before="240" w:after="0"/>
        <w:jc w:val="left"/>
        <w:rPr>
          <w:rFonts w:ascii="Times New Roman" w:hAnsi="Times New Roman"/>
          <w:sz w:val="20"/>
        </w:rPr>
      </w:pPr>
      <w:r>
        <w:rPr>
          <w:rFonts w:ascii="Times New Roman" w:hAnsi="Times New Roman"/>
          <w:sz w:val="20"/>
        </w:rPr>
        <w:t xml:space="preserve">filing with the SEC four business days prior to the special meeting of BCTG’s stockholders.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summarizes the unaudited pro forma common stock outstanding immediately after giving effect to the consummation of the Business Combination and PIPE Financing transactions: </w:t>
      </w:r>
    </w:p>
    <w:p>
      <w:pPr>
        <w:pStyle w:val="TextBody"/>
        <w:spacing w:before="0" w:after="0"/>
        <w:jc w:val="left"/>
        <w:rPr>
          <w:spacing w:val="0"/>
        </w:rPr>
      </w:pPr>
      <w:r>
        <w:rPr>
          <w:spacing w:val="0"/>
        </w:rPr>
        <w:t> </w:t>
      </w:r>
    </w:p>
    <w:tbl>
      <w:tblPr>
        <w:tblW w:w="7555" w:type="dxa"/>
        <w:jc w:val="left"/>
        <w:tblInd w:w="0" w:type="dxa"/>
        <w:tblCellMar>
          <w:top w:w="0" w:type="dxa"/>
          <w:left w:w="0" w:type="dxa"/>
          <w:bottom w:w="0" w:type="dxa"/>
          <w:right w:w="0" w:type="dxa"/>
        </w:tblCellMar>
      </w:tblPr>
      <w:tblGrid>
        <w:gridCol w:w="5015"/>
        <w:gridCol w:w="120"/>
        <w:gridCol w:w="60"/>
        <w:gridCol w:w="1100"/>
        <w:gridCol w:w="155"/>
        <w:gridCol w:w="120"/>
        <w:gridCol w:w="60"/>
        <w:gridCol w:w="560"/>
        <w:gridCol w:w="365"/>
      </w:tblGrid>
      <w:tr>
        <w:trPr/>
        <w:tc>
          <w:tcPr>
            <w:tcW w:w="50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50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5" w:type="dxa"/>
            <w:gridSpan w:val="6"/>
            <w:tcBorders/>
            <w:shd w:fill="auto" w:val="clear"/>
            <w:vAlign w:val="center"/>
          </w:tcPr>
          <w:p>
            <w:pPr>
              <w:pStyle w:val="TableContents"/>
              <w:spacing w:before="0" w:after="0"/>
              <w:jc w:val="center"/>
              <w:rPr>
                <w:b/>
                <w:spacing w:val="0"/>
              </w:rPr>
            </w:pPr>
            <w:r>
              <w:rPr>
                <w:b/>
                <w:spacing w:val="0"/>
              </w:rPr>
              <w:t>Common Stock</w:t>
              <w:br/>
              <w:t>Outstanding</w:t>
            </w:r>
          </w:p>
        </w:tc>
        <w:tc>
          <w:tcPr>
            <w:tcW w:w="365" w:type="dxa"/>
            <w:tcBorders/>
            <w:shd w:fill="auto"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b/>
                <w:spacing w:val="0"/>
              </w:rPr>
            </w:pPr>
            <w:r>
              <w:rPr>
                <w:b/>
                <w:spacing w:val="0"/>
              </w:rPr>
              <w:t>%</w:t>
            </w:r>
          </w:p>
        </w:tc>
        <w:tc>
          <w:tcPr>
            <w:tcW w:w="365" w:type="dxa"/>
            <w:tcBorders/>
            <w:shd w:fill="auto" w:val="clear"/>
            <w:vAlign w:val="center"/>
          </w:tcPr>
          <w:p>
            <w:pPr>
              <w:pStyle w:val="TableContents"/>
              <w:spacing w:before="0" w:after="283"/>
              <w:rPr/>
            </w:pPr>
            <w:r>
              <w:rPr/>
              <w:t> </w:t>
            </w:r>
          </w:p>
        </w:tc>
      </w:tr>
      <w:tr>
        <w:trPr/>
        <w:tc>
          <w:tcPr>
            <w:tcW w:w="50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public stockholders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15,635,785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18.1</w:t>
            </w:r>
          </w:p>
        </w:tc>
        <w:tc>
          <w:tcPr>
            <w:tcW w:w="365" w:type="dxa"/>
            <w:tcBorders/>
            <w:shd w:fill="CCEEFF"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redemption of BCTG redeemable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(1,106,814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(1.3</w:t>
            </w:r>
          </w:p>
        </w:tc>
        <w:tc>
          <w:tcPr>
            <w:tcW w:w="365" w:type="dxa"/>
            <w:tcBorders/>
            <w:shd w:fill="auto" w:val="clear"/>
            <w:vAlign w:val="center"/>
          </w:tcPr>
          <w:p>
            <w:pPr>
              <w:pStyle w:val="TableContents"/>
              <w:spacing w:before="0" w:after="283"/>
              <w:rPr/>
            </w:pPr>
            <w:r>
              <w:rPr/>
              <w:t>)% </w:t>
            </w:r>
          </w:p>
        </w:tc>
      </w:tr>
      <w:tr>
        <w:trPr/>
        <w:tc>
          <w:tcPr>
            <w:tcW w:w="50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Sponsor and Directors and advisors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4,702,250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5.4</w:t>
            </w:r>
          </w:p>
        </w:tc>
        <w:tc>
          <w:tcPr>
            <w:tcW w:w="365" w:type="dxa"/>
            <w:tcBorders/>
            <w:shd w:fill="CCEEFF"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365" w:type="dxa"/>
            <w:tcBorders/>
            <w:shd w:fill="auto"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283"/>
              <w:rPr>
                <w:sz w:val="4"/>
                <w:szCs w:val="4"/>
              </w:rPr>
            </w:pPr>
            <w:r>
              <w:rPr>
                <w:sz w:val="4"/>
                <w:szCs w:val="4"/>
              </w:rPr>
            </w:r>
          </w:p>
        </w:tc>
        <w:tc>
          <w:tcPr>
            <w:tcW w:w="1435" w:type="dxa"/>
            <w:gridSpan w:val="4"/>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r>
      <w:tr>
        <w:trPr/>
        <w:tc>
          <w:tcPr>
            <w:tcW w:w="501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BCTG</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19,231,221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22.2</w:t>
            </w:r>
          </w:p>
        </w:tc>
        <w:tc>
          <w:tcPr>
            <w:tcW w:w="365" w:type="dxa"/>
            <w:tcBorders/>
            <w:shd w:fill="auto" w:val="clear"/>
            <w:vAlign w:val="center"/>
          </w:tcPr>
          <w:p>
            <w:pPr>
              <w:pStyle w:val="TableContents"/>
              <w:spacing w:before="0" w:after="283"/>
              <w:rPr/>
            </w:pPr>
            <w:r>
              <w:rPr/>
              <w:t>% </w:t>
            </w:r>
          </w:p>
        </w:tc>
      </w:tr>
      <w:tr>
        <w:trPr/>
        <w:tc>
          <w:tcPr>
            <w:tcW w:w="50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Tango(A)</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48,593,803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56.3</w:t>
            </w:r>
          </w:p>
        </w:tc>
        <w:tc>
          <w:tcPr>
            <w:tcW w:w="365" w:type="dxa"/>
            <w:tcBorders/>
            <w:shd w:fill="CCEEFF"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PIPE Shares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18,610,000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21.5</w:t>
            </w:r>
          </w:p>
        </w:tc>
        <w:tc>
          <w:tcPr>
            <w:tcW w:w="365" w:type="dxa"/>
            <w:tcBorders/>
            <w:shd w:fill="auto"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365" w:type="dxa"/>
            <w:tcBorders/>
            <w:shd w:fill="auto"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283"/>
              <w:rPr>
                <w:sz w:val="4"/>
                <w:szCs w:val="4"/>
              </w:rPr>
            </w:pPr>
            <w:r>
              <w:rPr>
                <w:sz w:val="4"/>
                <w:szCs w:val="4"/>
              </w:rPr>
            </w:r>
          </w:p>
        </w:tc>
        <w:tc>
          <w:tcPr>
            <w:tcW w:w="1435" w:type="dxa"/>
            <w:gridSpan w:val="4"/>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r>
      <w:tr>
        <w:trPr/>
        <w:tc>
          <w:tcPr>
            <w:tcW w:w="501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Shares Outstanding (excluding certain Tango shares)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86,435,024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100.0</w:t>
            </w:r>
          </w:p>
        </w:tc>
        <w:tc>
          <w:tcPr>
            <w:tcW w:w="365" w:type="dxa"/>
            <w:tcBorders/>
            <w:shd w:fill="CCEEFF" w:val="clear"/>
            <w:vAlign w:val="center"/>
          </w:tcPr>
          <w:p>
            <w:pPr>
              <w:pStyle w:val="TableContents"/>
              <w:spacing w:before="0" w:after="283"/>
              <w:rPr/>
            </w:pPr>
            <w:r>
              <w:rPr/>
              <w:t>% </w:t>
            </w:r>
          </w:p>
        </w:tc>
      </w:tr>
      <w:tr>
        <w:trPr/>
        <w:tc>
          <w:tcPr>
            <w:tcW w:w="50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Tango-Remaining Consideration Shares(A)</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6,406,197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50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5015" w:type="dxa"/>
            <w:tcBorders/>
            <w:shd w:fill="auto" w:val="clear"/>
            <w:vAlign w:val="center"/>
          </w:tcPr>
          <w:p>
            <w:pPr>
              <w:pStyle w:val="TableContents"/>
              <w:spacing w:before="0" w:after="283"/>
              <w:rPr>
                <w:sz w:val="4"/>
                <w:szCs w:val="4"/>
              </w:rPr>
            </w:pPr>
            <w:r>
              <w:rPr>
                <w:sz w:val="4"/>
                <w:szCs w:val="4"/>
              </w:rPr>
            </w:r>
          </w:p>
        </w:tc>
        <w:tc>
          <w:tcPr>
            <w:tcW w:w="1435" w:type="dxa"/>
            <w:gridSpan w:val="4"/>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r>
      <w:tr>
        <w:trPr/>
        <w:tc>
          <w:tcPr>
            <w:tcW w:w="501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Shares (including certain Tango shares)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92,841,221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560" w:type="dxa"/>
            <w:tcBorders/>
            <w:shd w:fill="CCEEFF" w:val="clear"/>
            <w:vAlign w:val="center"/>
          </w:tcPr>
          <w:p>
            <w:pPr>
              <w:pStyle w:val="TableContents"/>
              <w:spacing w:before="0" w:after="283"/>
              <w:rPr>
                <w:sz w:val="4"/>
                <w:szCs w:val="4"/>
              </w:rPr>
            </w:pPr>
            <w:r>
              <w:rPr>
                <w:sz w:val="4"/>
                <w:szCs w:val="4"/>
              </w:rPr>
            </w:r>
          </w:p>
        </w:tc>
        <w:tc>
          <w:tcPr>
            <w:tcW w:w="365" w:type="dxa"/>
            <w:tcBorders/>
            <w:shd w:fill="CCEEFF" w:val="clear"/>
            <w:vAlign w:val="center"/>
          </w:tcPr>
          <w:p>
            <w:pPr>
              <w:pStyle w:val="TableContents"/>
              <w:spacing w:before="0" w:after="283"/>
              <w:rPr>
                <w:sz w:val="4"/>
                <w:szCs w:val="4"/>
              </w:rPr>
            </w:pPr>
            <w:r>
              <w:rPr>
                <w:sz w:val="4"/>
                <w:szCs w:val="4"/>
              </w:rPr>
            </w:r>
          </w:p>
        </w:tc>
      </w:tr>
      <w:tr>
        <w:trPr/>
        <w:tc>
          <w:tcPr>
            <w:tcW w:w="50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76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288"/>
        <w:gridCol w:w="9842"/>
      </w:tblGrid>
      <w:tr>
        <w:trPr/>
        <w:tc>
          <w:tcPr>
            <w:tcW w:w="75"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jc w:val="left"/>
              <w:rPr/>
            </w:pPr>
            <w:r>
              <w:rPr/>
              <w:t>(A)</w:t>
            </w:r>
          </w:p>
        </w:tc>
        <w:tc>
          <w:tcPr>
            <w:tcW w:w="984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Total consideration issued to Tango was $550.0 million or 55,000,000 shares ($10 per share price). The total shares issued included Tango common and preferred stock plus shares underlying unvested stock options. Accordingly, the consideration shares outstanding at the closing of the Business Combination was adjusted to exclude the portion of consideration shares that remained unvested and/or unexercised at the closing of the Business Combination. The Tango-Remaining Consideration Shares reflect a conversion ratio of 0.340. Tango shares are presented as of June 30, 2021.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2 — Basis of Presentation </w:t>
      </w:r>
    </w:p>
    <w:p>
      <w:pPr>
        <w:pStyle w:val="TextBody"/>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was prepared in accordance with Article 11 of SEC Regulation </w:t>
      </w:r>
    </w:p>
    <w:p>
      <w:pPr>
        <w:pStyle w:val="TextBody"/>
        <w:spacing w:before="120" w:after="0"/>
        <w:jc w:val="left"/>
        <w:rPr>
          <w:rFonts w:ascii="Times New Roman" w:hAnsi="Times New Roman"/>
          <w:spacing w:val="0"/>
          <w:sz w:val="20"/>
        </w:rPr>
      </w:pPr>
      <w:r>
        <w:rPr>
          <w:rFonts w:ascii="Times New Roman" w:hAnsi="Times New Roman"/>
          <w:spacing w:val="0"/>
          <w:sz w:val="20"/>
        </w:rPr>
        <w:t>S-X</w:t>
      </w:r>
    </w:p>
    <w:p>
      <w:pPr>
        <w:pStyle w:val="TextBody"/>
        <w:spacing w:before="120" w:after="0"/>
        <w:jc w:val="left"/>
        <w:rPr>
          <w:rFonts w:ascii="Times New Roman" w:hAnsi="Times New Roman"/>
          <w:sz w:val="20"/>
        </w:rPr>
      </w:pPr>
      <w:r>
        <w:rPr>
          <w:rFonts w:ascii="Times New Roman" w:hAnsi="Times New Roman"/>
          <w:sz w:val="20"/>
        </w:rPr>
        <w:t xml:space="preserve">as amended by the final rule, Release </w:t>
      </w:r>
    </w:p>
    <w:p>
      <w:pPr>
        <w:pStyle w:val="TextBody"/>
        <w:spacing w:before="120" w:after="0"/>
        <w:jc w:val="left"/>
        <w:rPr>
          <w:rFonts w:ascii="Times New Roman" w:hAnsi="Times New Roman"/>
          <w:spacing w:val="0"/>
          <w:sz w:val="20"/>
        </w:rPr>
      </w:pPr>
      <w:r>
        <w:rPr>
          <w:rFonts w:ascii="Times New Roman" w:hAnsi="Times New Roman"/>
          <w:spacing w:val="0"/>
          <w:sz w:val="20"/>
        </w:rPr>
        <w:t>No. 33-10786</w:t>
      </w:r>
    </w:p>
    <w:p>
      <w:pPr>
        <w:pStyle w:val="TextBody"/>
        <w:spacing w:before="120" w:after="0"/>
        <w:jc w:val="left"/>
        <w:rPr/>
      </w:pPr>
      <w:r>
        <w:rPr/>
        <w:t>“</w:t>
      </w:r>
      <w:r>
        <w:rPr>
          <w:rFonts w:ascii="Times New Roman" w:hAnsi="Times New Roman"/>
          <w:sz w:val="20"/>
        </w:rPr>
        <w:t xml:space="preserve">Amendments to Financial Disclosures about Acquired and Disposed Businesses.” The historical financial information of BCTG and Tango has been adjusted to give effect to the transaction accounting adjustments of the Business Combination and the PIPE Financing and certain other adjustments to provide relevant information necessary for an understanding of the combined company upon consummation of the transactions described herein. </w:t>
      </w:r>
    </w:p>
    <w:p>
      <w:pPr>
        <w:pStyle w:val="TextBody"/>
        <w:spacing w:before="240" w:after="0"/>
        <w:jc w:val="left"/>
        <w:rPr>
          <w:rFonts w:ascii="Times New Roman" w:hAnsi="Times New Roman"/>
          <w:sz w:val="20"/>
        </w:rPr>
      </w:pPr>
      <w:r>
        <w:rPr>
          <w:rFonts w:ascii="Times New Roman" w:hAnsi="Times New Roman"/>
          <w:sz w:val="20"/>
        </w:rPr>
        <w:t>The Business Combination is being accounted for as a reverse recapitalization because Tango has been determined to be the accounting acquirer under Financial Accounting Standards Board’s Accounting Standards Codification Topic 805,</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Business Combinations</w:t>
      </w:r>
    </w:p>
    <w:p>
      <w:pPr>
        <w:pStyle w:val="TextBody"/>
        <w:spacing w:before="240" w:after="0"/>
        <w:jc w:val="left"/>
        <w:rPr>
          <w:rFonts w:ascii="Times New Roman" w:hAnsi="Times New Roman"/>
          <w:sz w:val="20"/>
        </w:rPr>
      </w:pPr>
      <w:r>
        <w:rPr>
          <w:rFonts w:ascii="Times New Roman" w:hAnsi="Times New Roman"/>
          <w:sz w:val="20"/>
        </w:rPr>
        <w:t xml:space="preserve">(“ASC 805”). The determination is primarily based on the evaluation of the following facts and circumstances: </w:t>
      </w:r>
    </w:p>
    <w:p>
      <w:pPr>
        <w:pStyle w:val="TextBody"/>
        <w:spacing w:before="0" w:after="0"/>
        <w:jc w:val="left"/>
        <w:rPr>
          <w:spacing w:val="0"/>
        </w:rPr>
      </w:pPr>
      <w:r>
        <w:rPr>
          <w:spacing w:val="0"/>
        </w:rPr>
        <w:t> </w:t>
      </w:r>
    </w:p>
    <w:tbl>
      <w:tblPr>
        <w:tblW w:w="6550" w:type="dxa"/>
        <w:jc w:val="left"/>
        <w:tblInd w:w="0" w:type="dxa"/>
        <w:tblCellMar>
          <w:top w:w="0" w:type="dxa"/>
          <w:left w:w="0" w:type="dxa"/>
          <w:bottom w:w="0" w:type="dxa"/>
          <w:right w:w="0" w:type="dxa"/>
        </w:tblCellMar>
      </w:tblPr>
      <w:tblGrid>
        <w:gridCol w:w="75"/>
        <w:gridCol w:w="110"/>
        <w:gridCol w:w="60"/>
        <w:gridCol w:w="6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t>
            </w:r>
          </w:p>
          <w:p>
            <w:pPr>
              <w:pStyle w:val="TableContents"/>
              <w:spacing w:before="0" w:after="0"/>
              <w:jc w:val="left"/>
              <w:rPr>
                <w:rFonts w:ascii="Times New Roman" w:hAnsi="Times New Roman"/>
                <w:spacing w:val="0"/>
                <w:sz w:val="20"/>
              </w:rPr>
            </w:pPr>
            <w:r>
              <w:rPr>
                <w:rFonts w:ascii="Times New Roman" w:hAnsi="Times New Roman"/>
                <w:spacing w:val="0"/>
                <w:sz w:val="20"/>
              </w:rPr>
              <w:t>pre-combination</w:t>
            </w:r>
          </w:p>
          <w:p>
            <w:pPr>
              <w:pStyle w:val="TableContents"/>
              <w:spacing w:before="0" w:after="0"/>
              <w:jc w:val="left"/>
              <w:rPr>
                <w:rFonts w:ascii="Times New Roman" w:hAnsi="Times New Roman"/>
                <w:sz w:val="20"/>
              </w:rPr>
            </w:pPr>
            <w:r>
              <w:rPr>
                <w:rFonts w:ascii="Times New Roman" w:hAnsi="Times New Roman"/>
                <w:sz w:val="20"/>
              </w:rPr>
              <w:t xml:space="preserve">equity holders of Tango holding the majority of voting rights in New Tango; </w:t>
            </w:r>
          </w:p>
        </w:tc>
      </w:tr>
    </w:tbl>
    <w:p>
      <w:pPr>
        <w:pStyle w:val="TextBody"/>
        <w:spacing w:before="0" w:after="0"/>
        <w:jc w:val="left"/>
        <w:rPr>
          <w:spacing w:val="0"/>
        </w:rPr>
      </w:pPr>
      <w:r>
        <w:rPr>
          <w:spacing w:val="0"/>
        </w:rPr>
        <w:t> </w:t>
      </w:r>
    </w:p>
    <w:tbl>
      <w:tblPr>
        <w:tblW w:w="9700" w:type="dxa"/>
        <w:jc w:val="left"/>
        <w:tblInd w:w="0" w:type="dxa"/>
        <w:tblCellMar>
          <w:top w:w="0" w:type="dxa"/>
          <w:left w:w="0" w:type="dxa"/>
          <w:bottom w:w="0" w:type="dxa"/>
          <w:right w:w="0" w:type="dxa"/>
        </w:tblCellMar>
      </w:tblPr>
      <w:tblGrid>
        <w:gridCol w:w="75"/>
        <w:gridCol w:w="110"/>
        <w:gridCol w:w="60"/>
        <w:gridCol w:w="9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t>
            </w:r>
          </w:p>
          <w:p>
            <w:pPr>
              <w:pStyle w:val="TableContents"/>
              <w:spacing w:before="0" w:after="0"/>
              <w:jc w:val="left"/>
              <w:rPr>
                <w:rFonts w:ascii="Times New Roman" w:hAnsi="Times New Roman"/>
                <w:spacing w:val="0"/>
                <w:sz w:val="20"/>
              </w:rPr>
            </w:pPr>
            <w:r>
              <w:rPr>
                <w:rFonts w:ascii="Times New Roman" w:hAnsi="Times New Roman"/>
                <w:spacing w:val="0"/>
                <w:sz w:val="20"/>
              </w:rPr>
              <w:t>pre-combination</w:t>
            </w:r>
          </w:p>
          <w:p>
            <w:pPr>
              <w:pStyle w:val="TableContents"/>
              <w:spacing w:before="0" w:after="0"/>
              <w:jc w:val="left"/>
              <w:rPr>
                <w:rFonts w:ascii="Times New Roman" w:hAnsi="Times New Roman"/>
                <w:sz w:val="20"/>
              </w:rPr>
            </w:pPr>
            <w:r>
              <w:rPr>
                <w:rFonts w:ascii="Times New Roman" w:hAnsi="Times New Roman"/>
                <w:sz w:val="20"/>
              </w:rPr>
              <w:t xml:space="preserve">equity holders of Tango having the right to appoint the majority of the directors on New Tango’s board of directors; </w:t>
            </w:r>
          </w:p>
        </w:tc>
      </w:tr>
    </w:tbl>
    <w:p>
      <w:pPr>
        <w:pStyle w:val="TextBody"/>
        <w:spacing w:before="0" w:after="0"/>
        <w:jc w:val="left"/>
        <w:rPr>
          <w:spacing w:val="0"/>
        </w:rPr>
      </w:pPr>
      <w:r>
        <w:rPr>
          <w:spacing w:val="0"/>
        </w:rPr>
        <w:t> </w:t>
      </w:r>
    </w:p>
    <w:tbl>
      <w:tblPr>
        <w:tblW w:w="7180" w:type="dxa"/>
        <w:jc w:val="left"/>
        <w:tblInd w:w="0" w:type="dxa"/>
        <w:tblCellMar>
          <w:top w:w="0" w:type="dxa"/>
          <w:left w:w="0" w:type="dxa"/>
          <w:bottom w:w="0" w:type="dxa"/>
          <w:right w:w="0" w:type="dxa"/>
        </w:tblCellMar>
      </w:tblPr>
      <w:tblGrid>
        <w:gridCol w:w="75"/>
        <w:gridCol w:w="110"/>
        <w:gridCol w:w="60"/>
        <w:gridCol w:w="6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Senior management of Tango comprising the senior management of New Tango; and </w:t>
            </w:r>
          </w:p>
        </w:tc>
      </w:tr>
    </w:tbl>
    <w:p>
      <w:pPr>
        <w:pStyle w:val="TextBody"/>
        <w:spacing w:before="0" w:after="0"/>
        <w:jc w:val="left"/>
        <w:rPr>
          <w:spacing w:val="0"/>
        </w:rPr>
      </w:pPr>
      <w:r>
        <w:rPr>
          <w:spacing w:val="0"/>
        </w:rPr>
        <w:t> </w:t>
      </w:r>
    </w:p>
    <w:tbl>
      <w:tblPr>
        <w:tblW w:w="6115" w:type="dxa"/>
        <w:jc w:val="left"/>
        <w:tblInd w:w="0" w:type="dxa"/>
        <w:tblCellMar>
          <w:top w:w="0" w:type="dxa"/>
          <w:left w:w="0" w:type="dxa"/>
          <w:bottom w:w="0" w:type="dxa"/>
          <w:right w:w="0" w:type="dxa"/>
        </w:tblCellMar>
      </w:tblPr>
      <w:tblGrid>
        <w:gridCol w:w="75"/>
        <w:gridCol w:w="110"/>
        <w:gridCol w:w="60"/>
        <w:gridCol w:w="58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Operations of Tango comprising the ongoing operations of New Tango.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Under the reverse recapitalization accounting model, the Business Combination is being treated as Tango issuing stock for the net assets of BCTG, with no goodwill or intangible assets recorded.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unaudited pro forma condensed combined financial information reflects all BCTG’s public stockholders that exercised redemption rights with respect to their public shares. A total of 1,106,814 shares were redeemed for an aggregate redemption value of approximately $11.1 million. The resulting redemption scenario still provided BCTG with cash at closing of the Business Combination of greater than the minimum requirement of $300.0 million pursuant to the Merger Agreement.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New Tango expects to enter into new equity awards with its employees after the consummation of the Business Combination. The terms of these new equity awards have not been finalized and remain subject to change. Accordingly, no effect has been given in the unaudited pro forma condensed combined financial information for the new awards.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unaudited pro forma condensed combined financial information does not reflect the income tax effects of the transaction accounting adjustments as any change in the deferred tax balance would be offset by an increase in the valuation allowance given Tango incurred significant losses during the historical period presented.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3 — Transaction Accounting Adjustments to the Unaudited Pro Forma Condensed Combined Balance Sheet as of June 30, 2021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transaction accounting adjustments included in the unaudited pro forma condensed combined balance sheet as of June 30, 2021 are as follows: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 Forma transaction accounting adjustments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44"/>
        <w:gridCol w:w="9886"/>
      </w:tblGrid>
      <w:tr>
        <w:trPr/>
        <w:tc>
          <w:tcPr>
            <w:tcW w:w="75"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jc w:val="left"/>
              <w:rPr/>
            </w:pPr>
            <w:r>
              <w:rPr/>
              <w:t>(a)</w:t>
            </w:r>
          </w:p>
        </w:tc>
        <w:tc>
          <w:tcPr>
            <w:tcW w:w="988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Represents the impact of the Business Combination on the cash balance of the Combined Entity. The table below represents the sources and uses of funds as it relates to the Business Combination:</w:t>
            </w:r>
          </w:p>
        </w:tc>
      </w:tr>
    </w:tbl>
    <w:p>
      <w:pPr>
        <w:pStyle w:val="TextBody"/>
        <w:spacing w:before="0" w:after="0"/>
        <w:jc w:val="left"/>
        <w:rPr>
          <w:spacing w:val="0"/>
        </w:rPr>
      </w:pPr>
      <w:r>
        <w:rPr>
          <w:spacing w:val="0"/>
        </w:rPr>
        <w:t> </w:t>
      </w:r>
    </w:p>
    <w:tbl>
      <w:tblPr>
        <w:tblW w:w="9015" w:type="dxa"/>
        <w:jc w:val="left"/>
        <w:tblInd w:w="0" w:type="dxa"/>
        <w:tblCellMar>
          <w:top w:w="0" w:type="dxa"/>
          <w:left w:w="0" w:type="dxa"/>
          <w:bottom w:w="0" w:type="dxa"/>
          <w:right w:w="0" w:type="dxa"/>
        </w:tblCellMar>
      </w:tblPr>
      <w:tblGrid>
        <w:gridCol w:w="7010"/>
        <w:gridCol w:w="120"/>
        <w:gridCol w:w="109"/>
        <w:gridCol w:w="391"/>
        <w:gridCol w:w="155"/>
        <w:gridCol w:w="120"/>
        <w:gridCol w:w="140"/>
        <w:gridCol w:w="800"/>
        <w:gridCol w:w="170"/>
      </w:tblGrid>
      <w:tr>
        <w:trPr/>
        <w:tc>
          <w:tcPr>
            <w:tcW w:w="7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010" w:type="dxa"/>
            <w:tcBorders/>
            <w:shd w:fill="auto" w:val="clear"/>
            <w:vAlign w:val="center"/>
          </w:tcPr>
          <w:p>
            <w:pPr>
              <w:pStyle w:val="TableContents"/>
              <w:spacing w:before="0" w:after="0"/>
              <w:rPr>
                <w:i/>
                <w:caps w:val="false"/>
                <w:smallCaps w:val="false"/>
                <w:spacing w:val="0"/>
              </w:rPr>
            </w:pPr>
            <w:r>
              <w:rPr>
                <w:i/>
                <w:caps w:val="false"/>
                <w:smallCaps w:val="false"/>
                <w:spacing w:val="0"/>
              </w:rPr>
              <w:t>(in thousands)</w:t>
            </w:r>
          </w:p>
        </w:tc>
        <w:tc>
          <w:tcPr>
            <w:tcW w:w="12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0"/>
              <w:jc w:val="center"/>
              <w:rPr>
                <w:b/>
                <w:spacing w:val="0"/>
              </w:rPr>
            </w:pPr>
            <w:r>
              <w:rPr>
                <w:b/>
                <w:spacing w:val="0"/>
              </w:rPr>
              <w:t>Note</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Pro</w:t>
              <w:br/>
              <w:t>Forma</w:t>
              <w:br/>
              <w:t>Cash</w:t>
            </w:r>
          </w:p>
        </w:tc>
        <w:tc>
          <w:tcPr>
            <w:tcW w:w="170" w:type="dxa"/>
            <w:tcBorders/>
            <w:shd w:fill="auto" w:val="clear"/>
            <w:vAlign w:val="center"/>
          </w:tcPr>
          <w:p>
            <w:pPr>
              <w:pStyle w:val="TableContents"/>
              <w:spacing w:before="0" w:after="283"/>
              <w:rPr/>
            </w:pPr>
            <w:r>
              <w:rPr/>
              <w:t> </w:t>
            </w:r>
          </w:p>
        </w:tc>
      </w:tr>
      <w:tr>
        <w:trPr/>
        <w:tc>
          <w:tcPr>
            <w:tcW w:w="70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cash held in Trust Account</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166,815</w:t>
            </w:r>
          </w:p>
        </w:tc>
        <w:tc>
          <w:tcPr>
            <w:tcW w:w="170" w:type="dxa"/>
            <w:tcBorders/>
            <w:shd w:fill="CCEEFF"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to redeeming BCTG Stockholders</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(11,073</w:t>
            </w:r>
          </w:p>
        </w:tc>
        <w:tc>
          <w:tcPr>
            <w:tcW w:w="170" w:type="dxa"/>
            <w:tcBorders/>
            <w:shd w:fill="auto" w:val="clear"/>
            <w:vAlign w:val="center"/>
          </w:tcPr>
          <w:p>
            <w:pPr>
              <w:pStyle w:val="TableContents"/>
              <w:spacing w:before="0" w:after="283"/>
              <w:rPr/>
            </w:pPr>
            <w:r>
              <w:rPr/>
              <w:t>) </w:t>
            </w:r>
          </w:p>
        </w:tc>
      </w:tr>
      <w:tr>
        <w:trPr/>
        <w:tc>
          <w:tcPr>
            <w:tcW w:w="70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of other Business Combination transaction costs</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(7,779</w:t>
            </w:r>
          </w:p>
        </w:tc>
        <w:tc>
          <w:tcPr>
            <w:tcW w:w="170" w:type="dxa"/>
            <w:tcBorders/>
            <w:shd w:fill="CCEEFF"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775" w:type="dxa"/>
            <w:gridSpan w:val="4"/>
            <w:tcBorders/>
            <w:shd w:fill="auto" w:val="clear"/>
            <w:vAlign w:val="center"/>
          </w:tcPr>
          <w:p>
            <w:pPr>
              <w:pStyle w:val="TableContents"/>
              <w:spacing w:before="0" w:after="283"/>
              <w:rPr>
                <w:sz w:val="4"/>
                <w:szCs w:val="4"/>
              </w:rPr>
            </w:pPr>
            <w:r>
              <w:rPr>
                <w:sz w:val="4"/>
                <w:szCs w:val="4"/>
              </w:rPr>
            </w:r>
          </w:p>
        </w:tc>
        <w:tc>
          <w:tcPr>
            <w:tcW w:w="1230"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Excess cash to balance sheet from Business Combination</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147,963</w:t>
            </w:r>
          </w:p>
        </w:tc>
        <w:tc>
          <w:tcPr>
            <w:tcW w:w="170" w:type="dxa"/>
            <w:tcBorders/>
            <w:shd w:fill="auto" w:val="clear"/>
            <w:vAlign w:val="center"/>
          </w:tcPr>
          <w:p>
            <w:pPr>
              <w:pStyle w:val="TableContents"/>
              <w:spacing w:before="0" w:after="283"/>
              <w:rPr/>
            </w:pPr>
            <w:r>
              <w:rPr/>
              <w:t> </w:t>
            </w:r>
          </w:p>
        </w:tc>
      </w:tr>
      <w:tr>
        <w:trPr/>
        <w:tc>
          <w:tcPr>
            <w:tcW w:w="70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PIPE—BCTG Sponsor</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25,000</w:t>
            </w:r>
          </w:p>
        </w:tc>
        <w:tc>
          <w:tcPr>
            <w:tcW w:w="170" w:type="dxa"/>
            <w:tcBorders/>
            <w:shd w:fill="CCEEFF"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PIPE—Tango Stockholders</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jc w:val="right"/>
              <w:rPr/>
            </w:pPr>
            <w:r>
              <w:rPr/>
              <w:t>(4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42,500</w:t>
            </w:r>
          </w:p>
        </w:tc>
        <w:tc>
          <w:tcPr>
            <w:tcW w:w="170" w:type="dxa"/>
            <w:tcBorders/>
            <w:shd w:fill="auto" w:val="clear"/>
            <w:vAlign w:val="center"/>
          </w:tcPr>
          <w:p>
            <w:pPr>
              <w:pStyle w:val="TableContents"/>
              <w:spacing w:before="0" w:after="283"/>
              <w:rPr/>
            </w:pPr>
            <w:r>
              <w:rPr/>
              <w:t> </w:t>
            </w:r>
          </w:p>
        </w:tc>
      </w:tr>
      <w:tr>
        <w:trPr/>
        <w:tc>
          <w:tcPr>
            <w:tcW w:w="70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PIPE Investors</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118,598</w:t>
            </w:r>
          </w:p>
        </w:tc>
        <w:tc>
          <w:tcPr>
            <w:tcW w:w="170" w:type="dxa"/>
            <w:tcBorders/>
            <w:shd w:fill="CCEEFF"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of PIPE Financing transaction costs</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jc w:val="right"/>
              <w:rPr/>
            </w:pPr>
            <w:r>
              <w:rPr/>
              <w:t>(5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(7,021</w:t>
            </w:r>
          </w:p>
        </w:tc>
        <w:tc>
          <w:tcPr>
            <w:tcW w:w="170" w:type="dxa"/>
            <w:tcBorders/>
            <w:shd w:fill="auto"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775" w:type="dxa"/>
            <w:gridSpan w:val="4"/>
            <w:tcBorders/>
            <w:shd w:fill="auto" w:val="clear"/>
            <w:vAlign w:val="center"/>
          </w:tcPr>
          <w:p>
            <w:pPr>
              <w:pStyle w:val="TableContents"/>
              <w:spacing w:before="0" w:after="283"/>
              <w:rPr>
                <w:sz w:val="4"/>
                <w:szCs w:val="4"/>
              </w:rPr>
            </w:pPr>
            <w:r>
              <w:rPr>
                <w:sz w:val="4"/>
                <w:szCs w:val="4"/>
              </w:rPr>
            </w:r>
          </w:p>
        </w:tc>
        <w:tc>
          <w:tcPr>
            <w:tcW w:w="1230"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Excess cash to balance sheet from PIPE transaction</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sz w:val="4"/>
                <w:szCs w:val="4"/>
              </w:rPr>
            </w:pPr>
            <w:r>
              <w:rPr>
                <w:sz w:val="4"/>
                <w:szCs w:val="4"/>
              </w:rPr>
            </w:r>
          </w:p>
        </w:tc>
        <w:tc>
          <w:tcPr>
            <w:tcW w:w="391"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179,077</w:t>
            </w:r>
          </w:p>
        </w:tc>
        <w:tc>
          <w:tcPr>
            <w:tcW w:w="170" w:type="dxa"/>
            <w:tcBorders/>
            <w:shd w:fill="CCEEFF"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775" w:type="dxa"/>
            <w:gridSpan w:val="4"/>
            <w:tcBorders/>
            <w:shd w:fill="auto" w:val="clear"/>
            <w:vAlign w:val="center"/>
          </w:tcPr>
          <w:p>
            <w:pPr>
              <w:pStyle w:val="TableContents"/>
              <w:spacing w:before="0" w:after="283"/>
              <w:rPr>
                <w:sz w:val="4"/>
                <w:szCs w:val="4"/>
              </w:rPr>
            </w:pPr>
            <w:r>
              <w:rPr>
                <w:sz w:val="4"/>
                <w:szCs w:val="4"/>
              </w:rPr>
            </w:r>
          </w:p>
        </w:tc>
        <w:tc>
          <w:tcPr>
            <w:tcW w:w="1230" w:type="dxa"/>
            <w:gridSpan w:val="4"/>
            <w:tcBorders/>
            <w:shd w:fill="auto" w:val="clear"/>
            <w:vAlign w:val="center"/>
          </w:tcPr>
          <w:p>
            <w:pPr>
              <w:pStyle w:val="TableContents"/>
              <w:spacing w:before="0" w:after="283"/>
              <w:rPr>
                <w:sz w:val="4"/>
                <w:szCs w:val="4"/>
              </w:rPr>
            </w:pPr>
            <w:r>
              <w:rPr>
                <w:sz w:val="4"/>
                <w:szCs w:val="4"/>
              </w:rPr>
            </w:r>
          </w:p>
        </w:tc>
      </w:tr>
      <w:tr>
        <w:trPr/>
        <w:tc>
          <w:tcPr>
            <w:tcW w:w="701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excess cash to balance sheet from Business Combination and PIPE Financing</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327,040</w:t>
            </w:r>
          </w:p>
        </w:tc>
        <w:tc>
          <w:tcPr>
            <w:tcW w:w="170" w:type="dxa"/>
            <w:tcBorders/>
            <w:shd w:fill="auto" w:val="clear"/>
            <w:vAlign w:val="center"/>
          </w:tcPr>
          <w:p>
            <w:pPr>
              <w:pStyle w:val="TableContents"/>
              <w:spacing w:before="0" w:after="283"/>
              <w:rPr/>
            </w:pPr>
            <w:r>
              <w:rPr/>
              <w:t> </w:t>
            </w:r>
          </w:p>
        </w:tc>
      </w:tr>
      <w:tr>
        <w:trPr/>
        <w:tc>
          <w:tcPr>
            <w:tcW w:w="7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64"/>
        <w:gridCol w:w="9866"/>
      </w:tblGrid>
      <w:tr>
        <w:trPr/>
        <w:tc>
          <w:tcPr>
            <w:tcW w:w="75"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jc w:val="left"/>
              <w:rPr/>
            </w:pPr>
            <w:r>
              <w:rPr/>
              <w:t>(1)</w:t>
            </w:r>
          </w:p>
        </w:tc>
        <w:tc>
          <w:tcPr>
            <w:tcW w:w="986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the amount of the restricted investments and cash held in the trust account upon consummation of the Business Combination at closing of the Business Combination. </w:t>
            </w:r>
          </w:p>
        </w:tc>
      </w:tr>
    </w:tbl>
    <w:tbl>
      <w:tblPr>
        <w:tblW w:w="10205" w:type="dxa"/>
        <w:jc w:val="left"/>
        <w:tblInd w:w="0" w:type="dxa"/>
        <w:tblCellMar>
          <w:top w:w="0" w:type="dxa"/>
          <w:left w:w="0" w:type="dxa"/>
          <w:bottom w:w="0" w:type="dxa"/>
          <w:right w:w="0" w:type="dxa"/>
        </w:tblCellMar>
      </w:tblPr>
      <w:tblGrid>
        <w:gridCol w:w="75"/>
        <w:gridCol w:w="254"/>
        <w:gridCol w:w="9876"/>
      </w:tblGrid>
      <w:tr>
        <w:trPr/>
        <w:tc>
          <w:tcPr>
            <w:tcW w:w="7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(2)</w:t>
            </w:r>
          </w:p>
        </w:tc>
        <w:tc>
          <w:tcPr>
            <w:tcW w:w="987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payment of the redemption value for the 1,106,814 shares of restricted investments that were redeemed by BCTG stockholders from the trust account prior to the consummation of the Business Combination. </w:t>
            </w:r>
          </w:p>
        </w:tc>
      </w:tr>
    </w:tbl>
    <w:tbl>
      <w:tblPr>
        <w:tblW w:w="10205" w:type="dxa"/>
        <w:jc w:val="left"/>
        <w:tblInd w:w="0" w:type="dxa"/>
        <w:tblCellMar>
          <w:top w:w="0" w:type="dxa"/>
          <w:left w:w="0" w:type="dxa"/>
          <w:bottom w:w="0" w:type="dxa"/>
          <w:right w:w="0" w:type="dxa"/>
        </w:tblCellMar>
      </w:tblPr>
      <w:tblGrid>
        <w:gridCol w:w="75"/>
        <w:gridCol w:w="250"/>
        <w:gridCol w:w="9880"/>
      </w:tblGrid>
      <w:tr>
        <w:trPr/>
        <w:tc>
          <w:tcPr>
            <w:tcW w:w="75"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jc w:val="left"/>
              <w:rPr/>
            </w:pPr>
            <w:r>
              <w:rPr/>
              <w:t>(3)</w:t>
            </w:r>
          </w:p>
        </w:tc>
        <w:tc>
          <w:tcPr>
            <w:tcW w:w="98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payment of the estimated Business Combination transaction costs of $9.2 million. The unaudited pro forma condensed combined balance sheet reflects these costs as a reduction of cash, with a corresponding decrease in additional </w:t>
            </w:r>
          </w:p>
          <w:p>
            <w:pPr>
              <w:pStyle w:val="TableContents"/>
              <w:spacing w:before="0" w:after="0"/>
              <w:jc w:val="left"/>
              <w:rPr>
                <w:rFonts w:ascii="Times New Roman" w:hAnsi="Times New Roman"/>
                <w:spacing w:val="0"/>
                <w:sz w:val="20"/>
              </w:rPr>
            </w:pPr>
            <w:r>
              <w:rPr>
                <w:rFonts w:ascii="Times New Roman" w:hAnsi="Times New Roman"/>
                <w:spacing w:val="0"/>
                <w:sz w:val="20"/>
              </w:rPr>
              <w:t>paid-in</w:t>
            </w:r>
          </w:p>
          <w:p>
            <w:pPr>
              <w:pStyle w:val="TableContents"/>
              <w:spacing w:before="0" w:after="0"/>
              <w:jc w:val="left"/>
              <w:rPr>
                <w:rFonts w:ascii="Times New Roman" w:hAnsi="Times New Roman"/>
                <w:sz w:val="20"/>
              </w:rPr>
            </w:pPr>
            <w:r>
              <w:rPr>
                <w:rFonts w:ascii="Times New Roman" w:hAnsi="Times New Roman"/>
                <w:sz w:val="20"/>
              </w:rPr>
              <w:t xml:space="preserve">capital. As of June 30, 2021, $2.0 million in transaction costs have been incurred, of which $0.6 million remains unpaid. </w:t>
            </w:r>
          </w:p>
        </w:tc>
      </w:tr>
    </w:tbl>
    <w:tbl>
      <w:tblPr>
        <w:tblW w:w="10205" w:type="dxa"/>
        <w:jc w:val="left"/>
        <w:tblInd w:w="0" w:type="dxa"/>
        <w:tblCellMar>
          <w:top w:w="0" w:type="dxa"/>
          <w:left w:w="0" w:type="dxa"/>
          <w:bottom w:w="0" w:type="dxa"/>
          <w:right w:w="0" w:type="dxa"/>
        </w:tblCellMar>
      </w:tblPr>
      <w:tblGrid>
        <w:gridCol w:w="75"/>
        <w:gridCol w:w="274"/>
        <w:gridCol w:w="9856"/>
      </w:tblGrid>
      <w:tr>
        <w:trPr/>
        <w:tc>
          <w:tcPr>
            <w:tcW w:w="75"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jc w:val="left"/>
              <w:rPr/>
            </w:pPr>
            <w:r>
              <w:rPr/>
              <w:t>(4)</w:t>
            </w:r>
          </w:p>
        </w:tc>
        <w:tc>
          <w:tcPr>
            <w:tcW w:w="985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the issuance, from the PIPE Financing, to certain investors of 18,610,000 shares of New Tango common stock at a price of $10.00 per share. </w:t>
            </w:r>
          </w:p>
        </w:tc>
      </w:tr>
    </w:tbl>
    <w:tbl>
      <w:tblPr>
        <w:tblW w:w="10205" w:type="dxa"/>
        <w:jc w:val="left"/>
        <w:tblInd w:w="0" w:type="dxa"/>
        <w:tblCellMar>
          <w:top w:w="0" w:type="dxa"/>
          <w:left w:w="0" w:type="dxa"/>
          <w:bottom w:w="0" w:type="dxa"/>
          <w:right w:w="0" w:type="dxa"/>
        </w:tblCellMar>
      </w:tblPr>
      <w:tblGrid>
        <w:gridCol w:w="75"/>
        <w:gridCol w:w="266"/>
        <w:gridCol w:w="9864"/>
      </w:tblGrid>
      <w:tr>
        <w:trPr/>
        <w:tc>
          <w:tcPr>
            <w:tcW w:w="75"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jc w:val="left"/>
              <w:rPr/>
            </w:pPr>
            <w:r>
              <w:rPr/>
              <w:t>(5)</w:t>
            </w:r>
          </w:p>
        </w:tc>
        <w:tc>
          <w:tcPr>
            <w:tcW w:w="986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payment of the estimated PIPE Financing transaction costs of $7.0 million. As of June 30, 2021, no PIPE Financing transaction costs had been incurred or paid. </w:t>
            </w:r>
          </w:p>
        </w:tc>
      </w:tr>
    </w:tbl>
    <w:tbl>
      <w:tblPr>
        <w:tblW w:w="10205" w:type="dxa"/>
        <w:jc w:val="left"/>
        <w:tblInd w:w="0" w:type="dxa"/>
        <w:tblCellMar>
          <w:top w:w="0" w:type="dxa"/>
          <w:left w:w="0" w:type="dxa"/>
          <w:bottom w:w="0" w:type="dxa"/>
          <w:right w:w="0" w:type="dxa"/>
        </w:tblCellMar>
      </w:tblPr>
      <w:tblGrid>
        <w:gridCol w:w="75"/>
        <w:gridCol w:w="196"/>
        <w:gridCol w:w="9934"/>
      </w:tblGrid>
      <w:tr>
        <w:trPr/>
        <w:tc>
          <w:tcPr>
            <w:tcW w:w="75"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b)</w:t>
            </w:r>
          </w:p>
        </w:tc>
        <w:tc>
          <w:tcPr>
            <w:tcW w:w="993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release of the restricted investments and cash held in the BCTG trust account upon consummation of the Business Combination (See Note 3(a)(1)). </w:t>
            </w:r>
          </w:p>
        </w:tc>
      </w:tr>
    </w:tbl>
    <w:tbl>
      <w:tblPr>
        <w:tblW w:w="10205" w:type="dxa"/>
        <w:jc w:val="left"/>
        <w:tblInd w:w="0" w:type="dxa"/>
        <w:tblCellMar>
          <w:top w:w="0" w:type="dxa"/>
          <w:left w:w="0" w:type="dxa"/>
          <w:bottom w:w="0" w:type="dxa"/>
          <w:right w:w="0" w:type="dxa"/>
        </w:tblCellMar>
      </w:tblPr>
      <w:tblGrid>
        <w:gridCol w:w="75"/>
        <w:gridCol w:w="152"/>
        <w:gridCol w:w="9978"/>
      </w:tblGrid>
      <w:tr>
        <w:trPr/>
        <w:tc>
          <w:tcPr>
            <w:tcW w:w="75"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c)</w:t>
            </w:r>
          </w:p>
        </w:tc>
        <w:tc>
          <w:tcPr>
            <w:tcW w:w="997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reclass less than $0.1 million of historical BCTG franchise tax payable and accrued income tax to the accrued expenses and other current liabilities account of New Tango. Also reflective of the $0.6 million decrease of accrued transaction expenses with a corresponding decrease to additional paid in capital.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78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74"/>
        <w:gridCol w:w="9956"/>
      </w:tblGrid>
      <w:tr>
        <w:trPr/>
        <w:tc>
          <w:tcPr>
            <w:tcW w:w="75"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jc w:val="left"/>
              <w:rPr/>
            </w:pPr>
            <w:r>
              <w:rPr/>
              <w:t>d)</w:t>
            </w:r>
          </w:p>
        </w:tc>
        <w:tc>
          <w:tcPr>
            <w:tcW w:w="995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following table represents the impact of the Business Combination and PIPE Financing on the number of shares of BCTG common stock and represents the total stockholders’ deficit after giving effect to all redemptions by BCTG stockholders: </w:t>
            </w:r>
          </w:p>
        </w:tc>
      </w:tr>
    </w:tbl>
    <w:p>
      <w:pPr>
        <w:pStyle w:val="TextBody"/>
        <w:spacing w:before="0" w:after="0"/>
        <w:jc w:val="left"/>
        <w:rPr>
          <w:spacing w:val="0"/>
        </w:rPr>
      </w:pPr>
      <w:r>
        <w:rPr>
          <w:spacing w:val="0"/>
        </w:rPr>
        <w:t> </w:t>
      </w:r>
    </w:p>
    <w:tbl>
      <w:tblPr>
        <w:tblW w:w="10015" w:type="dxa"/>
        <w:jc w:val="left"/>
        <w:tblInd w:w="0" w:type="dxa"/>
        <w:tblCellMar>
          <w:top w:w="0" w:type="dxa"/>
          <w:left w:w="0" w:type="dxa"/>
          <w:bottom w:w="0" w:type="dxa"/>
          <w:right w:w="0" w:type="dxa"/>
        </w:tblCellMar>
      </w:tblPr>
      <w:tblGrid>
        <w:gridCol w:w="7700"/>
        <w:gridCol w:w="120"/>
        <w:gridCol w:w="109"/>
        <w:gridCol w:w="391"/>
        <w:gridCol w:w="155"/>
        <w:gridCol w:w="120"/>
        <w:gridCol w:w="186"/>
        <w:gridCol w:w="1064"/>
        <w:gridCol w:w="170"/>
      </w:tblGrid>
      <w:tr>
        <w:trPr/>
        <w:tc>
          <w:tcPr>
            <w:tcW w:w="7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i/>
                <w:caps w:val="false"/>
                <w:smallCaps w:val="false"/>
                <w:spacing w:val="0"/>
              </w:rPr>
            </w:pPr>
            <w:r>
              <w:rPr>
                <w:i/>
                <w:caps w:val="false"/>
                <w:smallCaps w:val="false"/>
                <w:spacing w:val="0"/>
              </w:rPr>
              <w:t>(in thousands)</w:t>
            </w:r>
          </w:p>
        </w:tc>
        <w:tc>
          <w:tcPr>
            <w:tcW w:w="12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0"/>
              <w:jc w:val="center"/>
              <w:rPr>
                <w:b/>
                <w:spacing w:val="0"/>
              </w:rPr>
            </w:pPr>
            <w:r>
              <w:rPr>
                <w:b/>
                <w:spacing w:val="0"/>
              </w:rPr>
              <w:t>Note</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0" w:type="dxa"/>
            <w:gridSpan w:val="2"/>
            <w:tcBorders/>
            <w:shd w:fill="auto" w:val="clear"/>
            <w:vAlign w:val="center"/>
          </w:tcPr>
          <w:p>
            <w:pPr>
              <w:pStyle w:val="TableContents"/>
              <w:spacing w:before="0" w:after="0"/>
              <w:jc w:val="center"/>
              <w:rPr>
                <w:b/>
                <w:spacing w:val="0"/>
              </w:rPr>
            </w:pPr>
            <w:r>
              <w:rPr>
                <w:b/>
                <w:spacing w:val="0"/>
              </w:rPr>
              <w:t>Transaction</w:t>
              <w:br/>
              <w:t>Accounting</w:t>
              <w:br/>
              <w:t>Adjustment</w:t>
            </w:r>
          </w:p>
        </w:tc>
        <w:tc>
          <w:tcPr>
            <w:tcW w:w="170" w:type="dxa"/>
            <w:tcBorders/>
            <w:shd w:fill="auto" w:val="clear"/>
            <w:vAlign w:val="center"/>
          </w:tcPr>
          <w:p>
            <w:pPr>
              <w:pStyle w:val="TableContents"/>
              <w:spacing w:before="0" w:after="283"/>
              <w:rPr/>
            </w:pPr>
            <w:r>
              <w:rPr/>
              <w:t> </w:t>
            </w:r>
          </w:p>
        </w:tc>
      </w:tr>
      <w:tr>
        <w:trPr/>
        <w:tc>
          <w:tcPr>
            <w:tcW w:w="77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Reclassification of historical redeemable stock of BCTG to common stock</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064" w:type="dxa"/>
            <w:tcBorders/>
            <w:shd w:fill="CCEEFF" w:val="clear"/>
            <w:vAlign w:val="center"/>
          </w:tcPr>
          <w:p>
            <w:pPr>
              <w:pStyle w:val="TableContents"/>
              <w:spacing w:before="0" w:after="283"/>
              <w:jc w:val="right"/>
              <w:rPr/>
            </w:pPr>
            <w:r>
              <w:rPr/>
              <w:t>156,356</w:t>
            </w:r>
          </w:p>
        </w:tc>
        <w:tc>
          <w:tcPr>
            <w:tcW w:w="170" w:type="dxa"/>
            <w:tcBorders/>
            <w:shd w:fill="CCEEFF"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to redeeming BCTG Stockholders</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(11,073</w:t>
            </w:r>
          </w:p>
        </w:tc>
        <w:tc>
          <w:tcPr>
            <w:tcW w:w="170" w:type="dxa"/>
            <w:tcBorders/>
            <w:shd w:fill="auto" w:val="clear"/>
            <w:vAlign w:val="center"/>
          </w:tcPr>
          <w:p>
            <w:pPr>
              <w:pStyle w:val="TableContents"/>
              <w:spacing w:before="0" w:after="283"/>
              <w:rPr/>
            </w:pPr>
            <w:r>
              <w:rPr/>
              <w:t>) </w:t>
            </w:r>
          </w:p>
        </w:tc>
      </w:tr>
      <w:tr>
        <w:trPr/>
        <w:tc>
          <w:tcPr>
            <w:tcW w:w="77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Par value of consideration shares issued for all outstanding Tango common and preferred stock</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(5</w:t>
            </w:r>
          </w:p>
        </w:tc>
        <w:tc>
          <w:tcPr>
            <w:tcW w:w="170" w:type="dxa"/>
            <w:tcBorders/>
            <w:shd w:fill="CCEEFF"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Elimination of historical redeemable convertible preferred stock of Tango</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jc w:val="right"/>
              <w:rPr/>
            </w:pPr>
            <w:r>
              <w:rPr/>
              <w:t>(4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166,549</w:t>
            </w:r>
          </w:p>
        </w:tc>
        <w:tc>
          <w:tcPr>
            <w:tcW w:w="170" w:type="dxa"/>
            <w:tcBorders/>
            <w:shd w:fill="auto" w:val="clear"/>
            <w:vAlign w:val="center"/>
          </w:tcPr>
          <w:p>
            <w:pPr>
              <w:pStyle w:val="TableContents"/>
              <w:spacing w:before="0" w:after="283"/>
              <w:rPr/>
            </w:pPr>
            <w:r>
              <w:rPr/>
              <w:t> </w:t>
            </w:r>
          </w:p>
        </w:tc>
      </w:tr>
      <w:tr>
        <w:trPr/>
        <w:tc>
          <w:tcPr>
            <w:tcW w:w="77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Elimination of historical accumulated deficit of BCTG</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(1,127</w:t>
            </w:r>
          </w:p>
        </w:tc>
        <w:tc>
          <w:tcPr>
            <w:tcW w:w="170" w:type="dxa"/>
            <w:tcBorders/>
            <w:shd w:fill="CCEEFF"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Elimination of historical deferred IPO costs of BCTG</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jc w:val="right"/>
              <w:rPr/>
            </w:pPr>
            <w:r>
              <w:rPr/>
              <w:t>(6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5,836</w:t>
            </w:r>
          </w:p>
        </w:tc>
        <w:tc>
          <w:tcPr>
            <w:tcW w:w="170" w:type="dxa"/>
            <w:tcBorders/>
            <w:shd w:fill="auto" w:val="clear"/>
            <w:vAlign w:val="center"/>
          </w:tcPr>
          <w:p>
            <w:pPr>
              <w:pStyle w:val="TableContents"/>
              <w:spacing w:before="0" w:after="283"/>
              <w:rPr/>
            </w:pPr>
            <w:r>
              <w:rPr/>
              <w:t> </w:t>
            </w:r>
          </w:p>
        </w:tc>
      </w:tr>
      <w:tr>
        <w:trPr/>
        <w:tc>
          <w:tcPr>
            <w:tcW w:w="77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of other Business Combination transaction costs</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(8,645</w:t>
            </w:r>
          </w:p>
        </w:tc>
        <w:tc>
          <w:tcPr>
            <w:tcW w:w="170" w:type="dxa"/>
            <w:tcBorders/>
            <w:shd w:fill="CCEEFF"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775" w:type="dxa"/>
            <w:gridSpan w:val="4"/>
            <w:tcBorders/>
            <w:shd w:fill="auto" w:val="clear"/>
            <w:vAlign w:val="center"/>
          </w:tcPr>
          <w:p>
            <w:pPr>
              <w:pStyle w:val="TableContents"/>
              <w:spacing w:before="0" w:after="283"/>
              <w:rPr>
                <w:sz w:val="4"/>
                <w:szCs w:val="4"/>
              </w:rPr>
            </w:pPr>
            <w:r>
              <w:rPr>
                <w:sz w:val="4"/>
                <w:szCs w:val="4"/>
              </w:rPr>
            </w:r>
          </w:p>
        </w:tc>
        <w:tc>
          <w:tcPr>
            <w:tcW w:w="1540" w:type="dxa"/>
            <w:gridSpan w:val="4"/>
            <w:tcBorders/>
            <w:shd w:fill="auto" w:val="clear"/>
            <w:vAlign w:val="center"/>
          </w:tcPr>
          <w:p>
            <w:pPr>
              <w:pStyle w:val="TableContents"/>
              <w:spacing w:before="0" w:after="283"/>
              <w:rPr>
                <w:sz w:val="4"/>
                <w:szCs w:val="4"/>
              </w:rPr>
            </w:pPr>
            <w:r>
              <w:rPr>
                <w:sz w:val="4"/>
                <w:szCs w:val="4"/>
              </w:rPr>
            </w:r>
          </w:p>
        </w:tc>
      </w:tr>
      <w:tr>
        <w:trPr/>
        <w:tc>
          <w:tcPr>
            <w:tcW w:w="770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 xml:space="preserve">Pro Forma additional </w:t>
            </w:r>
          </w:p>
          <w:p>
            <w:pPr>
              <w:pStyle w:val="TableContents"/>
              <w:spacing w:before="0" w:after="0"/>
              <w:rPr>
                <w:rFonts w:ascii="Times New Roman" w:hAnsi="Times New Roman"/>
                <w:b/>
                <w:spacing w:val="0"/>
                <w:sz w:val="20"/>
              </w:rPr>
            </w:pPr>
            <w:r>
              <w:rPr>
                <w:rFonts w:ascii="Times New Roman" w:hAnsi="Times New Roman"/>
                <w:b/>
                <w:spacing w:val="0"/>
                <w:sz w:val="20"/>
              </w:rPr>
              <w:t>paid-in</w:t>
            </w:r>
          </w:p>
          <w:p>
            <w:pPr>
              <w:pStyle w:val="TableContents"/>
              <w:spacing w:before="0" w:after="0"/>
              <w:rPr>
                <w:rFonts w:ascii="Times New Roman" w:hAnsi="Times New Roman"/>
                <w:b/>
                <w:sz w:val="20"/>
              </w:rPr>
            </w:pPr>
            <w:r>
              <w:rPr>
                <w:rFonts w:ascii="Times New Roman" w:hAnsi="Times New Roman"/>
                <w:b/>
                <w:sz w:val="20"/>
              </w:rPr>
              <w:t>capital adjustment</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064" w:type="dxa"/>
            <w:tcBorders/>
            <w:shd w:fill="auto" w:val="clear"/>
            <w:vAlign w:val="center"/>
          </w:tcPr>
          <w:p>
            <w:pPr>
              <w:pStyle w:val="TableContents"/>
              <w:spacing w:before="0" w:after="283"/>
              <w:jc w:val="right"/>
              <w:rPr/>
            </w:pPr>
            <w:r>
              <w:rPr/>
              <w:t>307,891</w:t>
            </w:r>
          </w:p>
        </w:tc>
        <w:tc>
          <w:tcPr>
            <w:tcW w:w="170" w:type="dxa"/>
            <w:tcBorders/>
            <w:shd w:fill="auto" w:val="clear"/>
            <w:vAlign w:val="center"/>
          </w:tcPr>
          <w:p>
            <w:pPr>
              <w:pStyle w:val="TableContents"/>
              <w:spacing w:before="0" w:after="283"/>
              <w:rPr/>
            </w:pPr>
            <w:r>
              <w:rPr/>
              <w:t> </w:t>
            </w:r>
          </w:p>
        </w:tc>
      </w:tr>
      <w:tr>
        <w:trPr/>
        <w:tc>
          <w:tcPr>
            <w:tcW w:w="7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35"/>
        <w:gridCol w:w="9895"/>
      </w:tblGrid>
      <w:tr>
        <w:trPr/>
        <w:tc>
          <w:tcPr>
            <w:tcW w:w="75"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jc w:val="left"/>
              <w:rPr/>
            </w:pPr>
            <w:r>
              <w:rPr/>
              <w:t>(1)</w:t>
            </w:r>
          </w:p>
        </w:tc>
        <w:tc>
          <w:tcPr>
            <w:tcW w:w="98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reflect the recapitalization of BCTG through the contribution of all historically outstanding common stock subject to redemption of BCTG to Tango and the issuance of 15,712,245 shares of Tango common stock to BCTG stockholders. The unaudited pro forma condensed combined balance sheet reflects the adjustment as a reclassification to additional paid in capital and the difference to common stock. </w:t>
            </w:r>
          </w:p>
        </w:tc>
      </w:tr>
    </w:tbl>
    <w:tbl>
      <w:tblPr>
        <w:tblW w:w="10205" w:type="dxa"/>
        <w:jc w:val="left"/>
        <w:tblInd w:w="0" w:type="dxa"/>
        <w:tblCellMar>
          <w:top w:w="0" w:type="dxa"/>
          <w:left w:w="0" w:type="dxa"/>
          <w:bottom w:w="0" w:type="dxa"/>
          <w:right w:w="0" w:type="dxa"/>
        </w:tblCellMar>
      </w:tblPr>
      <w:tblGrid>
        <w:gridCol w:w="75"/>
        <w:gridCol w:w="254"/>
        <w:gridCol w:w="9876"/>
      </w:tblGrid>
      <w:tr>
        <w:trPr/>
        <w:tc>
          <w:tcPr>
            <w:tcW w:w="7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(2)</w:t>
            </w:r>
          </w:p>
        </w:tc>
        <w:tc>
          <w:tcPr>
            <w:tcW w:w="987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payment of the redemption value for the 1,106,814 shares of restricted investments that were redeemed by preferred shareholders from the trust account prior to the consummation of the Business Combination. </w:t>
            </w:r>
          </w:p>
        </w:tc>
      </w:tr>
    </w:tbl>
    <w:tbl>
      <w:tblPr>
        <w:tblW w:w="10205" w:type="dxa"/>
        <w:jc w:val="left"/>
        <w:tblInd w:w="0" w:type="dxa"/>
        <w:tblCellMar>
          <w:top w:w="0" w:type="dxa"/>
          <w:left w:w="0" w:type="dxa"/>
          <w:bottom w:w="0" w:type="dxa"/>
          <w:right w:w="0" w:type="dxa"/>
        </w:tblCellMar>
      </w:tblPr>
      <w:tblGrid>
        <w:gridCol w:w="75"/>
        <w:gridCol w:w="232"/>
        <w:gridCol w:w="9898"/>
      </w:tblGrid>
      <w:tr>
        <w:trPr/>
        <w:tc>
          <w:tcPr>
            <w:tcW w:w="7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jc w:val="left"/>
              <w:rPr/>
            </w:pPr>
            <w:r>
              <w:rPr/>
              <w:t>(3)</w:t>
            </w:r>
          </w:p>
        </w:tc>
        <w:tc>
          <w:tcPr>
            <w:tcW w:w="989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reflect the $0.001 par value impact on additional paid in capital pursuant to the 55,000,0000 consideration shares issued for all outstanding Tango common and preferred stock and includes underlying unvested and/or unexercised stock options of 6,406,197 and excludes unissued options of 1,191,103. These amounts are based on Tango’s outstanding shares as of June 30, 2021 and the exchange ratio of 0.340 at the effective time of the Business Combination. </w:t>
            </w:r>
          </w:p>
        </w:tc>
      </w:tr>
    </w:tbl>
    <w:tbl>
      <w:tblPr>
        <w:tblW w:w="10205" w:type="dxa"/>
        <w:jc w:val="left"/>
        <w:tblInd w:w="0" w:type="dxa"/>
        <w:tblCellMar>
          <w:top w:w="0" w:type="dxa"/>
          <w:left w:w="0" w:type="dxa"/>
          <w:bottom w:w="0" w:type="dxa"/>
          <w:right w:w="0" w:type="dxa"/>
        </w:tblCellMar>
      </w:tblPr>
      <w:tblGrid>
        <w:gridCol w:w="75"/>
        <w:gridCol w:w="231"/>
        <w:gridCol w:w="9899"/>
      </w:tblGrid>
      <w:tr>
        <w:trPr/>
        <w:tc>
          <w:tcPr>
            <w:tcW w:w="75"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(4)</w:t>
            </w:r>
          </w:p>
        </w:tc>
        <w:tc>
          <w:tcPr>
            <w:tcW w:w="989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reflect the automatic conversion of all outstanding shares of Tango redeemable convertible preferred stock immediately prior to the effective time of the Business Combination. The adjustment reflects the derecognition of the carrying value of the Tango redeemable convertible preferred stock of $166.5 million. The unaudited pro forma condensed combined balance sheet reflects the adjustment as a reclassification to additional paid in capital and the difference to common stock. </w:t>
            </w:r>
          </w:p>
        </w:tc>
      </w:tr>
    </w:tbl>
    <w:tbl>
      <w:tblPr>
        <w:tblW w:w="5500" w:type="dxa"/>
        <w:jc w:val="left"/>
        <w:tblInd w:w="0" w:type="dxa"/>
        <w:tblCellMar>
          <w:top w:w="0" w:type="dxa"/>
          <w:left w:w="0" w:type="dxa"/>
          <w:bottom w:w="0" w:type="dxa"/>
          <w:right w:w="0" w:type="dxa"/>
        </w:tblCellMar>
      </w:tblPr>
      <w:tblGrid>
        <w:gridCol w:w="75"/>
        <w:gridCol w:w="290"/>
        <w:gridCol w:w="513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(5)</w:t>
            </w:r>
          </w:p>
        </w:tc>
        <w:tc>
          <w:tcPr>
            <w:tcW w:w="51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reflect the elimination of the accumulated deficit of BCTG. </w:t>
            </w:r>
          </w:p>
        </w:tc>
      </w:tr>
    </w:tbl>
    <w:tbl>
      <w:tblPr>
        <w:tblW w:w="10205" w:type="dxa"/>
        <w:jc w:val="left"/>
        <w:tblInd w:w="0" w:type="dxa"/>
        <w:tblCellMar>
          <w:top w:w="0" w:type="dxa"/>
          <w:left w:w="0" w:type="dxa"/>
          <w:bottom w:w="0" w:type="dxa"/>
          <w:right w:w="0" w:type="dxa"/>
        </w:tblCellMar>
      </w:tblPr>
      <w:tblGrid>
        <w:gridCol w:w="75"/>
        <w:gridCol w:w="244"/>
        <w:gridCol w:w="9886"/>
      </w:tblGrid>
      <w:tr>
        <w:trPr/>
        <w:tc>
          <w:tcPr>
            <w:tcW w:w="75"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jc w:val="left"/>
              <w:rPr/>
            </w:pPr>
            <w:r>
              <w:rPr/>
              <w:t>(6)</w:t>
            </w:r>
          </w:p>
        </w:tc>
        <w:tc>
          <w:tcPr>
            <w:tcW w:w="988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the settlement of $5.8 million of deferred underwriting commissions incurred during BCTG’s initial public offering that were contractually due upon completion of the Business Combination as Business Combination transaction costs are shown gross within note (7) below. </w:t>
            </w:r>
          </w:p>
        </w:tc>
      </w:tr>
    </w:tbl>
    <w:tbl>
      <w:tblPr>
        <w:tblW w:w="10205" w:type="dxa"/>
        <w:jc w:val="left"/>
        <w:tblInd w:w="0" w:type="dxa"/>
        <w:tblCellMar>
          <w:top w:w="0" w:type="dxa"/>
          <w:left w:w="0" w:type="dxa"/>
          <w:bottom w:w="0" w:type="dxa"/>
          <w:right w:w="0" w:type="dxa"/>
        </w:tblCellMar>
      </w:tblPr>
      <w:tblGrid>
        <w:gridCol w:w="75"/>
        <w:gridCol w:w="250"/>
        <w:gridCol w:w="9880"/>
      </w:tblGrid>
      <w:tr>
        <w:trPr/>
        <w:tc>
          <w:tcPr>
            <w:tcW w:w="75"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jc w:val="left"/>
              <w:rPr/>
            </w:pPr>
            <w:r>
              <w:rPr/>
              <w:t>(7)</w:t>
            </w:r>
          </w:p>
        </w:tc>
        <w:tc>
          <w:tcPr>
            <w:tcW w:w="98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payment of the estimated Business Combination transaction costs of $9.2 million. The unaudited pro forma condensed combined balance sheet reflects these costs as a reduction of cash, with a corresponding decrease in additional </w:t>
            </w:r>
          </w:p>
          <w:p>
            <w:pPr>
              <w:pStyle w:val="TableContents"/>
              <w:spacing w:before="0" w:after="0"/>
              <w:jc w:val="left"/>
              <w:rPr>
                <w:rFonts w:ascii="Times New Roman" w:hAnsi="Times New Roman"/>
                <w:spacing w:val="0"/>
                <w:sz w:val="20"/>
              </w:rPr>
            </w:pPr>
            <w:r>
              <w:rPr>
                <w:rFonts w:ascii="Times New Roman" w:hAnsi="Times New Roman"/>
                <w:spacing w:val="0"/>
                <w:sz w:val="20"/>
              </w:rPr>
              <w:t>paid-in</w:t>
            </w:r>
          </w:p>
          <w:p>
            <w:pPr>
              <w:pStyle w:val="TableContents"/>
              <w:spacing w:before="0" w:after="0"/>
              <w:jc w:val="left"/>
              <w:rPr>
                <w:rFonts w:ascii="Times New Roman" w:hAnsi="Times New Roman"/>
                <w:sz w:val="20"/>
              </w:rPr>
            </w:pPr>
            <w:r>
              <w:rPr>
                <w:rFonts w:ascii="Times New Roman" w:hAnsi="Times New Roman"/>
                <w:sz w:val="20"/>
              </w:rPr>
              <w:t xml:space="preserve">capital. As of June 30, 2021, $0.6 million in transaction costs had been incurred and remained unpaid.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4 — Transaction Accounting Adjustments to the Unaudited Pro Forma Condensed Combined Statement of Operations for the Six Months Ended June 30, 2021 </w:t>
      </w:r>
    </w:p>
    <w:p>
      <w:pPr>
        <w:pStyle w:val="TextBody"/>
        <w:spacing w:before="120" w:after="0"/>
        <w:jc w:val="left"/>
        <w:rPr>
          <w:rFonts w:ascii="Times New Roman" w:hAnsi="Times New Roman"/>
          <w:sz w:val="20"/>
        </w:rPr>
      </w:pPr>
      <w:r>
        <w:rPr>
          <w:rFonts w:ascii="Times New Roman" w:hAnsi="Times New Roman"/>
          <w:sz w:val="20"/>
        </w:rPr>
        <w:t>The transaction accounting adjustments included in the unaudited pro forma condensed combined statement of operations for the six months ended June 30, 2021 are as follows:</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 Forma transaction accounting adjustments </w:t>
      </w:r>
    </w:p>
    <w:p>
      <w:pPr>
        <w:pStyle w:val="TextBody"/>
        <w:spacing w:before="0" w:after="0"/>
        <w:jc w:val="left"/>
        <w:rPr>
          <w:spacing w:val="0"/>
        </w:rPr>
      </w:pPr>
      <w:r>
        <w:rPr>
          <w:spacing w:val="0"/>
        </w:rPr>
        <w:t> </w:t>
      </w:r>
    </w:p>
    <w:tbl>
      <w:tblPr>
        <w:tblW w:w="8755" w:type="dxa"/>
        <w:jc w:val="left"/>
        <w:tblInd w:w="0" w:type="dxa"/>
        <w:tblCellMar>
          <w:top w:w="0" w:type="dxa"/>
          <w:left w:w="0" w:type="dxa"/>
          <w:bottom w:w="0" w:type="dxa"/>
          <w:right w:w="0" w:type="dxa"/>
        </w:tblCellMar>
      </w:tblPr>
      <w:tblGrid>
        <w:gridCol w:w="75"/>
        <w:gridCol w:w="200"/>
        <w:gridCol w:w="848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a)</w:t>
            </w:r>
          </w:p>
        </w:tc>
        <w:tc>
          <w:tcPr>
            <w:tcW w:w="84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reclass historical BCTG franchise tax expense to general and administrative expenses of New Tango. </w:t>
            </w:r>
          </w:p>
        </w:tc>
      </w:tr>
    </w:tbl>
    <w:p>
      <w:pPr>
        <w:pStyle w:val="TextBody"/>
        <w:spacing w:before="0" w:after="0"/>
        <w:jc w:val="left"/>
        <w:rPr>
          <w:spacing w:val="0"/>
        </w:rPr>
      </w:pPr>
      <w:r>
        <w:rPr>
          <w:spacing w:val="0"/>
        </w:rPr>
        <w:t> </w:t>
      </w:r>
    </w:p>
    <w:tbl>
      <w:tblPr>
        <w:tblW w:w="9535" w:type="dxa"/>
        <w:jc w:val="left"/>
        <w:tblInd w:w="0" w:type="dxa"/>
        <w:tblCellMar>
          <w:top w:w="0" w:type="dxa"/>
          <w:left w:w="0" w:type="dxa"/>
          <w:bottom w:w="0" w:type="dxa"/>
          <w:right w:w="0" w:type="dxa"/>
        </w:tblCellMar>
      </w:tblPr>
      <w:tblGrid>
        <w:gridCol w:w="75"/>
        <w:gridCol w:w="215"/>
        <w:gridCol w:w="9245"/>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left"/>
              <w:rPr/>
            </w:pPr>
            <w:r>
              <w:rPr/>
              <w:t>b)</w:t>
            </w:r>
          </w:p>
        </w:tc>
        <w:tc>
          <w:tcPr>
            <w:tcW w:w="92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eliminate interest earned on the Trust Account which was released upon closing of the Business Combination.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95"/>
        <w:gridCol w:w="9935"/>
      </w:tblGrid>
      <w:tr>
        <w:trPr/>
        <w:tc>
          <w:tcPr>
            <w:tcW w:w="75"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jc w:val="left"/>
              <w:rPr/>
            </w:pPr>
            <w:r>
              <w:rPr/>
              <w:t>c)</w:t>
            </w:r>
          </w:p>
        </w:tc>
        <w:tc>
          <w:tcPr>
            <w:tcW w:w="99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Presentation of the pro forma basic and diluted net loss per share amounts. See Note 6 — Net Loss Per Share for additional details.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74"/>
        <w:gridCol w:w="9956"/>
      </w:tblGrid>
      <w:tr>
        <w:trPr/>
        <w:tc>
          <w:tcPr>
            <w:tcW w:w="75"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jc w:val="left"/>
              <w:rPr/>
            </w:pPr>
            <w:r>
              <w:rPr/>
              <w:t>d)</w:t>
            </w:r>
          </w:p>
        </w:tc>
        <w:tc>
          <w:tcPr>
            <w:tcW w:w="99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New Tango is expected to be a </w:t>
            </w:r>
          </w:p>
          <w:p>
            <w:pPr>
              <w:pStyle w:val="TableContents"/>
              <w:spacing w:before="0" w:after="0"/>
              <w:jc w:val="left"/>
              <w:rPr>
                <w:rFonts w:ascii="Times New Roman" w:hAnsi="Times New Roman"/>
                <w:spacing w:val="0"/>
                <w:sz w:val="20"/>
              </w:rPr>
            </w:pPr>
            <w:r>
              <w:rPr>
                <w:rFonts w:ascii="Times New Roman" w:hAnsi="Times New Roman"/>
                <w:spacing w:val="0"/>
                <w:sz w:val="20"/>
              </w:rPr>
              <w:t>tax-paying</w:t>
            </w:r>
          </w:p>
          <w:p>
            <w:pPr>
              <w:pStyle w:val="TableContents"/>
              <w:spacing w:before="0" w:after="0"/>
              <w:jc w:val="left"/>
              <w:rPr>
                <w:rFonts w:ascii="Times New Roman" w:hAnsi="Times New Roman"/>
                <w:sz w:val="20"/>
              </w:rPr>
            </w:pPr>
            <w:r>
              <w:rPr>
                <w:rFonts w:ascii="Times New Roman" w:hAnsi="Times New Roman"/>
                <w:sz w:val="20"/>
              </w:rPr>
              <w:t xml:space="preserve">entity in 2021 due to taxable deferred revenue from the Gilead collaboration that is partially offset by the utilization of federal and state net operating losses and federal and state tax credits. However, the Company has historically been loss-making.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5 — Transaction Accounting Adjustments to the Unaudited Pro Forma Condensed Combined Statement of Operations for the Year Ended December 31, 2020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transaction accounting adjustments included in the unaudited pro forma condensed combined statement of operations for the year ended December 31, 2020 are as follows: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 Forma transaction accounting adjustments </w:t>
      </w:r>
    </w:p>
    <w:p>
      <w:pPr>
        <w:pStyle w:val="TextBody"/>
        <w:spacing w:before="0" w:after="0"/>
        <w:jc w:val="left"/>
        <w:rPr>
          <w:spacing w:val="0"/>
        </w:rPr>
      </w:pPr>
      <w:r>
        <w:rPr>
          <w:spacing w:val="0"/>
        </w:rPr>
        <w:t> </w:t>
      </w:r>
    </w:p>
    <w:tbl>
      <w:tblPr>
        <w:tblW w:w="8755" w:type="dxa"/>
        <w:jc w:val="left"/>
        <w:tblInd w:w="0" w:type="dxa"/>
        <w:tblCellMar>
          <w:top w:w="0" w:type="dxa"/>
          <w:left w:w="0" w:type="dxa"/>
          <w:bottom w:w="0" w:type="dxa"/>
          <w:right w:w="0" w:type="dxa"/>
        </w:tblCellMar>
      </w:tblPr>
      <w:tblGrid>
        <w:gridCol w:w="75"/>
        <w:gridCol w:w="200"/>
        <w:gridCol w:w="848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a)</w:t>
            </w:r>
          </w:p>
        </w:tc>
        <w:tc>
          <w:tcPr>
            <w:tcW w:w="84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reclass historical BCTG franchise tax expense to general and administrative expenses of New Tango.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88"/>
        <w:gridCol w:w="9942"/>
      </w:tblGrid>
      <w:tr>
        <w:trPr/>
        <w:tc>
          <w:tcPr>
            <w:tcW w:w="75"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jc w:val="left"/>
              <w:rPr/>
            </w:pPr>
            <w:r>
              <w:rPr/>
              <w:t>b)</w:t>
            </w:r>
          </w:p>
        </w:tc>
        <w:tc>
          <w:tcPr>
            <w:tcW w:w="994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eliminate interest income, and the related income tax expense from interest income, earned on the Trust Account which were released upon closing of the Business Combination.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95"/>
        <w:gridCol w:w="9935"/>
      </w:tblGrid>
      <w:tr>
        <w:trPr/>
        <w:tc>
          <w:tcPr>
            <w:tcW w:w="75"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jc w:val="left"/>
              <w:rPr/>
            </w:pPr>
            <w:r>
              <w:rPr/>
              <w:t>c)</w:t>
            </w:r>
          </w:p>
        </w:tc>
        <w:tc>
          <w:tcPr>
            <w:tcW w:w="99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Presentation of the pro forma basic and diluted net loss per share amounts. See Note 6 — Net Loss Per Share for additional details.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6 — Net Loss Per Share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Net loss per share was calculated using the historical weighted average shares outstanding, and the issuance of additional shares in connection with the Business Combination and PIPE Financing,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Financing have been outstanding for the entire period presented.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unaudited pro forma condensed combined financial information has been prepared for the six months ended June 30, 2021: </w:t>
      </w:r>
    </w:p>
    <w:p>
      <w:pPr>
        <w:pStyle w:val="TextBody"/>
        <w:spacing w:before="0" w:after="0"/>
        <w:jc w:val="left"/>
        <w:rPr>
          <w:spacing w:val="0"/>
        </w:rPr>
      </w:pPr>
      <w:r>
        <w:rPr>
          <w:spacing w:val="0"/>
        </w:rPr>
        <w:t> </w:t>
      </w:r>
    </w:p>
    <w:tbl>
      <w:tblPr>
        <w:tblW w:w="7325" w:type="dxa"/>
        <w:jc w:val="left"/>
        <w:tblInd w:w="0" w:type="dxa"/>
        <w:tblCellMar>
          <w:top w:w="0" w:type="dxa"/>
          <w:left w:w="0" w:type="dxa"/>
          <w:bottom w:w="0" w:type="dxa"/>
          <w:right w:w="0" w:type="dxa"/>
        </w:tblCellMar>
      </w:tblPr>
      <w:tblGrid>
        <w:gridCol w:w="5795"/>
        <w:gridCol w:w="120"/>
        <w:gridCol w:w="140"/>
        <w:gridCol w:w="1100"/>
        <w:gridCol w:w="170"/>
      </w:tblGrid>
      <w:tr>
        <w:trPr/>
        <w:tc>
          <w:tcPr>
            <w:tcW w:w="5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55" w:type="dxa"/>
            <w:gridSpan w:val="4"/>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Six Months Ended June 30, 2021</w:t>
            </w:r>
          </w:p>
          <w:p>
            <w:pPr>
              <w:pStyle w:val="TableContents"/>
              <w:spacing w:before="0" w:after="2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except share and per share data)</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 forma 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(17,635</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 — basic and 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86,435,024</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(0.20</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Pro Forma weighted average shares calculation — basic and 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public stockholders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15,635,785</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BCTG Stockholder redemptions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(1,106,814</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Sponsor and Directors and advisors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4,702,250</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19,231,221</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Tango(1)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48,593,803</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PIPE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18,610,000</w:t>
            </w:r>
          </w:p>
        </w:tc>
        <w:tc>
          <w:tcPr>
            <w:tcW w:w="170" w:type="dxa"/>
            <w:tcBorders/>
            <w:shd w:fill="auto"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 Forma weighted average shares outstanding—basic and diluted(2)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86,435,024</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23"/>
        <w:gridCol w:w="9907"/>
      </w:tblGrid>
      <w:tr>
        <w:trPr/>
        <w:tc>
          <w:tcPr>
            <w:tcW w:w="75"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jc w:val="left"/>
              <w:rPr/>
            </w:pPr>
            <w:r>
              <w:rPr/>
              <w:t>(1)</w:t>
            </w:r>
          </w:p>
        </w:tc>
        <w:tc>
          <w:tcPr>
            <w:tcW w:w="990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Excludes 6,406,197 Tango consideration shares that will be issued upon the occurrence of future events (i.e., exercise of stock options). Includes 93,107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of the Business Combination has been adjusted to exclude the portion of consideration shares that will be unvested and/or unexercised at the closing of the Business Combination and are therefore not included in the calculation of weighted average shares outstanding as the impact is anti-dilutive. </w:t>
            </w:r>
          </w:p>
        </w:tc>
      </w:tr>
    </w:tbl>
    <w:tbl>
      <w:tblPr>
        <w:tblW w:w="10205" w:type="dxa"/>
        <w:jc w:val="left"/>
        <w:tblInd w:w="0" w:type="dxa"/>
        <w:tblCellMar>
          <w:top w:w="0" w:type="dxa"/>
          <w:left w:w="0" w:type="dxa"/>
          <w:bottom w:w="0" w:type="dxa"/>
          <w:right w:w="0" w:type="dxa"/>
        </w:tblCellMar>
      </w:tblPr>
      <w:tblGrid>
        <w:gridCol w:w="75"/>
        <w:gridCol w:w="234"/>
        <w:gridCol w:w="9896"/>
      </w:tblGrid>
      <w:tr>
        <w:trPr/>
        <w:tc>
          <w:tcPr>
            <w:tcW w:w="75"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jc w:val="left"/>
              <w:rPr/>
            </w:pPr>
            <w:r>
              <w:rPr/>
              <w:t>(2)</w:t>
            </w:r>
          </w:p>
        </w:tc>
        <w:tc>
          <w:tcPr>
            <w:tcW w:w="989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6,406,197 Tango consideration shares for unvested and/or unexercised stock options.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Net loss per share was calculated using the historical weighted average shares outstanding, and the issuance of additional shares in connection with the Business Combination and PIPE Financing,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Financing have been outstanding for the entire period presented.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unaudited pro forma condensed combined financial information has been prepared for the year ended December 31, 2020: </w:t>
      </w:r>
    </w:p>
    <w:p>
      <w:pPr>
        <w:pStyle w:val="TextBody"/>
        <w:spacing w:before="0" w:after="0"/>
        <w:jc w:val="left"/>
        <w:rPr>
          <w:spacing w:val="0"/>
        </w:rPr>
      </w:pPr>
      <w:r>
        <w:rPr>
          <w:spacing w:val="0"/>
        </w:rPr>
        <w:t> </w:t>
      </w:r>
    </w:p>
    <w:tbl>
      <w:tblPr>
        <w:tblW w:w="7325" w:type="dxa"/>
        <w:jc w:val="left"/>
        <w:tblInd w:w="0" w:type="dxa"/>
        <w:tblCellMar>
          <w:top w:w="0" w:type="dxa"/>
          <w:left w:w="0" w:type="dxa"/>
          <w:bottom w:w="0" w:type="dxa"/>
          <w:right w:w="0" w:type="dxa"/>
        </w:tblCellMar>
      </w:tblPr>
      <w:tblGrid>
        <w:gridCol w:w="5795"/>
        <w:gridCol w:w="120"/>
        <w:gridCol w:w="140"/>
        <w:gridCol w:w="1100"/>
        <w:gridCol w:w="170"/>
      </w:tblGrid>
      <w:tr>
        <w:trPr/>
        <w:tc>
          <w:tcPr>
            <w:tcW w:w="5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55" w:type="dxa"/>
            <w:gridSpan w:val="4"/>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Year Ended December 31, 2020</w:t>
            </w:r>
          </w:p>
          <w:p>
            <w:pPr>
              <w:pStyle w:val="TableContents"/>
              <w:spacing w:before="0" w:after="2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except share and per share data)</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 forma 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(52,153</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 — basic and 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86,435,024</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(0.60</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Pro Forma weighted average shares calculation — basic and 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public stockholders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15,635,785</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BCTG Stockholder redemptions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(1,106,814</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Sponsor and Directors and advisors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4,702,250</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19,231,221</w:t>
            </w:r>
          </w:p>
        </w:tc>
        <w:tc>
          <w:tcPr>
            <w:tcW w:w="170" w:type="dxa"/>
            <w:tcBorders/>
            <w:shd w:fill="auto" w:val="clear"/>
            <w:vAlign w:val="center"/>
          </w:tcPr>
          <w:p>
            <w:pPr>
              <w:pStyle w:val="TableContents"/>
              <w:spacing w:before="0" w:after="283"/>
              <w:rPr/>
            </w:pPr>
            <w:r>
              <w:rPr/>
              <w:t> </w:t>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Tango(1)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48,593,803</w:t>
            </w:r>
          </w:p>
        </w:tc>
        <w:tc>
          <w:tcPr>
            <w:tcW w:w="170" w:type="dxa"/>
            <w:tcBorders/>
            <w:shd w:fill="CCEEFF"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PIPE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18,610,000</w:t>
            </w:r>
          </w:p>
        </w:tc>
        <w:tc>
          <w:tcPr>
            <w:tcW w:w="170" w:type="dxa"/>
            <w:tcBorders/>
            <w:shd w:fill="auto"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95" w:type="dxa"/>
            <w:tcBorders/>
            <w:shd w:fill="auto" w:val="clear"/>
            <w:vAlign w:val="center"/>
          </w:tcPr>
          <w:p>
            <w:pPr>
              <w:pStyle w:val="TableContents"/>
              <w:spacing w:before="0" w:after="283"/>
              <w:rPr>
                <w:sz w:val="4"/>
                <w:szCs w:val="4"/>
              </w:rPr>
            </w:pPr>
            <w:r>
              <w:rPr>
                <w:sz w:val="4"/>
                <w:szCs w:val="4"/>
              </w:rPr>
            </w:r>
          </w:p>
        </w:tc>
        <w:tc>
          <w:tcPr>
            <w:tcW w:w="1530" w:type="dxa"/>
            <w:gridSpan w:val="4"/>
            <w:tcBorders/>
            <w:shd w:fill="auto" w:val="clear"/>
            <w:vAlign w:val="center"/>
          </w:tcPr>
          <w:p>
            <w:pPr>
              <w:pStyle w:val="TableContents"/>
              <w:spacing w:before="0" w:after="283"/>
              <w:rPr>
                <w:sz w:val="4"/>
                <w:szCs w:val="4"/>
              </w:rPr>
            </w:pPr>
            <w:r>
              <w:rPr>
                <w:sz w:val="4"/>
                <w:szCs w:val="4"/>
              </w:rPr>
            </w:r>
          </w:p>
        </w:tc>
      </w:tr>
      <w:tr>
        <w:trPr/>
        <w:tc>
          <w:tcPr>
            <w:tcW w:w="57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 Forma weighted average shares outstanding—basic and diluted(2)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86,435,024</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23"/>
        <w:gridCol w:w="9907"/>
      </w:tblGrid>
      <w:tr>
        <w:trPr/>
        <w:tc>
          <w:tcPr>
            <w:tcW w:w="75"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jc w:val="left"/>
              <w:rPr/>
            </w:pPr>
            <w:r>
              <w:rPr/>
              <w:t>(1)</w:t>
            </w:r>
          </w:p>
        </w:tc>
        <w:tc>
          <w:tcPr>
            <w:tcW w:w="990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Excludes 6,405,747 Tango consideration shares that will be issued upon the occurrence of future events (i.e., exercise of stock options). Includes 256,793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the closing of the Business Combination has been adjusted to exclude the portion of consideration shares that will be unvested and/or unexercised at the closing of the Business Combination and are therefore not included in the calculation of weighted average shares outstanding as the impact is anti-dilutive. </w:t>
            </w:r>
          </w:p>
        </w:tc>
      </w:tr>
    </w:tbl>
    <w:tbl>
      <w:tblPr>
        <w:tblW w:w="10205" w:type="dxa"/>
        <w:jc w:val="left"/>
        <w:tblInd w:w="0" w:type="dxa"/>
        <w:tblCellMar>
          <w:top w:w="0" w:type="dxa"/>
          <w:left w:w="0" w:type="dxa"/>
          <w:bottom w:w="0" w:type="dxa"/>
          <w:right w:w="0" w:type="dxa"/>
        </w:tblCellMar>
      </w:tblPr>
      <w:tblGrid>
        <w:gridCol w:w="75"/>
        <w:gridCol w:w="234"/>
        <w:gridCol w:w="9896"/>
      </w:tblGrid>
      <w:tr>
        <w:trPr/>
        <w:tc>
          <w:tcPr>
            <w:tcW w:w="75"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jc w:val="left"/>
              <w:rPr/>
            </w:pPr>
            <w:r>
              <w:rPr/>
              <w:t>(2)</w:t>
            </w:r>
          </w:p>
        </w:tc>
        <w:tc>
          <w:tcPr>
            <w:tcW w:w="989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6,405,747 Tango consideration shares for unvested and/or unexercised stock options.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82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BUSINESS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are a precision oncology company leveraging our </w:t>
      </w:r>
    </w:p>
    <w:p>
      <w:pPr>
        <w:pStyle w:val="TextBody"/>
        <w:spacing w:before="120" w:after="0"/>
        <w:jc w:val="left"/>
        <w:rPr>
          <w:rFonts w:ascii="Times New Roman" w:hAnsi="Times New Roman"/>
          <w:spacing w:val="0"/>
          <w:sz w:val="20"/>
        </w:rPr>
      </w:pPr>
      <w:r>
        <w:rPr>
          <w:rFonts w:ascii="Times New Roman" w:hAnsi="Times New Roman"/>
          <w:spacing w:val="0"/>
          <w:sz w:val="20"/>
        </w:rPr>
        <w:t>state-of-the-art target</w:t>
      </w:r>
    </w:p>
    <w:p>
      <w:pPr>
        <w:pStyle w:val="TextBody"/>
        <w:spacing w:before="120" w:after="0"/>
        <w:jc w:val="left"/>
        <w:rPr>
          <w:rFonts w:ascii="Times New Roman" w:hAnsi="Times New Roman"/>
          <w:sz w:val="20"/>
        </w:rPr>
      </w:pPr>
      <w:r>
        <w:rPr>
          <w:rFonts w:ascii="Times New Roman" w:hAnsi="Times New Roman"/>
          <w:sz w:val="20"/>
        </w:rPr>
        <w:t xml:space="preserve">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target discovery and drug development process, which is clinically oriented and guided by patient-focused cancer genetics to produce innovative therapies, can be summarized by the following fundamental elements: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 singular focus on precision oncology from target discovery through clinical development.</w:t>
            </w:r>
          </w:p>
          <w:p>
            <w:pPr>
              <w:pStyle w:val="TableContents"/>
              <w:spacing w:before="0" w:after="0"/>
              <w:jc w:val="left"/>
              <w:rPr>
                <w:rFonts w:ascii="Times New Roman" w:hAnsi="Times New Roman"/>
                <w:sz w:val="20"/>
              </w:rPr>
            </w:pPr>
            <w:r>
              <w:rPr>
                <w:rFonts w:ascii="Times New Roman" w:hAnsi="Times New Roman"/>
                <w:sz w:val="20"/>
              </w:rPr>
              <w:t>By identifying a target patient population, defining the tumor suppressor gene loss that characterizes those patients’ cancers and using</w:t>
            </w:r>
          </w:p>
          <w:p>
            <w:pPr>
              <w:pStyle w:val="TableContents"/>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ableContents"/>
              <w:spacing w:before="0" w:after="0"/>
              <w:jc w:val="left"/>
              <w:rPr/>
            </w:pPr>
            <w:r>
              <w:rPr/>
              <w:t> </w:t>
            </w:r>
            <w:r>
              <w:rPr>
                <w:rFonts w:ascii="Times New Roman" w:hAnsi="Times New Roman"/>
                <w:sz w:val="20"/>
              </w:rPr>
              <w:t>and</w:t>
            </w:r>
          </w:p>
          <w:p>
            <w:pPr>
              <w:pStyle w:val="TableContents"/>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ableContents"/>
              <w:spacing w:before="0" w:after="0"/>
              <w:jc w:val="left"/>
              <w:rPr/>
            </w:pPr>
            <w:r>
              <w:rPr/>
              <w:t> </w:t>
            </w:r>
            <w:r>
              <w:rPr>
                <w:rFonts w:ascii="Times New Roman" w:hAnsi="Times New Roman"/>
                <w:sz w:val="20"/>
              </w:rPr>
              <w:t xml:space="preserve">models that mimic the genetics of those cancer cells in our discovery platform, we concentrate discovery and clinical development paths on treatments for those patients most likely to derive meaningful clinical benefit from each new molecule.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Deep expertise linking cancer genetics to novel target discovery.</w:t>
            </w:r>
          </w:p>
          <w:p>
            <w:pPr>
              <w:pStyle w:val="TableContents"/>
              <w:spacing w:before="0" w:after="0"/>
              <w:jc w:val="left"/>
              <w:rPr>
                <w:rFonts w:ascii="Times New Roman" w:hAnsi="Times New Roman"/>
                <w:sz w:val="20"/>
              </w:rPr>
            </w:pPr>
            <w:r>
              <w:rPr>
                <w:rFonts w:ascii="Times New Roman" w:hAnsi="Times New Roman"/>
                <w:sz w:val="20"/>
              </w:rPr>
              <w:t xml:space="preserve">We have built a </w:t>
            </w:r>
          </w:p>
          <w:p>
            <w:pPr>
              <w:pStyle w:val="TableContents"/>
              <w:spacing w:before="0" w:after="0"/>
              <w:jc w:val="left"/>
              <w:rPr>
                <w:rFonts w:ascii="Times New Roman" w:hAnsi="Times New Roman"/>
                <w:spacing w:val="0"/>
                <w:sz w:val="20"/>
              </w:rPr>
            </w:pPr>
            <w:r>
              <w:rPr>
                <w:rFonts w:ascii="Times New Roman" w:hAnsi="Times New Roman"/>
                <w:spacing w:val="0"/>
                <w:sz w:val="20"/>
              </w:rPr>
              <w:t>state-of-the-art</w:t>
            </w:r>
          </w:p>
          <w:p>
            <w:pPr>
              <w:pStyle w:val="TableContents"/>
              <w:spacing w:before="0" w:after="0"/>
              <w:jc w:val="left"/>
              <w:rPr>
                <w:rFonts w:ascii="Times New Roman" w:hAnsi="Times New Roman"/>
                <w:sz w:val="20"/>
              </w:rPr>
            </w:pPr>
            <w:r>
              <w:rPr>
                <w:rFonts w:ascii="Times New Roman" w:hAnsi="Times New Roman"/>
                <w:sz w:val="20"/>
              </w:rPr>
              <w:t xml:space="preserve">discovery engine, based on multiple optimized CRISPR systems, advanced functional genomics and a proprietary cloud-based computational biology platform, which we refer to as TANDEM, for sophisticated analysis of our genetic and functional data, enabling integration of target biology with specific genetic alterations in cancer cells.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 versatile drug discovery approach.</w:t>
            </w:r>
          </w:p>
          <w:p>
            <w:pPr>
              <w:pStyle w:val="TableContents"/>
              <w:spacing w:before="0" w:after="0"/>
              <w:jc w:val="left"/>
              <w:rPr>
                <w:rFonts w:ascii="Times New Roman" w:hAnsi="Times New Roman"/>
                <w:sz w:val="20"/>
              </w:rPr>
            </w:pPr>
            <w:r>
              <w:rPr>
                <w:rFonts w:ascii="Times New Roman" w:hAnsi="Times New Roman"/>
                <w:sz w:val="20"/>
              </w:rPr>
              <w:t xml:space="preserve">We employ our </w:t>
            </w:r>
          </w:p>
          <w:p>
            <w:pPr>
              <w:pStyle w:val="TableContents"/>
              <w:spacing w:before="0" w:after="0"/>
              <w:jc w:val="left"/>
              <w:rPr>
                <w:rFonts w:ascii="Times New Roman" w:hAnsi="Times New Roman"/>
                <w:spacing w:val="0"/>
                <w:sz w:val="20"/>
              </w:rPr>
            </w:pPr>
            <w:r>
              <w:rPr>
                <w:rFonts w:ascii="Times New Roman" w:hAnsi="Times New Roman"/>
                <w:spacing w:val="0"/>
                <w:sz w:val="20"/>
              </w:rPr>
              <w:t>hit-finding and</w:t>
            </w:r>
          </w:p>
          <w:p>
            <w:pPr>
              <w:pStyle w:val="TableContents"/>
              <w:spacing w:before="0" w:after="0"/>
              <w:jc w:val="left"/>
              <w:rPr>
                <w:rFonts w:ascii="Times New Roman" w:hAnsi="Times New Roman"/>
                <w:sz w:val="20"/>
              </w:rPr>
            </w:pPr>
            <w:r>
              <w:rPr>
                <w:rFonts w:ascii="Times New Roman" w:hAnsi="Times New Roman"/>
                <w:sz w:val="20"/>
              </w:rPr>
              <w:t xml:space="preserve">medicinal chemistry expertise to identify tractable chemical matter and solve high resolution crystal structures for our novel targets as the basis for designing potent, selective molecules with the precise mechanism of action required by the target biology.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 unique ability to bring precision medicine to immuno-oncology.</w:t>
            </w:r>
          </w:p>
          <w:p>
            <w:pPr>
              <w:pStyle w:val="TableContents"/>
              <w:spacing w:before="0" w:after="0"/>
              <w:jc w:val="left"/>
              <w:rPr>
                <w:rFonts w:ascii="Times New Roman" w:hAnsi="Times New Roman"/>
                <w:sz w:val="20"/>
              </w:rPr>
            </w:pPr>
            <w:r>
              <w:rPr>
                <w:rFonts w:ascii="Times New Roman" w:hAnsi="Times New Roman"/>
                <w:sz w:val="20"/>
              </w:rPr>
              <w:t xml:space="preserve">Through our rigorous focus on cancer genetics, we have identified critical links between tumor suppressor gene loss and the ability of tumor cells to evade killing by the immune system causing immune evasion. That knowledge powers our approach to reverse the tumor-intrinsic immune evasion mechanisms driven by specific tumor suppressor gene loss in cancer cells. We plan to design clinical trials that combine the efficiency and success of genetic patient selection with a novel approach to reversing tumor-intrinsic immune evasion, which we believe could mitigate the known drawbacks of clinical trials lacking a patient selection strategy.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Our first product candidate, TNG908, is a potent, selective, synthetic lethal, small molecule inhibitor of protein arginine methyltransferase 5, or PRMT5, designed to work selectively in cancer cells with an -methylthioadenosine phosphorylase, or MTAP, deletion. MTAP-deletion occurs in approximately 10% to 15% of all human tumors,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many common cancers with high unmet need such as squamous cell lung, esophageal and bladder cancer, creating a significant therapeutic opportunity for patients. The challenge of </w:t>
      </w:r>
    </w:p>
    <w:p>
      <w:pPr>
        <w:pStyle w:val="TextBody"/>
        <w:spacing w:before="0" w:after="0"/>
        <w:jc w:val="left"/>
        <w:rPr>
          <w:rFonts w:ascii="Times New Roman" w:hAnsi="Times New Roman"/>
          <w:spacing w:val="0"/>
          <w:sz w:val="20"/>
        </w:rPr>
      </w:pPr>
      <w:r>
        <w:rPr>
          <w:rFonts w:ascii="Times New Roman" w:hAnsi="Times New Roman"/>
          <w:spacing w:val="0"/>
          <w:sz w:val="20"/>
        </w:rPr>
        <w:t>non-synthetic lethal</w:t>
      </w:r>
    </w:p>
    <w:p>
      <w:pPr>
        <w:pStyle w:val="TextBody"/>
        <w:spacing w:before="0" w:after="0"/>
        <w:jc w:val="left"/>
        <w:rPr>
          <w:rFonts w:ascii="Times New Roman" w:hAnsi="Times New Roman"/>
          <w:sz w:val="20"/>
        </w:rPr>
      </w:pPr>
      <w:r>
        <w:rPr>
          <w:rFonts w:ascii="Times New Roman" w:hAnsi="Times New Roman"/>
          <w:sz w:val="20"/>
        </w:rPr>
        <w:t xml:space="preserve">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degrades </w:t>
      </w:r>
    </w:p>
    <w:p>
      <w:pPr>
        <w:pStyle w:val="TextBody"/>
        <w:spacing w:before="0" w:after="0"/>
        <w:jc w:val="left"/>
        <w:rPr>
          <w:rFonts w:ascii="Times New Roman" w:hAnsi="Times New Roman"/>
          <w:spacing w:val="0"/>
          <w:sz w:val="20"/>
        </w:rPr>
      </w:pPr>
      <w:r>
        <w:rPr>
          <w:rFonts w:ascii="Times New Roman" w:hAnsi="Times New Roman"/>
          <w:spacing w:val="0"/>
          <w:sz w:val="20"/>
        </w:rPr>
        <w:t>5’-deoxy-5’-methylthioadenosine,</w:t>
      </w:r>
    </w:p>
    <w:p>
      <w:pPr>
        <w:pStyle w:val="TextBody"/>
        <w:spacing w:before="0" w:after="0"/>
        <w:jc w:val="left"/>
        <w:rPr>
          <w:rFonts w:ascii="Times New Roman" w:hAnsi="Times New Roman"/>
          <w:sz w:val="20"/>
        </w:rPr>
      </w:pPr>
      <w:r>
        <w:rPr>
          <w:rFonts w:ascii="Times New Roman" w:hAnsi="Times New Roman"/>
          <w:sz w:val="20"/>
        </w:rPr>
        <w:t xml:space="preserve">or MTA,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w:t>
      </w:r>
    </w:p>
    <w:p>
      <w:pPr>
        <w:pStyle w:val="TextBody"/>
        <w:spacing w:before="0" w:after="0"/>
        <w:jc w:val="left"/>
        <w:rPr>
          <w:rFonts w:ascii="Times New Roman" w:hAnsi="Times New Roman"/>
          <w:spacing w:val="0"/>
          <w:sz w:val="20"/>
        </w:rPr>
      </w:pPr>
      <w:r>
        <w:rPr>
          <w:rFonts w:ascii="Times New Roman" w:hAnsi="Times New Roman"/>
          <w:spacing w:val="0"/>
          <w:sz w:val="20"/>
        </w:rPr>
        <w:t>non-selective PRMT5</w:t>
      </w:r>
    </w:p>
    <w:p>
      <w:pPr>
        <w:pStyle w:val="TextBody"/>
        <w:spacing w:before="0" w:after="0"/>
        <w:jc w:val="left"/>
        <w:rPr>
          <w:rFonts w:ascii="Times New Roman" w:hAnsi="Times New Roman"/>
          <w:sz w:val="20"/>
        </w:rPr>
      </w:pPr>
      <w:r>
        <w:rPr>
          <w:rFonts w:ascii="Times New Roman" w:hAnsi="Times New Roman"/>
          <w:sz w:val="20"/>
        </w:rPr>
        <w:t xml:space="preserve">inhibitor kills cancer cells and normal cells at approximately the same exposure, markedly limiting potential efficacy. This difference in mechanism of inhibition occurs because TNG908 binds much more efficiently to the </w:t>
      </w:r>
    </w:p>
    <w:p>
      <w:pPr>
        <w:pStyle w:val="TextBody"/>
        <w:spacing w:before="0" w:after="0"/>
        <w:jc w:val="left"/>
        <w:rPr>
          <w:rFonts w:ascii="Times New Roman" w:hAnsi="Times New Roman"/>
          <w:spacing w:val="0"/>
          <w:sz w:val="20"/>
        </w:rPr>
      </w:pPr>
      <w:r>
        <w:rPr>
          <w:rFonts w:ascii="Times New Roman" w:hAnsi="Times New Roman"/>
          <w:spacing w:val="0"/>
          <w:sz w:val="20"/>
        </w:rPr>
        <w:t>PRMT5-MTA complex,</w:t>
      </w:r>
    </w:p>
    <w:p>
      <w:pPr>
        <w:pStyle w:val="TextBody"/>
        <w:spacing w:before="0" w:after="0"/>
        <w:jc w:val="left"/>
        <w:rPr>
          <w:rFonts w:ascii="Times New Roman" w:hAnsi="Times New Roman"/>
          <w:sz w:val="20"/>
        </w:rPr>
      </w:pPr>
      <w:r>
        <w:rPr>
          <w:rFonts w:ascii="Times New Roman" w:hAnsi="Times New Roman"/>
          <w:sz w:val="20"/>
        </w:rPr>
        <w:t xml:space="preserve">so the increased MTA levels in MTAP-deleted cancer cells make TNG908 more potent in MTAP-deleted cancer cells than in normal cells. In our preclinical studies, TNG908 has demonstrated </w:t>
      </w:r>
    </w:p>
    <w:p>
      <w:pPr>
        <w:pStyle w:val="TextBody"/>
        <w:spacing w:before="0" w:after="0"/>
        <w:jc w:val="left"/>
        <w:rPr>
          <w:rFonts w:ascii="Times New Roman" w:hAnsi="Times New Roman"/>
          <w:spacing w:val="0"/>
          <w:sz w:val="20"/>
        </w:rPr>
      </w:pPr>
      <w:r>
        <w:rPr>
          <w:rFonts w:ascii="Times New Roman" w:hAnsi="Times New Roman"/>
          <w:spacing w:val="0"/>
          <w:sz w:val="20"/>
        </w:rPr>
        <w:t>15-fold greater</w:t>
      </w:r>
    </w:p>
    <w:p>
      <w:pPr>
        <w:pStyle w:val="TextBody"/>
        <w:spacing w:before="0" w:after="0"/>
        <w:jc w:val="left"/>
        <w:rPr>
          <w:rFonts w:ascii="Times New Roman" w:hAnsi="Times New Roman"/>
          <w:sz w:val="20"/>
        </w:rPr>
      </w:pPr>
      <w:r>
        <w:rPr>
          <w:rFonts w:ascii="Times New Roman" w:hAnsi="Times New Roman"/>
          <w:sz w:val="20"/>
        </w:rPr>
        <w:t xml:space="preserve">potency in MTAP-deleted cancer cells versus normal cells. This unique selectivity of TNG908 for MTAP-deleted cancer cells allows for the near-complete and sustained inhibition of PRMT5 needed to induce tumor cell death while sparing normal cells, including bone marrow cells which is likely responsible for the dose-limiting toxicity of </w:t>
      </w:r>
    </w:p>
    <w:p>
      <w:pPr>
        <w:pStyle w:val="TextBody"/>
        <w:spacing w:before="0" w:after="0"/>
        <w:jc w:val="left"/>
        <w:rPr>
          <w:rFonts w:ascii="Times New Roman" w:hAnsi="Times New Roman"/>
          <w:spacing w:val="0"/>
          <w:sz w:val="20"/>
        </w:rPr>
      </w:pPr>
      <w:r>
        <w:rPr>
          <w:rFonts w:ascii="Times New Roman" w:hAnsi="Times New Roman"/>
          <w:spacing w:val="0"/>
          <w:sz w:val="20"/>
        </w:rPr>
        <w:t>non-synthetic lethal</w:t>
      </w:r>
    </w:p>
    <w:p>
      <w:pPr>
        <w:pStyle w:val="TextBody"/>
        <w:spacing w:before="0" w:after="0"/>
        <w:jc w:val="left"/>
        <w:rPr>
          <w:rFonts w:ascii="Times New Roman" w:hAnsi="Times New Roman"/>
          <w:sz w:val="20"/>
        </w:rPr>
      </w:pPr>
      <w:r>
        <w:rPr>
          <w:rFonts w:ascii="Times New Roman" w:hAnsi="Times New Roman"/>
          <w:sz w:val="20"/>
        </w:rPr>
        <w:t>PRMT5 inhibitors currently in clinical development. In our preclinical studies, TNG908 demonstrated selectivity for MTAP-deleted tumors, anti-tumor effects</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0" w:after="0"/>
        <w:jc w:val="left"/>
        <w:rPr/>
      </w:pPr>
      <w:r>
        <w:rPr/>
        <w:t> </w:t>
      </w:r>
      <w:r>
        <w:rPr>
          <w:rFonts w:ascii="Times New Roman" w:hAnsi="Times New Roman"/>
          <w:sz w:val="20"/>
        </w:rPr>
        <w:t>and</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0" w:after="0"/>
        <w:jc w:val="left"/>
        <w:rPr>
          <w:rFonts w:ascii="Times New Roman" w:hAnsi="Times New Roman"/>
          <w:sz w:val="20"/>
        </w:rPr>
      </w:pPr>
      <w:r>
        <w:rPr>
          <w:rFonts w:ascii="Times New Roman" w:hAnsi="Times New Roman"/>
          <w:sz w:val="20"/>
        </w:rPr>
        <w:t xml:space="preserve">, and pharmacokinetics that, if approved, support its potential to be a highly differentiated synthetic lethal PRMT5 inhibitor. We plan to file an IND application for TNG908 in the fourth quarter of 2021 and initiate a Phase 1/2 clinical trial in the first half of 2022. </w:t>
      </w:r>
    </w:p>
    <w:p>
      <w:pPr>
        <w:pStyle w:val="TextBody"/>
        <w:spacing w:before="240" w:after="0"/>
        <w:jc w:val="left"/>
        <w:rPr>
          <w:rFonts w:ascii="Times New Roman" w:hAnsi="Times New Roman"/>
          <w:sz w:val="20"/>
        </w:rPr>
      </w:pPr>
      <w:r>
        <w:rPr>
          <w:rFonts w:ascii="Times New Roman" w:hAnsi="Times New Roman"/>
          <w:sz w:val="20"/>
        </w:rPr>
        <w:t xml:space="preserve">Our second product candidate has the potential to be a highly differentiated small molecule inhibitor of ubiquitin-specific protease 1, or USP1, a synthetic lethal target for BRCA1-mutant breast, ovarian and prostate cancer. USP1 has the potential to treat a patient population that is comparable in size to approximately half of the patient population for poly </w:t>
      </w:r>
    </w:p>
    <w:p>
      <w:pPr>
        <w:pStyle w:val="TextBody"/>
        <w:spacing w:before="240" w:after="0"/>
        <w:jc w:val="left"/>
        <w:rPr>
          <w:rFonts w:ascii="Times New Roman" w:hAnsi="Times New Roman"/>
          <w:spacing w:val="0"/>
          <w:sz w:val="20"/>
        </w:rPr>
      </w:pPr>
      <w:r>
        <w:rPr>
          <w:rFonts w:ascii="Times New Roman" w:hAnsi="Times New Roman"/>
          <w:spacing w:val="0"/>
          <w:sz w:val="20"/>
        </w:rPr>
        <w:t>(ADP-ribose)</w:t>
      </w:r>
    </w:p>
    <w:p>
      <w:pPr>
        <w:pStyle w:val="TextBody"/>
        <w:spacing w:before="240" w:after="0"/>
        <w:jc w:val="left"/>
        <w:rPr>
          <w:rFonts w:ascii="Times New Roman" w:hAnsi="Times New Roman"/>
          <w:sz w:val="20"/>
        </w:rPr>
      </w:pPr>
      <w:r>
        <w:rPr>
          <w:rFonts w:ascii="Times New Roman" w:hAnsi="Times New Roman"/>
          <w:sz w:val="20"/>
        </w:rPr>
        <w:t>polymerase, or PARP, inhibitors that are effective against cancers with BRCA1 and BRCA2 mutations. BRCA1 mutations are present in approximately 15% of ovarian cancer, 5% of breast cancer, and 1% of prostate cancer.</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240" w:after="0"/>
        <w:jc w:val="left"/>
        <w:rPr/>
      </w:pPr>
      <w:r>
        <w:rPr/>
        <w:t> </w:t>
      </w:r>
      <w:r>
        <w:rPr>
          <w:rFonts w:ascii="Times New Roman" w:hAnsi="Times New Roman"/>
          <w:sz w:val="20"/>
        </w:rPr>
        <w:t>and</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pPr>
      <w:r>
        <w:rPr/>
        <w:t> </w:t>
      </w:r>
      <w:r>
        <w:rPr>
          <w:rFonts w:ascii="Times New Roman" w:hAnsi="Times New Roman"/>
          <w:sz w:val="20"/>
        </w:rPr>
        <w:t xml:space="preserve">preclinical data demonstrate potent anti-tumor activity with a lead series compound used as a single agent. Preclinical data further 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We anticipate advancing a clinical candidate and filing an IND for this program in 2022. </w:t>
      </w:r>
    </w:p>
    <w:p>
      <w:pPr>
        <w:pStyle w:val="TextBody"/>
        <w:spacing w:before="240" w:after="0"/>
        <w:jc w:val="left"/>
        <w:rPr>
          <w:rFonts w:ascii="Times New Roman" w:hAnsi="Times New Roman"/>
          <w:sz w:val="20"/>
        </w:rPr>
      </w:pPr>
      <w:r>
        <w:rPr>
          <w:rFonts w:ascii="Times New Roman" w:hAnsi="Times New Roman"/>
          <w:sz w:val="20"/>
        </w:rPr>
        <w:t xml:space="preserve">Our third program, an undisclosed target (Target 3), exploits our platform developed to find synthetic lethal targets that reverse the immune evasion effects of tumor suppressor gene loss, in this case serine-threonine kinase 11, or STK11, </w:t>
      </w:r>
    </w:p>
    <w:p>
      <w:pPr>
        <w:pStyle w:val="TextBody"/>
        <w:spacing w:before="240" w:after="0"/>
        <w:jc w:val="left"/>
        <w:rPr>
          <w:rFonts w:ascii="Times New Roman" w:hAnsi="Times New Roman"/>
          <w:spacing w:val="0"/>
          <w:sz w:val="20"/>
        </w:rPr>
      </w:pPr>
      <w:r>
        <w:rPr>
          <w:rFonts w:ascii="Times New Roman" w:hAnsi="Times New Roman"/>
          <w:spacing w:val="0"/>
          <w:sz w:val="20"/>
        </w:rPr>
        <w:t>loss-of-function mutations.</w:t>
      </w:r>
    </w:p>
    <w:p>
      <w:pPr>
        <w:pStyle w:val="TextBody"/>
        <w:spacing w:before="240" w:after="0"/>
        <w:jc w:val="left"/>
        <w:rPr>
          <w:rFonts w:ascii="Times New Roman" w:hAnsi="Times New Roman"/>
          <w:sz w:val="20"/>
        </w:rPr>
      </w:pPr>
      <w:r>
        <w:rPr>
          <w:rFonts w:ascii="Times New Roman" w:hAnsi="Times New Roman"/>
          <w:sz w:val="20"/>
        </w:rPr>
        <w:t xml:space="preserve">STK11 </w:t>
      </w:r>
    </w:p>
    <w:p>
      <w:pPr>
        <w:pStyle w:val="TextBody"/>
        <w:spacing w:before="240" w:after="0"/>
        <w:jc w:val="left"/>
        <w:rPr>
          <w:rFonts w:ascii="Times New Roman" w:hAnsi="Times New Roman"/>
          <w:spacing w:val="0"/>
          <w:sz w:val="20"/>
        </w:rPr>
      </w:pPr>
      <w:r>
        <w:rPr>
          <w:rFonts w:ascii="Times New Roman" w:hAnsi="Times New Roman"/>
          <w:spacing w:val="0"/>
          <w:sz w:val="20"/>
        </w:rPr>
        <w:t>loss-of-function mutations</w:t>
      </w:r>
    </w:p>
    <w:p>
      <w:pPr>
        <w:pStyle w:val="TextBody"/>
        <w:spacing w:before="240" w:after="0"/>
        <w:jc w:val="left"/>
        <w:rPr>
          <w:rFonts w:ascii="Times New Roman" w:hAnsi="Times New Roman"/>
          <w:sz w:val="20"/>
        </w:rPr>
      </w:pPr>
      <w:r>
        <w:rPr>
          <w:rFonts w:ascii="Times New Roman" w:hAnsi="Times New Roman"/>
          <w:sz w:val="20"/>
        </w:rPr>
        <w:t xml:space="preserve">are present in approximately 20% of </w:t>
      </w:r>
    </w:p>
    <w:p>
      <w:pPr>
        <w:pStyle w:val="TextBody"/>
        <w:spacing w:before="240" w:after="0"/>
        <w:jc w:val="left"/>
        <w:rPr>
          <w:rFonts w:ascii="Times New Roman" w:hAnsi="Times New Roman"/>
          <w:spacing w:val="0"/>
          <w:sz w:val="20"/>
        </w:rPr>
      </w:pPr>
      <w:r>
        <w:rPr>
          <w:rFonts w:ascii="Times New Roman" w:hAnsi="Times New Roman"/>
          <w:spacing w:val="0"/>
          <w:sz w:val="20"/>
        </w:rPr>
        <w:t>non-small cell</w:t>
      </w:r>
    </w:p>
    <w:p>
      <w:pPr>
        <w:pStyle w:val="TextBody"/>
        <w:spacing w:before="240" w:after="0"/>
        <w:jc w:val="left"/>
        <w:rPr>
          <w:rFonts w:ascii="Times New Roman" w:hAnsi="Times New Roman"/>
          <w:sz w:val="20"/>
        </w:rPr>
      </w:pPr>
      <w:r>
        <w:rPr>
          <w:rFonts w:ascii="Times New Roman" w:hAnsi="Times New Roman"/>
          <w:sz w:val="20"/>
        </w:rPr>
        <w:t xml:space="preserve">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w:t>
      </w:r>
    </w:p>
    <w:p>
      <w:pPr>
        <w:pStyle w:val="TextBody"/>
        <w:spacing w:before="240" w:after="0"/>
        <w:jc w:val="left"/>
        <w:rPr>
          <w:rFonts w:ascii="Times New Roman" w:hAnsi="Times New Roman"/>
          <w:spacing w:val="0"/>
          <w:sz w:val="20"/>
        </w:rPr>
      </w:pPr>
      <w:r>
        <w:rPr>
          <w:rFonts w:ascii="Times New Roman" w:hAnsi="Times New Roman"/>
          <w:spacing w:val="0"/>
          <w:sz w:val="20"/>
        </w:rPr>
        <w:t>into IND-enabling studies</w:t>
      </w:r>
    </w:p>
    <w:p>
      <w:pPr>
        <w:pStyle w:val="TextBody"/>
        <w:spacing w:before="240" w:after="0"/>
        <w:jc w:val="left"/>
        <w:rPr>
          <w:rFonts w:ascii="Times New Roman" w:hAnsi="Times New Roman"/>
          <w:sz w:val="20"/>
        </w:rPr>
      </w:pPr>
      <w:r>
        <w:rPr>
          <w:rFonts w:ascii="Times New Roman" w:hAnsi="Times New Roman"/>
          <w:sz w:val="20"/>
        </w:rPr>
        <w:t xml:space="preserve">in the second half of 2022 and filing an IND in 2023.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platform. To date, Gilead has licensed two of our programs and has research-extended one program. Our 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Collaboration and License Agreements — Collaboration and License Agreement with Gilead Sciences</w:t>
      </w:r>
    </w:p>
    <w:p>
      <w:pPr>
        <w:pStyle w:val="TextBody"/>
        <w:spacing w:before="0" w:after="0"/>
        <w:jc w:val="left"/>
        <w:rPr/>
      </w:pPr>
      <w:r>
        <w:rPr/>
        <w:t xml:space="preserve">” </w:t>
      </w:r>
      <w:r>
        <w:rPr>
          <w:rFonts w:ascii="Times New Roman" w:hAnsi="Times New Roman"/>
          <w:sz w:val="20"/>
        </w:rPr>
        <w:t xml:space="preserve">for additional information.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Pipeline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color w:val="FF0000"/>
          <w:spacing w:val="0"/>
        </w:rPr>
      </w:pPr>
      <w:r>
        <w:rPr>
          <w:color w:val="FF0000"/>
          <w:spacing w:val="0"/>
        </w:rPr>
        <w:drawing>
          <wp:inline distT="0" distB="0" distL="0" distR="0">
            <wp:extent cx="5762625" cy="1314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62625" cy="1314450"/>
                    </a:xfrm>
                    <a:prstGeom prst="rect">
                      <a:avLst/>
                    </a:prstGeom>
                  </pic:spPr>
                </pic:pic>
              </a:graphicData>
            </a:graphic>
          </wp:inline>
        </w:drawing>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Strategy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pioneering novel approaches to the discovery and development of innovative precision oncology therapies. We leverage the following core strategic components, enabling bold thinking in pursuit of transformative therapies for patients with cancer: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Advance TNG908, the first PRMT5 inhibitor scheduled to enter the clinic that is synthetic lethal with MTAP deletion, into the clinic in multiple indications with high unmet need.</w:t>
            </w:r>
          </w:p>
          <w:p>
            <w:pPr>
              <w:pStyle w:val="TableContents"/>
              <w:spacing w:before="0" w:after="0"/>
              <w:jc w:val="left"/>
              <w:rPr>
                <w:rFonts w:ascii="Times New Roman" w:hAnsi="Times New Roman"/>
                <w:sz w:val="20"/>
              </w:rPr>
            </w:pPr>
            <w:r>
              <w:rPr>
                <w:rFonts w:ascii="Times New Roman" w:hAnsi="Times New Roman"/>
                <w:sz w:val="20"/>
              </w:rPr>
              <w:t xml:space="preserve">TNG908, our PRMT5 inhibitor, is currently in </w:t>
            </w:r>
          </w:p>
          <w:p>
            <w:pPr>
              <w:pStyle w:val="TableContents"/>
              <w:spacing w:before="0" w:after="0"/>
              <w:jc w:val="left"/>
              <w:rPr>
                <w:rFonts w:ascii="Times New Roman" w:hAnsi="Times New Roman"/>
                <w:spacing w:val="0"/>
                <w:sz w:val="20"/>
              </w:rPr>
            </w:pPr>
            <w:r>
              <w:rPr>
                <w:rFonts w:ascii="Times New Roman" w:hAnsi="Times New Roman"/>
                <w:spacing w:val="0"/>
                <w:sz w:val="20"/>
              </w:rPr>
              <w:t>IND-enabling studies.</w:t>
            </w:r>
          </w:p>
          <w:p>
            <w:pPr>
              <w:pStyle w:val="TableContents"/>
              <w:spacing w:before="0" w:after="0"/>
              <w:jc w:val="left"/>
              <w:rPr>
                <w:rFonts w:ascii="Times New Roman" w:hAnsi="Times New Roman"/>
                <w:sz w:val="20"/>
              </w:rPr>
            </w:pPr>
            <w:r>
              <w:rPr>
                <w:rFonts w:ascii="Times New Roman" w:hAnsi="Times New Roman"/>
                <w:sz w:val="20"/>
              </w:rPr>
              <w:t xml:space="preserve">We plan to file an IND in the fourth quarter of 2021 and initiate a Phase 1/2 clinical trial in the first half of 2022.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Advance our USP1 inhibitor program into clinical development in multiple BRCA1-mutant</w:t>
            </w:r>
          </w:p>
          <w:p>
            <w:pPr>
              <w:pStyle w:val="TableContents"/>
              <w:spacing w:before="0" w:after="0"/>
              <w:jc w:val="left"/>
              <w:rPr>
                <w:spacing w:val="0"/>
              </w:rPr>
            </w:pPr>
            <w:r>
              <w:rPr>
                <w:spacing w:val="0"/>
              </w:rPr>
              <w:t> </w:t>
            </w:r>
            <w:r>
              <w:rPr>
                <w:rFonts w:ascii="Times New Roman" w:hAnsi="Times New Roman"/>
                <w:b/>
                <w:spacing w:val="0"/>
                <w:sz w:val="20"/>
              </w:rPr>
              <w:t>cancer types.</w:t>
            </w:r>
          </w:p>
          <w:p>
            <w:pPr>
              <w:pStyle w:val="TableContents"/>
              <w:spacing w:before="0" w:after="0"/>
              <w:jc w:val="left"/>
              <w:rPr>
                <w:rFonts w:ascii="Times New Roman" w:hAnsi="Times New Roman"/>
                <w:sz w:val="20"/>
              </w:rPr>
            </w:pPr>
            <w:r>
              <w:rPr>
                <w:rFonts w:ascii="Times New Roman" w:hAnsi="Times New Roman"/>
                <w:sz w:val="20"/>
              </w:rPr>
              <w:t xml:space="preserve">We discovered USP1 as a strong synthetic lethal target for BRCA1 loss of function. We are developing a potent, potentially differentiated molecule for the treatment of BRCA1-mutant breast, ovarian and prostate cancer. We plan to file an IND in 2022 and expect this molecule to have both single agent activity in PARPi-naïve and PARPi-resistant BRCA1 mutant cancers and to synergize with PARP inhibitors. As with PARP inhibitors, it may be possible to define additional sensitive patient populations based on the mechanism of action of USP1 inhibition.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Bring the first immunotherapy program within genetically-defined</w:t>
            </w:r>
          </w:p>
          <w:p>
            <w:pPr>
              <w:pStyle w:val="TableContents"/>
              <w:spacing w:before="0" w:after="0"/>
              <w:jc w:val="left"/>
              <w:rPr>
                <w:spacing w:val="0"/>
              </w:rPr>
            </w:pPr>
            <w:r>
              <w:rPr>
                <w:spacing w:val="0"/>
              </w:rPr>
              <w:t> </w:t>
            </w:r>
            <w:r>
              <w:rPr>
                <w:rFonts w:ascii="Times New Roman" w:hAnsi="Times New Roman"/>
                <w:b/>
                <w:spacing w:val="0"/>
                <w:sz w:val="20"/>
              </w:rPr>
              <w:t>patients into the clinic in STK11-mutant</w:t>
            </w:r>
          </w:p>
          <w:p>
            <w:pPr>
              <w:pStyle w:val="TableContents"/>
              <w:spacing w:before="0" w:after="0"/>
              <w:jc w:val="left"/>
              <w:rPr>
                <w:spacing w:val="0"/>
              </w:rPr>
            </w:pPr>
            <w:r>
              <w:rPr>
                <w:spacing w:val="0"/>
              </w:rPr>
              <w:t> </w:t>
            </w:r>
            <w:r>
              <w:rPr>
                <w:rFonts w:ascii="Times New Roman" w:hAnsi="Times New Roman"/>
                <w:b/>
                <w:spacing w:val="0"/>
                <w:sz w:val="20"/>
              </w:rPr>
              <w:t>lung cancer.</w:t>
            </w:r>
          </w:p>
          <w:p>
            <w:pPr>
              <w:pStyle w:val="TableContents"/>
              <w:spacing w:before="0" w:after="0"/>
              <w:jc w:val="left"/>
              <w:rPr>
                <w:rFonts w:ascii="Times New Roman" w:hAnsi="Times New Roman"/>
                <w:sz w:val="20"/>
              </w:rPr>
            </w:pPr>
            <w:r>
              <w:rPr>
                <w:rFonts w:ascii="Times New Roman" w:hAnsi="Times New Roman"/>
                <w:sz w:val="20"/>
              </w:rPr>
              <w:t xml:space="preserve">Using our innovative discovery platform, we identified and validated STK11 as a tumor suppressor gene that, when inactivated causes immune evasion, manifested clinically as checkpoint inhibitor resistance. We are pioneering the development of treatments that reverse STK11-loss mediated immune evasion. We anticipate advancing a clinical candidate for our first immune evasion target </w:t>
            </w:r>
          </w:p>
          <w:p>
            <w:pPr>
              <w:pStyle w:val="TableContents"/>
              <w:spacing w:before="0" w:after="0"/>
              <w:jc w:val="left"/>
              <w:rPr>
                <w:rFonts w:ascii="Times New Roman" w:hAnsi="Times New Roman"/>
                <w:spacing w:val="0"/>
                <w:sz w:val="20"/>
              </w:rPr>
            </w:pPr>
            <w:r>
              <w:rPr>
                <w:rFonts w:ascii="Times New Roman" w:hAnsi="Times New Roman"/>
                <w:spacing w:val="0"/>
                <w:sz w:val="20"/>
              </w:rPr>
              <w:t>into IND-enabling studies</w:t>
            </w:r>
          </w:p>
          <w:p>
            <w:pPr>
              <w:pStyle w:val="TableContents"/>
              <w:spacing w:before="0" w:after="0"/>
              <w:jc w:val="left"/>
              <w:rPr>
                <w:rFonts w:ascii="Times New Roman" w:hAnsi="Times New Roman"/>
                <w:sz w:val="20"/>
              </w:rPr>
            </w:pPr>
            <w:r>
              <w:rPr>
                <w:rFonts w:ascii="Times New Roman" w:hAnsi="Times New Roman"/>
                <w:sz w:val="20"/>
              </w:rPr>
              <w:t xml:space="preserve">in the second half of 2022 and filing an IND in 2023.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Discover and drug the next generation of precision oncology targets</w:t>
            </w:r>
          </w:p>
          <w:p>
            <w:pPr>
              <w:pStyle w:val="TableContents"/>
              <w:spacing w:before="0" w:after="0"/>
              <w:jc w:val="left"/>
              <w:rPr>
                <w:rFonts w:ascii="Times New Roman" w:hAnsi="Times New Roman"/>
                <w:sz w:val="20"/>
              </w:rPr>
            </w:pPr>
            <w:r>
              <w:rPr>
                <w:rFonts w:ascii="Times New Roman" w:hAnsi="Times New Roman"/>
                <w:sz w:val="20"/>
              </w:rPr>
              <w:t xml:space="preserve">. We are growing our drug discovery pipeline with potentially innovative and differentiated discovery programs for multiple common genetically defined cancers. Based on evidence from multiple datasets that hundreds of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85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synthetic lethal pairs remain to be discovered, we believe that our target discovery engine will continue to fuel our drug discovery pipeline for the foreseeable future. Based on the productivity of our discovery platform, we plan to file one new IND every 12 to 18 months and have multiple targets in discovery stage.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Opportunistically</w:t>
            </w:r>
          </w:p>
          <w:p>
            <w:pPr>
              <w:pStyle w:val="TableContents"/>
              <w:spacing w:before="0" w:after="0"/>
              <w:jc w:val="left"/>
              <w:rPr>
                <w:spacing w:val="0"/>
              </w:rPr>
            </w:pPr>
            <w:r>
              <w:rPr>
                <w:spacing w:val="0"/>
              </w:rPr>
              <w:t> </w:t>
            </w:r>
            <w:r>
              <w:rPr>
                <w:rFonts w:ascii="Times New Roman" w:hAnsi="Times New Roman"/>
                <w:b/>
                <w:spacing w:val="0"/>
                <w:sz w:val="20"/>
              </w:rPr>
              <w:t>evaluate and maximize the value of our strategic collaboration to bring more medicines to patients, accelerate development timelines and explore combination therapy</w:t>
            </w:r>
          </w:p>
          <w:p>
            <w:pPr>
              <w:pStyle w:val="TableContents"/>
              <w:spacing w:before="0" w:after="0"/>
              <w:jc w:val="left"/>
              <w:rPr>
                <w:rFonts w:ascii="Times New Roman" w:hAnsi="Times New Roman"/>
                <w:b/>
                <w:spacing w:val="0"/>
                <w:sz w:val="20"/>
              </w:rPr>
            </w:pPr>
            <w:r>
              <w:rPr>
                <w:rFonts w:ascii="Times New Roman" w:hAnsi="Times New Roman"/>
                <w:b/>
                <w:spacing w:val="0"/>
                <w:sz w:val="20"/>
              </w:rPr>
              <w:t>approaches for our product candidates.</w:t>
            </w:r>
          </w:p>
          <w:p>
            <w:pPr>
              <w:pStyle w:val="TableContents"/>
              <w:spacing w:before="0" w:after="0"/>
              <w:jc w:val="left"/>
              <w:rPr>
                <w:rFonts w:ascii="Times New Roman" w:hAnsi="Times New Roman"/>
                <w:sz w:val="20"/>
              </w:rPr>
            </w:pPr>
            <w:r>
              <w:rPr>
                <w:rFonts w:ascii="Times New Roman" w:hAnsi="Times New Roman"/>
                <w:sz w:val="20"/>
              </w:rPr>
              <w:t xml:space="preserve">Through our collaboration with Gilead, we can validate and develop multiple immune evasion targets, producing more potential drug targets than we can independently develop by accessing the expanded capabilities and global development reach of a large company. We will consider additional collaborations that could maximize the value of our pipeline through the evaluation of our product candidates in combination with compounds owned by third parties and/or through collaborations that allow us to leverage the existing infrastructure of other companies.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Corporate History and Team </w:t>
      </w:r>
    </w:p>
    <w:p>
      <w:pPr>
        <w:pStyle w:val="TextBody"/>
        <w:spacing w:before="120" w:after="0"/>
        <w:jc w:val="left"/>
        <w:rPr>
          <w:rFonts w:ascii="Times New Roman" w:hAnsi="Times New Roman"/>
          <w:sz w:val="20"/>
        </w:rPr>
      </w:pPr>
      <w:r>
        <w:rPr>
          <w:rFonts w:ascii="Times New Roman" w:hAnsi="Times New Roman"/>
          <w:sz w:val="20"/>
        </w:rPr>
        <w:t xml:space="preserve">We have assembled an experienced team of experts in genetics, drug discovery and precision oncology to leverage synthetic lethality as a key principle of our strategy. Our Chief Executive Officer and </w:t>
      </w:r>
    </w:p>
    <w:p>
      <w:pPr>
        <w:pStyle w:val="TextBody"/>
        <w:spacing w:before="120" w:after="0"/>
        <w:jc w:val="left"/>
        <w:rPr>
          <w:rFonts w:ascii="Times New Roman" w:hAnsi="Times New Roman"/>
          <w:spacing w:val="0"/>
          <w:sz w:val="20"/>
        </w:rPr>
      </w:pPr>
      <w:r>
        <w:rPr>
          <w:rFonts w:ascii="Times New Roman" w:hAnsi="Times New Roman"/>
          <w:spacing w:val="0"/>
          <w:sz w:val="20"/>
        </w:rPr>
        <w:t>co-founder,</w:t>
      </w:r>
    </w:p>
    <w:p>
      <w:pPr>
        <w:pStyle w:val="TextBody"/>
        <w:spacing w:before="120" w:after="0"/>
        <w:jc w:val="left"/>
        <w:rPr>
          <w:rFonts w:ascii="Times New Roman" w:hAnsi="Times New Roman"/>
          <w:sz w:val="20"/>
        </w:rPr>
      </w:pPr>
      <w:r>
        <w:rPr>
          <w:rFonts w:ascii="Times New Roman" w:hAnsi="Times New Roman"/>
          <w:sz w:val="20"/>
        </w:rPr>
        <w:t xml:space="preserve">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we were founded. Moving to industry in 2005, she led early oncology clinical development at GlaxoSmithKline and then Novartis, where she oversaw the filing of more than 80 INDs. She also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Therapeutics, Inc. and launched the Company in 2017. Alan Huang Ph.D., our Chief Scientific Officer, also played a leading role in the creation of our company, specifically developing the ground-breaking concept of immune evasion driven by tumor suppressor gene loss. He brings 14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large-scale functional genomics screen platform, as well as the Cancer Cell Line Encyclopedia project, a large external genomic collaboration with The Broad Institute. </w:t>
      </w:r>
    </w:p>
    <w:p>
      <w:pPr>
        <w:pStyle w:val="TextBody"/>
        <w:spacing w:before="240" w:after="0"/>
        <w:jc w:val="left"/>
        <w:rPr>
          <w:rFonts w:ascii="Times New Roman" w:hAnsi="Times New Roman"/>
          <w:sz w:val="20"/>
        </w:rPr>
      </w:pPr>
      <w:r>
        <w:rPr>
          <w:rFonts w:ascii="Times New Roman" w:hAnsi="Times New Roman"/>
          <w:sz w:val="20"/>
        </w:rPr>
        <w:t xml:space="preserve">We have world-class founders now acting as our scientific advisors, a skilled and experienced management team, and a knowledgeable board of directors with deep expertise in oncology, drug development, clinical operations, and company creation. Alan Ashworth, Ph.D., a scientific founder of our company, was a leader in the discovery of the BRCA2 gene and discovered that PARP inhibitors are synthetic lethal with BRCA1 and BRCA2 mutations. Nobel </w:t>
      </w:r>
    </w:p>
    <w:p>
      <w:pPr>
        <w:pStyle w:val="TextBody"/>
        <w:spacing w:before="240" w:after="0"/>
        <w:jc w:val="left"/>
        <w:rPr>
          <w:rFonts w:ascii="Times New Roman" w:hAnsi="Times New Roman"/>
          <w:spacing w:val="0"/>
          <w:sz w:val="20"/>
        </w:rPr>
      </w:pPr>
      <w:r>
        <w:rPr>
          <w:rFonts w:ascii="Times New Roman" w:hAnsi="Times New Roman"/>
          <w:spacing w:val="0"/>
          <w:sz w:val="20"/>
        </w:rPr>
        <w:t>prize-winner William</w:t>
      </w:r>
    </w:p>
    <w:p>
      <w:pPr>
        <w:pStyle w:val="TextBody"/>
        <w:spacing w:before="240" w:after="0"/>
        <w:jc w:val="left"/>
        <w:rPr>
          <w:rFonts w:ascii="Times New Roman" w:hAnsi="Times New Roman"/>
          <w:sz w:val="20"/>
        </w:rPr>
      </w:pPr>
      <w:r>
        <w:rPr>
          <w:rFonts w:ascii="Times New Roman" w:hAnsi="Times New Roman"/>
          <w:sz w:val="20"/>
        </w:rPr>
        <w:t xml:space="preserve">Kaelin, MD, also a scientific founder, was among the first to describe synthetic lethality in human cancers and has utilized high throughput screens to identify synthetic lethal gene pairs to known, cancer-associated mutations. Scientific founders Antoni Ribas, MD, Ph.D. professor of medicine, professor of surgery, and professor of molecular and medical pharmacology at the University of California Los Angeles is an internationally recognized translational oncology researcher as was Jose Baselga, MD, Ph.D., former head of oncology R&amp;D at AstraZeneca, at the time of his passing in March 2021. Of note, Dr. Ribas was the first to discover inactivating mutations in cancer genes that result in checkpoint inhibitor resistance.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received gross proceeds of $352.9 million upon the closing of the Business Combination and PIPE Financing in August 2021. Prior to the Business Combination, our operations were funded primarily with gross proceeds of $166.9 million received through the sale and issuance of preferred stock to a strong syndicate of investors, including Third Rock Ventures, Boxer Capital, Casdin Capital, Cormorant Asset Management and Gilead.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BACKGROUND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Cancer Treatment Landscape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Cancer is a disease of the genome, and almost all cancers have multiple genetic lesions that must be addressed to develop curative combination therapies. One view of the hallmarks of cancer suggests that targeting oncogenic drivers, tumor suppressor gene loss and the underlying mechanisms by which cancer cells evade immune destruction are the minimum that will be required for cures. The first wave of precision therapies for cancer focused on drugging gene products that are activated by genetic alterations (oncogenes) in specific cancer types and has resulted in many important drugs for a wide range of cancer types. Precision medicines targeting activated oncogenes are available to an increasing number of cancer patients, but despite these very significant advances most patients still receive treatment that includes various chemotherapy regimens and/or radiation. Although chemotherapy provides significant clinical benefit to many patients, cytotoxic mechanisms that affect normal and cancer cells equally limit the dose of treatments that can be safely given to patients and therefore limit the efficacy of many drugs. There is an urgent need to develop precise, effective, and well-tolerated drugs that selectively target unique cancer genetic dependencies without damaging or killing normal cells.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Precision Medicine and Synthetic Lethality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hundreds of thousands of human cancers have now been characterized by deep genome sequencing, it is believed that sequence-based discovery of oncogenes druggable with conventional approaches has been largely exhausted, and any remaining undiscovered activating mutations occur at very low frequency (less than 1%). Many other genetic drivers of cancer have been well-characterized but have not been directly targeted due to their molecular structure (undruggable oncogenes) or functional loss (tumor suppressor genes). Tumor suppressor gene loss remains a largely untouched target space specifically because these genetic events cannot be directly targeted. Functional genomic screening provides an avenue to overcome these challenges and identify novel drug targets that may lead to the next wave of drugs needed for the large majority of cancer patients with advanced disease who do not currently survive their diagnoses. </w:t>
      </w:r>
    </w:p>
    <w:p>
      <w:pPr>
        <w:pStyle w:val="TextBody"/>
        <w:spacing w:before="240" w:after="0"/>
        <w:jc w:val="left"/>
        <w:rPr>
          <w:rFonts w:ascii="Times New Roman" w:hAnsi="Times New Roman"/>
          <w:sz w:val="20"/>
        </w:rPr>
      </w:pPr>
      <w:r>
        <w:rPr>
          <w:rFonts w:ascii="Times New Roman" w:hAnsi="Times New Roman"/>
          <w:sz w:val="20"/>
        </w:rPr>
        <w:t xml:space="preserve">The numerous cancer genome projects that resulted from the advances of the Human Genome Project, as well as systems biology studies using functional genomics technologies (such as RNA interference and CRISPR-Cas9 gene editing), have enabled us to better understand and study cancer based on genetic alterations, rather than by histology and tumor type or tissue of origin. The genetic alterations cataloged by these large-scale cancer genome sequencing efforts include deletions and/or inactivating mutations in almost all human cancer types. Activating mutations in oncogenes have been successfully drugged with multiple inhibitors for HER2 </w:t>
      </w:r>
    </w:p>
    <w:p>
      <w:pPr>
        <w:pStyle w:val="TextBody"/>
        <w:spacing w:before="240" w:after="0"/>
        <w:jc w:val="left"/>
        <w:rPr>
          <w:rFonts w:ascii="Times New Roman" w:hAnsi="Times New Roman"/>
          <w:spacing w:val="0"/>
          <w:sz w:val="20"/>
        </w:rPr>
      </w:pPr>
      <w:r>
        <w:rPr>
          <w:rFonts w:ascii="Times New Roman" w:hAnsi="Times New Roman"/>
          <w:spacing w:val="0"/>
          <w:sz w:val="20"/>
        </w:rPr>
        <w:t>amplification, BCR-ABL</w:t>
      </w:r>
    </w:p>
    <w:p>
      <w:pPr>
        <w:pStyle w:val="TextBody"/>
        <w:spacing w:before="240" w:after="0"/>
        <w:jc w:val="left"/>
        <w:rPr>
          <w:rFonts w:ascii="Times New Roman" w:hAnsi="Times New Roman"/>
          <w:sz w:val="20"/>
        </w:rPr>
      </w:pPr>
      <w:r>
        <w:rPr>
          <w:rFonts w:ascii="Times New Roman" w:hAnsi="Times New Roman"/>
          <w:sz w:val="20"/>
        </w:rPr>
        <w:t xml:space="preserve">translocation, and EGFR and BRAF mutations as well as many others. However, as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shown in Figure 1 below, druggable oncogenes represent only a portion of the many genetic alterations that drive the formation of cancers.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3390900" cy="2571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90900" cy="2571750"/>
                    </a:xfrm>
                    <a:prstGeom prst="rect">
                      <a:avLst/>
                    </a:prstGeom>
                  </pic:spPr>
                </pic:pic>
              </a:graphicData>
            </a:graphic>
          </wp:inline>
        </w:drawing>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Activated oncogenes are the “gas pedals” in cancer development and tumor suppressor genes are the “brakes”. Tumor suppressor gene loss is a central mechanism by which normal cells lose the ability to regulate key protective cellular functions as they undergo malignant transformation. Many tumor suppressor genes have been well-characterized, such as TP53, RB1, and BRCA1, but tumor suppressor gene loss is undruggable, as the function or presence of the genes themselves are lost.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Identification of druggable synthetic lethal partners is currently the only way of targeting the functional loss of tumor suppressor genes in cancer. </w:t>
      </w:r>
    </w:p>
    <w:p>
      <w:pPr>
        <w:pStyle w:val="TextBody"/>
        <w:spacing w:before="240" w:after="0"/>
        <w:jc w:val="left"/>
        <w:rPr>
          <w:rFonts w:ascii="Times New Roman" w:hAnsi="Times New Roman"/>
          <w:sz w:val="20"/>
        </w:rPr>
      </w:pPr>
      <w:r>
        <w:rPr>
          <w:rFonts w:ascii="Times New Roman" w:hAnsi="Times New Roman"/>
          <w:sz w:val="20"/>
        </w:rPr>
        <w:t>Synthetic lethality, initially described in</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Drosophila</w:t>
      </w:r>
    </w:p>
    <w:p>
      <w:pPr>
        <w:pStyle w:val="TextBody"/>
        <w:spacing w:before="240" w:after="0"/>
        <w:jc w:val="left"/>
        <w:rPr/>
      </w:pPr>
      <w:r>
        <w:rPr/>
        <w:t> </w:t>
      </w:r>
      <w:r>
        <w:rPr>
          <w:rFonts w:ascii="Times New Roman" w:hAnsi="Times New Roman"/>
          <w:sz w:val="20"/>
        </w:rPr>
        <w:t xml:space="preserve">(fruit flies) in the 1930s, is classically defined as the setting in which inactivation of either of two genes individually has little effect on cell viability, but the loss of function of both genes simultaneously leads to cell death. In cancer, the concept of synthetic lethality has been extended to pairs of genes where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relevant cancer cells are selectively killed. The recent success of PARP inhibitors in BRCA-mutant breast, ovarian and prostate cancers is the first clinical example of using synthetic lethality to target tumor suppressor gene loss. </w:t>
      </w:r>
    </w:p>
    <w:p>
      <w:pPr>
        <w:pStyle w:val="TextBody"/>
        <w:spacing w:before="240" w:after="0"/>
        <w:jc w:val="left"/>
        <w:rPr>
          <w:rFonts w:ascii="Times New Roman" w:hAnsi="Times New Roman"/>
          <w:sz w:val="20"/>
        </w:rPr>
      </w:pPr>
      <w:r>
        <w:rPr>
          <w:rFonts w:ascii="Times New Roman" w:hAnsi="Times New Roman"/>
          <w:sz w:val="20"/>
        </w:rPr>
        <w:t>Given the potentially large number of synthetic lethal interactions in the human genome, discovery of synthetic lethal pairs amenable to drug discovery requires a functional genomic approach. We exploit multiple CRISPR technologies to identify synthetic lethal “hits” in cell line panels and</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pPr>
      <w:r>
        <w:rPr/>
        <w:t> </w:t>
      </w:r>
      <w:r>
        <w:rPr>
          <w:rFonts w:ascii="Times New Roman" w:hAnsi="Times New Roman"/>
          <w:sz w:val="20"/>
        </w:rPr>
        <w:t xml:space="preserve">models with loss of a specific tumor suppressor gene and matched as closely as possible to models that retain wild-type, or WT, function of the tumor suppressor gene. “Hits” from these screens are potential synthetic lethal drug targets, and the patient population expected to benefit from inhibiting these targets is defined by the genetic alteration of the tumor suppressor gene being interrogated.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Synthetic Lethality and Novel Target Discovery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Tumor suppressor gene loss of function is a feature of virtually all human cancers — it is a driver of tumorigenesis of equal importance to oncogene activation — and synthetic lethality provides a powerful framework for developing precision therapeutics that are functionally linked to the loss of specific tumor suppressor genes.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Hundreds of tumor suppressor genes have been described and well-studied. Our internal analyses, supported by published data from the Sanger Institute and other institutions, suggests that there are hundreds of synthetic lethal partner genes for tumor suppressor genes that remain to be discovered which are potential cancer drug targets. As noted above, the first clinically validated example is the PARP-BRCA1/2 synthetic lethal interaction. PARP inhibitors are effective in patients with inactivated tumor suppressor genes BRCA1 and BRCA2, as first described by one of our founders, Alan Ashworth, and summarized in Figure 2 below. Notably, the first PARP inhibitor received FDA approval in 2016 and this class of molecules is now a multi-billion-dollar market benefiting thousands of patients annually that is projected to become an $8.0 billion market by 2027.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2838450" cy="2286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38450" cy="2286000"/>
                    </a:xfrm>
                    <a:prstGeom prst="rect">
                      <a:avLst/>
                    </a:prstGeom>
                  </pic:spPr>
                </pic:pic>
              </a:graphicData>
            </a:graphic>
          </wp:inline>
        </w:drawing>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2. PARP inhibitors selectively kill these BRCA1/2 mutant cancer cells while largely sparing the normal cells. Therefore, these synthetic lethality targets inherently can offer a wide therapeutic index.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By exploiting the genetic principle of synthetic lethality, our novel molecules lead to selective killing of cancer cells, while being relatively inert in normal cells. We believe that this approach will deliver on the promise of precision medicine to bring more new treatments to the right patients with effective, tolerable drugs for key drivers of cancer, that have heretofore of necessity been ignored in precision oncology.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Tumor Suppressor Gene Loss and Immune Evasion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classic definition of synthetic lethality applies to events in cancer cells themselves that result in cell death (“cell autonomous” events), but a synthetic lethal target discovery approach can be adapted to identify druggable targets that do not kill cancer cells directly, but rather attract immune cells to destroy them. While a wide variety of mechanisms have been postulated by which cancer cells attain the ability to “hide” from the immune system (immune evasion), including immune editing, T cell exhaustion and an inhibitory microenvironment, important drivers of immune evasion likely come at least in part from the cancer cell itself. However, the genetics of tumor-intrinsic immune evasion have only recently begun to be described, and no drug targets with the potential to reverse this hallmark of cancer have yet been publicly disclosed.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remarkable clinical activity of immunotherapies, specifically checkpoint inhibitors that help the immune system kill cancer cells, underscores the value of identifying tumor suppressor gene loss that is linked to immune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evasion, whereby tumor cells escape destruction by the immune system. We are using the concept of synthetic lethality to address the unmet medical need of this large group of patients by identifying novel immune evasion genes that (i) are activated by tumor suppressor gene loss and (ii) the effects of which can be reversed through inhibition with a small molecule as illustrated in Figure 3 below. In the first step, we perform an</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0" w:after="0"/>
        <w:jc w:val="left"/>
        <w:rPr/>
      </w:pPr>
      <w:r>
        <w:rPr/>
        <w:t> </w:t>
      </w:r>
      <w:r>
        <w:rPr>
          <w:rFonts w:ascii="Times New Roman" w:hAnsi="Times New Roman"/>
          <w:sz w:val="20"/>
        </w:rPr>
        <w:t>CRISPR-based screen using immune cell-mediated cell killing as the readout. This first step allows us to identify tumor suppressor genes linked to immune evasion. For the second step, we repeat the</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0" w:after="0"/>
        <w:jc w:val="left"/>
        <w:rPr/>
      </w:pPr>
      <w:r>
        <w:rPr/>
        <w:t> </w:t>
      </w:r>
      <w:r>
        <w:rPr>
          <w:rFonts w:ascii="Times New Roman" w:hAnsi="Times New Roman"/>
          <w:sz w:val="20"/>
        </w:rPr>
        <w:t xml:space="preserve">CRISPR screen in animals with an intact immune system looking for potential drug targets that reverse the immune evasion effects of the tumor suppressor gene deletion.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762625" cy="2476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2625" cy="2476500"/>
                    </a:xfrm>
                    <a:prstGeom prst="rect">
                      <a:avLst/>
                    </a:prstGeom>
                  </pic:spPr>
                </pic:pic>
              </a:graphicData>
            </a:graphic>
          </wp:inline>
        </w:drawing>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3. Discovery of novel drug targets that reverse the immune evasion effects of tumor suppressor gene loss requires two sequential in vivo CRISPR-based screens. In the first screen, a CRISPR library of several hundred known tumor suppressor genes is transfected into a syngeneic mouse tumor model, and tumor growth is measured under conditions of increasing immune pressure. “Hits” from this context discovery screen are tumor suppressor genes that are enriched in tumors that grow well even when exposed to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anti-PD1</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treatment. In the second screen, a CRISPR library of potential drug targets is introduced in a syngeneic mouse tumor model with and without a deletion of the tumor suppressor gene of interest and genes that when knocked out reverse the immune evasion effect of the known tumor suppressor gene are potential drug targets.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APPROACH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Unmasking Vulnerabilities in Cancer to Deliver the Next Generation of Targeted Therapies </w:t>
      </w:r>
    </w:p>
    <w:p>
      <w:pPr>
        <w:pStyle w:val="TextBody"/>
        <w:spacing w:before="120" w:after="0"/>
        <w:jc w:val="left"/>
        <w:rPr>
          <w:rFonts w:ascii="Times New Roman" w:hAnsi="Times New Roman"/>
          <w:sz w:val="20"/>
        </w:rPr>
      </w:pPr>
      <w:r>
        <w:rPr>
          <w:rFonts w:ascii="Times New Roman" w:hAnsi="Times New Roman"/>
          <w:sz w:val="20"/>
        </w:rPr>
        <w:t xml:space="preserve">We were founded on the tenet that tumor suppressor gene loss is a largely unmet target discovery and drug development opportunity. Our target discovery engine, leveraging synthetic lethality with </w:t>
      </w:r>
    </w:p>
    <w:p>
      <w:pPr>
        <w:pStyle w:val="TextBody"/>
        <w:spacing w:before="120" w:after="0"/>
        <w:jc w:val="left"/>
        <w:rPr>
          <w:rFonts w:ascii="Times New Roman" w:hAnsi="Times New Roman"/>
          <w:spacing w:val="0"/>
          <w:sz w:val="20"/>
        </w:rPr>
      </w:pPr>
      <w:r>
        <w:rPr>
          <w:rFonts w:ascii="Times New Roman" w:hAnsi="Times New Roman"/>
          <w:spacing w:val="0"/>
          <w:sz w:val="20"/>
        </w:rPr>
        <w:t>state-of-the-art</w:t>
      </w:r>
    </w:p>
    <w:p>
      <w:pPr>
        <w:pStyle w:val="TextBody"/>
        <w:spacing w:before="120" w:after="0"/>
        <w:jc w:val="left"/>
        <w:rPr>
          <w:rFonts w:ascii="Times New Roman" w:hAnsi="Times New Roman"/>
          <w:sz w:val="20"/>
        </w:rPr>
      </w:pPr>
      <w:r>
        <w:rPr>
          <w:rFonts w:ascii="Times New Roman" w:hAnsi="Times New Roman"/>
          <w:sz w:val="20"/>
        </w:rPr>
        <w:t xml:space="preserve">CRISPR screening, is designed to identify novel drug targets for cancer types with specific tumor suppressor gene loss. We are using this approach to discover synthetic lethal drug targets that pair with specific tumor suppressor gene loss in multiple cancer types that have limited treatment options. 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believe our expertise, capabilities, and experience differentiate us from others and will enable the rapid development of impactful new cancer treatments by: </w:t>
      </w:r>
    </w:p>
    <w:p>
      <w:pPr>
        <w:pStyle w:val="TextBody"/>
        <w:spacing w:before="0" w:after="0"/>
        <w:jc w:val="left"/>
        <w:rPr>
          <w:spacing w:val="0"/>
        </w:rPr>
      </w:pPr>
      <w:r>
        <w:rPr>
          <w:spacing w:val="0"/>
        </w:rPr>
        <w:t> </w:t>
      </w:r>
    </w:p>
    <w:tbl>
      <w:tblPr>
        <w:tblW w:w="7720" w:type="dxa"/>
        <w:jc w:val="left"/>
        <w:tblInd w:w="0" w:type="dxa"/>
        <w:tblCellMar>
          <w:top w:w="0" w:type="dxa"/>
          <w:left w:w="0" w:type="dxa"/>
          <w:bottom w:w="0" w:type="dxa"/>
          <w:right w:w="0" w:type="dxa"/>
        </w:tblCellMar>
      </w:tblPr>
      <w:tblGrid>
        <w:gridCol w:w="75"/>
        <w:gridCol w:w="110"/>
        <w:gridCol w:w="60"/>
        <w:gridCol w:w="7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Defining the genetic context of patient subgroups with specific tumor suppressor gene loss;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90 </w:t>
      </w:r>
    </w:p>
    <w:p>
      <w:pPr>
        <w:pStyle w:val="HorizontalLine"/>
        <w:rPr/>
      </w:pPr>
      <w:r>
        <w:rPr/>
      </w:r>
    </w:p>
    <w:p>
      <w:pPr>
        <w:pStyle w:val="TextBody"/>
        <w:spacing w:before="0" w:after="0"/>
        <w:ind w:left="0" w:right="0" w:hanging="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Identifying synthetic lethal targets that are selectively active in specific genetic contexts by using cell line and animal models that reflect the patient genomics in our CRISPR-based target discovery platform; </w:t>
            </w:r>
          </w:p>
        </w:tc>
      </w:tr>
    </w:tbl>
    <w:p>
      <w:pPr>
        <w:pStyle w:val="TextBody"/>
        <w:spacing w:before="0" w:after="0"/>
        <w:jc w:val="left"/>
        <w:rPr>
          <w:spacing w:val="0"/>
        </w:rPr>
      </w:pPr>
      <w:r>
        <w:rPr>
          <w:spacing w:val="0"/>
        </w:rPr>
        <w:t> </w:t>
      </w:r>
    </w:p>
    <w:tbl>
      <w:tblPr>
        <w:tblW w:w="8785" w:type="dxa"/>
        <w:jc w:val="left"/>
        <w:tblInd w:w="0" w:type="dxa"/>
        <w:tblCellMar>
          <w:top w:w="0" w:type="dxa"/>
          <w:left w:w="0" w:type="dxa"/>
          <w:bottom w:w="0" w:type="dxa"/>
          <w:right w:w="0" w:type="dxa"/>
        </w:tblCellMar>
      </w:tblPr>
      <w:tblGrid>
        <w:gridCol w:w="75"/>
        <w:gridCol w:w="110"/>
        <w:gridCol w:w="60"/>
        <w:gridCol w:w="8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Discovering and optimizing molecules with superior biological and innovative chemical properties;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Selecting patients for clinical trials using the cancer genetic context employed during target discovery as patient selection biomarkers to maximize enrollment of the patients most likely to respond.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disciplined about adhering to this four-step approach to discovering novel synthetic lethal targets, rigorously validating them, discovering molecules optimized for potency and selectivity for cancer cells and designing genetically driven clinical trials.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3257550" cy="1895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257550" cy="1895475"/>
                    </a:xfrm>
                    <a:prstGeom prst="rect">
                      <a:avLst/>
                    </a:prstGeom>
                  </pic:spPr>
                </pic:pic>
              </a:graphicData>
            </a:graphic>
          </wp:inline>
        </w:drawing>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4. By anchoring our target discovery in the cancer genomic profile of patients with high unmet need, we are using our functional genomics platform to systematically identify the optimal synthetic lethal target that addresses the unique genetic weaknesses inherent to the cancer cells. Once the synthetic lethal interaction for the genetic alteration/target pair has been validated using multiple model systems, we then develop innovative and/or differentiated small molecule inhibitors and match the treatment to the right patient using the genetic alteration as the patient-selection biomarker inherent to that cancer type.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Target and Drug Discovery </w:t>
      </w:r>
    </w:p>
    <w:p>
      <w:pPr>
        <w:pStyle w:val="TextBody"/>
        <w:spacing w:before="120" w:after="0"/>
        <w:jc w:val="left"/>
        <w:rPr>
          <w:rFonts w:ascii="Times New Roman" w:hAnsi="Times New Roman"/>
          <w:spacing w:val="0"/>
          <w:sz w:val="20"/>
          <w:u w:val="single"/>
        </w:rPr>
      </w:pPr>
      <w:r>
        <w:rPr>
          <w:rFonts w:ascii="Times New Roman" w:hAnsi="Times New Roman"/>
          <w:spacing w:val="0"/>
          <w:sz w:val="20"/>
          <w:u w:val="single"/>
        </w:rPr>
        <w:t>Step 1: Patient genomics.</w:t>
      </w:r>
    </w:p>
    <w:p>
      <w:pPr>
        <w:pStyle w:val="TextBody"/>
        <w:spacing w:before="120" w:after="0"/>
        <w:jc w:val="left"/>
        <w:rPr>
          <w:rFonts w:ascii="Times New Roman" w:hAnsi="Times New Roman"/>
          <w:sz w:val="20"/>
        </w:rPr>
      </w:pPr>
      <w:r>
        <w:rPr>
          <w:rFonts w:ascii="Times New Roman" w:hAnsi="Times New Roman"/>
          <w:sz w:val="20"/>
        </w:rPr>
        <w:t xml:space="preserve">The first step in each target discovery effort is to define the genetic background of the cancer type of interest, which ultimately becomes the patient selection strategy. For this, we prioritize genetic alterations and tumor types with high unmet medical need. We concentrate on target classes that are druggable with small molecules (or antibodies for cell surface targets if they arise), minimizing drug discovery risk present in emerging areas, for example protein degradation or protein:protein interaction disruption, and accelerating preclinical development timelines. </w:t>
      </w:r>
    </w:p>
    <w:p>
      <w:pPr>
        <w:pStyle w:val="TextBody"/>
        <w:spacing w:before="240" w:after="0"/>
        <w:jc w:val="left"/>
        <w:rPr>
          <w:rFonts w:ascii="Times New Roman" w:hAnsi="Times New Roman"/>
          <w:spacing w:val="0"/>
          <w:sz w:val="20"/>
          <w:u w:val="single"/>
        </w:rPr>
      </w:pPr>
      <w:r>
        <w:rPr>
          <w:rFonts w:ascii="Times New Roman" w:hAnsi="Times New Roman"/>
          <w:spacing w:val="0"/>
          <w:sz w:val="20"/>
          <w:u w:val="single"/>
        </w:rPr>
        <w:t>Step 2: Synthetic lethal targets.</w:t>
      </w:r>
    </w:p>
    <w:p>
      <w:pPr>
        <w:pStyle w:val="TextBody"/>
        <w:spacing w:before="240" w:after="0"/>
        <w:jc w:val="left"/>
        <w:rPr>
          <w:rFonts w:ascii="Times New Roman" w:hAnsi="Times New Roman"/>
          <w:sz w:val="20"/>
        </w:rPr>
      </w:pPr>
      <w:r>
        <w:rPr>
          <w:rFonts w:ascii="Times New Roman" w:hAnsi="Times New Roman"/>
          <w:sz w:val="20"/>
        </w:rPr>
        <w:t>CRISPR is a powerful tool that we use for</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240" w:after="0"/>
        <w:jc w:val="left"/>
        <w:rPr/>
      </w:pPr>
      <w:r>
        <w:rPr/>
        <w:t> </w:t>
      </w:r>
      <w:r>
        <w:rPr>
          <w:rFonts w:ascii="Times New Roman" w:hAnsi="Times New Roman"/>
          <w:sz w:val="20"/>
        </w:rPr>
        <w:t>and</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pPr>
      <w:r>
        <w:rPr/>
        <w:t> </w:t>
      </w:r>
      <w:r>
        <w:rPr>
          <w:rFonts w:ascii="Times New Roman" w:hAnsi="Times New Roman"/>
          <w:sz w:val="20"/>
        </w:rPr>
        <w:t xml:space="preserve">target discovery and validation. We continue to refine and enhance our capabilities for CRISPR — Cas for gene-editing. In our target discovery screens, we begin with a clinically relevant genetic alteration (tumor suppressor gene loss) that confers defined characteristics, for example, enhanced growth or the ability to avoid immune cell killing causing immune evasion. We then use CRISPR-based gene editing to systematically knock out every gene in a CRISPR library and, using cell viability as a functional readout, to determine which genes may be a synthetic lethal partner with the original mutation or deletion. Our CRISPR libraries vary in size from </w:t>
      </w:r>
    </w:p>
    <w:p>
      <w:pPr>
        <w:pStyle w:val="TextBody"/>
        <w:spacing w:before="240" w:after="0"/>
        <w:jc w:val="left"/>
        <w:rPr>
          <w:rFonts w:ascii="Times New Roman" w:hAnsi="Times New Roman"/>
          <w:spacing w:val="0"/>
          <w:sz w:val="20"/>
        </w:rPr>
      </w:pPr>
      <w:r>
        <w:rPr>
          <w:rFonts w:ascii="Times New Roman" w:hAnsi="Times New Roman"/>
          <w:spacing w:val="0"/>
          <w:sz w:val="20"/>
        </w:rPr>
        <w:t>200-300 genes</w:t>
      </w:r>
    </w:p>
    <w:p>
      <w:pPr>
        <w:pStyle w:val="TextBody"/>
        <w:spacing w:before="240" w:after="0"/>
        <w:jc w:val="left"/>
        <w:rPr>
          <w:rFonts w:ascii="Times New Roman" w:hAnsi="Times New Roman"/>
          <w:sz w:val="20"/>
        </w:rPr>
      </w:pPr>
      <w:r>
        <w:rPr>
          <w:rFonts w:ascii="Times New Roman" w:hAnsi="Times New Roman"/>
          <w:sz w:val="20"/>
        </w:rPr>
        <w:t>for</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pPr>
      <w:r>
        <w:rPr/>
        <w:t> </w:t>
      </w:r>
      <w:r>
        <w:rPr>
          <w:rFonts w:ascii="Times New Roman" w:hAnsi="Times New Roman"/>
          <w:sz w:val="20"/>
        </w:rPr>
        <w:t xml:space="preserve">screening to 5,000 genes for our druggable genome library and 20,000 genes for our whole exome library. Choice of library varies by model system being used and the specific experimental design. Our </w:t>
      </w:r>
    </w:p>
    <w:p>
      <w:pPr>
        <w:pStyle w:val="TextBody"/>
        <w:spacing w:before="240" w:after="0"/>
        <w:jc w:val="left"/>
        <w:rPr>
          <w:rFonts w:ascii="Times New Roman" w:hAnsi="Times New Roman"/>
          <w:spacing w:val="0"/>
          <w:sz w:val="20"/>
        </w:rPr>
      </w:pPr>
      <w:r>
        <w:rPr>
          <w:rFonts w:ascii="Times New Roman" w:hAnsi="Times New Roman"/>
          <w:spacing w:val="0"/>
          <w:sz w:val="20"/>
        </w:rPr>
        <w:t>state-of-the-art</w:t>
      </w:r>
    </w:p>
    <w:p>
      <w:pPr>
        <w:pStyle w:val="TextBody"/>
        <w:spacing w:before="240" w:after="0"/>
        <w:jc w:val="left"/>
        <w:rPr>
          <w:rFonts w:ascii="Times New Roman" w:hAnsi="Times New Roman"/>
          <w:sz w:val="20"/>
        </w:rPr>
      </w:pPr>
      <w:r>
        <w:rPr>
          <w:rFonts w:ascii="Times New Roman" w:hAnsi="Times New Roman"/>
          <w:sz w:val="20"/>
        </w:rPr>
        <w:t xml:space="preserve">CRISPR “toolbox” extends beyond optimized CRISPR-cutting and -mediated knockdown (CRISPRi) systems into sophisticated, optimized combinatorial systems.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A unique feature of our toolbox is our</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0" w:after="0"/>
        <w:jc w:val="left"/>
        <w:rPr/>
      </w:pPr>
      <w:r>
        <w:rPr/>
        <w:t> </w:t>
      </w:r>
      <w:r>
        <w:rPr>
          <w:rFonts w:ascii="Times New Roman" w:hAnsi="Times New Roman"/>
          <w:sz w:val="20"/>
        </w:rPr>
        <w:t xml:space="preserve">CRISPR screening capability, essential for discovery of immune evasion targets, and a T cell and cancer cell </w:t>
      </w:r>
    </w:p>
    <w:p>
      <w:pPr>
        <w:pStyle w:val="TextBody"/>
        <w:spacing w:before="0" w:after="0"/>
        <w:jc w:val="left"/>
        <w:rPr>
          <w:rFonts w:ascii="Times New Roman" w:hAnsi="Times New Roman"/>
          <w:spacing w:val="0"/>
          <w:sz w:val="20"/>
        </w:rPr>
      </w:pPr>
      <w:r>
        <w:rPr>
          <w:rFonts w:ascii="Times New Roman" w:hAnsi="Times New Roman"/>
          <w:spacing w:val="0"/>
          <w:sz w:val="20"/>
        </w:rPr>
        <w:t>co-culture system</w:t>
      </w:r>
    </w:p>
    <w:p>
      <w:pPr>
        <w:pStyle w:val="TextBody"/>
        <w:spacing w:before="0" w:after="0"/>
        <w:jc w:val="left"/>
        <w:rPr>
          <w:rFonts w:ascii="Times New Roman" w:hAnsi="Times New Roman"/>
          <w:sz w:val="20"/>
        </w:rPr>
      </w:pPr>
      <w:r>
        <w:rPr>
          <w:rFonts w:ascii="Times New Roman" w:hAnsi="Times New Roman"/>
          <w:sz w:val="20"/>
        </w:rPr>
        <w:t>that markedly increases the speed and productivity of immune-oncology target discovery and validation. Exploiting our immune evasion platform, we have evaluated approximately 200 tumor suppressor genes for their ability to induce resistance to checkpoint inhibitors when deleted using</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0" w:after="0"/>
        <w:jc w:val="left"/>
        <w:rPr/>
      </w:pPr>
      <w:r>
        <w:rPr/>
        <w:t> </w:t>
      </w:r>
      <w:r>
        <w:rPr>
          <w:rFonts w:ascii="Times New Roman" w:hAnsi="Times New Roman"/>
          <w:sz w:val="20"/>
        </w:rPr>
        <w:t xml:space="preserve">syngeneic mouse tumor models with an intact immune system. Once a tumor suppressor gene has been linked to an immune evasion effect, we use CRISPR gene editing tools to generate multiple relevant isogenic tumor models for target discovery. These isogenic models are engineered pairs of cancer cell lines that differ from each other only by the presence or absence of the tumor suppressor gene loss being evaluated. This approach allows us to systematically interrogate potential drug targets for their ability to reverse immune evasion. Our novel undisclosed target (Target 3), a chemically tractable enzyme for reversing immune evasion in STK11-mutant cancers, is an example. This program has the potential to be the first immuno-oncology program for a genetically defined patient population that currently derives minimal benefit from immune checkpoint inhibitor therapy. </w:t>
      </w:r>
    </w:p>
    <w:p>
      <w:pPr>
        <w:pStyle w:val="TextBody"/>
        <w:spacing w:before="240" w:after="0"/>
        <w:jc w:val="left"/>
        <w:rPr>
          <w:rFonts w:ascii="Times New Roman" w:hAnsi="Times New Roman"/>
          <w:sz w:val="20"/>
        </w:rPr>
      </w:pPr>
      <w:r>
        <w:rPr>
          <w:rFonts w:ascii="Times New Roman" w:hAnsi="Times New Roman"/>
          <w:sz w:val="20"/>
        </w:rPr>
        <w:t>We also have identified synthetic lethal targets using our proprietary computational biology platform, Tango Cancer Dependency Map, or TANDEM, which brings deep computing, machine-learning, and statistical power to our target discovery capabilities. TANDEM enables</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silico</w:t>
      </w:r>
    </w:p>
    <w:p>
      <w:pPr>
        <w:pStyle w:val="TextBody"/>
        <w:spacing w:before="240" w:after="0"/>
        <w:jc w:val="left"/>
        <w:rPr/>
      </w:pPr>
      <w:r>
        <w:rPr/>
        <w:t> </w:t>
      </w:r>
      <w:r>
        <w:rPr>
          <w:rFonts w:ascii="Times New Roman" w:hAnsi="Times New Roman"/>
          <w:sz w:val="20"/>
        </w:rPr>
        <w:t xml:space="preserve">analyses of public data for both discovery efforts and target validation and allows for strong clinical hypothesis validation. In addition to analyzing our internally derived data, TANDEM integrates carefully curated genetic and genomic data from the massive external databases generated by the Broad Institute, the Sanger Institute, and the U.S. National Cancer Institute (The Cancer Genome Atlas).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Sophisticated Drug Discovery </w:t>
      </w:r>
    </w:p>
    <w:p>
      <w:pPr>
        <w:pStyle w:val="TextBody"/>
        <w:spacing w:before="120" w:after="0"/>
        <w:jc w:val="left"/>
        <w:rPr>
          <w:rFonts w:ascii="Times New Roman" w:hAnsi="Times New Roman"/>
          <w:spacing w:val="0"/>
          <w:sz w:val="20"/>
          <w:u w:val="single"/>
        </w:rPr>
      </w:pPr>
      <w:r>
        <w:rPr>
          <w:rFonts w:ascii="Times New Roman" w:hAnsi="Times New Roman"/>
          <w:spacing w:val="0"/>
          <w:sz w:val="20"/>
          <w:u w:val="single"/>
        </w:rPr>
        <w:t>Step 3: Right molecule.</w:t>
      </w:r>
    </w:p>
    <w:p>
      <w:pPr>
        <w:pStyle w:val="TextBody"/>
        <w:spacing w:before="120" w:after="0"/>
        <w:jc w:val="left"/>
        <w:rPr>
          <w:rFonts w:ascii="Times New Roman" w:hAnsi="Times New Roman"/>
          <w:sz w:val="20"/>
        </w:rPr>
      </w:pPr>
      <w:r>
        <w:rPr>
          <w:rFonts w:ascii="Times New Roman" w:hAnsi="Times New Roman"/>
          <w:sz w:val="20"/>
        </w:rPr>
        <w:t xml:space="preserve">Our genetics and cancer biology expertise is complemented by deep drug discovery expertise incorporating chemistry hit finding, biochemistry, structural biology, chemical biology, computational and medicinal chemistry to identify novel chemical space from large diversity libraries and/or with rational design. We utilize multiple </w:t>
      </w:r>
    </w:p>
    <w:p>
      <w:pPr>
        <w:pStyle w:val="TextBody"/>
        <w:spacing w:before="120" w:after="0"/>
        <w:jc w:val="left"/>
        <w:rPr>
          <w:rFonts w:ascii="Times New Roman" w:hAnsi="Times New Roman"/>
          <w:spacing w:val="0"/>
          <w:sz w:val="20"/>
        </w:rPr>
      </w:pPr>
      <w:r>
        <w:rPr>
          <w:rFonts w:ascii="Times New Roman" w:hAnsi="Times New Roman"/>
          <w:spacing w:val="0"/>
          <w:sz w:val="20"/>
        </w:rPr>
        <w:t>hit-finding approaches</w:t>
      </w:r>
    </w:p>
    <w:p>
      <w:pPr>
        <w:pStyle w:val="TextBody"/>
        <w:spacing w:before="120" w:after="0"/>
        <w:jc w:val="left"/>
        <w:rPr>
          <w:rFonts w:ascii="Times New Roman" w:hAnsi="Times New Roman"/>
          <w:sz w:val="20"/>
        </w:rPr>
      </w:pPr>
      <w:r>
        <w:rPr>
          <w:rFonts w:ascii="Times New Roman" w:hAnsi="Times New Roman"/>
          <w:sz w:val="20"/>
        </w:rPr>
        <w:t xml:space="preserve">for each target to maximize our probability of success and identify the best possible chemical space, including high-throughput biochemical screening of our proprietary 500,000 compound diversity library, as well as other approaches including fragment-based, </w:t>
      </w:r>
    </w:p>
    <w:p>
      <w:pPr>
        <w:pStyle w:val="TextBody"/>
        <w:spacing w:before="120" w:after="0"/>
        <w:jc w:val="left"/>
        <w:rPr>
          <w:rFonts w:ascii="Times New Roman" w:hAnsi="Times New Roman"/>
          <w:spacing w:val="0"/>
          <w:sz w:val="20"/>
        </w:rPr>
      </w:pPr>
      <w:r>
        <w:rPr>
          <w:rFonts w:ascii="Times New Roman" w:hAnsi="Times New Roman"/>
          <w:spacing w:val="0"/>
          <w:sz w:val="20"/>
        </w:rPr>
        <w:t>DNA-encoded</w:t>
      </w:r>
    </w:p>
    <w:p>
      <w:pPr>
        <w:pStyle w:val="TextBody"/>
        <w:spacing w:before="120" w:after="0"/>
        <w:jc w:val="left"/>
        <w:rPr>
          <w:rFonts w:ascii="Times New Roman" w:hAnsi="Times New Roman"/>
          <w:sz w:val="20"/>
        </w:rPr>
      </w:pPr>
      <w:r>
        <w:rPr>
          <w:rFonts w:ascii="Times New Roman" w:hAnsi="Times New Roman"/>
          <w:sz w:val="20"/>
        </w:rPr>
        <w:t xml:space="preserve">library technology, and </w:t>
      </w:r>
    </w:p>
    <w:p>
      <w:pPr>
        <w:pStyle w:val="TextBody"/>
        <w:spacing w:before="120" w:after="0"/>
        <w:jc w:val="left"/>
        <w:rPr>
          <w:rFonts w:ascii="Times New Roman" w:hAnsi="Times New Roman"/>
          <w:spacing w:val="0"/>
          <w:sz w:val="20"/>
        </w:rPr>
      </w:pPr>
      <w:r>
        <w:rPr>
          <w:rFonts w:ascii="Times New Roman" w:hAnsi="Times New Roman"/>
          <w:spacing w:val="0"/>
          <w:sz w:val="20"/>
        </w:rPr>
        <w:t>state-of-the art</w:t>
      </w:r>
    </w:p>
    <w:p>
      <w:pPr>
        <w:pStyle w:val="TextBody"/>
        <w:spacing w:before="120" w:after="0"/>
        <w:jc w:val="left"/>
        <w:rPr>
          <w:rFonts w:ascii="Times New Roman" w:hAnsi="Times New Roman"/>
          <w:sz w:val="20"/>
        </w:rPr>
      </w:pPr>
      <w:r>
        <w:rPr>
          <w:rFonts w:ascii="Times New Roman" w:hAnsi="Times New Roman"/>
          <w:sz w:val="20"/>
        </w:rPr>
        <w:t xml:space="preserve">virtual screenings to identify unique chemical starting points. Of note, our drug discovery accomplishments to date include being the first, we believe, to discover an </w:t>
      </w:r>
    </w:p>
    <w:p>
      <w:pPr>
        <w:pStyle w:val="TextBody"/>
        <w:spacing w:before="120" w:after="0"/>
        <w:jc w:val="left"/>
        <w:rPr>
          <w:rFonts w:ascii="Times New Roman" w:hAnsi="Times New Roman"/>
          <w:spacing w:val="0"/>
          <w:sz w:val="20"/>
        </w:rPr>
      </w:pPr>
      <w:r>
        <w:rPr>
          <w:rFonts w:ascii="Times New Roman" w:hAnsi="Times New Roman"/>
          <w:spacing w:val="0"/>
          <w:sz w:val="20"/>
        </w:rPr>
        <w:t>MTA-cooperative PRMT5</w:t>
      </w:r>
    </w:p>
    <w:p>
      <w:pPr>
        <w:pStyle w:val="TextBody"/>
        <w:spacing w:before="120" w:after="0"/>
        <w:jc w:val="left"/>
        <w:rPr>
          <w:rFonts w:ascii="Times New Roman" w:hAnsi="Times New Roman"/>
          <w:sz w:val="20"/>
        </w:rPr>
      </w:pPr>
      <w:r>
        <w:rPr>
          <w:rFonts w:ascii="Times New Roman" w:hAnsi="Times New Roman"/>
          <w:sz w:val="20"/>
        </w:rPr>
        <w:t xml:space="preserve">inhibitor, inhibitors for a novel exonuclease, sub-nanomolar inhibitors to a second methyltransferase with a previously unknown role in immune evasion and selective inhibitors for a kinase with a very close structural paralog, any one of which would be a substantive achievement on its own. </w:t>
      </w:r>
    </w:p>
    <w:p>
      <w:pPr>
        <w:pStyle w:val="TextBody"/>
        <w:spacing w:before="240" w:after="0"/>
        <w:jc w:val="left"/>
        <w:rPr>
          <w:rFonts w:ascii="Times New Roman" w:hAnsi="Times New Roman"/>
          <w:sz w:val="20"/>
        </w:rPr>
      </w:pPr>
      <w:r>
        <w:rPr>
          <w:rFonts w:ascii="Times New Roman" w:hAnsi="Times New Roman"/>
          <w:sz w:val="20"/>
        </w:rPr>
        <w:t>Our novel target discovery engine and drug discovery expertise are rooted in the fundamental knowledge of cancer genetics and driven by the vision of a leadership team with decades of experience and accomplishments in precision oncology. Our team has deep expertise in the necessary scientific disciplines of cell biology, functional genomics, CRISPR technology, computational biology, and</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pPr>
      <w:r>
        <w:rPr/>
        <w:t> </w:t>
      </w:r>
      <w:r>
        <w:rPr>
          <w:rFonts w:ascii="Times New Roman" w:hAnsi="Times New Roman"/>
          <w:sz w:val="20"/>
        </w:rPr>
        <w:t>pharmacology using both conventional (CDX) and patient-derived (PDX) xenograft models. Our senior scientists lead the design and execution of experiments in close collaboration with our external partners for</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pPr>
      <w:r>
        <w:rPr/>
        <w:t> </w:t>
      </w:r>
      <w:r>
        <w:rPr>
          <w:rFonts w:ascii="Times New Roman" w:hAnsi="Times New Roman"/>
          <w:sz w:val="20"/>
        </w:rPr>
        <w:t xml:space="preserve">mouse modeling, absorption, distribution, metabolism and excretion (ADME), pharmacokinetics and pharmacodynamic analysis (PK/PD), process chemistry, </w:t>
      </w:r>
    </w:p>
    <w:p>
      <w:pPr>
        <w:pStyle w:val="TextBody"/>
        <w:spacing w:before="240" w:after="0"/>
        <w:jc w:val="left"/>
        <w:rPr>
          <w:rFonts w:ascii="Times New Roman" w:hAnsi="Times New Roman"/>
          <w:spacing w:val="0"/>
          <w:sz w:val="20"/>
        </w:rPr>
      </w:pPr>
      <w:r>
        <w:rPr>
          <w:rFonts w:ascii="Times New Roman" w:hAnsi="Times New Roman"/>
          <w:spacing w:val="0"/>
          <w:sz w:val="20"/>
        </w:rPr>
        <w:t>scale-up and</w:t>
      </w:r>
    </w:p>
    <w:p>
      <w:pPr>
        <w:pStyle w:val="TextBody"/>
        <w:spacing w:before="240" w:after="0"/>
        <w:jc w:val="left"/>
        <w:rPr>
          <w:rFonts w:ascii="Times New Roman" w:hAnsi="Times New Roman"/>
          <w:sz w:val="20"/>
        </w:rPr>
      </w:pPr>
      <w:r>
        <w:rPr>
          <w:rFonts w:ascii="Times New Roman" w:hAnsi="Times New Roman"/>
          <w:sz w:val="20"/>
        </w:rPr>
        <w:t xml:space="preserve">toxicology.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target discovery platform generates multiple targets of interest, which we validate and prioritize for drug discovery based on the strength of the synthetic lethal interaction, tractability of the target, unmet medical need and the ability to select patients with a fixed genetic alteration. With this powerful platform, we are growing our drug discovery pipeline with a balance of potential innovative and differentiated discovery programs for multiple common genetically defined cancer subtypes. Based on the evidence that hundreds of context-specific synthetic lethal pairs remain to be discovered, we expect our highly productive target discovery engine to feed our novel drug discovery pipeline for the foreseeable future and underlies our goal of generating one new IND every 12 to 18 months.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Clinical Development </w:t>
      </w:r>
    </w:p>
    <w:p>
      <w:pPr>
        <w:pStyle w:val="TextBody"/>
        <w:spacing w:before="120" w:after="0"/>
        <w:jc w:val="left"/>
        <w:rPr>
          <w:rFonts w:ascii="Times New Roman" w:hAnsi="Times New Roman"/>
          <w:spacing w:val="0"/>
          <w:sz w:val="20"/>
          <w:u w:val="single"/>
        </w:rPr>
      </w:pPr>
      <w:r>
        <w:rPr>
          <w:rFonts w:ascii="Times New Roman" w:hAnsi="Times New Roman"/>
          <w:spacing w:val="0"/>
          <w:sz w:val="20"/>
          <w:u w:val="single"/>
        </w:rPr>
        <w:t>Step 4: Right patient.</w:t>
      </w:r>
    </w:p>
    <w:p>
      <w:pPr>
        <w:pStyle w:val="TextBody"/>
        <w:spacing w:before="120" w:after="0"/>
        <w:jc w:val="left"/>
        <w:rPr>
          <w:rFonts w:ascii="Times New Roman" w:hAnsi="Times New Roman"/>
          <w:sz w:val="20"/>
        </w:rPr>
      </w:pPr>
      <w:r>
        <w:rPr>
          <w:rFonts w:ascii="Times New Roman" w:hAnsi="Times New Roman"/>
          <w:sz w:val="20"/>
        </w:rPr>
        <w:t xml:space="preserve">All of our clinical trials will focus on selected patient populations that have the genetic alteration (usually tumor suppressor gene loss) that drove target discovery to increase the probability of maximum therapeutic impact. For example, as our lead program PRMT5 inhibitor is synthetic lethal with MTAP deletion, we will select patients with MTAP-deleted tumors using next-generation sequencing, or NGS, or immunohistochemistry, or IHC. As there is the potential to see significant responses across multiple tumor types, we will investigate both histology-specific and histology-agnostic study cohorts, the latter providing a path to tumor agnostic approval if supported by the data. We also will evaluate rare cancer-types where there are no current approved treatments, for example malignant peripheral nerve sheath tumors, or MPNST, that may allow for an expedited orphan drug registration path. Lastly, for immune evasion targets, we will select patients with resistance to checkpoint inhibitors as well as the genetic alteration of interest, for example STK11 mutations for our undisclosed immune evasion target (Target 3), which would bring genetic patient selection to immuno-oncology for the first time.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PROGRAMS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TNG908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Our lead development candidate, TNG908, is a potent and selective oral small molecule inhibitor of PRMT5 that is synthetic lethal with MTAP deletion. We believe this interaction is one of the strongest and most prevalent synthetic lethal interactions in human cancers and represents a subset of synthetic lethality termed collateral lethality. Collateral lethality occurs when a “passenger” gene adjacent to a tumor suppressor gene is lost along with the “driver” gene. In this case, MTAP is the “passenger” and is frequently </w:t>
      </w:r>
    </w:p>
    <w:p>
      <w:pPr>
        <w:pStyle w:val="TextBody"/>
        <w:spacing w:before="120" w:after="0"/>
        <w:jc w:val="left"/>
        <w:rPr>
          <w:rFonts w:ascii="Times New Roman" w:hAnsi="Times New Roman"/>
          <w:spacing w:val="0"/>
          <w:sz w:val="20"/>
        </w:rPr>
      </w:pPr>
      <w:r>
        <w:rPr>
          <w:rFonts w:ascii="Times New Roman" w:hAnsi="Times New Roman"/>
          <w:spacing w:val="0"/>
          <w:sz w:val="20"/>
        </w:rPr>
        <w:t>co-deleted with</w:t>
      </w:r>
    </w:p>
    <w:p>
      <w:pPr>
        <w:pStyle w:val="TextBody"/>
        <w:spacing w:before="120" w:after="0"/>
        <w:jc w:val="left"/>
        <w:rPr>
          <w:rFonts w:ascii="Times New Roman" w:hAnsi="Times New Roman"/>
          <w:sz w:val="20"/>
        </w:rPr>
      </w:pPr>
      <w:r>
        <w:rPr>
          <w:rFonts w:ascii="Times New Roman" w:hAnsi="Times New Roman"/>
          <w:sz w:val="20"/>
        </w:rPr>
        <w:t xml:space="preserve">the “driver” CDKN2A gene (p16). The interaction occurs because MTAP-deleted cells accumulate high levels of the PRMT5 inhibitory </w:t>
      </w:r>
    </w:p>
    <w:p>
      <w:pPr>
        <w:pStyle w:val="TextBody"/>
        <w:spacing w:before="120" w:after="0"/>
        <w:jc w:val="left"/>
        <w:rPr>
          <w:rFonts w:ascii="Times New Roman" w:hAnsi="Times New Roman"/>
          <w:spacing w:val="0"/>
          <w:sz w:val="20"/>
        </w:rPr>
      </w:pPr>
      <w:r>
        <w:rPr>
          <w:rFonts w:ascii="Times New Roman" w:hAnsi="Times New Roman"/>
          <w:spacing w:val="0"/>
          <w:sz w:val="20"/>
        </w:rPr>
        <w:t>co-factor MTA.</w:t>
      </w:r>
    </w:p>
    <w:p>
      <w:pPr>
        <w:pStyle w:val="TextBody"/>
        <w:spacing w:before="120" w:after="0"/>
        <w:jc w:val="left"/>
        <w:rPr>
          <w:rFonts w:ascii="Times New Roman" w:hAnsi="Times New Roman"/>
          <w:sz w:val="20"/>
        </w:rPr>
      </w:pPr>
      <w:r>
        <w:rPr>
          <w:rFonts w:ascii="Times New Roman" w:hAnsi="Times New Roman"/>
          <w:sz w:val="20"/>
        </w:rPr>
        <w:t xml:space="preserve">As a result, PRMT5 is partially inhibited in MTAP-deleted cells, making those cells more sensitive than normal cells to further pharmacological inhibition of PRMT5 activity. We believe this dependency provides the potential for a large therapeutic window for PRMT5 inhibitors in patients with MTAP-deleted tumors, given that normal cells (without MTAP deletion) are largely spared, potentially limiting toxicity and allowing for deep and sustained target inhibition in normal cells. </w:t>
      </w:r>
    </w:p>
    <w:p>
      <w:pPr>
        <w:pStyle w:val="TextBody"/>
        <w:spacing w:before="240" w:after="0"/>
        <w:jc w:val="left"/>
        <w:rPr>
          <w:rFonts w:ascii="Times New Roman" w:hAnsi="Times New Roman"/>
          <w:sz w:val="20"/>
        </w:rPr>
      </w:pPr>
      <w:r>
        <w:rPr>
          <w:rFonts w:ascii="Times New Roman" w:hAnsi="Times New Roman"/>
          <w:sz w:val="20"/>
        </w:rPr>
        <w:t xml:space="preserve">Taking advantage of this unique interaction between PRMT5 inhibition and MTAP deletion requires a specific mechanism of inhibition called MTA cooperativity. Our lead molecule, TNG908, binds cooperatively with MTA to inhibit PRMT5 function by blocking access to the PRMT5 active site for both protein substrates and the activating PRMT5 </w:t>
      </w:r>
    </w:p>
    <w:p>
      <w:pPr>
        <w:pStyle w:val="TextBody"/>
        <w:spacing w:before="240" w:after="0"/>
        <w:jc w:val="left"/>
        <w:rPr>
          <w:rFonts w:ascii="Times New Roman" w:hAnsi="Times New Roman"/>
          <w:spacing w:val="0"/>
          <w:sz w:val="20"/>
        </w:rPr>
      </w:pPr>
      <w:r>
        <w:rPr>
          <w:rFonts w:ascii="Times New Roman" w:hAnsi="Times New Roman"/>
          <w:spacing w:val="0"/>
          <w:sz w:val="20"/>
        </w:rPr>
        <w:t>co-factor S-adenosyl-L-methionine,</w:t>
      </w:r>
    </w:p>
    <w:p>
      <w:pPr>
        <w:pStyle w:val="TextBody"/>
        <w:spacing w:before="240" w:after="0"/>
        <w:jc w:val="left"/>
        <w:rPr>
          <w:rFonts w:ascii="Times New Roman" w:hAnsi="Times New Roman"/>
          <w:sz w:val="20"/>
        </w:rPr>
      </w:pPr>
      <w:r>
        <w:rPr>
          <w:rFonts w:ascii="Times New Roman" w:hAnsi="Times New Roman"/>
          <w:sz w:val="20"/>
        </w:rPr>
        <w:t xml:space="preserve">or SAM. This </w:t>
      </w:r>
    </w:p>
    <w:p>
      <w:pPr>
        <w:pStyle w:val="TextBody"/>
        <w:spacing w:before="240" w:after="0"/>
        <w:jc w:val="left"/>
        <w:rPr>
          <w:rFonts w:ascii="Times New Roman" w:hAnsi="Times New Roman"/>
          <w:spacing w:val="0"/>
          <w:sz w:val="20"/>
        </w:rPr>
      </w:pPr>
      <w:r>
        <w:rPr>
          <w:rFonts w:ascii="Times New Roman" w:hAnsi="Times New Roman"/>
          <w:spacing w:val="0"/>
          <w:sz w:val="20"/>
        </w:rPr>
        <w:t>MTA-cooperative mechanism</w:t>
      </w:r>
    </w:p>
    <w:p>
      <w:pPr>
        <w:pStyle w:val="TextBody"/>
        <w:spacing w:before="240" w:after="0"/>
        <w:jc w:val="left"/>
        <w:rPr>
          <w:rFonts w:ascii="Times New Roman" w:hAnsi="Times New Roman"/>
          <w:sz w:val="20"/>
        </w:rPr>
      </w:pPr>
      <w:r>
        <w:rPr>
          <w:rFonts w:ascii="Times New Roman" w:hAnsi="Times New Roman"/>
          <w:sz w:val="20"/>
        </w:rPr>
        <w:t xml:space="preserve">of inhibition selectively inhibits PRMT5 in tumor cells that have lost MTAP (MTAP-null) while being relatively inert in normal cells without MTAP deletion (MTAP WT). We believe TNG908 is currently the most advanced </w:t>
      </w:r>
    </w:p>
    <w:p>
      <w:pPr>
        <w:pStyle w:val="TextBody"/>
        <w:spacing w:before="240" w:after="0"/>
        <w:jc w:val="left"/>
        <w:rPr>
          <w:rFonts w:ascii="Times New Roman" w:hAnsi="Times New Roman"/>
          <w:spacing w:val="0"/>
          <w:sz w:val="20"/>
        </w:rPr>
      </w:pPr>
      <w:r>
        <w:rPr>
          <w:rFonts w:ascii="Times New Roman" w:hAnsi="Times New Roman"/>
          <w:spacing w:val="0"/>
          <w:sz w:val="20"/>
        </w:rPr>
        <w:t>MTA-cooperative PRMT5</w:t>
      </w:r>
    </w:p>
    <w:p>
      <w:pPr>
        <w:pStyle w:val="TextBody"/>
        <w:spacing w:before="240" w:after="0"/>
        <w:jc w:val="left"/>
        <w:rPr>
          <w:rFonts w:ascii="Times New Roman" w:hAnsi="Times New Roman"/>
          <w:sz w:val="20"/>
        </w:rPr>
      </w:pPr>
      <w:r>
        <w:rPr>
          <w:rFonts w:ascii="Times New Roman" w:hAnsi="Times New Roman"/>
          <w:sz w:val="20"/>
        </w:rPr>
        <w:t xml:space="preserve">inhibitor in development and is differentiated from all clinical PRMT5 inhibitors based on this mechanism as illustrated in Figure 5 below.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114925" cy="1495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114925" cy="1495425"/>
                    </a:xfrm>
                    <a:prstGeom prst="rect">
                      <a:avLst/>
                    </a:prstGeom>
                  </pic:spPr>
                </pic:pic>
              </a:graphicData>
            </a:graphic>
          </wp:inline>
        </w:drawing>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5.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MTA-cooperative</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PRMT5 inhibition is required for synthetic lethality with MTAP. PRMT5 catalyzes the transfer of a methyl group from SAM to protein substrates. All clinical PRMT5 inhibitors function by competing with SAM or protein substrates and are not synthetic lethal with MTAP. TNG908 inhibition of PRMT5 is enhanced by the presence of MTA which is present in marked excess in MTAP-null cells.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are developing TNG908 for the treatment of patients with solid tumors with MTAP deletion, which occurs in 10% to 15% of all human tumors, including many commonly occurring cancers with high unmet need such as squamous cell lung, esophageal and bladder cancer. In </w:t>
      </w:r>
    </w:p>
    <w:p>
      <w:pPr>
        <w:pStyle w:val="TextBody"/>
        <w:spacing w:before="0" w:after="0"/>
        <w:jc w:val="left"/>
        <w:rPr>
          <w:rFonts w:ascii="Times New Roman" w:hAnsi="Times New Roman"/>
          <w:spacing w:val="0"/>
          <w:sz w:val="20"/>
        </w:rPr>
      </w:pPr>
      <w:r>
        <w:rPr>
          <w:rFonts w:ascii="Times New Roman" w:hAnsi="Times New Roman"/>
          <w:spacing w:val="0"/>
          <w:sz w:val="20"/>
        </w:rPr>
        <w:t>pre-clinical studies,</w:t>
      </w:r>
    </w:p>
    <w:p>
      <w:pPr>
        <w:pStyle w:val="TextBody"/>
        <w:spacing w:before="0" w:after="0"/>
        <w:jc w:val="left"/>
        <w:rPr>
          <w:rFonts w:ascii="Times New Roman" w:hAnsi="Times New Roman"/>
          <w:sz w:val="20"/>
        </w:rPr>
      </w:pPr>
      <w:r>
        <w:rPr>
          <w:rFonts w:ascii="Times New Roman" w:hAnsi="Times New Roman"/>
          <w:sz w:val="20"/>
        </w:rPr>
        <w:t xml:space="preserve">TNG908 has demonstrated </w:t>
      </w:r>
    </w:p>
    <w:p>
      <w:pPr>
        <w:pStyle w:val="TextBody"/>
        <w:spacing w:before="0" w:after="0"/>
        <w:jc w:val="left"/>
        <w:rPr>
          <w:rFonts w:ascii="Times New Roman" w:hAnsi="Times New Roman"/>
          <w:spacing w:val="0"/>
          <w:sz w:val="20"/>
        </w:rPr>
      </w:pPr>
      <w:r>
        <w:rPr>
          <w:rFonts w:ascii="Times New Roman" w:hAnsi="Times New Roman"/>
          <w:spacing w:val="0"/>
          <w:sz w:val="20"/>
        </w:rPr>
        <w:t>15-fold selectivity</w:t>
      </w:r>
    </w:p>
    <w:p>
      <w:pPr>
        <w:pStyle w:val="TextBody"/>
        <w:spacing w:before="0" w:after="0"/>
        <w:jc w:val="left"/>
        <w:rPr>
          <w:rFonts w:ascii="Times New Roman" w:hAnsi="Times New Roman"/>
          <w:sz w:val="20"/>
        </w:rPr>
      </w:pPr>
      <w:r>
        <w:rPr>
          <w:rFonts w:ascii="Times New Roman" w:hAnsi="Times New Roman"/>
          <w:sz w:val="20"/>
        </w:rPr>
        <w:t>for MTAP-null cancer cells over MTAP WT normal cells, anti-tumor effects</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0" w:after="0"/>
        <w:jc w:val="left"/>
        <w:rPr/>
      </w:pPr>
      <w:r>
        <w:rPr/>
        <w:t> </w:t>
      </w:r>
      <w:r>
        <w:rPr>
          <w:rFonts w:ascii="Times New Roman" w:hAnsi="Times New Roman"/>
          <w:sz w:val="20"/>
        </w:rPr>
        <w:t>and</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0" w:after="0"/>
        <w:jc w:val="left"/>
        <w:rPr>
          <w:rFonts w:ascii="Times New Roman" w:hAnsi="Times New Roman"/>
          <w:sz w:val="20"/>
        </w:rPr>
      </w:pPr>
      <w:r>
        <w:rPr>
          <w:rFonts w:ascii="Times New Roman" w:hAnsi="Times New Roman"/>
          <w:sz w:val="20"/>
        </w:rPr>
        <w:t xml:space="preserve">, and pharmacokinetics that support its potential to be a leading PRMT5 inhibitor if approved. We anticipate filing an IND application for this program in the fourth quarter of 2021.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PRMT5 mechanism of action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PRMT5 is a protein arginine methyltransferase that modifies multiple proteins involved in essential cellular processes such as RNA splicing, cell cycling, cell death, and metabolic signaling, by adding a methyl group to substrate proteins. The function of many of these proteins is critical for growth and viability of both normal and cancer cells. In preclinical models, PRMT5 inhibition has been shown to cause cancer cell death and suppress tumor growth. PRMT5 inhibitors in clinical development have been shown to cause tumor regressions in some patients, and a complete response in one instance; however, none are selective for MTAP deletion, and all have a narrow therapeutic window that limits the amount of drug that can be administered without cytotoxic effects on bone marrow cells and therefore limits therapeutic efficacy. </w:t>
      </w:r>
    </w:p>
    <w:p>
      <w:pPr>
        <w:pStyle w:val="TextBody"/>
        <w:spacing w:before="360" w:after="0"/>
        <w:jc w:val="left"/>
        <w:rPr>
          <w:rFonts w:ascii="Times New Roman" w:hAnsi="Times New Roman"/>
          <w:b/>
          <w:spacing w:val="0"/>
          <w:sz w:val="20"/>
        </w:rPr>
      </w:pPr>
      <w:r>
        <w:rPr>
          <w:rFonts w:ascii="Times New Roman" w:hAnsi="Times New Roman"/>
          <w:b/>
          <w:spacing w:val="0"/>
          <w:sz w:val="20"/>
        </w:rPr>
        <w:t>MTA-cooperative</w:t>
      </w:r>
    </w:p>
    <w:p>
      <w:pPr>
        <w:pStyle w:val="TextBody"/>
        <w:spacing w:before="360" w:after="0"/>
        <w:jc w:val="left"/>
        <w:rPr>
          <w:rFonts w:ascii="Times New Roman" w:hAnsi="Times New Roman"/>
          <w:b/>
          <w:sz w:val="20"/>
        </w:rPr>
      </w:pPr>
      <w:r>
        <w:rPr>
          <w:rFonts w:ascii="Times New Roman" w:hAnsi="Times New Roman"/>
          <w:b/>
          <w:sz w:val="20"/>
        </w:rPr>
        <w:t xml:space="preserve">PRMT5 inhibition as a novel mechanism with synthetic lethality in cancers with MTAP-deletion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PRMT5 methylates target proteins by removing a methyl group from SAM and transferring that methyl group to a specific residue on target proteins. This methyl modification, or “mark”, alters the function of the target protein, thereby regulating the cell processes for which the protein is important.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function of PRMT5 is regulated in several ways, including by the endogenous inhibitor MTA. MTA directly competes with SAM for binding to the active site in PRMT5 but does not have a methyl donor, thus when present inhibits PRMT5 function. </w:t>
      </w:r>
    </w:p>
    <w:p>
      <w:pPr>
        <w:pStyle w:val="TextBody"/>
        <w:spacing w:before="240" w:after="0"/>
        <w:jc w:val="left"/>
        <w:rPr>
          <w:rFonts w:ascii="Times New Roman" w:hAnsi="Times New Roman"/>
          <w:sz w:val="20"/>
        </w:rPr>
      </w:pPr>
      <w:r>
        <w:rPr>
          <w:rFonts w:ascii="Times New Roman" w:hAnsi="Times New Roman"/>
          <w:sz w:val="20"/>
        </w:rPr>
        <w:t xml:space="preserve">In normal, </w:t>
      </w:r>
    </w:p>
    <w:p>
      <w:pPr>
        <w:pStyle w:val="TextBody"/>
        <w:spacing w:before="240" w:after="0"/>
        <w:jc w:val="left"/>
        <w:rPr>
          <w:rFonts w:ascii="Times New Roman" w:hAnsi="Times New Roman"/>
          <w:spacing w:val="0"/>
          <w:sz w:val="20"/>
        </w:rPr>
      </w:pPr>
      <w:r>
        <w:rPr>
          <w:rFonts w:ascii="Times New Roman" w:hAnsi="Times New Roman"/>
          <w:spacing w:val="0"/>
          <w:sz w:val="20"/>
        </w:rPr>
        <w:t>non-cancerous cells,</w:t>
      </w:r>
    </w:p>
    <w:p>
      <w:pPr>
        <w:pStyle w:val="TextBody"/>
        <w:spacing w:before="240" w:after="0"/>
        <w:jc w:val="left"/>
        <w:rPr>
          <w:rFonts w:ascii="Times New Roman" w:hAnsi="Times New Roman"/>
          <w:sz w:val="20"/>
        </w:rPr>
      </w:pPr>
      <w:r>
        <w:rPr>
          <w:rFonts w:ascii="Times New Roman" w:hAnsi="Times New Roman"/>
          <w:sz w:val="20"/>
        </w:rPr>
        <w:t xml:space="preserve">MTA is degraded by the enzyme MTAP. When MTAP is lost in cancer cells intracellular MTA is elevated, but, importantly, MTA is not elevated in adjacent normal cells. TNG908 is a PRMT5 inhibitor that requires a cooperative interaction with MTA to bind to and inhibit PRMT5. As a result, TNG908 selectively kills MTAP-null tumor cells with high MTA levels while sparing normal cells </w:t>
      </w:r>
    </w:p>
    <w:p>
      <w:pPr>
        <w:pStyle w:val="TextBody"/>
        <w:spacing w:before="240" w:after="0"/>
        <w:jc w:val="left"/>
        <w:rPr>
          <w:rFonts w:ascii="Times New Roman" w:hAnsi="Times New Roman"/>
          <w:spacing w:val="0"/>
          <w:sz w:val="20"/>
        </w:rPr>
      </w:pPr>
      <w:r>
        <w:rPr>
          <w:rFonts w:ascii="Times New Roman" w:hAnsi="Times New Roman"/>
          <w:spacing w:val="0"/>
          <w:sz w:val="20"/>
        </w:rPr>
        <w:t>(MTAP-WT).</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6. Schematic of PRMT5 and MTAP functions.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172075" cy="2200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172075" cy="2200275"/>
                    </a:xfrm>
                    <a:prstGeom prst="rect">
                      <a:avLst/>
                    </a:prstGeom>
                  </pic:spPr>
                </pic:pic>
              </a:graphicData>
            </a:graphic>
          </wp:inline>
        </w:drawing>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94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MTAP-deletion frequency in multiple solid tumors </w:t>
      </w:r>
    </w:p>
    <w:p>
      <w:pPr>
        <w:pStyle w:val="TextBody"/>
        <w:spacing w:before="120" w:after="0"/>
        <w:jc w:val="left"/>
        <w:rPr>
          <w:rFonts w:ascii="Times New Roman" w:hAnsi="Times New Roman"/>
          <w:sz w:val="20"/>
        </w:rPr>
      </w:pPr>
      <w:r>
        <w:rPr>
          <w:rFonts w:ascii="Times New Roman" w:hAnsi="Times New Roman"/>
          <w:sz w:val="20"/>
        </w:rPr>
        <w:t xml:space="preserve">A partial deletion of chromosome 9p21, driven by loss of the tumor suppressor gene CDKN2A, is the most common homozygous deletion in human cancer. MTAP is immediately adjacent to CDKN2A and is lost along with it in </w:t>
      </w:r>
    </w:p>
    <w:p>
      <w:pPr>
        <w:pStyle w:val="TextBody"/>
        <w:spacing w:before="120" w:after="0"/>
        <w:jc w:val="left"/>
        <w:rPr>
          <w:rFonts w:ascii="Times New Roman" w:hAnsi="Times New Roman"/>
          <w:spacing w:val="0"/>
          <w:sz w:val="20"/>
        </w:rPr>
      </w:pPr>
      <w:r>
        <w:rPr>
          <w:rFonts w:ascii="Times New Roman" w:hAnsi="Times New Roman"/>
          <w:spacing w:val="0"/>
          <w:sz w:val="20"/>
        </w:rPr>
        <w:t>80-90%</w:t>
      </w:r>
    </w:p>
    <w:p>
      <w:pPr>
        <w:pStyle w:val="TextBody"/>
        <w:spacing w:before="120" w:after="0"/>
        <w:jc w:val="left"/>
        <w:rPr>
          <w:rFonts w:ascii="Times New Roman" w:hAnsi="Times New Roman"/>
          <w:sz w:val="20"/>
        </w:rPr>
      </w:pPr>
      <w:r>
        <w:rPr>
          <w:rFonts w:ascii="Times New Roman" w:hAnsi="Times New Roman"/>
          <w:sz w:val="20"/>
        </w:rPr>
        <w:t xml:space="preserve">of tumors, thus MTAP is one of the most commonly deleted genes across all cancer types. Based on The Cancer Genome Atlas, or TCGA, data, there are at least 15 cancer types where MTAP loss occurs in more than 10% of patients, including 10% of </w:t>
      </w:r>
    </w:p>
    <w:p>
      <w:pPr>
        <w:pStyle w:val="TextBody"/>
        <w:spacing w:before="120" w:after="0"/>
        <w:jc w:val="left"/>
        <w:rPr>
          <w:rFonts w:ascii="Times New Roman" w:hAnsi="Times New Roman"/>
          <w:spacing w:val="0"/>
          <w:sz w:val="20"/>
        </w:rPr>
      </w:pPr>
      <w:r>
        <w:rPr>
          <w:rFonts w:ascii="Times New Roman" w:hAnsi="Times New Roman"/>
          <w:spacing w:val="0"/>
          <w:sz w:val="20"/>
        </w:rPr>
        <w:t>non-squamous non-small cell</w:t>
      </w:r>
    </w:p>
    <w:p>
      <w:pPr>
        <w:pStyle w:val="TextBody"/>
        <w:spacing w:before="120" w:after="0"/>
        <w:jc w:val="left"/>
        <w:rPr>
          <w:rFonts w:ascii="Times New Roman" w:hAnsi="Times New Roman"/>
          <w:sz w:val="20"/>
        </w:rPr>
      </w:pPr>
      <w:r>
        <w:rPr>
          <w:rFonts w:ascii="Times New Roman" w:hAnsi="Times New Roman"/>
          <w:sz w:val="20"/>
        </w:rPr>
        <w:t xml:space="preserve">lung cancer, or NSCLC, 20% of squamous NSCLC, 25% of bladder cancer and 30% to 50% of MPNSTs. Given that we believe this is a large and important opportunity for patients with cancer, we have multiple preclinical efforts ongoing to support the development of TNG908, our lead product candidate, clinical combinations therapies, resistance mechanisms and next generation inhibitors that we are designing to be more potent and selective for MTAP deletion.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7. The frequency of MTAP deletion across tumor types as determined from analysis of TCGA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105400" cy="4772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105400" cy="4772025"/>
                    </a:xfrm>
                    <a:prstGeom prst="rect">
                      <a:avLst/>
                    </a:prstGeom>
                  </pic:spPr>
                </pic:pic>
              </a:graphicData>
            </a:graphic>
          </wp:inline>
        </w:drawing>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Limitations of Existing PRMT5 Inhibitors </w:t>
      </w:r>
    </w:p>
    <w:p>
      <w:pPr>
        <w:pStyle w:val="TextBody"/>
        <w:spacing w:before="120" w:after="0"/>
        <w:jc w:val="left"/>
        <w:rPr>
          <w:rFonts w:ascii="Times New Roman" w:hAnsi="Times New Roman"/>
          <w:sz w:val="20"/>
        </w:rPr>
      </w:pPr>
      <w:r>
        <w:rPr>
          <w:rFonts w:ascii="Times New Roman" w:hAnsi="Times New Roman"/>
          <w:sz w:val="20"/>
        </w:rPr>
        <w:t xml:space="preserve">PRMT5 has long been a therapeutic target of interest for cancer given its role in regulating multiple essential cellular functions. Initial efforts to target PRMT5 focused on making inhibitors that compete with or cooperate with SAM, the </w:t>
      </w:r>
    </w:p>
    <w:p>
      <w:pPr>
        <w:pStyle w:val="TextBody"/>
        <w:spacing w:before="120" w:after="0"/>
        <w:jc w:val="left"/>
        <w:rPr>
          <w:rFonts w:ascii="Times New Roman" w:hAnsi="Times New Roman"/>
          <w:spacing w:val="0"/>
          <w:sz w:val="20"/>
        </w:rPr>
      </w:pPr>
      <w:r>
        <w:rPr>
          <w:rFonts w:ascii="Times New Roman" w:hAnsi="Times New Roman"/>
          <w:spacing w:val="0"/>
          <w:sz w:val="20"/>
        </w:rPr>
        <w:t>co-factor and</w:t>
      </w:r>
    </w:p>
    <w:p>
      <w:pPr>
        <w:pStyle w:val="TextBody"/>
        <w:spacing w:before="120" w:after="0"/>
        <w:jc w:val="left"/>
        <w:rPr>
          <w:rFonts w:ascii="Times New Roman" w:hAnsi="Times New Roman"/>
          <w:sz w:val="20"/>
        </w:rPr>
      </w:pPr>
      <w:r>
        <w:rPr>
          <w:rFonts w:ascii="Times New Roman" w:hAnsi="Times New Roman"/>
          <w:sz w:val="20"/>
        </w:rPr>
        <w:t xml:space="preserve">methyl donor which is necessary for PRMT5 to modify its various substrates. Clinical trials of these existing PRMT5 inhibitors have demonstrated some clinical efficacy, supporting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potential for PRMT5 inhibition to have meaningful clinical benefits for patients. However, all existing inhibitors equally suppress PRMT5 in both tumor and normal cells, resulting in a very narrow therapeutic index with similar cytotoxic effects on cancer and normal cells. PRMT5 and SAM are required in every tissue and cell type, and we believe PRMT5 inhibition with a SAM cooperative or competitive approach is likely to have substantial </w:t>
      </w:r>
    </w:p>
    <w:p>
      <w:pPr>
        <w:pStyle w:val="TextBody"/>
        <w:spacing w:before="0" w:after="0"/>
        <w:jc w:val="left"/>
        <w:rPr>
          <w:rFonts w:ascii="Times New Roman" w:hAnsi="Times New Roman"/>
          <w:spacing w:val="0"/>
          <w:sz w:val="20"/>
        </w:rPr>
      </w:pPr>
      <w:r>
        <w:rPr>
          <w:rFonts w:ascii="Times New Roman" w:hAnsi="Times New Roman"/>
          <w:spacing w:val="0"/>
          <w:sz w:val="20"/>
        </w:rPr>
        <w:t>on-target,</w:t>
      </w:r>
    </w:p>
    <w:p>
      <w:pPr>
        <w:pStyle w:val="TextBody"/>
        <w:spacing w:before="0" w:after="0"/>
        <w:jc w:val="left"/>
        <w:rPr>
          <w:rFonts w:ascii="Times New Roman" w:hAnsi="Times New Roman"/>
          <w:sz w:val="20"/>
        </w:rPr>
      </w:pPr>
      <w:r>
        <w:rPr>
          <w:rFonts w:ascii="Times New Roman" w:hAnsi="Times New Roman"/>
          <w:sz w:val="20"/>
        </w:rPr>
        <w:t xml:space="preserve">dose limiting toxicity in normal cells, which limits therapeutic efficacy. Furthermore, a strategy to select patients likely to benefit from these </w:t>
      </w:r>
    </w:p>
    <w:p>
      <w:pPr>
        <w:pStyle w:val="TextBody"/>
        <w:spacing w:before="0" w:after="0"/>
        <w:jc w:val="left"/>
        <w:rPr>
          <w:rFonts w:ascii="Times New Roman" w:hAnsi="Times New Roman"/>
          <w:spacing w:val="0"/>
          <w:sz w:val="20"/>
        </w:rPr>
      </w:pPr>
      <w:r>
        <w:rPr>
          <w:rFonts w:ascii="Times New Roman" w:hAnsi="Times New Roman"/>
          <w:spacing w:val="0"/>
          <w:sz w:val="20"/>
        </w:rPr>
        <w:t>non-selective PRMT5</w:t>
      </w:r>
    </w:p>
    <w:p>
      <w:pPr>
        <w:pStyle w:val="TextBody"/>
        <w:spacing w:before="0" w:after="0"/>
        <w:jc w:val="left"/>
        <w:rPr>
          <w:rFonts w:ascii="Times New Roman" w:hAnsi="Times New Roman"/>
          <w:sz w:val="20"/>
        </w:rPr>
      </w:pPr>
      <w:r>
        <w:rPr>
          <w:rFonts w:ascii="Times New Roman" w:hAnsi="Times New Roman"/>
          <w:sz w:val="20"/>
        </w:rPr>
        <w:t xml:space="preserve">inhibitors has yet to be elucidated.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8. TNG908 has a unique mechanism of action that is distinct from existing PRMT5 inhibitors.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4962525"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962525" cy="2057400"/>
                    </a:xfrm>
                    <a:prstGeom prst="rect">
                      <a:avLst/>
                    </a:prstGeom>
                  </pic:spPr>
                </pic:pic>
              </a:graphicData>
            </a:graphic>
          </wp:inline>
        </w:drawing>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differentiated approach with TNG908 </w:t>
      </w:r>
    </w:p>
    <w:p>
      <w:pPr>
        <w:pStyle w:val="TextBody"/>
        <w:spacing w:before="120" w:after="0"/>
        <w:jc w:val="left"/>
        <w:rPr>
          <w:rFonts w:ascii="Times New Roman" w:hAnsi="Times New Roman"/>
          <w:sz w:val="20"/>
        </w:rPr>
      </w:pPr>
      <w:r>
        <w:rPr>
          <w:rFonts w:ascii="Times New Roman" w:hAnsi="Times New Roman"/>
          <w:sz w:val="20"/>
        </w:rPr>
        <w:t xml:space="preserve">TNG908 is distinct from existing PRMT5 inhibitors because of its mechanism of binding cooperatively with MTA. This mechanism allows TNG908 to inhibit PRMT5 selectively in MTAP-deleted tumor cells with high intracellular MTA levels while preserving normal cells. We believe this mechanism of action should give TNG908 a large therapeutic index when used in patients selected for MTAP-null tumors. While several PRMT5 inhibitors are in clinical development, they are not selective for MTAP-null cancer cells and their ability to inhibit PRMT5 to the level needed to kill cancer cells is reduced by </w:t>
      </w:r>
    </w:p>
    <w:p>
      <w:pPr>
        <w:pStyle w:val="TextBody"/>
        <w:spacing w:before="120" w:after="0"/>
        <w:jc w:val="left"/>
        <w:rPr>
          <w:rFonts w:ascii="Times New Roman" w:hAnsi="Times New Roman"/>
          <w:spacing w:val="0"/>
          <w:sz w:val="20"/>
        </w:rPr>
      </w:pPr>
      <w:r>
        <w:rPr>
          <w:rFonts w:ascii="Times New Roman" w:hAnsi="Times New Roman"/>
          <w:spacing w:val="0"/>
          <w:sz w:val="20"/>
        </w:rPr>
        <w:t>on-target,</w:t>
      </w:r>
    </w:p>
    <w:p>
      <w:pPr>
        <w:pStyle w:val="TextBody"/>
        <w:spacing w:before="120" w:after="0"/>
        <w:jc w:val="left"/>
        <w:rPr>
          <w:rFonts w:ascii="Times New Roman" w:hAnsi="Times New Roman"/>
          <w:sz w:val="20"/>
        </w:rPr>
      </w:pPr>
      <w:r>
        <w:rPr>
          <w:rFonts w:ascii="Times New Roman" w:hAnsi="Times New Roman"/>
          <w:sz w:val="20"/>
        </w:rPr>
        <w:t xml:space="preserve">dose-limiting bone marrow toxicity. </w:t>
      </w:r>
    </w:p>
    <w:p>
      <w:pPr>
        <w:pStyle w:val="TextBody"/>
        <w:spacing w:before="240" w:after="0"/>
        <w:jc w:val="left"/>
        <w:rPr>
          <w:rFonts w:ascii="Times New Roman" w:hAnsi="Times New Roman"/>
          <w:sz w:val="20"/>
        </w:rPr>
      </w:pPr>
      <w:r>
        <w:rPr>
          <w:rFonts w:ascii="Times New Roman" w:hAnsi="Times New Roman"/>
          <w:sz w:val="20"/>
        </w:rPr>
        <w:t xml:space="preserve">Our </w:t>
      </w:r>
    </w:p>
    <w:p>
      <w:pPr>
        <w:pStyle w:val="TextBody"/>
        <w:spacing w:before="240" w:after="0"/>
        <w:jc w:val="left"/>
        <w:rPr>
          <w:rFonts w:ascii="Times New Roman" w:hAnsi="Times New Roman"/>
          <w:spacing w:val="0"/>
          <w:sz w:val="20"/>
        </w:rPr>
      </w:pPr>
      <w:r>
        <w:rPr>
          <w:rFonts w:ascii="Times New Roman" w:hAnsi="Times New Roman"/>
          <w:spacing w:val="0"/>
          <w:sz w:val="20"/>
        </w:rPr>
        <w:t>MTA-cooperative PRMT5</w:t>
      </w:r>
    </w:p>
    <w:p>
      <w:pPr>
        <w:pStyle w:val="TextBody"/>
        <w:spacing w:before="240" w:after="0"/>
        <w:jc w:val="left"/>
        <w:rPr>
          <w:rFonts w:ascii="Times New Roman" w:hAnsi="Times New Roman"/>
          <w:sz w:val="20"/>
        </w:rPr>
      </w:pPr>
      <w:r>
        <w:rPr>
          <w:rFonts w:ascii="Times New Roman" w:hAnsi="Times New Roman"/>
          <w:sz w:val="20"/>
        </w:rPr>
        <w:t xml:space="preserve">inhibitor discovery effort began with a high-throughput screen of a large chemical diversity library designed to identify small molecules that preferentially inhibit PRMT5 in the presence of MTA. We subsequently solved the crystal structure of PRMT5 with inhibitor bound using novel compounds we designed, enabling routine use of structure-based drug design to facilitate efficient design of novel, increasingly potent and selective </w:t>
      </w:r>
    </w:p>
    <w:p>
      <w:pPr>
        <w:pStyle w:val="TextBody"/>
        <w:spacing w:before="240" w:after="0"/>
        <w:jc w:val="left"/>
        <w:rPr>
          <w:rFonts w:ascii="Times New Roman" w:hAnsi="Times New Roman"/>
          <w:spacing w:val="0"/>
          <w:sz w:val="20"/>
        </w:rPr>
      </w:pPr>
      <w:r>
        <w:rPr>
          <w:rFonts w:ascii="Times New Roman" w:hAnsi="Times New Roman"/>
          <w:spacing w:val="0"/>
          <w:sz w:val="20"/>
        </w:rPr>
        <w:t>MTA-cooperative PRMT5</w:t>
      </w:r>
    </w:p>
    <w:p>
      <w:pPr>
        <w:pStyle w:val="TextBody"/>
        <w:spacing w:before="240" w:after="0"/>
        <w:jc w:val="left"/>
        <w:rPr>
          <w:rFonts w:ascii="Times New Roman" w:hAnsi="Times New Roman"/>
          <w:sz w:val="20"/>
        </w:rPr>
      </w:pPr>
      <w:r>
        <w:rPr>
          <w:rFonts w:ascii="Times New Roman" w:hAnsi="Times New Roman"/>
          <w:sz w:val="20"/>
        </w:rPr>
        <w:t xml:space="preserve">inhibitors. </w:t>
      </w:r>
    </w:p>
    <w:p>
      <w:pPr>
        <w:pStyle w:val="TextBody"/>
        <w:spacing w:before="240" w:after="0"/>
        <w:jc w:val="left"/>
        <w:rPr>
          <w:rFonts w:ascii="Times New Roman" w:hAnsi="Times New Roman"/>
          <w:sz w:val="20"/>
        </w:rPr>
      </w:pPr>
      <w:r>
        <w:rPr>
          <w:rFonts w:ascii="Times New Roman" w:hAnsi="Times New Roman"/>
          <w:sz w:val="20"/>
        </w:rPr>
        <w:t xml:space="preserve">We compared the potency and selectivity of our development candidate TNG908 and the clinical PRMT5 inhibitor, GSK3326595, in a panel of 162 cancer cell lines representing </w:t>
      </w:r>
    </w:p>
    <w:p>
      <w:pPr>
        <w:pStyle w:val="TextBody"/>
        <w:spacing w:before="240" w:after="0"/>
        <w:jc w:val="left"/>
        <w:rPr>
          <w:rFonts w:ascii="Times New Roman" w:hAnsi="Times New Roman"/>
          <w:spacing w:val="0"/>
          <w:sz w:val="20"/>
        </w:rPr>
      </w:pPr>
      <w:r>
        <w:rPr>
          <w:rFonts w:ascii="Times New Roman" w:hAnsi="Times New Roman"/>
          <w:spacing w:val="0"/>
          <w:sz w:val="20"/>
        </w:rPr>
        <w:t>non-small cell</w:t>
      </w:r>
    </w:p>
    <w:p>
      <w:pPr>
        <w:pStyle w:val="TextBody"/>
        <w:spacing w:before="240" w:after="0"/>
        <w:jc w:val="left"/>
        <w:rPr>
          <w:rFonts w:ascii="Times New Roman" w:hAnsi="Times New Roman"/>
          <w:sz w:val="20"/>
        </w:rPr>
      </w:pPr>
      <w:r>
        <w:rPr>
          <w:rFonts w:ascii="Times New Roman" w:hAnsi="Times New Roman"/>
          <w:sz w:val="20"/>
        </w:rPr>
        <w:t xml:space="preserve">lung cancer, bladder cancer, pancreatic cancer, cancers of the central nervous system, leukemia and lymphoma. TNG908 demonstrated significant MTAP-selective inhibition of viability, while GSK3326595 showed no selectivity for MTAP-null cell lines over </w:t>
      </w:r>
    </w:p>
    <w:p>
      <w:pPr>
        <w:pStyle w:val="TextBody"/>
        <w:spacing w:before="240" w:after="0"/>
        <w:jc w:val="left"/>
        <w:rPr>
          <w:rFonts w:ascii="Times New Roman" w:hAnsi="Times New Roman"/>
          <w:spacing w:val="0"/>
          <w:sz w:val="20"/>
        </w:rPr>
      </w:pPr>
      <w:r>
        <w:rPr>
          <w:rFonts w:ascii="Times New Roman" w:hAnsi="Times New Roman"/>
          <w:spacing w:val="0"/>
          <w:sz w:val="20"/>
        </w:rPr>
        <w:t>MTAP-WT.</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9. TNG908 inhibits viability selectively in MTAP-null cancer cell lines. Cellular viability was determined in a panel of 162 cancer cell lines treated for seven days with either TNG908 or GSK3326595. Cell lines are color-coded by MTAP-status as indicated, and the maximal viability effect (% Amax) is plotted on the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y-axis.</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600700" cy="2038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00700" cy="2038350"/>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Further validation of our approach to selectively target MTAP-null cancer cells was achieved</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rFonts w:ascii="Times New Roman" w:hAnsi="Times New Roman"/>
          <w:sz w:val="20"/>
        </w:rPr>
      </w:pPr>
      <w:r>
        <w:rPr>
          <w:rFonts w:ascii="Times New Roman" w:hAnsi="Times New Roman"/>
          <w:sz w:val="20"/>
        </w:rPr>
        <w:t xml:space="preserve">. Xenograft models differing only in MTAP status </w:t>
      </w:r>
    </w:p>
    <w:p>
      <w:pPr>
        <w:pStyle w:val="TextBody"/>
        <w:spacing w:before="240" w:after="0"/>
        <w:jc w:val="left"/>
        <w:rPr>
          <w:rFonts w:ascii="Times New Roman" w:hAnsi="Times New Roman"/>
          <w:spacing w:val="0"/>
          <w:sz w:val="20"/>
        </w:rPr>
      </w:pPr>
      <w:r>
        <w:rPr>
          <w:rFonts w:ascii="Times New Roman" w:hAnsi="Times New Roman"/>
          <w:spacing w:val="0"/>
          <w:sz w:val="20"/>
        </w:rPr>
        <w:t>(MTAP-WT or</w:t>
      </w:r>
    </w:p>
    <w:p>
      <w:pPr>
        <w:pStyle w:val="TextBody"/>
        <w:spacing w:before="240" w:after="0"/>
        <w:jc w:val="left"/>
        <w:rPr>
          <w:rFonts w:ascii="Times New Roman" w:hAnsi="Times New Roman"/>
          <w:sz w:val="20"/>
        </w:rPr>
      </w:pPr>
      <w:r>
        <w:rPr>
          <w:rFonts w:ascii="Times New Roman" w:hAnsi="Times New Roman"/>
          <w:sz w:val="20"/>
        </w:rPr>
        <w:t xml:space="preserve">MTAP-null) were treated TNG908. PRMT5 symmetrically di-methylates specific arginine residues, or SDMA, of its substrate proteins, a modification that can be detected by specific antibodies and a direct measurement of PRMT5 activity that can be quantified by intracellular SDMA-modified protein levels. </w:t>
      </w:r>
    </w:p>
    <w:p>
      <w:pPr>
        <w:pStyle w:val="TextBody"/>
        <w:spacing w:before="240" w:after="0"/>
        <w:jc w:val="left"/>
        <w:rPr>
          <w:rFonts w:ascii="Times New Roman" w:hAnsi="Times New Roman"/>
          <w:sz w:val="20"/>
        </w:rPr>
      </w:pPr>
      <w:r>
        <w:rPr>
          <w:rFonts w:ascii="Times New Roman" w:hAnsi="Times New Roman"/>
          <w:sz w:val="20"/>
        </w:rPr>
        <w:t xml:space="preserve">Consistent with the inhibitory effects of MTA accumulation caused by MTAP-deletion, PRMT5 activity was reduced in MTAP-null tumors at baseline relative to </w:t>
      </w:r>
    </w:p>
    <w:p>
      <w:pPr>
        <w:pStyle w:val="TextBody"/>
        <w:spacing w:before="240" w:after="0"/>
        <w:jc w:val="left"/>
        <w:rPr>
          <w:rFonts w:ascii="Times New Roman" w:hAnsi="Times New Roman"/>
          <w:spacing w:val="0"/>
          <w:sz w:val="20"/>
        </w:rPr>
      </w:pPr>
      <w:r>
        <w:rPr>
          <w:rFonts w:ascii="Times New Roman" w:hAnsi="Times New Roman"/>
          <w:spacing w:val="0"/>
          <w:sz w:val="20"/>
        </w:rPr>
        <w:t>MTAP-WT tumors.</w:t>
      </w:r>
    </w:p>
    <w:p>
      <w:pPr>
        <w:pStyle w:val="TextBody"/>
        <w:spacing w:before="240" w:after="0"/>
        <w:jc w:val="left"/>
        <w:rPr>
          <w:rFonts w:ascii="Times New Roman" w:hAnsi="Times New Roman"/>
          <w:sz w:val="20"/>
        </w:rPr>
      </w:pPr>
      <w:r>
        <w:rPr>
          <w:rFonts w:ascii="Times New Roman" w:hAnsi="Times New Roman"/>
          <w:sz w:val="20"/>
        </w:rPr>
        <w:t xml:space="preserve">When tumor-bearing mice were dosed with TNG908, &gt;90% PRMT5 inhibition was observed in the MTAP-null tumors while PRMT5 inhibition in </w:t>
      </w:r>
    </w:p>
    <w:p>
      <w:pPr>
        <w:pStyle w:val="TextBody"/>
        <w:spacing w:before="240" w:after="0"/>
        <w:jc w:val="left"/>
        <w:rPr>
          <w:rFonts w:ascii="Times New Roman" w:hAnsi="Times New Roman"/>
          <w:spacing w:val="0"/>
          <w:sz w:val="20"/>
        </w:rPr>
      </w:pPr>
      <w:r>
        <w:rPr>
          <w:rFonts w:ascii="Times New Roman" w:hAnsi="Times New Roman"/>
          <w:spacing w:val="0"/>
          <w:sz w:val="20"/>
        </w:rPr>
        <w:t>MTAP-WT tumors</w:t>
      </w:r>
    </w:p>
    <w:p>
      <w:pPr>
        <w:pStyle w:val="TextBody"/>
        <w:spacing w:before="240" w:after="0"/>
        <w:jc w:val="left"/>
        <w:rPr>
          <w:rFonts w:ascii="Times New Roman" w:hAnsi="Times New Roman"/>
          <w:sz w:val="20"/>
        </w:rPr>
      </w:pPr>
      <w:r>
        <w:rPr>
          <w:rFonts w:ascii="Times New Roman" w:hAnsi="Times New Roman"/>
          <w:sz w:val="20"/>
        </w:rPr>
        <w:t xml:space="preserve">remained above the threshold for lethality.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10. TNG908 selectively inhibits PRMT5 in MTAP-null cancer in vivo. HCT116 MTAP-isogenic xenograft models were generated by deleting endogenous MTAP to create an MTAP-null cell line. Tumor-bearing mice were dosed with TNG908 or vehicle at the indicated dose levels. SDMA-modified protein levels were determined by immunoblot analysis on tumors harvested eight hours after the last dose.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4057650" cy="3162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57650" cy="3162300"/>
                    </a:xfrm>
                    <a:prstGeom prst="rect">
                      <a:avLst/>
                    </a:prstGeom>
                  </pic:spPr>
                </pic:pic>
              </a:graphicData>
            </a:graphic>
          </wp:inline>
        </w:drawing>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Preclinical data summary </w:t>
      </w:r>
    </w:p>
    <w:p>
      <w:pPr>
        <w:pStyle w:val="TextBody"/>
        <w:spacing w:before="120" w:after="0"/>
        <w:jc w:val="left"/>
        <w:rPr>
          <w:rFonts w:ascii="Times New Roman" w:hAnsi="Times New Roman"/>
          <w:sz w:val="20"/>
        </w:rPr>
      </w:pPr>
      <w:r>
        <w:rPr>
          <w:rFonts w:ascii="Times New Roman" w:hAnsi="Times New Roman"/>
          <w:sz w:val="20"/>
        </w:rPr>
        <w:t xml:space="preserve">TNG908 was discovered with high-throughput screening of over 500,000 compounds using a biochemical assay designed to identify </w:t>
      </w:r>
    </w:p>
    <w:p>
      <w:pPr>
        <w:pStyle w:val="TextBody"/>
        <w:spacing w:before="120" w:after="0"/>
        <w:jc w:val="left"/>
        <w:rPr>
          <w:rFonts w:ascii="Times New Roman" w:hAnsi="Times New Roman"/>
          <w:spacing w:val="0"/>
          <w:sz w:val="20"/>
        </w:rPr>
      </w:pPr>
      <w:r>
        <w:rPr>
          <w:rFonts w:ascii="Times New Roman" w:hAnsi="Times New Roman"/>
          <w:spacing w:val="0"/>
          <w:sz w:val="20"/>
        </w:rPr>
        <w:t>MTA-cooperative inhibitors.</w:t>
      </w:r>
    </w:p>
    <w:p>
      <w:pPr>
        <w:pStyle w:val="TextBody"/>
        <w:spacing w:before="120" w:after="0"/>
        <w:jc w:val="left"/>
        <w:rPr>
          <w:rFonts w:ascii="Times New Roman" w:hAnsi="Times New Roman"/>
          <w:sz w:val="20"/>
        </w:rPr>
      </w:pPr>
      <w:r>
        <w:rPr>
          <w:rFonts w:ascii="Times New Roman" w:hAnsi="Times New Roman"/>
          <w:sz w:val="20"/>
        </w:rPr>
        <w:t xml:space="preserve">The discovery of TNG908, an </w:t>
      </w:r>
    </w:p>
    <w:p>
      <w:pPr>
        <w:pStyle w:val="TextBody"/>
        <w:spacing w:before="120" w:after="0"/>
        <w:jc w:val="left"/>
        <w:rPr>
          <w:rFonts w:ascii="Times New Roman" w:hAnsi="Times New Roman"/>
          <w:spacing w:val="0"/>
          <w:sz w:val="20"/>
        </w:rPr>
      </w:pPr>
      <w:r>
        <w:rPr>
          <w:rFonts w:ascii="Times New Roman" w:hAnsi="Times New Roman"/>
          <w:spacing w:val="0"/>
          <w:sz w:val="20"/>
        </w:rPr>
        <w:t>MTA-cooperative inhibitor,</w:t>
      </w:r>
    </w:p>
    <w:p>
      <w:pPr>
        <w:pStyle w:val="TextBody"/>
        <w:spacing w:before="120" w:after="0"/>
        <w:jc w:val="left"/>
        <w:rPr>
          <w:rFonts w:ascii="Times New Roman" w:hAnsi="Times New Roman"/>
          <w:sz w:val="20"/>
        </w:rPr>
      </w:pPr>
      <w:r>
        <w:rPr>
          <w:rFonts w:ascii="Times New Roman" w:hAnsi="Times New Roman"/>
          <w:sz w:val="20"/>
        </w:rPr>
        <w:t xml:space="preserve">was achieved through a structure-guided optimization, with over 150 </w:t>
      </w:r>
    </w:p>
    <w:p>
      <w:pPr>
        <w:pStyle w:val="TextBody"/>
        <w:spacing w:before="120" w:after="0"/>
        <w:jc w:val="left"/>
        <w:rPr>
          <w:rFonts w:ascii="Times New Roman" w:hAnsi="Times New Roman"/>
          <w:spacing w:val="0"/>
          <w:sz w:val="20"/>
        </w:rPr>
      </w:pPr>
      <w:r>
        <w:rPr>
          <w:rFonts w:ascii="Times New Roman" w:hAnsi="Times New Roman"/>
          <w:spacing w:val="0"/>
          <w:sz w:val="20"/>
        </w:rPr>
        <w:t>x-ray crystal</w:t>
      </w:r>
    </w:p>
    <w:p>
      <w:pPr>
        <w:pStyle w:val="TextBody"/>
        <w:spacing w:before="120" w:after="0"/>
        <w:jc w:val="left"/>
        <w:rPr>
          <w:rFonts w:ascii="Times New Roman" w:hAnsi="Times New Roman"/>
          <w:sz w:val="20"/>
        </w:rPr>
      </w:pPr>
      <w:r>
        <w:rPr>
          <w:rFonts w:ascii="Times New Roman" w:hAnsi="Times New Roman"/>
          <w:sz w:val="20"/>
        </w:rPr>
        <w:t xml:space="preserve">structures generated and good physicochemical properties prioritized during this effort.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TNG908 is highly selective for PRMT5 against a panel of 38 methyltransferases at 10 µM, showing that TNG908 does not affect other biological processes regulated by this family of enzymes at concentrations well above the predicted clinical efficacious dose. TNG908 has excellent drug-like properties and is easily formulated in standard conditions for oral dosing in preclinical and clinical studies. Pharmacokinetic properties of TNG908 indicate high passive permeability with moderate clearance and bioavailability in preclinical species. Allometric scaling was performed to predict human pharmacokinetics and resulted in an estimated effective human dose of 500 mg twice-daily (BID). </w:t>
      </w:r>
    </w:p>
    <w:p>
      <w:pPr>
        <w:pStyle w:val="TextBody"/>
        <w:spacing w:before="240" w:after="0"/>
        <w:jc w:val="left"/>
        <w:rPr>
          <w:rFonts w:ascii="Times New Roman" w:hAnsi="Times New Roman"/>
          <w:sz w:val="20"/>
        </w:rPr>
      </w:pPr>
      <w:r>
        <w:rPr>
          <w:rFonts w:ascii="Times New Roman" w:hAnsi="Times New Roman"/>
          <w:sz w:val="20"/>
        </w:rPr>
        <w:t xml:space="preserve">To determine the cellular potency and selectivity of TNG908 in MTAP-null tumors, we developed assays using engineered isogenic cancer cell lines that differ only by the presence or absence of MTAP. To determine pharmacodynamic potency and selectivity, a HAP1 MTAP-isogenic cell line pair was treated with TNG908 for 24 hours and PRMT5 activity was measured by SDMA quantification. TNG908 inhibits PRMT5 in the </w:t>
      </w:r>
    </w:p>
    <w:p>
      <w:pPr>
        <w:pStyle w:val="TextBody"/>
        <w:spacing w:before="240" w:after="0"/>
        <w:jc w:val="left"/>
        <w:rPr>
          <w:rFonts w:ascii="Times New Roman" w:hAnsi="Times New Roman"/>
          <w:spacing w:val="0"/>
          <w:sz w:val="20"/>
        </w:rPr>
      </w:pPr>
      <w:r>
        <w:rPr>
          <w:rFonts w:ascii="Times New Roman" w:hAnsi="Times New Roman"/>
          <w:spacing w:val="0"/>
          <w:sz w:val="20"/>
        </w:rPr>
        <w:t>MTAP-null HAP1</w:t>
      </w:r>
    </w:p>
    <w:p>
      <w:pPr>
        <w:pStyle w:val="TextBody"/>
        <w:spacing w:before="240" w:after="0"/>
        <w:jc w:val="left"/>
        <w:rPr>
          <w:rFonts w:ascii="Times New Roman" w:hAnsi="Times New Roman"/>
          <w:sz w:val="20"/>
        </w:rPr>
      </w:pPr>
      <w:r>
        <w:rPr>
          <w:rFonts w:ascii="Times New Roman" w:hAnsi="Times New Roman"/>
          <w:sz w:val="20"/>
        </w:rPr>
        <w:t xml:space="preserve">cell line with an IC50 of 5 nM, with marked selectivity over the </w:t>
      </w:r>
    </w:p>
    <w:p>
      <w:pPr>
        <w:pStyle w:val="TextBody"/>
        <w:spacing w:before="240" w:after="0"/>
        <w:jc w:val="left"/>
        <w:rPr>
          <w:rFonts w:ascii="Times New Roman" w:hAnsi="Times New Roman"/>
          <w:spacing w:val="0"/>
          <w:sz w:val="20"/>
        </w:rPr>
      </w:pPr>
      <w:r>
        <w:rPr>
          <w:rFonts w:ascii="Times New Roman" w:hAnsi="Times New Roman"/>
          <w:spacing w:val="0"/>
          <w:sz w:val="20"/>
        </w:rPr>
        <w:t>MTAP-WT cell</w:t>
      </w:r>
    </w:p>
    <w:p>
      <w:pPr>
        <w:pStyle w:val="TextBody"/>
        <w:spacing w:before="240" w:after="0"/>
        <w:jc w:val="left"/>
        <w:rPr>
          <w:rFonts w:ascii="Times New Roman" w:hAnsi="Times New Roman"/>
          <w:sz w:val="20"/>
        </w:rPr>
      </w:pPr>
      <w:r>
        <w:rPr>
          <w:rFonts w:ascii="Times New Roman" w:hAnsi="Times New Roman"/>
          <w:sz w:val="20"/>
        </w:rPr>
        <w:t xml:space="preserve">line. See representative data in Figure 11 below.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Figure 11.</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PRMT5 inhibition by TNG908 is dose-dependent</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and MTAP-selective</w:t>
      </w:r>
    </w:p>
    <w:p>
      <w:pPr>
        <w:pStyle w:val="TextBody"/>
        <w:spacing w:before="0" w:after="0"/>
        <w:jc w:val="left"/>
        <w:rPr>
          <w:rFonts w:ascii="Times New Roman" w:hAnsi="Times New Roman"/>
          <w:sz w:val="20"/>
        </w:rPr>
      </w:pPr>
      <w:r>
        <w:rPr>
          <w:rFonts w:ascii="Times New Roman" w:hAnsi="Times New Roman"/>
          <w:sz w:val="20"/>
        </w:rPr>
        <w:t xml:space="preserve">.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vitro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in-cell</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western data demonstrating dose-dependent reduction of SDMA levels after 24 hours of TNG908 treatment in HAP1 MTAP-isogenic cancer cell lines.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4200525" cy="2876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200525" cy="2876550"/>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 xml:space="preserve">For comparison, PRMT5 inhibitors that are currently in clinical development, and are not </w:t>
      </w:r>
    </w:p>
    <w:p>
      <w:pPr>
        <w:pStyle w:val="TextBody"/>
        <w:spacing w:before="240" w:after="0"/>
        <w:jc w:val="left"/>
        <w:rPr>
          <w:rFonts w:ascii="Times New Roman" w:hAnsi="Times New Roman"/>
          <w:spacing w:val="0"/>
          <w:sz w:val="20"/>
        </w:rPr>
      </w:pPr>
      <w:r>
        <w:rPr>
          <w:rFonts w:ascii="Times New Roman" w:hAnsi="Times New Roman"/>
          <w:spacing w:val="0"/>
          <w:sz w:val="20"/>
        </w:rPr>
        <w:t>MTA-cooperative,</w:t>
      </w:r>
    </w:p>
    <w:p>
      <w:pPr>
        <w:pStyle w:val="TextBody"/>
        <w:spacing w:before="240" w:after="0"/>
        <w:jc w:val="left"/>
        <w:rPr>
          <w:rFonts w:ascii="Times New Roman" w:hAnsi="Times New Roman"/>
          <w:sz w:val="20"/>
        </w:rPr>
      </w:pPr>
      <w:r>
        <w:rPr>
          <w:rFonts w:ascii="Times New Roman" w:hAnsi="Times New Roman"/>
          <w:sz w:val="20"/>
        </w:rPr>
        <w:t xml:space="preserve">have not demonstrated MTAP-selective PRMT5 inhibition, as summarized in the table below. These data show that TNG908 is MTAP-selective, and that its activity is </w:t>
      </w:r>
    </w:p>
    <w:p>
      <w:pPr>
        <w:pStyle w:val="TextBody"/>
        <w:spacing w:before="240" w:after="0"/>
        <w:jc w:val="left"/>
        <w:rPr>
          <w:rFonts w:ascii="Times New Roman" w:hAnsi="Times New Roman"/>
          <w:spacing w:val="0"/>
          <w:sz w:val="20"/>
        </w:rPr>
      </w:pPr>
      <w:r>
        <w:rPr>
          <w:rFonts w:ascii="Times New Roman" w:hAnsi="Times New Roman"/>
          <w:spacing w:val="0"/>
          <w:sz w:val="20"/>
        </w:rPr>
        <w:t>on-target.</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12. TNG908 is differentiated from clinical PRMT5 inhibitors in its ability to inhibit PRMT5 selectively in MTAP-null cells. Average IC50s from in vitro SDMA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in-cell</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western assay.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3124200" cy="2028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124200" cy="2028825"/>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 xml:space="preserve">PRMT5 activity is required for cellular viability, likely due to its role as a regulator of transcriptional activity, cell cycle control, spliceosome assembly and other essential cellular processes. As TNG908 potently inhibited PRMT5 in an MTAP-selective manner, we investigated whether TNG908 also inhibits viability in an MTAP-selective manner. In MTAP-isogenic cell lines representing three different cancer lineages (HAP1 (chronic myelogenous leukemia), LN18 (glioblastoma) and SW1573 (lung carcinoma)), TNG908 potently inhibits cellular viability in MTAP-null cell lines with approximately 15X selectivity over </w:t>
      </w:r>
    </w:p>
    <w:p>
      <w:pPr>
        <w:pStyle w:val="TextBody"/>
        <w:spacing w:before="240" w:after="0"/>
        <w:jc w:val="left"/>
        <w:rPr>
          <w:rFonts w:ascii="Times New Roman" w:hAnsi="Times New Roman"/>
          <w:spacing w:val="0"/>
          <w:sz w:val="20"/>
        </w:rPr>
      </w:pPr>
      <w:r>
        <w:rPr>
          <w:rFonts w:ascii="Times New Roman" w:hAnsi="Times New Roman"/>
          <w:spacing w:val="0"/>
          <w:sz w:val="20"/>
        </w:rPr>
        <w:t>MTAP-WT cell</w:t>
      </w:r>
    </w:p>
    <w:p>
      <w:pPr>
        <w:pStyle w:val="TextBody"/>
        <w:spacing w:before="240" w:after="0"/>
        <w:jc w:val="left"/>
        <w:rPr>
          <w:rFonts w:ascii="Times New Roman" w:hAnsi="Times New Roman"/>
          <w:sz w:val="20"/>
        </w:rPr>
      </w:pPr>
      <w:r>
        <w:rPr>
          <w:rFonts w:ascii="Times New Roman" w:hAnsi="Times New Roman"/>
          <w:sz w:val="20"/>
        </w:rPr>
        <w:t xml:space="preserve">lines.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13. Inhibition of cellular viability by TNG908 is dose-dependent and MTAP-selective In vitro assay demonstrating dose-dependent cellular viability effects following seven days of compound treatment in HAP1 (CML), LN18 (GBM) and SW1573 (NSCLC) MTAP-isogenic cancer cell lines.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762625" cy="1314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62625" cy="1314450"/>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 xml:space="preserve">Though the GSK3326595, </w:t>
      </w:r>
    </w:p>
    <w:p>
      <w:pPr>
        <w:pStyle w:val="TextBody"/>
        <w:spacing w:before="240" w:after="0"/>
        <w:jc w:val="left"/>
        <w:rPr>
          <w:rFonts w:ascii="Times New Roman" w:hAnsi="Times New Roman"/>
          <w:spacing w:val="0"/>
          <w:sz w:val="20"/>
        </w:rPr>
      </w:pPr>
      <w:r>
        <w:rPr>
          <w:rFonts w:ascii="Times New Roman" w:hAnsi="Times New Roman"/>
          <w:spacing w:val="0"/>
          <w:sz w:val="20"/>
        </w:rPr>
        <w:t>JNJ-64619178 and</w:t>
      </w:r>
    </w:p>
    <w:p>
      <w:pPr>
        <w:pStyle w:val="TextBody"/>
        <w:spacing w:before="240" w:after="0"/>
        <w:jc w:val="left"/>
        <w:rPr>
          <w:rFonts w:ascii="Times New Roman" w:hAnsi="Times New Roman"/>
          <w:sz w:val="20"/>
        </w:rPr>
      </w:pPr>
      <w:r>
        <w:rPr>
          <w:rFonts w:ascii="Times New Roman" w:hAnsi="Times New Roman"/>
          <w:sz w:val="20"/>
        </w:rPr>
        <w:t xml:space="preserve">Prelude compounds inhibit cellular viability consistent with their inhibition of PRMT5, none have been shown to selectively target MTAP-null cells.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Table 14. TNG908 is differentiated from clinical PRMT5 inhibitors in ability to selectively inhibit viability in MTAP-null cells. Average IC50s from in vitro cellular viability assay with HAP1 MTAP-isogenic cell lines.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4924425" cy="2486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924425" cy="2486025"/>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Consistent with</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240" w:after="0"/>
        <w:jc w:val="left"/>
        <w:rPr/>
      </w:pPr>
      <w:r>
        <w:rPr/>
        <w:t> </w:t>
      </w:r>
      <w:r>
        <w:rPr>
          <w:rFonts w:ascii="Times New Roman" w:hAnsi="Times New Roman"/>
          <w:sz w:val="20"/>
        </w:rPr>
        <w:t>data, TNG908 also demonstrates dose-dependent PRMT5 inhibition</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240" w:after="0"/>
        <w:jc w:val="left"/>
        <w:rPr/>
      </w:pPr>
      <w:r>
        <w:rPr/>
        <w:t> </w:t>
      </w:r>
      <w:r>
        <w:rPr>
          <w:rFonts w:ascii="Times New Roman" w:hAnsi="Times New Roman"/>
          <w:sz w:val="20"/>
        </w:rPr>
        <w:t xml:space="preserve">in an MTAP-null xenograft model. LN18 tumor-bearing mice were treated with TNG908 at 3, 10, 30 or 60 mg/kg BID for ten days. Plasma concentrations of TNG908 increased with dose, and tumoral SDMA-modified protein levels decreased in a dose-dependent manner.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Figure 15.</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PRMT5 inhibition with TNG908 is dose-dependent</w:t>
      </w:r>
    </w:p>
    <w:p>
      <w:pPr>
        <w:pStyle w:val="TextBody"/>
        <w:spacing w:before="0" w:after="0"/>
        <w:jc w:val="left"/>
        <w:rPr/>
      </w:pPr>
      <w:r>
        <w:rPr/>
        <w:t> </w:t>
      </w:r>
      <w:r>
        <w:rPr>
          <w:rFonts w:ascii="Times New Roman" w:hAnsi="Times New Roman"/>
          <w:sz w:val="20"/>
        </w:rPr>
        <w:t>in vivo</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LN18 (MTAP-null) tumor-bearing</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mice were dosed with TNG908 at</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3,</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10,</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30, or 60 mg/kg BID for ten</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days. Tumors were harvested at the time points indicated, and the levels of a single SDMA-modified</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protein were determined by immunoblot. Tumors from the</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3</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mg/kg group were not harvested at 16 hours post-last</w:t>
      </w:r>
    </w:p>
    <w:p>
      <w:pPr>
        <w:pStyle w:val="TextBody"/>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dose.</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3886200" cy="21336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886200" cy="2133600"/>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Consistent with</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240" w:after="0"/>
        <w:jc w:val="left"/>
        <w:rPr/>
      </w:pPr>
      <w:r>
        <w:rPr/>
        <w:t> </w:t>
      </w:r>
      <w:r>
        <w:rPr>
          <w:rFonts w:ascii="Times New Roman" w:hAnsi="Times New Roman"/>
          <w:sz w:val="20"/>
        </w:rPr>
        <w:t xml:space="preserve">findings, TNG908 demonstrated significant and dose-dependent antitumor activity in the LN18 MTAP-null xenograft model (data not shown). Regressions </w:t>
      </w:r>
    </w:p>
    <w:p>
      <w:pPr>
        <w:pStyle w:val="TextBody"/>
        <w:spacing w:before="240" w:after="0"/>
        <w:jc w:val="left"/>
        <w:rPr>
          <w:rFonts w:ascii="Times New Roman" w:hAnsi="Times New Roman"/>
          <w:spacing w:val="0"/>
          <w:sz w:val="20"/>
        </w:rPr>
      </w:pPr>
      <w:r>
        <w:rPr>
          <w:rFonts w:ascii="Times New Roman" w:hAnsi="Times New Roman"/>
          <w:spacing w:val="0"/>
          <w:sz w:val="20"/>
        </w:rPr>
        <w:t>of -65%, -55%</w:t>
      </w:r>
    </w:p>
    <w:p>
      <w:pPr>
        <w:pStyle w:val="TextBody"/>
        <w:spacing w:before="240" w:after="0"/>
        <w:jc w:val="left"/>
        <w:rPr>
          <w:rFonts w:ascii="Times New Roman" w:hAnsi="Times New Roman"/>
          <w:spacing w:val="0"/>
          <w:sz w:val="20"/>
        </w:rPr>
      </w:pPr>
      <w:r>
        <w:rPr>
          <w:rFonts w:ascii="Times New Roman" w:hAnsi="Times New Roman"/>
          <w:spacing w:val="0"/>
          <w:sz w:val="20"/>
        </w:rPr>
        <w:t>and -56%</w:t>
      </w:r>
    </w:p>
    <w:p>
      <w:pPr>
        <w:pStyle w:val="TextBody"/>
        <w:spacing w:before="240" w:after="0"/>
        <w:jc w:val="left"/>
        <w:rPr>
          <w:rFonts w:ascii="Times New Roman" w:hAnsi="Times New Roman"/>
          <w:sz w:val="20"/>
        </w:rPr>
      </w:pPr>
      <w:r>
        <w:rPr>
          <w:rFonts w:ascii="Times New Roman" w:hAnsi="Times New Roman"/>
          <w:sz w:val="20"/>
        </w:rPr>
        <w:t xml:space="preserve">were demonstrated in additional MTAP-null xenografts including models representing a diffuse large </w:t>
      </w:r>
    </w:p>
    <w:p>
      <w:pPr>
        <w:pStyle w:val="TextBody"/>
        <w:spacing w:before="240" w:after="0"/>
        <w:jc w:val="left"/>
        <w:rPr>
          <w:rFonts w:ascii="Times New Roman" w:hAnsi="Times New Roman"/>
          <w:spacing w:val="0"/>
          <w:sz w:val="20"/>
        </w:rPr>
      </w:pPr>
      <w:r>
        <w:rPr>
          <w:rFonts w:ascii="Times New Roman" w:hAnsi="Times New Roman"/>
          <w:spacing w:val="0"/>
          <w:sz w:val="20"/>
        </w:rPr>
        <w:t>B-cell lymphoma</w:t>
      </w:r>
    </w:p>
    <w:p>
      <w:pPr>
        <w:pStyle w:val="TextBody"/>
        <w:spacing w:before="240" w:after="0"/>
        <w:jc w:val="left"/>
        <w:rPr>
          <w:rFonts w:ascii="Times New Roman" w:hAnsi="Times New Roman"/>
          <w:sz w:val="20"/>
        </w:rPr>
      </w:pPr>
      <w:r>
        <w:rPr>
          <w:rFonts w:ascii="Times New Roman" w:hAnsi="Times New Roman"/>
          <w:sz w:val="20"/>
        </w:rPr>
        <w:t xml:space="preserve">cell line </w:t>
      </w:r>
    </w:p>
    <w:p>
      <w:pPr>
        <w:pStyle w:val="TextBody"/>
        <w:spacing w:before="240" w:after="0"/>
        <w:jc w:val="left"/>
        <w:rPr>
          <w:rFonts w:ascii="Times New Roman" w:hAnsi="Times New Roman"/>
          <w:spacing w:val="0"/>
          <w:sz w:val="20"/>
        </w:rPr>
      </w:pPr>
      <w:r>
        <w:rPr>
          <w:rFonts w:ascii="Times New Roman" w:hAnsi="Times New Roman"/>
          <w:spacing w:val="0"/>
          <w:sz w:val="20"/>
        </w:rPr>
        <w:t>(OCI-Ly19),</w:t>
      </w:r>
    </w:p>
    <w:p>
      <w:pPr>
        <w:pStyle w:val="TextBody"/>
        <w:spacing w:before="240" w:after="0"/>
        <w:jc w:val="left"/>
        <w:rPr>
          <w:rFonts w:ascii="Times New Roman" w:hAnsi="Times New Roman"/>
          <w:sz w:val="20"/>
        </w:rPr>
      </w:pPr>
      <w:r>
        <w:rPr>
          <w:rFonts w:ascii="Times New Roman" w:hAnsi="Times New Roman"/>
          <w:sz w:val="20"/>
        </w:rPr>
        <w:t xml:space="preserve">a glioblastoma cell line (U87MG), and a patient-derived cholangiocarcinoma xenograft, respectively.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16. TNG908 demonstrates strong antitumor activity with regressions in MTAP-null xenograft models.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686425" cy="2095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686425" cy="2095500"/>
                    </a:xfrm>
                    <a:prstGeom prst="rect">
                      <a:avLst/>
                    </a:prstGeom>
                  </pic:spPr>
                </pic:pic>
              </a:graphicData>
            </a:graphic>
          </wp:inline>
        </w:drawing>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17. TNG908 demonstrates strong, MTAP-selective antitumor activity in xenograft models.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734050" cy="1695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34050" cy="1695450"/>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 xml:space="preserve">TNG908 was evaluated in an engineered MTAP-null xenograft model, HCT116, a colon cancer cell line. Marked activity was observed at 90 mg/kg BID (Figure 16 above). In comparison, TNG908 had minimal effect on the HCT116 MTAP WT xenografts. Together with PK/PD data, these data demonstrate that TNG908 inhibition of PRMT5 suppresses tumor growth in an </w:t>
      </w:r>
    </w:p>
    <w:p>
      <w:pPr>
        <w:pStyle w:val="TextBody"/>
        <w:spacing w:before="240" w:after="0"/>
        <w:jc w:val="left"/>
        <w:rPr>
          <w:rFonts w:ascii="Times New Roman" w:hAnsi="Times New Roman"/>
          <w:spacing w:val="0"/>
          <w:sz w:val="20"/>
        </w:rPr>
      </w:pPr>
      <w:r>
        <w:rPr>
          <w:rFonts w:ascii="Times New Roman" w:hAnsi="Times New Roman"/>
          <w:spacing w:val="0"/>
          <w:sz w:val="20"/>
        </w:rPr>
        <w:t>on-target and</w:t>
      </w:r>
    </w:p>
    <w:p>
      <w:pPr>
        <w:pStyle w:val="TextBody"/>
        <w:spacing w:before="240" w:after="0"/>
        <w:jc w:val="left"/>
        <w:rPr>
          <w:rFonts w:ascii="Times New Roman" w:hAnsi="Times New Roman"/>
          <w:sz w:val="20"/>
        </w:rPr>
      </w:pPr>
      <w:r>
        <w:rPr>
          <w:rFonts w:ascii="Times New Roman" w:hAnsi="Times New Roman"/>
          <w:sz w:val="20"/>
        </w:rPr>
        <w:t xml:space="preserve">MTAP-selective manner.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Planned clinical trials </w:t>
      </w:r>
    </w:p>
    <w:p>
      <w:pPr>
        <w:pStyle w:val="TextBody"/>
        <w:spacing w:before="120" w:after="0"/>
        <w:jc w:val="left"/>
        <w:rPr>
          <w:rFonts w:ascii="Times New Roman" w:hAnsi="Times New Roman"/>
          <w:sz w:val="20"/>
        </w:rPr>
      </w:pPr>
      <w:r>
        <w:rPr>
          <w:rFonts w:ascii="Times New Roman" w:hAnsi="Times New Roman"/>
          <w:sz w:val="20"/>
        </w:rPr>
        <w:t xml:space="preserve">Upon completion of our ongoing preclinical studies and formulation work to optimize pharmacokinetics and the therapeutic index, we have designed our Phase 1/2 </w:t>
      </w:r>
    </w:p>
    <w:p>
      <w:pPr>
        <w:pStyle w:val="TextBody"/>
        <w:spacing w:before="120" w:after="0"/>
        <w:jc w:val="left"/>
        <w:rPr>
          <w:rFonts w:ascii="Times New Roman" w:hAnsi="Times New Roman"/>
          <w:spacing w:val="0"/>
          <w:sz w:val="20"/>
        </w:rPr>
      </w:pPr>
      <w:r>
        <w:rPr>
          <w:rFonts w:ascii="Times New Roman" w:hAnsi="Times New Roman"/>
          <w:spacing w:val="0"/>
          <w:sz w:val="20"/>
        </w:rPr>
        <w:t>first-in-human trial</w:t>
      </w:r>
    </w:p>
    <w:p>
      <w:pPr>
        <w:pStyle w:val="TextBody"/>
        <w:spacing w:before="120" w:after="0"/>
        <w:jc w:val="left"/>
        <w:rPr>
          <w:rFonts w:ascii="Times New Roman" w:hAnsi="Times New Roman"/>
          <w:sz w:val="20"/>
        </w:rPr>
      </w:pPr>
      <w:r>
        <w:rPr>
          <w:rFonts w:ascii="Times New Roman" w:hAnsi="Times New Roman"/>
          <w:sz w:val="20"/>
        </w:rPr>
        <w:t xml:space="preserve">to evaluate the oral administration of TNG908 monotherapy in patients with MTAP-null tumors (See Figure 17 below). Our planned indications reflect the unmet medical need for new therapies in prevalent histologies, including both squamous and </w:t>
      </w:r>
    </w:p>
    <w:p>
      <w:pPr>
        <w:pStyle w:val="TextBody"/>
        <w:spacing w:before="120" w:after="0"/>
        <w:jc w:val="left"/>
        <w:rPr>
          <w:rFonts w:ascii="Times New Roman" w:hAnsi="Times New Roman"/>
          <w:spacing w:val="0"/>
          <w:sz w:val="20"/>
        </w:rPr>
      </w:pPr>
      <w:r>
        <w:rPr>
          <w:rFonts w:ascii="Times New Roman" w:hAnsi="Times New Roman"/>
          <w:spacing w:val="0"/>
          <w:sz w:val="20"/>
        </w:rPr>
        <w:t>non-squamous non-small cell</w:t>
      </w:r>
    </w:p>
    <w:p>
      <w:pPr>
        <w:pStyle w:val="TextBody"/>
        <w:spacing w:before="120" w:after="0"/>
        <w:jc w:val="left"/>
        <w:rPr>
          <w:rFonts w:ascii="Times New Roman" w:hAnsi="Times New Roman"/>
          <w:sz w:val="20"/>
        </w:rPr>
      </w:pPr>
      <w:r>
        <w:rPr>
          <w:rFonts w:ascii="Times New Roman" w:hAnsi="Times New Roman"/>
          <w:sz w:val="20"/>
        </w:rPr>
        <w:t xml:space="preserve">lung cancer and bladder cancer as well as indications where there are limited treatment options with no standard of care, including cholangiocarcinoma and MPNST. As TNG908 is designed to selectively work in cancers with MTAP loss, we intend to limit enrollment to patients with MTAP-deleted tumors using either NGS or IHC. </w:t>
      </w:r>
    </w:p>
    <w:p>
      <w:pPr>
        <w:pStyle w:val="TextBody"/>
        <w:spacing w:before="240" w:after="0"/>
        <w:jc w:val="left"/>
        <w:rPr>
          <w:rFonts w:ascii="Times New Roman" w:hAnsi="Times New Roman"/>
          <w:sz w:val="20"/>
        </w:rPr>
      </w:pPr>
      <w:r>
        <w:rPr>
          <w:rFonts w:ascii="Times New Roman" w:hAnsi="Times New Roman"/>
          <w:sz w:val="20"/>
        </w:rPr>
        <w:t xml:space="preserve">The dose escalation phase will evaluate safety and dosing regimen in patients with locally advanced or metastatic cancer of any histology with an MTAP deletion. Following determination of the recommended dose, we will evaluate the efficacy of TNG908 in multiple separate expansion arms including NSCLC (squamous and </w:t>
      </w:r>
    </w:p>
    <w:p>
      <w:pPr>
        <w:pStyle w:val="TextBody"/>
        <w:spacing w:before="240" w:after="0"/>
        <w:jc w:val="left"/>
        <w:rPr>
          <w:rFonts w:ascii="Times New Roman" w:hAnsi="Times New Roman"/>
          <w:spacing w:val="0"/>
          <w:sz w:val="20"/>
        </w:rPr>
      </w:pPr>
      <w:r>
        <w:rPr>
          <w:rFonts w:ascii="Times New Roman" w:hAnsi="Times New Roman"/>
          <w:spacing w:val="0"/>
          <w:sz w:val="20"/>
        </w:rPr>
        <w:t>non-squamous),</w:t>
      </w:r>
    </w:p>
    <w:p>
      <w:pPr>
        <w:pStyle w:val="TextBody"/>
        <w:spacing w:before="240" w:after="0"/>
        <w:jc w:val="left"/>
        <w:rPr>
          <w:rFonts w:ascii="Times New Roman" w:hAnsi="Times New Roman"/>
          <w:sz w:val="20"/>
        </w:rPr>
      </w:pPr>
      <w:r>
        <w:rPr>
          <w:rFonts w:ascii="Times New Roman" w:hAnsi="Times New Roman"/>
          <w:sz w:val="20"/>
        </w:rPr>
        <w:t xml:space="preserve">bladder cancer, cholangiocarcinoma and MPNST. In parallel, we will enroll an MTAP-null, histology agnostic “bucket arm” to provide optionality for a registration strategy in all tumors regardless of histology if broad-based activity is observed. Given that MTAP deletion occurs in 10% to 15% of human tumors, we plan to expand into other indications based on activity observed in the histology-agnostic cohort. We anticipate filing an IND in the fourth quarter of 2021 and initiating the Phase 1/2 clinical trial of TNG908 in the first half of 2022. We expect to report preliminary safety and efficacy data for TNG908 monotherapy in the first half of 2023. This program is excluded from the Gilead Agreement.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18. TNG908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First-in-human</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trial schema.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4286250" cy="2609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286250" cy="2609850"/>
                    </a:xfrm>
                    <a:prstGeom prst="rect">
                      <a:avLst/>
                    </a:prstGeom>
                  </pic:spPr>
                </pic:pic>
              </a:graphicData>
            </a:graphic>
          </wp:inline>
        </w:drawing>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Next-generation PRMT5 Inhibitors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next-generation PRMT5 inhibitor compounds in preclinical development that use the same mechanism of action as TNG908 but may be more potent and appear to be at least as selective and more efficacious in our xenograft models to date. We believe additional potency may allow stronger target inhibition and thus clinical efficacy and additional selectivity for MTAP-null cells may provide a wider therapeutic index. Development timelines for these compounds are approximately 12 months behind TNG908.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a set of these next-generation compounds in various stages of development with increased potency, selectivity and therapeutic index. We intend to continue to advance and evaluate these compounds through preclinical testing. An exemplar of these next-generation compound potently inhibits PRMT5 in an MTAP-selective manner (data not shown) and leads to stronger tumor regression in a LN18 (glioblastoma) MTAP-null xenograft model.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19. Next-generation PRMT5 inhibitor exemplar data demonstrates strong tumor regression in the LN18 xenograft model.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048250" cy="22288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048250" cy="2228850"/>
                    </a:xfrm>
                    <a:prstGeom prst="rect">
                      <a:avLst/>
                    </a:prstGeom>
                  </pic:spPr>
                </pic:pic>
              </a:graphicData>
            </a:graphic>
          </wp:inline>
        </w:drawing>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believe our next-generation compounds have the potential to be more effective than our lead PRMT5 inhibitor, TNG908. If additional preclinical evaluation of our next-generation compounds supports this hypothesis, we may elect to promote a next-generation compound as our lead PRMT5 inhibitor, which would result in a delay to our development timeline of approximately 12 months.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early development programs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USP1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Using our CRISPR-based target discovery platform, we discovered USP1 as a strong synthetic lethal target for BRCA1, but not BRCA2, loss reflected in Figure 20 below. This discovery has since been independently reported and published by several other groups. We are developing a potent, potentially differentiated molecule targeting BRCA1-mutant breast, ovarian, and prostate cancer with plans to file an IND in 2022. USP1 inhibitor has the potential to treat a patient population that is comparable in size to approximately half of the PARP inhibitor market (BRCA1 and BRCA2). BRCA1 mutation is present in approximately 15% of ovarian cancer, 5% of breast cancer, and 1% of prostate cancer.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20. Volcano plot shows analysis of CRISPR screens performed in a panel of BRCA1 WT vs. mut cell lines where knockout of USP1 using multiple independent single strand guide RNAs (sgRNAs) leads to selective killing of BRCA1 mutant tumor cells. The clinically proven PARP-BRCA interaction was also identified in this screen as expected.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2686050" cy="2457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686050" cy="2457450"/>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 xml:space="preserve">USP1 is a deubiquitinating enzyme that facilitates DNA damage response, or DDR, repair. Our preclinical pharmacology studies show that USP1 tool inhibitor halt the proliferation of cancer cell lines with BRCA1 mutations, as well as a subset of </w:t>
      </w:r>
    </w:p>
    <w:p>
      <w:pPr>
        <w:pStyle w:val="TextBody"/>
        <w:spacing w:before="240" w:after="0"/>
        <w:jc w:val="left"/>
        <w:rPr>
          <w:rFonts w:ascii="Times New Roman" w:hAnsi="Times New Roman"/>
          <w:spacing w:val="0"/>
          <w:sz w:val="20"/>
        </w:rPr>
      </w:pPr>
      <w:r>
        <w:rPr>
          <w:rFonts w:ascii="Times New Roman" w:hAnsi="Times New Roman"/>
          <w:spacing w:val="0"/>
          <w:sz w:val="20"/>
        </w:rPr>
        <w:t>non-small cell</w:t>
      </w:r>
    </w:p>
    <w:p>
      <w:pPr>
        <w:pStyle w:val="TextBody"/>
        <w:spacing w:before="240" w:after="0"/>
        <w:jc w:val="left"/>
        <w:rPr>
          <w:rFonts w:ascii="Times New Roman" w:hAnsi="Times New Roman"/>
          <w:sz w:val="20"/>
        </w:rPr>
      </w:pPr>
      <w:r>
        <w:rPr>
          <w:rFonts w:ascii="Times New Roman" w:hAnsi="Times New Roman"/>
          <w:sz w:val="20"/>
        </w:rPr>
        <w:t xml:space="preserve">lung cancer cell lines that do not have BRCA1 mutations. We are currently conducting experiments to define patient selection markers for these BRCA1 WT cell lines. </w:t>
      </w:r>
    </w:p>
    <w:p>
      <w:pPr>
        <w:pStyle w:val="TextBody"/>
        <w:spacing w:before="240" w:after="0"/>
        <w:jc w:val="left"/>
        <w:rPr>
          <w:rFonts w:ascii="Times New Roman" w:hAnsi="Times New Roman"/>
          <w:sz w:val="20"/>
        </w:rPr>
      </w:pPr>
      <w:r>
        <w:rPr>
          <w:rFonts w:ascii="Times New Roman" w:hAnsi="Times New Roman"/>
          <w:sz w:val="20"/>
        </w:rPr>
        <w:t xml:space="preserve">Our lead series demonstrate nanomolar potency against USP1, as measured by cytotoxicity in BRCA1 mutant cells, and upregulation of mono-ubiquitinated PCNA. Consistent with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 vitro</w:t>
      </w:r>
    </w:p>
    <w:p>
      <w:pPr>
        <w:pStyle w:val="TextBody"/>
        <w:spacing w:before="240" w:after="0"/>
        <w:jc w:val="left"/>
        <w:rPr>
          <w:rFonts w:ascii="Times New Roman" w:hAnsi="Times New Roman"/>
          <w:sz w:val="20"/>
        </w:rPr>
      </w:pPr>
      <w:r>
        <w:rPr>
          <w:rFonts w:ascii="Times New Roman" w:hAnsi="Times New Roman"/>
          <w:sz w:val="20"/>
        </w:rPr>
        <w:t xml:space="preserve">data, our USP1 inhibitors exhibit potent anti-tumor activity in </w:t>
      </w:r>
    </w:p>
    <w:p>
      <w:pPr>
        <w:pStyle w:val="TextBody"/>
        <w:spacing w:before="240" w:after="0"/>
        <w:jc w:val="left"/>
        <w:rPr>
          <w:rFonts w:ascii="Times New Roman" w:hAnsi="Times New Roman"/>
          <w:spacing w:val="0"/>
          <w:sz w:val="20"/>
        </w:rPr>
      </w:pPr>
      <w:r>
        <w:rPr>
          <w:rFonts w:ascii="Times New Roman" w:hAnsi="Times New Roman"/>
          <w:spacing w:val="0"/>
          <w:sz w:val="20"/>
        </w:rPr>
        <w:t>MDA-MB-436 xenograft</w:t>
      </w:r>
    </w:p>
    <w:p>
      <w:pPr>
        <w:pStyle w:val="TextBody"/>
        <w:spacing w:before="240" w:after="0"/>
        <w:jc w:val="left"/>
        <w:rPr>
          <w:rFonts w:ascii="Times New Roman" w:hAnsi="Times New Roman"/>
          <w:sz w:val="20"/>
        </w:rPr>
      </w:pPr>
      <w:r>
        <w:rPr>
          <w:rFonts w:ascii="Times New Roman" w:hAnsi="Times New Roman"/>
          <w:sz w:val="20"/>
        </w:rPr>
        <w:t xml:space="preserve">model (BRCA1 mutant breast cancer cell line).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21. Tango lead series USP1 inhibitor demonstrates selective viability effect and target engagement.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495925" cy="22098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495925" cy="2209800"/>
                    </a:xfrm>
                    <a:prstGeom prst="rect">
                      <a:avLst/>
                    </a:prstGeom>
                  </pic:spPr>
                </pic:pic>
              </a:graphicData>
            </a:graphic>
          </wp:inline>
        </w:drawing>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(Left) In vitro assay demonstrating cellular viability effects in exemplar BRCA1 mutant but not WT cell line following ten days of compound treatment. (Right) In vitro assay demonstrating dose dependent increase in monoubiquitinated PCNA, a USP1 substrate, in BRCA1 mutant cell line following 24 hours of treatment.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22. Lead series USP1 inhibitor demonstrates anti-tumor activity in vivo.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3505200" cy="2286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505200" cy="2286000"/>
                    </a:xfrm>
                    <a:prstGeom prst="rect">
                      <a:avLst/>
                    </a:prstGeom>
                  </pic:spPr>
                </pic:pic>
              </a:graphicData>
            </a:graphic>
          </wp:inline>
        </w:drawing>
      </w:r>
    </w:p>
    <w:p>
      <w:pPr>
        <w:pStyle w:val="TextBody"/>
        <w:spacing w:before="240" w:after="0"/>
        <w:jc w:val="left"/>
        <w:rPr>
          <w:rFonts w:ascii="Times New Roman" w:hAnsi="Times New Roman"/>
          <w:sz w:val="20"/>
        </w:rPr>
      </w:pPr>
      <w:r>
        <w:rPr>
          <w:rFonts w:ascii="Times New Roman" w:hAnsi="Times New Roman"/>
          <w:sz w:val="20"/>
        </w:rPr>
        <w:t xml:space="preserve">The DDR pathways regulated by USP1 are not currently targeted by any clinical stage compounds. Moreover, we performed genome-wide CRISPR-Cas9 screens in the presence and absence of our USP1 inhibitor tool compounds and confirmed that USP1 inhibition has a differentiated and novel mechanism of action relative to other </w:t>
      </w:r>
    </w:p>
    <w:p>
      <w:pPr>
        <w:pStyle w:val="TextBody"/>
        <w:spacing w:before="240" w:after="0"/>
        <w:jc w:val="left"/>
        <w:rPr>
          <w:rFonts w:ascii="Times New Roman" w:hAnsi="Times New Roman"/>
          <w:spacing w:val="0"/>
          <w:sz w:val="20"/>
        </w:rPr>
      </w:pPr>
      <w:r>
        <w:rPr>
          <w:rFonts w:ascii="Times New Roman" w:hAnsi="Times New Roman"/>
          <w:spacing w:val="0"/>
          <w:sz w:val="20"/>
        </w:rPr>
        <w:t>DDR-based inhibitors,</w:t>
      </w:r>
    </w:p>
    <w:p>
      <w:pPr>
        <w:pStyle w:val="TextBody"/>
        <w:spacing w:before="240" w:after="0"/>
        <w:jc w:val="left"/>
        <w:rPr>
          <w:rFonts w:ascii="Times New Roman" w:hAnsi="Times New Roman"/>
          <w:sz w:val="20"/>
        </w:rPr>
      </w:pPr>
      <w:r>
        <w:rPr>
          <w:rFonts w:ascii="Times New Roman" w:hAnsi="Times New Roman"/>
          <w:sz w:val="20"/>
        </w:rPr>
        <w:t xml:space="preserve">including PARP inhibitors. We expect this molecule to have both single agent activity in PARPi-naïve and most PARPi-resistant BRCA1 mutant cancers and to synergize with PARP inhibitors. Additional patient selection markers are being evaluated in BRCA1 WT populations with or without homologous recombination deficiency, particularly in a subset of </w:t>
      </w:r>
    </w:p>
    <w:p>
      <w:pPr>
        <w:pStyle w:val="TextBody"/>
        <w:spacing w:before="240" w:after="0"/>
        <w:jc w:val="left"/>
        <w:rPr>
          <w:rFonts w:ascii="Times New Roman" w:hAnsi="Times New Roman"/>
          <w:spacing w:val="0"/>
          <w:sz w:val="20"/>
        </w:rPr>
      </w:pPr>
      <w:r>
        <w:rPr>
          <w:rFonts w:ascii="Times New Roman" w:hAnsi="Times New Roman"/>
          <w:spacing w:val="0"/>
          <w:sz w:val="20"/>
        </w:rPr>
        <w:t>non-small cell</w:t>
      </w:r>
    </w:p>
    <w:p>
      <w:pPr>
        <w:pStyle w:val="TextBody"/>
        <w:spacing w:before="240" w:after="0"/>
        <w:jc w:val="left"/>
        <w:rPr>
          <w:rFonts w:ascii="Times New Roman" w:hAnsi="Times New Roman"/>
          <w:sz w:val="20"/>
        </w:rPr>
      </w:pPr>
      <w:r>
        <w:rPr>
          <w:rFonts w:ascii="Times New Roman" w:hAnsi="Times New Roman"/>
          <w:sz w:val="20"/>
        </w:rPr>
        <w:t xml:space="preserve">lung cancer cell lines sensitive to USP1 inhibition. This program is excluded from the Gilead Agreement.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23. USP1 inhibition sensitizes PARP inhibitor in BRCA1 mutant context.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5762625" cy="19431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62625" cy="1943100"/>
                    </a:xfrm>
                    <a:prstGeom prst="rect">
                      <a:avLst/>
                    </a:prstGeom>
                  </pic:spPr>
                </pic:pic>
              </a:graphicData>
            </a:graphic>
          </wp:inline>
        </w:drawing>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 vitro assay demonstrating cellular viability effects in SUM149PT BRCA1-isogenic cell lines following seven days of olaparib treatment, in the presence and absence of USP1 inhibitor. </w:t>
      </w:r>
    </w:p>
    <w:p>
      <w:pPr>
        <w:pStyle w:val="TextBody"/>
        <w:spacing w:before="360" w:after="0"/>
        <w:jc w:val="left"/>
        <w:rPr>
          <w:rFonts w:ascii="Times New Roman" w:hAnsi="Times New Roman"/>
          <w:b/>
          <w:sz w:val="20"/>
        </w:rPr>
      </w:pPr>
      <w:r>
        <w:rPr>
          <w:rFonts w:ascii="Times New Roman" w:hAnsi="Times New Roman"/>
          <w:b/>
          <w:sz w:val="20"/>
        </w:rPr>
        <w:t xml:space="preserve">Reversing Immune Evasion in lung cancer with STK11 </w:t>
      </w:r>
    </w:p>
    <w:p>
      <w:pPr>
        <w:pStyle w:val="TextBody"/>
        <w:spacing w:before="360" w:after="0"/>
        <w:jc w:val="left"/>
        <w:rPr>
          <w:rFonts w:ascii="Times New Roman" w:hAnsi="Times New Roman"/>
          <w:b/>
          <w:spacing w:val="0"/>
          <w:sz w:val="20"/>
        </w:rPr>
      </w:pPr>
      <w:r>
        <w:rPr>
          <w:rFonts w:ascii="Times New Roman" w:hAnsi="Times New Roman"/>
          <w:b/>
          <w:spacing w:val="0"/>
          <w:sz w:val="20"/>
        </w:rPr>
        <w:t>loss-of-function</w:t>
      </w:r>
    </w:p>
    <w:p>
      <w:pPr>
        <w:pStyle w:val="TextBody"/>
        <w:spacing w:before="120" w:after="0"/>
        <w:jc w:val="left"/>
        <w:rPr>
          <w:rFonts w:ascii="Times New Roman" w:hAnsi="Times New Roman"/>
          <w:sz w:val="20"/>
        </w:rPr>
      </w:pPr>
      <w:r>
        <w:rPr>
          <w:rFonts w:ascii="Times New Roman" w:hAnsi="Times New Roman"/>
          <w:sz w:val="20"/>
        </w:rPr>
        <w:t>Using</w:t>
      </w:r>
    </w:p>
    <w:p>
      <w:pPr>
        <w:pStyle w:val="TextBody"/>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vivo</w:t>
      </w:r>
    </w:p>
    <w:p>
      <w:pPr>
        <w:pStyle w:val="TextBody"/>
        <w:spacing w:before="120" w:after="0"/>
        <w:jc w:val="left"/>
        <w:rPr/>
      </w:pPr>
      <w:r>
        <w:rPr/>
        <w:t> </w:t>
      </w:r>
      <w:r>
        <w:rPr>
          <w:rFonts w:ascii="Times New Roman" w:hAnsi="Times New Roman"/>
          <w:sz w:val="20"/>
        </w:rPr>
        <w:t xml:space="preserve">CRISPR-based screens in mouse syngeneic tumor models, we identified serine-threonine kinase 11 (STK11) </w:t>
      </w:r>
    </w:p>
    <w:p>
      <w:pPr>
        <w:pStyle w:val="TextBody"/>
        <w:spacing w:before="120" w:after="0"/>
        <w:jc w:val="left"/>
        <w:rPr>
          <w:rFonts w:ascii="Times New Roman" w:hAnsi="Times New Roman"/>
          <w:spacing w:val="0"/>
          <w:sz w:val="20"/>
        </w:rPr>
      </w:pPr>
      <w:r>
        <w:rPr>
          <w:rFonts w:ascii="Times New Roman" w:hAnsi="Times New Roman"/>
          <w:spacing w:val="0"/>
          <w:sz w:val="20"/>
        </w:rPr>
        <w:t>loss-of-function mutations,</w:t>
      </w:r>
    </w:p>
    <w:p>
      <w:pPr>
        <w:pStyle w:val="TextBody"/>
        <w:spacing w:before="120" w:after="0"/>
        <w:jc w:val="left"/>
        <w:rPr>
          <w:rFonts w:ascii="Times New Roman" w:hAnsi="Times New Roman"/>
          <w:sz w:val="20"/>
        </w:rPr>
      </w:pPr>
      <w:r>
        <w:rPr>
          <w:rFonts w:ascii="Times New Roman" w:hAnsi="Times New Roman"/>
          <w:sz w:val="20"/>
        </w:rPr>
        <w:t xml:space="preserve">a genetic alteration in approximately 20% of </w:t>
      </w:r>
    </w:p>
    <w:p>
      <w:pPr>
        <w:pStyle w:val="TextBody"/>
        <w:spacing w:before="120" w:after="0"/>
        <w:jc w:val="left"/>
        <w:rPr>
          <w:rFonts w:ascii="Times New Roman" w:hAnsi="Times New Roman"/>
          <w:spacing w:val="0"/>
          <w:sz w:val="20"/>
        </w:rPr>
      </w:pPr>
      <w:r>
        <w:rPr>
          <w:rFonts w:ascii="Times New Roman" w:hAnsi="Times New Roman"/>
          <w:spacing w:val="0"/>
          <w:sz w:val="20"/>
        </w:rPr>
        <w:t>non-small cell</w:t>
      </w:r>
    </w:p>
    <w:p>
      <w:pPr>
        <w:pStyle w:val="TextBody"/>
        <w:spacing w:before="120" w:after="0"/>
        <w:jc w:val="left"/>
        <w:rPr>
          <w:rFonts w:ascii="Times New Roman" w:hAnsi="Times New Roman"/>
          <w:sz w:val="20"/>
        </w:rPr>
      </w:pPr>
      <w:r>
        <w:rPr>
          <w:rFonts w:ascii="Times New Roman" w:hAnsi="Times New Roman"/>
          <w:sz w:val="20"/>
        </w:rPr>
        <w:t xml:space="preserve">lung cancer, as a tumor suppressor gene that when inactivated confers resistance to the efficacy of </w:t>
      </w:r>
    </w:p>
    <w:p>
      <w:pPr>
        <w:pStyle w:val="TextBody"/>
        <w:spacing w:before="120" w:after="0"/>
        <w:jc w:val="left"/>
        <w:rPr>
          <w:rFonts w:ascii="Times New Roman" w:hAnsi="Times New Roman"/>
          <w:spacing w:val="0"/>
          <w:sz w:val="20"/>
        </w:rPr>
      </w:pPr>
      <w:r>
        <w:rPr>
          <w:rFonts w:ascii="Times New Roman" w:hAnsi="Times New Roman"/>
          <w:spacing w:val="0"/>
          <w:sz w:val="20"/>
        </w:rPr>
        <w:t>PD-1 immune</w:t>
      </w:r>
    </w:p>
    <w:p>
      <w:pPr>
        <w:pStyle w:val="TextBody"/>
        <w:spacing w:before="120" w:after="0"/>
        <w:jc w:val="left"/>
        <w:rPr>
          <w:rFonts w:ascii="Times New Roman" w:hAnsi="Times New Roman"/>
          <w:sz w:val="20"/>
        </w:rPr>
      </w:pPr>
      <w:r>
        <w:rPr>
          <w:rFonts w:ascii="Times New Roman" w:hAnsi="Times New Roman"/>
          <w:sz w:val="20"/>
        </w:rPr>
        <w:t xml:space="preserve">checkpoint inhibitors. STK11 </w:t>
      </w:r>
    </w:p>
    <w:p>
      <w:pPr>
        <w:pStyle w:val="TextBody"/>
        <w:spacing w:before="120" w:after="0"/>
        <w:jc w:val="left"/>
        <w:rPr>
          <w:rFonts w:ascii="Times New Roman" w:hAnsi="Times New Roman"/>
          <w:spacing w:val="0"/>
          <w:sz w:val="20"/>
        </w:rPr>
      </w:pPr>
      <w:r>
        <w:rPr>
          <w:rFonts w:ascii="Times New Roman" w:hAnsi="Times New Roman"/>
          <w:spacing w:val="0"/>
          <w:sz w:val="20"/>
        </w:rPr>
        <w:t>loss-of-function mutations trigger</w:t>
      </w:r>
    </w:p>
    <w:p>
      <w:pPr>
        <w:pStyle w:val="TextBody"/>
        <w:spacing w:before="120" w:after="0"/>
        <w:jc w:val="left"/>
        <w:rPr>
          <w:rFonts w:ascii="Times New Roman" w:hAnsi="Times New Roman"/>
          <w:sz w:val="20"/>
        </w:rPr>
      </w:pPr>
      <w:r>
        <w:rPr>
          <w:rFonts w:ascii="Times New Roman" w:hAnsi="Times New Roman"/>
          <w:sz w:val="20"/>
        </w:rPr>
        <w:t xml:space="preserve">complex changes in both cancer cell signaling and in the broader tumor microenvironment. Retrospective analysis of human clinical data by Dr. Ferdinandos Skoulidis, Dr. John Heymach and others (MD Anderson Cancer Center) subsequently identified STK11 as a marker for the lack of durable clinical benefit to pembrolizumab + chemotherapy in </w:t>
      </w:r>
    </w:p>
    <w:p>
      <w:pPr>
        <w:pStyle w:val="TextBody"/>
        <w:spacing w:before="120" w:after="0"/>
        <w:jc w:val="left"/>
        <w:rPr>
          <w:rFonts w:ascii="Times New Roman" w:hAnsi="Times New Roman"/>
          <w:spacing w:val="0"/>
          <w:sz w:val="20"/>
        </w:rPr>
      </w:pPr>
      <w:r>
        <w:rPr>
          <w:rFonts w:ascii="Times New Roman" w:hAnsi="Times New Roman"/>
          <w:spacing w:val="0"/>
          <w:sz w:val="20"/>
        </w:rPr>
        <w:t>non-small cell</w:t>
      </w:r>
    </w:p>
    <w:p>
      <w:pPr>
        <w:pStyle w:val="TextBody"/>
        <w:spacing w:before="120" w:after="0"/>
        <w:jc w:val="left"/>
        <w:rPr>
          <w:rFonts w:ascii="Times New Roman" w:hAnsi="Times New Roman"/>
          <w:sz w:val="20"/>
        </w:rPr>
      </w:pPr>
      <w:r>
        <w:rPr>
          <w:rFonts w:ascii="Times New Roman" w:hAnsi="Times New Roman"/>
          <w:sz w:val="20"/>
        </w:rPr>
        <w:t xml:space="preserve">lung cancer patients, demonstrating that STK11 </w:t>
      </w:r>
    </w:p>
    <w:p>
      <w:pPr>
        <w:pStyle w:val="TextBody"/>
        <w:spacing w:before="120" w:after="0"/>
        <w:jc w:val="left"/>
        <w:rPr>
          <w:rFonts w:ascii="Times New Roman" w:hAnsi="Times New Roman"/>
          <w:spacing w:val="0"/>
          <w:sz w:val="20"/>
        </w:rPr>
      </w:pPr>
      <w:r>
        <w:rPr>
          <w:rFonts w:ascii="Times New Roman" w:hAnsi="Times New Roman"/>
          <w:spacing w:val="0"/>
          <w:sz w:val="20"/>
        </w:rPr>
        <w:t>loss-of-function in</w:t>
      </w:r>
    </w:p>
    <w:p>
      <w:pPr>
        <w:pStyle w:val="TextBody"/>
        <w:spacing w:before="120" w:after="0"/>
        <w:jc w:val="left"/>
        <w:rPr>
          <w:rFonts w:ascii="Times New Roman" w:hAnsi="Times New Roman"/>
          <w:sz w:val="20"/>
        </w:rPr>
      </w:pPr>
      <w:r>
        <w:rPr>
          <w:rFonts w:ascii="Times New Roman" w:hAnsi="Times New Roman"/>
          <w:sz w:val="20"/>
        </w:rPr>
        <w:t xml:space="preserve">lung cancer correlates with primary resistance to </w:t>
      </w:r>
    </w:p>
    <w:p>
      <w:pPr>
        <w:pStyle w:val="TextBody"/>
        <w:spacing w:before="120" w:after="0"/>
        <w:jc w:val="left"/>
        <w:rPr>
          <w:rFonts w:ascii="Times New Roman" w:hAnsi="Times New Roman"/>
          <w:spacing w:val="0"/>
          <w:sz w:val="20"/>
        </w:rPr>
      </w:pPr>
      <w:r>
        <w:rPr>
          <w:rFonts w:ascii="Times New Roman" w:hAnsi="Times New Roman"/>
          <w:spacing w:val="0"/>
          <w:sz w:val="20"/>
        </w:rPr>
        <w:t>anti-PD-1 therapy.</w:t>
      </w:r>
    </w:p>
    <w:p>
      <w:pPr>
        <w:pStyle w:val="TextBody"/>
        <w:spacing w:before="240" w:after="0"/>
        <w:jc w:val="left"/>
        <w:rPr>
          <w:rFonts w:ascii="Times New Roman" w:hAnsi="Times New Roman"/>
          <w:sz w:val="20"/>
        </w:rPr>
      </w:pPr>
      <w:r>
        <w:rPr>
          <w:rFonts w:ascii="Times New Roman" w:hAnsi="Times New Roman"/>
          <w:sz w:val="20"/>
        </w:rPr>
        <w:t xml:space="preserve">We have generated genetically engineered mouse tumor models that consistently recapitulate the immunosuppressive microenvironment caused by genetic STK11 </w:t>
      </w:r>
    </w:p>
    <w:p>
      <w:pPr>
        <w:pStyle w:val="TextBody"/>
        <w:spacing w:before="240" w:after="0"/>
        <w:jc w:val="left"/>
        <w:rPr>
          <w:rFonts w:ascii="Times New Roman" w:hAnsi="Times New Roman"/>
          <w:spacing w:val="0"/>
          <w:sz w:val="20"/>
        </w:rPr>
      </w:pPr>
      <w:r>
        <w:rPr>
          <w:rFonts w:ascii="Times New Roman" w:hAnsi="Times New Roman"/>
          <w:spacing w:val="0"/>
          <w:sz w:val="20"/>
        </w:rPr>
        <w:t>loss-of-function mutations</w:t>
      </w:r>
    </w:p>
    <w:p>
      <w:pPr>
        <w:pStyle w:val="TextBody"/>
        <w:spacing w:before="240" w:after="0"/>
        <w:jc w:val="left"/>
        <w:rPr>
          <w:rFonts w:ascii="Times New Roman" w:hAnsi="Times New Roman"/>
          <w:sz w:val="20"/>
        </w:rPr>
      </w:pPr>
      <w:r>
        <w:rPr>
          <w:rFonts w:ascii="Times New Roman" w:hAnsi="Times New Roman"/>
          <w:sz w:val="20"/>
        </w:rPr>
        <w:t xml:space="preserve">and have conducted several target discovery screens using these same models. We now have strong genetic and pharmacologic validation showing reprogramming of the tumor microenvironment and strong sensitization to </w:t>
      </w:r>
    </w:p>
    <w:p>
      <w:pPr>
        <w:pStyle w:val="TextBody"/>
        <w:spacing w:before="240" w:after="0"/>
        <w:jc w:val="left"/>
        <w:rPr>
          <w:rFonts w:ascii="Times New Roman" w:hAnsi="Times New Roman"/>
          <w:spacing w:val="0"/>
          <w:sz w:val="20"/>
        </w:rPr>
      </w:pPr>
      <w:r>
        <w:rPr>
          <w:rFonts w:ascii="Times New Roman" w:hAnsi="Times New Roman"/>
          <w:spacing w:val="0"/>
          <w:sz w:val="20"/>
        </w:rPr>
        <w:t>anti-PD1 therapy</w:t>
      </w:r>
    </w:p>
    <w:p>
      <w:pPr>
        <w:pStyle w:val="TextBody"/>
        <w:spacing w:before="240" w:after="0"/>
        <w:jc w:val="left"/>
        <w:rPr>
          <w:rFonts w:ascii="Times New Roman" w:hAnsi="Times New Roman"/>
          <w:sz w:val="20"/>
        </w:rPr>
      </w:pPr>
      <w:r>
        <w:rPr>
          <w:rFonts w:ascii="Times New Roman" w:hAnsi="Times New Roman"/>
          <w:sz w:val="20"/>
        </w:rPr>
        <w:t xml:space="preserve">in a STK11-mutant dependent manner.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Figure 24: Pharmacologic target validation in STK11 mutant MC38 mice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3762375" cy="2095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762375" cy="2095500"/>
                    </a:xfrm>
                    <a:prstGeom prst="rect">
                      <a:avLst/>
                    </a:prstGeom>
                  </pic:spPr>
                </pic:pic>
              </a:graphicData>
            </a:graphic>
          </wp:inline>
        </w:drawing>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 Target 3 inhibitor tool compound validates the genetic interaction with STK11 in vivo. Mice were treated with the Target 3 inhibitor for 18 days after tumor implantation either alone or in combination with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anti-PD1 therapy.</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Treatment was stopped at day 18, and all surviving animals on study were sacrificed at day 24. Nine out of ten mice in the Target 3i + PD1 combination arm had no detectable tumor at endpoint. </w:t>
      </w:r>
    </w:p>
    <w:p>
      <w:pPr>
        <w:pStyle w:val="TextBody"/>
        <w:spacing w:before="240" w:after="0"/>
        <w:jc w:val="left"/>
        <w:rPr>
          <w:rFonts w:ascii="Times New Roman" w:hAnsi="Times New Roman"/>
          <w:sz w:val="20"/>
        </w:rPr>
      </w:pPr>
      <w:r>
        <w:rPr>
          <w:rFonts w:ascii="Times New Roman" w:hAnsi="Times New Roman"/>
          <w:sz w:val="20"/>
        </w:rPr>
        <w:t xml:space="preserve">Clinically, </w:t>
      </w:r>
    </w:p>
    <w:p>
      <w:pPr>
        <w:pStyle w:val="TextBody"/>
        <w:spacing w:before="240" w:after="0"/>
        <w:jc w:val="left"/>
        <w:rPr>
          <w:rFonts w:ascii="Times New Roman" w:hAnsi="Times New Roman"/>
          <w:spacing w:val="0"/>
          <w:sz w:val="20"/>
        </w:rPr>
      </w:pPr>
      <w:r>
        <w:rPr>
          <w:rFonts w:ascii="Times New Roman" w:hAnsi="Times New Roman"/>
          <w:spacing w:val="0"/>
          <w:sz w:val="20"/>
        </w:rPr>
        <w:t>loss-of-function mutations</w:t>
      </w:r>
    </w:p>
    <w:p>
      <w:pPr>
        <w:pStyle w:val="TextBody"/>
        <w:spacing w:before="240" w:after="0"/>
        <w:jc w:val="left"/>
        <w:rPr>
          <w:rFonts w:ascii="Times New Roman" w:hAnsi="Times New Roman"/>
          <w:sz w:val="20"/>
        </w:rPr>
      </w:pPr>
      <w:r>
        <w:rPr>
          <w:rFonts w:ascii="Times New Roman" w:hAnsi="Times New Roman"/>
          <w:sz w:val="20"/>
        </w:rPr>
        <w:t xml:space="preserve">in the tumor suppressor gene STK11 are strongly associated with immune checkpoint inhibitor resistance. We have generated clinically relevant mouse models of STK11-mutant cancers and used these models to discover novel targets to reverse the immune evasion effect of this genetic alteration, summarized in Figure 24 above. In these models, treatment with tool compounds against this target are highly synergistic combined with </w:t>
      </w:r>
    </w:p>
    <w:p>
      <w:pPr>
        <w:pStyle w:val="TextBody"/>
        <w:spacing w:before="240" w:after="0"/>
        <w:jc w:val="left"/>
        <w:rPr>
          <w:rFonts w:ascii="Times New Roman" w:hAnsi="Times New Roman"/>
          <w:spacing w:val="0"/>
          <w:sz w:val="20"/>
        </w:rPr>
      </w:pPr>
      <w:r>
        <w:rPr>
          <w:rFonts w:ascii="Times New Roman" w:hAnsi="Times New Roman"/>
          <w:spacing w:val="0"/>
          <w:sz w:val="20"/>
        </w:rPr>
        <w:t>anti-PD1 therapy.</w:t>
      </w:r>
    </w:p>
    <w:p>
      <w:pPr>
        <w:pStyle w:val="TextBody"/>
        <w:spacing w:before="240" w:after="0"/>
        <w:jc w:val="left"/>
        <w:rPr>
          <w:rFonts w:ascii="Times New Roman" w:hAnsi="Times New Roman"/>
          <w:sz w:val="20"/>
        </w:rPr>
      </w:pPr>
      <w:r>
        <w:rPr>
          <w:rFonts w:ascii="Times New Roman" w:hAnsi="Times New Roman"/>
          <w:sz w:val="20"/>
        </w:rPr>
        <w:t xml:space="preserve">In this experiment, mice were treated for 18 days after tumor implantation, treatment was stopped at day 18, animals were sacrificed at day 24, and nine out of ten mice were found to have no detectable tumor at that time. </w:t>
      </w:r>
    </w:p>
    <w:p>
      <w:pPr>
        <w:pStyle w:val="TextBody"/>
        <w:spacing w:before="240" w:after="0"/>
        <w:jc w:val="left"/>
        <w:rPr>
          <w:rFonts w:ascii="Times New Roman" w:hAnsi="Times New Roman"/>
          <w:sz w:val="20"/>
        </w:rPr>
      </w:pPr>
      <w:r>
        <w:rPr>
          <w:rFonts w:ascii="Times New Roman" w:hAnsi="Times New Roman"/>
          <w:sz w:val="20"/>
        </w:rPr>
        <w:t xml:space="preserve">We anticipate advancing a clinical candidate targeting this undisclosed immune evasion target (Target 3) </w:t>
      </w:r>
    </w:p>
    <w:p>
      <w:pPr>
        <w:pStyle w:val="TextBody"/>
        <w:spacing w:before="240" w:after="0"/>
        <w:jc w:val="left"/>
        <w:rPr>
          <w:rFonts w:ascii="Times New Roman" w:hAnsi="Times New Roman"/>
          <w:spacing w:val="0"/>
          <w:sz w:val="20"/>
        </w:rPr>
      </w:pPr>
      <w:r>
        <w:rPr>
          <w:rFonts w:ascii="Times New Roman" w:hAnsi="Times New Roman"/>
          <w:spacing w:val="0"/>
          <w:sz w:val="20"/>
        </w:rPr>
        <w:t>into IND-enabling studies</w:t>
      </w:r>
    </w:p>
    <w:p>
      <w:pPr>
        <w:pStyle w:val="TextBody"/>
        <w:spacing w:before="240" w:after="0"/>
        <w:jc w:val="left"/>
        <w:rPr>
          <w:rFonts w:ascii="Times New Roman" w:hAnsi="Times New Roman"/>
          <w:sz w:val="20"/>
        </w:rPr>
      </w:pPr>
      <w:r>
        <w:rPr>
          <w:rFonts w:ascii="Times New Roman" w:hAnsi="Times New Roman"/>
          <w:sz w:val="20"/>
        </w:rPr>
        <w:t xml:space="preserve">in the second half of 2022. The clinical development plan for this program in STK11-mutant lung cancer will combine the power of genetic patient selection for immunotherapy with a novel approach to reversing tumor-intrinsic immune evasion. This program is excluded from the Gilead Agreement.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Collaboration and License Agreements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Collaboration and License Agreement with Gilead Sciences </w:t>
      </w:r>
    </w:p>
    <w:p>
      <w:pPr>
        <w:pStyle w:val="TextBody"/>
        <w:spacing w:before="120" w:after="0"/>
        <w:jc w:val="left"/>
        <w:rPr>
          <w:rFonts w:ascii="Times New Roman" w:hAnsi="Times New Roman"/>
          <w:sz w:val="20"/>
        </w:rPr>
      </w:pPr>
      <w:r>
        <w:rPr>
          <w:rFonts w:ascii="Times New Roman" w:hAnsi="Times New Roman"/>
          <w:sz w:val="20"/>
        </w:rPr>
        <w:t xml:space="preserve">In August 2020, we entered into an amended and restated research collaboration and license agreement, which we refer to as the Gilead Agreement, with Gilead. The Gilead Agreement expanded our 2018 collaboration with Gilead, or the 2018 Gilead Agreement. Pursuant to the Gilead Agreement we will use our proprietary functional genomics-based discovery platform to identify and develop novel immune evasion targets during a seven-year period,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w:t>
      </w:r>
    </w:p>
    <w:p>
      <w:pPr>
        <w:pStyle w:val="TextBody"/>
        <w:spacing w:before="120" w:after="0"/>
        <w:jc w:val="left"/>
        <w:rPr>
          <w:rFonts w:ascii="Times New Roman" w:hAnsi="Times New Roman"/>
          <w:spacing w:val="0"/>
          <w:sz w:val="20"/>
        </w:rPr>
      </w:pPr>
      <w:r>
        <w:rPr>
          <w:rFonts w:ascii="Times New Roman" w:hAnsi="Times New Roman"/>
          <w:spacing w:val="0"/>
          <w:sz w:val="20"/>
        </w:rPr>
        <w:t>co-promote the</w:t>
      </w:r>
    </w:p>
    <w:p>
      <w:pPr>
        <w:pStyle w:val="TextBody"/>
        <w:spacing w:before="120" w:after="0"/>
        <w:jc w:val="left"/>
        <w:rPr>
          <w:rFonts w:ascii="Times New Roman" w:hAnsi="Times New Roman"/>
          <w:sz w:val="20"/>
        </w:rPr>
      </w:pPr>
      <w:r>
        <w:rPr>
          <w:rFonts w:ascii="Times New Roman" w:hAnsi="Times New Roman"/>
          <w:sz w:val="20"/>
        </w:rPr>
        <w:t xml:space="preserve">lead product for such program in the United States, subject to certain exceptions, and eligible to receive milestone payments and royalties on </w:t>
      </w:r>
    </w:p>
    <w:p>
      <w:pPr>
        <w:pStyle w:val="TextBody"/>
        <w:spacing w:before="120" w:after="0"/>
        <w:jc w:val="left"/>
        <w:rPr>
          <w:rFonts w:ascii="Times New Roman" w:hAnsi="Times New Roman"/>
          <w:spacing w:val="0"/>
          <w:sz w:val="20"/>
        </w:rPr>
      </w:pPr>
      <w:r>
        <w:rPr>
          <w:rFonts w:ascii="Times New Roman" w:hAnsi="Times New Roman"/>
          <w:spacing w:val="0"/>
          <w:sz w:val="20"/>
        </w:rPr>
        <w:t>ex-U.S.</w:t>
      </w:r>
    </w:p>
    <w:p>
      <w:pPr>
        <w:pStyle w:val="TextBody"/>
        <w:spacing w:before="120" w:after="0"/>
        <w:jc w:val="left"/>
        <w:rPr>
          <w:rFonts w:ascii="Times New Roman" w:hAnsi="Times New Roman"/>
          <w:sz w:val="20"/>
        </w:rPr>
      </w:pPr>
      <w:r>
        <w:rPr>
          <w:rFonts w:ascii="Times New Roman" w:hAnsi="Times New Roman"/>
          <w:sz w:val="20"/>
        </w:rPr>
        <w:t xml:space="preserve">sales. </w:t>
      </w:r>
    </w:p>
    <w:p>
      <w:pPr>
        <w:pStyle w:val="TextBody"/>
        <w:spacing w:before="240" w:after="0"/>
        <w:jc w:val="left"/>
        <w:rPr>
          <w:rFonts w:ascii="Times New Roman" w:hAnsi="Times New Roman"/>
          <w:sz w:val="20"/>
        </w:rPr>
      </w:pPr>
      <w:r>
        <w:rPr>
          <w:rFonts w:ascii="Times New Roman" w:hAnsi="Times New Roman"/>
          <w:sz w:val="20"/>
        </w:rPr>
        <w:t xml:space="preserve">Under the terms of the Gilead Agreement, we received an upfront payment of $125.0 million in addition to an upfront payment of $50.0 million received under the 2018 Gilead Agreement. We also received a $20.0 million equity investment in connection with the Gilead Agreement. We are eligible to receive up to an additional $410.0 million per program in license, research extension, and clinical, regulatory and commercial milestone payments. We are also eligible to receive tiered royalties in the first decile on net sales by Gilead on a </w:t>
      </w:r>
    </w:p>
    <w:p>
      <w:pPr>
        <w:pStyle w:val="TextBody"/>
        <w:spacing w:before="240" w:after="0"/>
        <w:jc w:val="left"/>
        <w:rPr>
          <w:rFonts w:ascii="Times New Roman" w:hAnsi="Times New Roman"/>
          <w:spacing w:val="0"/>
          <w:sz w:val="20"/>
        </w:rPr>
      </w:pPr>
      <w:r>
        <w:rPr>
          <w:rFonts w:ascii="Times New Roman" w:hAnsi="Times New Roman"/>
          <w:spacing w:val="0"/>
          <w:sz w:val="20"/>
        </w:rPr>
        <w:t>country-by-country and</w:t>
      </w:r>
    </w:p>
    <w:p>
      <w:pPr>
        <w:pStyle w:val="TextBody"/>
        <w:spacing w:before="240" w:after="0"/>
        <w:jc w:val="left"/>
        <w:rPr>
          <w:rFonts w:ascii="Times New Roman" w:hAnsi="Times New Roman"/>
          <w:spacing w:val="0"/>
          <w:sz w:val="20"/>
        </w:rPr>
      </w:pPr>
      <w:r>
        <w:rPr>
          <w:rFonts w:ascii="Times New Roman" w:hAnsi="Times New Roman"/>
          <w:spacing w:val="0"/>
          <w:sz w:val="20"/>
        </w:rPr>
        <w:t>product-by-product basis</w:t>
      </w:r>
    </w:p>
    <w:p>
      <w:pPr>
        <w:pStyle w:val="TextBody"/>
        <w:spacing w:before="240" w:after="0"/>
        <w:jc w:val="left"/>
        <w:rPr>
          <w:rFonts w:ascii="Times New Roman" w:hAnsi="Times New Roman"/>
          <w:sz w:val="20"/>
        </w:rPr>
      </w:pPr>
      <w:r>
        <w:rPr>
          <w:rFonts w:ascii="Times New Roman" w:hAnsi="Times New Roman"/>
          <w:sz w:val="20"/>
        </w:rPr>
        <w:t xml:space="preserve">until the later of (i) the expiration of the last valid claim of our patents or, in some instances, certain Gilead’s patents, in each case covering such product in such country or (ii) ten years after the first commercial sale of such product in such country. For those products that we opt to </w:t>
      </w:r>
    </w:p>
    <w:p>
      <w:pPr>
        <w:pStyle w:val="TextBody"/>
        <w:spacing w:before="240" w:after="0"/>
        <w:jc w:val="left"/>
        <w:rPr>
          <w:rFonts w:ascii="Times New Roman" w:hAnsi="Times New Roman"/>
          <w:spacing w:val="0"/>
          <w:sz w:val="20"/>
        </w:rPr>
      </w:pPr>
      <w:r>
        <w:rPr>
          <w:rFonts w:ascii="Times New Roman" w:hAnsi="Times New Roman"/>
          <w:spacing w:val="0"/>
          <w:sz w:val="20"/>
        </w:rPr>
        <w:t>co-develop and</w:t>
      </w:r>
    </w:p>
    <w:p>
      <w:pPr>
        <w:pStyle w:val="TextBody"/>
        <w:spacing w:before="240" w:after="0"/>
        <w:jc w:val="left"/>
        <w:rPr>
          <w:rFonts w:ascii="Times New Roman" w:hAnsi="Times New Roman"/>
          <w:spacing w:val="0"/>
          <w:sz w:val="20"/>
        </w:rPr>
      </w:pPr>
      <w:r>
        <w:rPr>
          <w:rFonts w:ascii="Times New Roman" w:hAnsi="Times New Roman"/>
          <w:spacing w:val="0"/>
          <w:sz w:val="20"/>
        </w:rPr>
        <w:t>co-promote in</w:t>
      </w:r>
    </w:p>
    <w:p>
      <w:pPr>
        <w:pStyle w:val="TextBody"/>
        <w:spacing w:before="240" w:after="0"/>
        <w:jc w:val="left"/>
        <w:rPr>
          <w:rFonts w:ascii="Times New Roman" w:hAnsi="Times New Roman"/>
          <w:sz w:val="20"/>
        </w:rPr>
      </w:pPr>
      <w:r>
        <w:rPr>
          <w:rFonts w:ascii="Times New Roman" w:hAnsi="Times New Roman"/>
          <w:sz w:val="20"/>
        </w:rPr>
        <w:t xml:space="preserve">the United States, we and Gilead will equally split profits and losses from the sales of such products in the United States, as well as development costs for such products attributable to the United States. For such products, we will remain eligible to receive certain of the $410.0 million per program milestone payments related to clinical and regulatory milestones as well as commercial milestones and royalties in the first decile on net sales outside the United States.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Either party may terminate the Gilead Agreement if the other party materially breaches the terms of such agreement, subject to specified notice and cure provisions, or enters into bankruptcy or insolvency proceedings. Additionally,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Gilead may terminate the agreement for any or no reason, in its entirety or on a </w:t>
      </w:r>
    </w:p>
    <w:p>
      <w:pPr>
        <w:pStyle w:val="TextBody"/>
        <w:spacing w:before="0" w:after="0"/>
        <w:jc w:val="left"/>
        <w:rPr>
          <w:rFonts w:ascii="Times New Roman" w:hAnsi="Times New Roman"/>
          <w:spacing w:val="0"/>
          <w:sz w:val="20"/>
        </w:rPr>
      </w:pPr>
      <w:r>
        <w:rPr>
          <w:rFonts w:ascii="Times New Roman" w:hAnsi="Times New Roman"/>
          <w:spacing w:val="0"/>
          <w:sz w:val="20"/>
        </w:rPr>
        <w:t>program-by-program</w:t>
      </w:r>
    </w:p>
    <w:p>
      <w:pPr>
        <w:pStyle w:val="TextBody"/>
        <w:spacing w:before="0" w:after="0"/>
        <w:jc w:val="left"/>
        <w:rPr>
          <w:rFonts w:ascii="Times New Roman" w:hAnsi="Times New Roman"/>
          <w:sz w:val="20"/>
        </w:rPr>
      </w:pPr>
      <w:r>
        <w:rPr>
          <w:rFonts w:ascii="Times New Roman" w:hAnsi="Times New Roman"/>
          <w:sz w:val="20"/>
        </w:rPr>
        <w:t xml:space="preserve">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date, Gilead has licensed two of our programs and has research-extended one program under the Gilead agreements.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collaboration with Gilead excludes our lead programs, PRMT5, USP1 and the undisclosed target for development in STK11-mutant lung cancer.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License Agreement with Medivir AB </w:t>
      </w:r>
    </w:p>
    <w:p>
      <w:pPr>
        <w:pStyle w:val="TextBody"/>
        <w:spacing w:before="120" w:after="0"/>
        <w:jc w:val="left"/>
        <w:rPr>
          <w:rFonts w:ascii="Times New Roman" w:hAnsi="Times New Roman"/>
          <w:sz w:val="20"/>
        </w:rPr>
      </w:pPr>
      <w:r>
        <w:rPr>
          <w:rFonts w:ascii="Times New Roman" w:hAnsi="Times New Roman"/>
          <w:sz w:val="20"/>
        </w:rPr>
        <w:t xml:space="preserve">In March 2020, we entered into a license agreement, or the Medivir Agreement, with Medivir AB, or Medivir, pursuant to which we obtained a worldwide, royalty-bearing, exclusive license under certain current and/or future patents </w:t>
      </w:r>
    </w:p>
    <w:p>
      <w:pPr>
        <w:pStyle w:val="TextBody"/>
        <w:spacing w:before="120" w:after="0"/>
        <w:jc w:val="left"/>
        <w:rPr>
          <w:rFonts w:ascii="Times New Roman" w:hAnsi="Times New Roman"/>
          <w:spacing w:val="0"/>
          <w:sz w:val="20"/>
        </w:rPr>
      </w:pPr>
      <w:r>
        <w:rPr>
          <w:rFonts w:ascii="Times New Roman" w:hAnsi="Times New Roman"/>
          <w:spacing w:val="0"/>
          <w:sz w:val="20"/>
        </w:rPr>
        <w:t>and know-how of</w:t>
      </w:r>
    </w:p>
    <w:p>
      <w:pPr>
        <w:pStyle w:val="TextBody"/>
        <w:spacing w:before="120" w:after="0"/>
        <w:jc w:val="left"/>
        <w:rPr>
          <w:rFonts w:ascii="Times New Roman" w:hAnsi="Times New Roman"/>
          <w:sz w:val="20"/>
        </w:rPr>
      </w:pPr>
      <w:r>
        <w:rPr>
          <w:rFonts w:ascii="Times New Roman" w:hAnsi="Times New Roman"/>
          <w:sz w:val="20"/>
        </w:rPr>
        <w:t xml:space="preserve">Medivir, to research, develop and commercialize products that are covered by such licensed patents or otherwise modulate USP1.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Under the terms of the Medivir Agreement, we are obligated to pay Medivir in connection with development, regulatory and commercial activities. We have agreed to make certain milestone payments of (i)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(ii)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 </w:t>
      </w:r>
    </w:p>
    <w:p>
      <w:pPr>
        <w:pStyle w:val="TextBody"/>
        <w:spacing w:before="240" w:after="0"/>
        <w:jc w:val="left"/>
        <w:rPr>
          <w:rFonts w:ascii="Times New Roman" w:hAnsi="Times New Roman"/>
          <w:sz w:val="20"/>
        </w:rPr>
      </w:pPr>
      <w:r>
        <w:rPr>
          <w:rFonts w:ascii="Times New Roman" w:hAnsi="Times New Roman"/>
          <w:sz w:val="20"/>
        </w:rPr>
        <w:t xml:space="preserve">Payments in respect of net sales or sublicense in a country shall remain in force on a </w:t>
      </w:r>
    </w:p>
    <w:p>
      <w:pPr>
        <w:pStyle w:val="TextBody"/>
        <w:spacing w:before="240" w:after="0"/>
        <w:jc w:val="left"/>
        <w:rPr>
          <w:rFonts w:ascii="Times New Roman" w:hAnsi="Times New Roman"/>
          <w:spacing w:val="0"/>
          <w:sz w:val="20"/>
        </w:rPr>
      </w:pPr>
      <w:r>
        <w:rPr>
          <w:rFonts w:ascii="Times New Roman" w:hAnsi="Times New Roman"/>
          <w:spacing w:val="0"/>
          <w:sz w:val="20"/>
        </w:rPr>
        <w:t>product-by-product,</w:t>
      </w:r>
    </w:p>
    <w:p>
      <w:pPr>
        <w:pStyle w:val="TextBody"/>
        <w:spacing w:before="240" w:after="0"/>
        <w:jc w:val="left"/>
        <w:rPr>
          <w:rFonts w:ascii="Times New Roman" w:hAnsi="Times New Roman"/>
          <w:spacing w:val="0"/>
          <w:sz w:val="20"/>
        </w:rPr>
      </w:pPr>
      <w:r>
        <w:rPr>
          <w:rFonts w:ascii="Times New Roman" w:hAnsi="Times New Roman"/>
          <w:spacing w:val="0"/>
          <w:sz w:val="20"/>
        </w:rPr>
        <w:t>country-by-country basis,</w:t>
      </w:r>
    </w:p>
    <w:p>
      <w:pPr>
        <w:pStyle w:val="TextBody"/>
        <w:spacing w:before="240" w:after="0"/>
        <w:jc w:val="left"/>
        <w:rPr>
          <w:rFonts w:ascii="Times New Roman" w:hAnsi="Times New Roman"/>
          <w:sz w:val="20"/>
        </w:rPr>
      </w:pPr>
      <w:r>
        <w:rPr>
          <w:rFonts w:ascii="Times New Roman" w:hAnsi="Times New Roman"/>
          <w:sz w:val="20"/>
        </w:rPr>
        <w:t xml:space="preserve">with respect to products that are not covered by a licensed patent or certain of our patents, for ten years from the date of first commercial sale in such country, and products that are covered by a licensed patent or certain of our patents, until the expiration date of the last to expire of the licensed patents covering such product or its manufacture or use in the applicable country. No milestones have been achieved to date.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Medivir Agreement expires on the date of expiration of all royalty obligations. Either party may terminate the Medivir Agreement earlier upon an uncured material breach of the other party.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Manufacturing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 party Contract Development and Manufacturing Organizations, or CDMOs for the manufacturing, packaging, labeling and distribution of our investigational products for preclinical and clinical testing, as well as for commercial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manufacturing if any of our investigational products obtain marketing approval. A team of internal experts and consultants oversees activities at contracted CDMOs ensuring our investigational products are being manufactured under current good manufacturing practices, or cGMP. At present, we have signed manufacturing and supply agreements for drug substance and drug product to support the </w:t>
      </w:r>
    </w:p>
    <w:p>
      <w:pPr>
        <w:pStyle w:val="TextBody"/>
        <w:spacing w:before="0" w:after="0"/>
        <w:jc w:val="left"/>
        <w:rPr>
          <w:rFonts w:ascii="Times New Roman" w:hAnsi="Times New Roman"/>
          <w:spacing w:val="0"/>
          <w:sz w:val="20"/>
        </w:rPr>
      </w:pPr>
      <w:r>
        <w:rPr>
          <w:rFonts w:ascii="Times New Roman" w:hAnsi="Times New Roman"/>
          <w:spacing w:val="0"/>
          <w:sz w:val="20"/>
        </w:rPr>
        <w:t>first-in-human study</w:t>
      </w:r>
    </w:p>
    <w:p>
      <w:pPr>
        <w:pStyle w:val="TextBody"/>
        <w:spacing w:before="0" w:after="0"/>
        <w:jc w:val="left"/>
        <w:rPr>
          <w:rFonts w:ascii="Times New Roman" w:hAnsi="Times New Roman"/>
          <w:sz w:val="20"/>
        </w:rPr>
      </w:pPr>
      <w:r>
        <w:rPr>
          <w:rFonts w:ascii="Times New Roman" w:hAnsi="Times New Roman"/>
          <w:sz w:val="20"/>
        </w:rPr>
        <w:t xml:space="preserve">of our PRMT5 development candidate TNG908. The contracted CDMOs have the capacity to support registrational studies and commercial supplies, in addition to the </w:t>
      </w:r>
    </w:p>
    <w:p>
      <w:pPr>
        <w:pStyle w:val="TextBody"/>
        <w:spacing w:before="0" w:after="0"/>
        <w:jc w:val="left"/>
        <w:rPr>
          <w:rFonts w:ascii="Times New Roman" w:hAnsi="Times New Roman"/>
          <w:spacing w:val="0"/>
          <w:sz w:val="20"/>
        </w:rPr>
      </w:pPr>
      <w:r>
        <w:rPr>
          <w:rFonts w:ascii="Times New Roman" w:hAnsi="Times New Roman"/>
          <w:spacing w:val="0"/>
          <w:sz w:val="20"/>
        </w:rPr>
        <w:t>first-in-human study.</w:t>
      </w:r>
    </w:p>
    <w:p>
      <w:pPr>
        <w:pStyle w:val="TextBody"/>
        <w:spacing w:before="0" w:after="0"/>
        <w:jc w:val="left"/>
        <w:rPr>
          <w:rFonts w:ascii="Times New Roman" w:hAnsi="Times New Roman"/>
          <w:sz w:val="20"/>
        </w:rPr>
      </w:pPr>
      <w:r>
        <w:rPr>
          <w:rFonts w:ascii="Times New Roman" w:hAnsi="Times New Roman"/>
          <w:sz w:val="20"/>
        </w:rPr>
        <w:t xml:space="preserve">We plan to continue to expand and diversify our supply chain by identifying and contracting other CDMOs with the capacity and expertise to support TNG908 and other investigational products in our pipeline.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target discovery technology platform and on </w:t>
      </w:r>
    </w:p>
    <w:p>
      <w:pPr>
        <w:pStyle w:val="TextBody"/>
        <w:spacing w:before="120" w:after="0"/>
        <w:jc w:val="left"/>
        <w:rPr>
          <w:rFonts w:ascii="Times New Roman" w:hAnsi="Times New Roman"/>
          <w:spacing w:val="0"/>
          <w:sz w:val="20"/>
        </w:rPr>
      </w:pPr>
      <w:r>
        <w:rPr>
          <w:rFonts w:ascii="Times New Roman" w:hAnsi="Times New Roman"/>
          <w:spacing w:val="0"/>
          <w:sz w:val="20"/>
        </w:rPr>
        <w:t>know-how,</w:t>
      </w:r>
    </w:p>
    <w:p>
      <w:pPr>
        <w:pStyle w:val="TextBody"/>
        <w:spacing w:before="120" w:after="0"/>
        <w:jc w:val="left"/>
        <w:rPr>
          <w:rFonts w:ascii="Times New Roman" w:hAnsi="Times New Roman"/>
          <w:sz w:val="20"/>
        </w:rPr>
      </w:pPr>
      <w:r>
        <w:rPr>
          <w:rFonts w:ascii="Times New Roman" w:hAnsi="Times New Roman"/>
          <w:sz w:val="20"/>
        </w:rPr>
        <w:t xml:space="preserve">continuing technological innovation and </w:t>
      </w:r>
    </w:p>
    <w:p>
      <w:pPr>
        <w:pStyle w:val="TextBody"/>
        <w:spacing w:before="120" w:after="0"/>
        <w:jc w:val="left"/>
        <w:rPr>
          <w:rFonts w:ascii="Times New Roman" w:hAnsi="Times New Roman"/>
          <w:spacing w:val="0"/>
          <w:sz w:val="20"/>
        </w:rPr>
      </w:pPr>
      <w:r>
        <w:rPr>
          <w:rFonts w:ascii="Times New Roman" w:hAnsi="Times New Roman"/>
          <w:spacing w:val="0"/>
          <w:sz w:val="20"/>
        </w:rPr>
        <w:t>in-licensing opportunities</w:t>
      </w:r>
    </w:p>
    <w:p>
      <w:pPr>
        <w:pStyle w:val="TextBody"/>
        <w:spacing w:before="120" w:after="0"/>
        <w:jc w:val="left"/>
        <w:rPr>
          <w:rFonts w:ascii="Times New Roman" w:hAnsi="Times New Roman"/>
          <w:sz w:val="20"/>
        </w:rPr>
      </w:pPr>
      <w:r>
        <w:rPr>
          <w:rFonts w:ascii="Times New Roman" w:hAnsi="Times New Roman"/>
          <w:sz w:val="20"/>
        </w:rPr>
        <w:t xml:space="preserve">to develop, strengthen and maintain our proprietary position in the field of precision oncology that may be important for the development of our business. We additionally may rely on regulatory protection afforded through data exclusivity, market exclusivity and patent term extensions, where available. </w:t>
      </w:r>
    </w:p>
    <w:p>
      <w:pPr>
        <w:pStyle w:val="TextBody"/>
        <w:spacing w:before="240" w:after="0"/>
        <w:jc w:val="left"/>
        <w:rPr>
          <w:rFonts w:ascii="Times New Roman" w:hAnsi="Times New Roman"/>
          <w:sz w:val="20"/>
        </w:rPr>
      </w:pPr>
      <w:r>
        <w:rPr>
          <w:rFonts w:ascii="Times New Roman" w:hAnsi="Times New Roman"/>
          <w:sz w:val="20"/>
        </w:rPr>
        <w:t xml:space="preserve">Our commercial success may depend in part on our ability to: obtain and maintain patent and other proprietary protection for commercially important technology, inventions and </w:t>
      </w:r>
    </w:p>
    <w:p>
      <w:pPr>
        <w:pStyle w:val="TextBody"/>
        <w:spacing w:before="240" w:after="0"/>
        <w:jc w:val="left"/>
        <w:rPr>
          <w:rFonts w:ascii="Times New Roman" w:hAnsi="Times New Roman"/>
          <w:spacing w:val="0"/>
          <w:sz w:val="20"/>
        </w:rPr>
      </w:pPr>
      <w:r>
        <w:rPr>
          <w:rFonts w:ascii="Times New Roman" w:hAnsi="Times New Roman"/>
          <w:spacing w:val="0"/>
          <w:sz w:val="20"/>
        </w:rPr>
        <w:t>know-how related</w:t>
      </w:r>
    </w:p>
    <w:p>
      <w:pPr>
        <w:pStyle w:val="TextBody"/>
        <w:spacing w:before="240" w:after="0"/>
        <w:jc w:val="left"/>
        <w:rPr>
          <w:rFonts w:ascii="Times New Roman" w:hAnsi="Times New Roman"/>
          <w:sz w:val="20"/>
        </w:rPr>
      </w:pPr>
      <w:r>
        <w:rPr>
          <w:rFonts w:ascii="Times New Roman" w:hAnsi="Times New Roman"/>
          <w:sz w:val="20"/>
        </w:rPr>
        <w:t xml:space="preserve">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Patent expiration dates noted in the following paragraphs refer to statutory expiration dates and do not take into account any potential patent term adjustment or extension that may be available.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PRMT5 inhibitors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exclusively own three patent families directed to selective, synthetic lethal, small molecule inhibitors of PRMT5 and methods for using the inhibitors in the treatment of MTAP-deleted cancers. One family discloses and claims first generation small molecule PRMT5 inhibitors and methods of treating MTAP-deleted cancers using the compounds. One U.S. patent application has been allowed in this family and will expire in 2039. A second family is directed to second-generation small molecule PRMT5 inhibitors and methods of treating MTAP-deleted cancers using the compounds. A Patent Cooperation Treaty application is pending in this family, with a national phase entry date in April 2022. If granted, patents in this family would have an expiration date in 2040. A third family covers third-generation selective, synthetic lethal, small molecule inhibitors of PRMT5 and methods of treating MTAP-deleted cancers using the compounds. This family discloses the first product candidate in the PRMT5 program, TNG908. A U.S. provisional patent application is pending. Any future patents granted in this family would have an expiration date in 2041.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USP1 inhibitors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own four patent families directed to several chemical classes of small molecule inhibitors of USP1 and to methods for treating cancers, including BRCA1-mutant breast, ovarian and prostate cancers using said inhibitors.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U.S. provisional patent applications are pending in each of the four families. If granted, patents in each of the four families would expire in 2042. Two of the families are exclusively owned by us, and the remaining two are jointly owned by us and Medivir AB and exclusively licensed to us under a license agreement.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Government Regulation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the United States, the FDA regulates drug products under the Federal Food, Drug, and Cosmetic Act, or FD&amp;C Act, its implementing regulations, and other federal, state and local statutes and regulations. Drugs are also subject to other federal, state and local statutes and regulations.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product candidates must be approved for therapeutic indications by the FDA before they may be marketed in the United States. For drug product candidates regulated under the FD&amp;C Act, FDA must approve a New Drug Application, or NDA. The process generally involves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completion of extensive preclinical studies in accordance with applicable regulations, including studies conducted in accordance with good laboratory practice, or GLP, requirements;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completion of the manufacture, under cGMP conditions, of the drug substance and drug product that the sponsor intends to use in human clinical trials along with required analytical and stability testing;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submission to the FDA of an IND, which must become effective before clinical trials may begin and must be updated annually and when certain changes are made;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approval by an institutional review board, or IRB, or independent ethics committee at each clinical trial site before each trial may be initiated;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 </w:t>
            </w:r>
          </w:p>
        </w:tc>
      </w:tr>
    </w:tbl>
    <w:p>
      <w:pPr>
        <w:pStyle w:val="TextBody"/>
        <w:spacing w:before="0" w:after="0"/>
        <w:jc w:val="left"/>
        <w:rPr>
          <w:spacing w:val="0"/>
        </w:rPr>
      </w:pPr>
      <w:r>
        <w:rPr>
          <w:spacing w:val="0"/>
        </w:rPr>
        <w:t> </w:t>
      </w:r>
    </w:p>
    <w:tbl>
      <w:tblPr>
        <w:tblW w:w="4450" w:type="dxa"/>
        <w:jc w:val="left"/>
        <w:tblInd w:w="0" w:type="dxa"/>
        <w:tblCellMar>
          <w:top w:w="0" w:type="dxa"/>
          <w:left w:w="0" w:type="dxa"/>
          <w:bottom w:w="0" w:type="dxa"/>
          <w:right w:w="0" w:type="dxa"/>
        </w:tblCellMar>
      </w:tblPr>
      <w:tblGrid>
        <w:gridCol w:w="75"/>
        <w:gridCol w:w="110"/>
        <w:gridCol w:w="60"/>
        <w:gridCol w:w="4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preparation and submission to the FDA of an NDA; </w:t>
            </w:r>
          </w:p>
        </w:tc>
      </w:tr>
    </w:tbl>
    <w:p>
      <w:pPr>
        <w:pStyle w:val="TextBody"/>
        <w:spacing w:before="0" w:after="0"/>
        <w:jc w:val="left"/>
        <w:rPr>
          <w:spacing w:val="0"/>
        </w:rPr>
      </w:pPr>
      <w:r>
        <w:rPr>
          <w:spacing w:val="0"/>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determination by the FDA within 60 days of its receipt of an NDA to file the application for review;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satisfactory completion of one or more FDA </w:t>
            </w:r>
          </w:p>
          <w:p>
            <w:pPr>
              <w:pStyle w:val="TableContents"/>
              <w:spacing w:before="0" w:after="0"/>
              <w:jc w:val="left"/>
              <w:rPr>
                <w:rFonts w:ascii="Times New Roman" w:hAnsi="Times New Roman"/>
                <w:spacing w:val="0"/>
                <w:sz w:val="20"/>
              </w:rPr>
            </w:pPr>
            <w:r>
              <w:rPr>
                <w:rFonts w:ascii="Times New Roman" w:hAnsi="Times New Roman"/>
                <w:spacing w:val="0"/>
                <w:sz w:val="20"/>
              </w:rPr>
              <w:t>pre-approval inspections</w:t>
            </w:r>
          </w:p>
          <w:p>
            <w:pPr>
              <w:pStyle w:val="TableContents"/>
              <w:spacing w:before="0" w:after="0"/>
              <w:jc w:val="left"/>
              <w:rPr>
                <w:rFonts w:ascii="Times New Roman" w:hAnsi="Times New Roman"/>
                <w:sz w:val="20"/>
              </w:rPr>
            </w:pPr>
            <w:r>
              <w:rPr>
                <w:rFonts w:ascii="Times New Roman" w:hAnsi="Times New Roman"/>
                <w:sz w:val="20"/>
              </w:rPr>
              <w:t xml:space="preserve">of the manufacturing facility or facilities where the drug will be produced to assess compliance with cGMP requirements to assure that the facilities, methods and controls are adequate to preserve the drug’s identity, strength, quality and purity;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110 </w:t>
      </w:r>
    </w:p>
    <w:p>
      <w:pPr>
        <w:pStyle w:val="HorizontalLine"/>
        <w:rPr/>
      </w:pPr>
      <w:r>
        <w:rPr/>
      </w:r>
    </w:p>
    <w:p>
      <w:pPr>
        <w:pStyle w:val="TextBody"/>
        <w:spacing w:before="0" w:after="0"/>
        <w:ind w:left="0" w:right="0" w:hanging="0"/>
        <w:rPr/>
      </w:pPr>
      <w:hyperlink w:anchor="toc">
        <w:r>
          <w:rPr>
            <w:rStyle w:val="InternetLink"/>
            <w:b/>
            <w:sz w:val="20"/>
          </w:rPr>
          <w:t>Table of Contents</w:t>
        </w:r>
      </w:hyperlink>
    </w:p>
    <w:tbl>
      <w:tblPr>
        <w:tblW w:w="9018" w:type="dxa"/>
        <w:jc w:val="left"/>
        <w:tblInd w:w="0" w:type="dxa"/>
        <w:tblCellMar>
          <w:top w:w="0" w:type="dxa"/>
          <w:left w:w="0" w:type="dxa"/>
          <w:bottom w:w="0" w:type="dxa"/>
          <w:right w:w="0" w:type="dxa"/>
        </w:tblCellMar>
      </w:tblPr>
      <w:tblGrid>
        <w:gridCol w:w="38"/>
        <w:gridCol w:w="110"/>
        <w:gridCol w:w="60"/>
        <w:gridCol w:w="881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satisfactory completion of FDA audit of the clinical trial sites that generated the data in support of the NDA; </w:t>
            </w:r>
          </w:p>
        </w:tc>
      </w:tr>
    </w:tbl>
    <w:p>
      <w:pPr>
        <w:pStyle w:val="TextBody"/>
        <w:spacing w:before="0" w:after="0"/>
        <w:jc w:val="left"/>
        <w:rPr>
          <w:spacing w:val="0"/>
        </w:rPr>
      </w:pPr>
      <w:r>
        <w:rPr>
          <w:spacing w:val="0"/>
        </w:rPr>
        <w:t> </w:t>
      </w:r>
    </w:p>
    <w:tbl>
      <w:tblPr>
        <w:tblW w:w="4615" w:type="dxa"/>
        <w:jc w:val="left"/>
        <w:tblInd w:w="0" w:type="dxa"/>
        <w:tblCellMar>
          <w:top w:w="0" w:type="dxa"/>
          <w:left w:w="0" w:type="dxa"/>
          <w:bottom w:w="0" w:type="dxa"/>
          <w:right w:w="0" w:type="dxa"/>
        </w:tblCellMar>
      </w:tblPr>
      <w:tblGrid>
        <w:gridCol w:w="75"/>
        <w:gridCol w:w="110"/>
        <w:gridCol w:w="60"/>
        <w:gridCol w:w="4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payment of user fees for FDA review of the NDA;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FDA review and approval of the NDA, including, where applicable, consideration of the views of any FDA advisory committee, prior to any commercial marketing or sale of the drug in the United States.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Preclinical studies and clinical trials for drugs </w:t>
      </w:r>
    </w:p>
    <w:p>
      <w:pPr>
        <w:pStyle w:val="TextBody"/>
        <w:spacing w:before="120" w:after="0"/>
        <w:jc w:val="left"/>
        <w:rPr>
          <w:rFonts w:ascii="Times New Roman" w:hAnsi="Times New Roman"/>
          <w:sz w:val="20"/>
        </w:rPr>
      </w:pPr>
      <w:r>
        <w:rPr>
          <w:rFonts w:ascii="Times New Roman" w:hAnsi="Times New Roman"/>
          <w:sz w:val="20"/>
        </w:rPr>
        <w:t>Before testing any drug in humans, the product candidate must undergo rigorous preclinical testing. Preclinical studies include laboratory evaluations of product chemistry, formulation and stability, as well as</w:t>
      </w:r>
    </w:p>
    <w:p>
      <w:pPr>
        <w:pStyle w:val="TextBody"/>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120" w:after="0"/>
        <w:jc w:val="left"/>
        <w:rPr/>
      </w:pPr>
      <w:r>
        <w:rPr/>
        <w:t> </w:t>
      </w:r>
      <w:r>
        <w:rPr>
          <w:rFonts w:ascii="Times New Roman" w:hAnsi="Times New Roman"/>
          <w:sz w:val="20"/>
        </w:rPr>
        <w:t xml:space="preserve">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 </w:t>
      </w:r>
    </w:p>
    <w:p>
      <w:pPr>
        <w:pStyle w:val="TextBody"/>
        <w:spacing w:before="240" w:after="0"/>
        <w:jc w:val="left"/>
        <w:rPr>
          <w:rFonts w:ascii="Times New Roman" w:hAnsi="Times New Roman"/>
          <w:sz w:val="20"/>
        </w:rPr>
      </w:pPr>
      <w:r>
        <w:rPr>
          <w:rFonts w:ascii="Times New Roman" w:hAnsi="Times New Roman"/>
          <w:sz w:val="20"/>
        </w:rPr>
        <w:t>An IND is a request for authorization from the FDA to administer an investigational product to humans and must be granted and become effective before clinical trials may begin. The central focus of an IND submission is on the general investigational plan and the protocol(s) for clinical studies. The IND also includes the results of animal and</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240" w:after="0"/>
        <w:jc w:val="left"/>
        <w:rPr/>
      </w:pPr>
      <w:r>
        <w:rPr/>
        <w:t> </w:t>
      </w:r>
      <w:r>
        <w:rPr>
          <w:rFonts w:ascii="Times New Roman" w:hAnsi="Times New Roman"/>
          <w:sz w:val="20"/>
        </w:rPr>
        <w:t xml:space="preserve">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w:t>
      </w:r>
    </w:p>
    <w:p>
      <w:pPr>
        <w:pStyle w:val="TextBody"/>
        <w:spacing w:before="240" w:after="0"/>
        <w:jc w:val="left"/>
        <w:rPr>
          <w:rFonts w:ascii="Times New Roman" w:hAnsi="Times New Roman"/>
          <w:spacing w:val="0"/>
          <w:sz w:val="20"/>
        </w:rPr>
      </w:pPr>
      <w:r>
        <w:rPr>
          <w:rFonts w:ascii="Times New Roman" w:hAnsi="Times New Roman"/>
          <w:spacing w:val="0"/>
          <w:sz w:val="20"/>
        </w:rPr>
        <w:t>30-day time</w:t>
      </w:r>
    </w:p>
    <w:p>
      <w:pPr>
        <w:pStyle w:val="TextBody"/>
        <w:spacing w:before="240" w:after="0"/>
        <w:jc w:val="left"/>
        <w:rPr>
          <w:rFonts w:ascii="Times New Roman" w:hAnsi="Times New Roman"/>
          <w:sz w:val="20"/>
        </w:rPr>
      </w:pPr>
      <w:r>
        <w:rPr>
          <w:rFonts w:ascii="Times New Roman" w:hAnsi="Times New Roman"/>
          <w:sz w:val="20"/>
        </w:rPr>
        <w:t xml:space="preserve">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any safety concerns or deficiencies articulated by FDA are corrected. </w:t>
      </w:r>
    </w:p>
    <w:p>
      <w:pPr>
        <w:pStyle w:val="TextBody"/>
        <w:spacing w:before="240" w:after="0"/>
        <w:jc w:val="left"/>
        <w:rPr>
          <w:rFonts w:ascii="Times New Roman" w:hAnsi="Times New Roman"/>
          <w:sz w:val="20"/>
        </w:rPr>
      </w:pPr>
      <w:r>
        <w:rPr>
          <w:rFonts w:ascii="Times New Roman" w:hAnsi="Times New Roman"/>
          <w:sz w:val="20"/>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www.ClinicalTrials.gov</w:t>
      </w:r>
    </w:p>
    <w:p>
      <w:pPr>
        <w:pStyle w:val="TextBody"/>
        <w:spacing w:before="240" w:after="0"/>
        <w:jc w:val="left"/>
        <w:rPr>
          <w:rFonts w:ascii="Times New Roman" w:hAnsi="Times New Roman"/>
          <w:sz w:val="20"/>
        </w:rPr>
      </w:pPr>
      <w:r>
        <w:rPr>
          <w:rFonts w:ascii="Times New Roman" w:hAnsi="Times New Roman"/>
          <w:sz w:val="20"/>
        </w:rPr>
        <w:t xml:space="preserve">, a clinical trials database maintained by the National Institutes of Health.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accordance with GCP/ICH requirements, and the FDA is able to validate the data through independent analysis and an onsite inspection if deemed necessary.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Clinical trials to evaluate therapeutic indications to support NDAs for marketing approval are typically conducted in three sequential phases, which may overlap.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Phase</w:t>
            </w:r>
          </w:p>
          <w:p>
            <w:pPr>
              <w:pStyle w:val="TableContents"/>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1</w:t>
            </w:r>
          </w:p>
          <w:p>
            <w:pPr>
              <w:pStyle w:val="TableContents"/>
              <w:spacing w:before="0" w:after="0"/>
              <w:jc w:val="left"/>
              <w:rPr/>
            </w:pPr>
            <w:r>
              <w:rPr/>
              <w:t xml:space="preserve"> — </w:t>
            </w:r>
            <w:r>
              <w:rPr>
                <w:rFonts w:ascii="Times New Roman" w:hAnsi="Times New Roman"/>
                <w:sz w:val="20"/>
              </w:rPr>
              <w:t xml:space="preserve">Phase 1 clinical trials involve initial introduction of the investigational product in a limited population of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Phase</w:t>
            </w:r>
          </w:p>
          <w:p>
            <w:pPr>
              <w:pStyle w:val="TableContents"/>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2</w:t>
            </w:r>
          </w:p>
          <w:p>
            <w:pPr>
              <w:pStyle w:val="TableContents"/>
              <w:spacing w:before="0" w:after="0"/>
              <w:jc w:val="left"/>
              <w:rPr/>
            </w:pPr>
            <w:r>
              <w:rPr/>
              <w:t xml:space="preserve"> — </w:t>
            </w:r>
            <w:r>
              <w:rPr>
                <w:rFonts w:ascii="Times New Roman" w:hAnsi="Times New Roman"/>
                <w:sz w:val="20"/>
              </w:rPr>
              <w:t xml:space="preserve">Phase 2 clinical trials typically involve administration of the investigational product to a limited patient population with a specified disease or condition to evaluate the drug’s potential efficacy, to determine the optimal dosages and dosing schedule and to identify possible adverse side effects and safety risks.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Phase</w:t>
            </w:r>
          </w:p>
          <w:p>
            <w:pPr>
              <w:pStyle w:val="TableContents"/>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3</w:t>
            </w:r>
          </w:p>
          <w:p>
            <w:pPr>
              <w:pStyle w:val="TableContents"/>
              <w:spacing w:before="0" w:after="0"/>
              <w:jc w:val="left"/>
              <w:rPr/>
            </w:pPr>
            <w:r>
              <w:rPr/>
              <w:t xml:space="preserve"> — </w:t>
            </w:r>
            <w:r>
              <w:rPr>
                <w:rFonts w:ascii="Times New Roman" w:hAnsi="Times New Roman"/>
                <w:sz w:val="20"/>
              </w:rPr>
              <w:t xml:space="preserve">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w:t>
            </w:r>
          </w:p>
        </w:tc>
      </w:tr>
    </w:tbl>
    <w:p>
      <w:pPr>
        <w:pStyle w:val="TextBody"/>
        <w:spacing w:before="240" w:after="0"/>
        <w:jc w:val="left"/>
        <w:rPr>
          <w:rFonts w:ascii="Times New Roman" w:hAnsi="Times New Roman"/>
          <w:sz w:val="20"/>
        </w:rPr>
      </w:pPr>
      <w:r>
        <w:rPr>
          <w:rFonts w:ascii="Times New Roman" w:hAnsi="Times New Roman"/>
          <w:sz w:val="20"/>
        </w:rPr>
        <w:t xml:space="preserve">In August 2018, the FDA released a draft guidance titled “Expansion Cohorts: Use in </w:t>
      </w:r>
    </w:p>
    <w:p>
      <w:pPr>
        <w:pStyle w:val="TextBody"/>
        <w:spacing w:before="240" w:after="0"/>
        <w:jc w:val="left"/>
        <w:rPr>
          <w:rFonts w:ascii="Times New Roman" w:hAnsi="Times New Roman"/>
          <w:spacing w:val="0"/>
          <w:sz w:val="20"/>
        </w:rPr>
      </w:pPr>
      <w:r>
        <w:rPr>
          <w:rFonts w:ascii="Times New Roman" w:hAnsi="Times New Roman"/>
          <w:spacing w:val="0"/>
          <w:sz w:val="20"/>
        </w:rPr>
        <w:t>First-In-Human Clinical</w:t>
      </w:r>
    </w:p>
    <w:p>
      <w:pPr>
        <w:pStyle w:val="TextBody"/>
        <w:spacing w:before="240" w:after="0"/>
        <w:jc w:val="left"/>
        <w:rPr>
          <w:rFonts w:ascii="Times New Roman" w:hAnsi="Times New Roman"/>
          <w:sz w:val="20"/>
        </w:rPr>
      </w:pPr>
      <w:r>
        <w:rPr>
          <w:rFonts w:ascii="Times New Roman" w:hAnsi="Times New Roman"/>
          <w:sz w:val="20"/>
        </w:rPr>
        <w:t xml:space="preserve">Trials to Expedite Development of Oncology Drugs and Biologics,” which outlines how drug developers can utilize an adaptive trial design commonly referred to as a seamless trial design in early stages of oncology drug development (i.e., the </w:t>
      </w:r>
    </w:p>
    <w:p>
      <w:pPr>
        <w:pStyle w:val="TextBody"/>
        <w:spacing w:before="240" w:after="0"/>
        <w:jc w:val="left"/>
        <w:rPr>
          <w:rFonts w:ascii="Times New Roman" w:hAnsi="Times New Roman"/>
          <w:spacing w:val="0"/>
          <w:sz w:val="20"/>
        </w:rPr>
      </w:pPr>
      <w:r>
        <w:rPr>
          <w:rFonts w:ascii="Times New Roman" w:hAnsi="Times New Roman"/>
          <w:spacing w:val="0"/>
          <w:sz w:val="20"/>
        </w:rPr>
        <w:t>first-in-human clinical</w:t>
      </w:r>
    </w:p>
    <w:p>
      <w:pPr>
        <w:pStyle w:val="TextBody"/>
        <w:spacing w:before="240" w:after="0"/>
        <w:jc w:val="left"/>
        <w:rPr>
          <w:rFonts w:ascii="Times New Roman" w:hAnsi="Times New Roman"/>
          <w:sz w:val="20"/>
        </w:rPr>
      </w:pPr>
      <w:r>
        <w:rPr>
          <w:rFonts w:ascii="Times New Roman" w:hAnsi="Times New Roman"/>
          <w:sz w:val="20"/>
        </w:rPr>
        <w:t xml:space="preserve">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 </w:t>
      </w:r>
    </w:p>
    <w:p>
      <w:pPr>
        <w:pStyle w:val="TextBody"/>
        <w:spacing w:before="240" w:after="0"/>
        <w:jc w:val="left"/>
        <w:rPr>
          <w:rFonts w:ascii="Times New Roman" w:hAnsi="Times New Roman"/>
          <w:sz w:val="20"/>
        </w:rPr>
      </w:pPr>
      <w:r>
        <w:rPr>
          <w:rFonts w:ascii="Times New Roman" w:hAnsi="Times New Roman"/>
          <w:sz w:val="20"/>
        </w:rPr>
        <w:t>Progress reports detailing the results of the clinical trials, among other information, must be submitted at least annually to the FDA. Written IND safety reports must be submitted to the FDA and the investigators 15 days after the trial sponsor determines the information qualifies for reporting for serious and unexpected suspected adverse events, findings from other studies or animal or</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240" w:after="0"/>
        <w:jc w:val="left"/>
        <w:rPr/>
      </w:pPr>
      <w:r>
        <w:rPr/>
        <w:t> </w:t>
      </w:r>
      <w:r>
        <w:rPr>
          <w:rFonts w:ascii="Times New Roman" w:hAnsi="Times New Roman"/>
          <w:sz w:val="20"/>
        </w:rPr>
        <w:t xml:space="preserve">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purity of the final drug product. Additionally, appropriate packaging must be selected and tested, and stability studies must be conducted to demonstrate that the product candidate does not undergo unacceptable deterioration over its shelf life.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 marketing approval for drugs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 </w:t>
      </w:r>
    </w:p>
    <w:p>
      <w:pPr>
        <w:pStyle w:val="TextBody"/>
        <w:spacing w:before="240" w:after="0"/>
        <w:jc w:val="left"/>
        <w:rPr>
          <w:rFonts w:ascii="Times New Roman" w:hAnsi="Times New Roman"/>
          <w:sz w:val="20"/>
        </w:rPr>
      </w:pPr>
      <w:r>
        <w:rPr>
          <w:rFonts w:ascii="Times New Roman" w:hAnsi="Times New Roman"/>
          <w:sz w:val="20"/>
        </w:rPr>
        <w:t xml:space="preserve">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w:t>
      </w:r>
    </w:p>
    <w:p>
      <w:pPr>
        <w:pStyle w:val="TextBody"/>
        <w:spacing w:before="240" w:after="0"/>
        <w:jc w:val="left"/>
        <w:rPr>
          <w:rFonts w:ascii="Times New Roman" w:hAnsi="Times New Roman"/>
          <w:spacing w:val="0"/>
          <w:sz w:val="20"/>
        </w:rPr>
      </w:pPr>
      <w:r>
        <w:rPr>
          <w:rFonts w:ascii="Times New Roman" w:hAnsi="Times New Roman"/>
          <w:spacing w:val="0"/>
          <w:sz w:val="20"/>
        </w:rPr>
        <w:t>in-depth substantive</w:t>
      </w:r>
    </w:p>
    <w:p>
      <w:pPr>
        <w:pStyle w:val="TextBody"/>
        <w:spacing w:before="240" w:after="0"/>
        <w:jc w:val="left"/>
        <w:rPr>
          <w:rFonts w:ascii="Times New Roman" w:hAnsi="Times New Roman"/>
          <w:sz w:val="20"/>
        </w:rPr>
      </w:pPr>
      <w:r>
        <w:rPr>
          <w:rFonts w:ascii="Times New Roman" w:hAnsi="Times New Roman"/>
          <w:sz w:val="20"/>
        </w:rPr>
        <w:t xml:space="preserve">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initial review of a new molecular entity NDA and respond to the applicant, and 6 months from the filing date of a new molecular entity NDA for priority review. The FDA does not always meet its PDUFA goal dates for standard or priority NDAs, and the review process is often extended by FDA requests for additional information or clarification. </w:t>
      </w:r>
    </w:p>
    <w:p>
      <w:pPr>
        <w:pStyle w:val="TextBody"/>
        <w:spacing w:before="240" w:after="0"/>
        <w:jc w:val="left"/>
        <w:rPr>
          <w:rFonts w:ascii="Times New Roman" w:hAnsi="Times New Roman"/>
          <w:sz w:val="20"/>
        </w:rPr>
      </w:pPr>
      <w:r>
        <w:rPr>
          <w:rFonts w:ascii="Times New Roman" w:hAnsi="Times New Roman"/>
          <w:sz w:val="20"/>
        </w:rPr>
        <w:t xml:space="preserve">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w:t>
      </w:r>
    </w:p>
    <w:p>
      <w:pPr>
        <w:pStyle w:val="TextBody"/>
        <w:spacing w:before="240" w:after="0"/>
        <w:jc w:val="left"/>
        <w:rPr>
          <w:rFonts w:ascii="Times New Roman" w:hAnsi="Times New Roman"/>
          <w:spacing w:val="0"/>
          <w:sz w:val="20"/>
        </w:rPr>
      </w:pPr>
      <w:r>
        <w:rPr>
          <w:rFonts w:ascii="Times New Roman" w:hAnsi="Times New Roman"/>
          <w:spacing w:val="0"/>
          <w:sz w:val="20"/>
        </w:rPr>
        <w:t>non-orphan indication.</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Before approving an NDA, the FDA typically will inspect the facility or facilities where the product is manufactured. The FDA will not approve an application unless it determines that the manufacturing processes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Orphan drug designation and exclusivity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Competitors, however, may receive approval of different therapeutic agents for the indication for which the orphan product has exclusivity or obtain approval for the same therapeutic agent for a different indication than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Expedited development and review programs for drugs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Accelerated Approval is usually contingent on a sponsor’s agreement to conduct, in a diligent manner, adequate and well-controlled additional post-approval confirmatory studies to verify and describe the product’s clinical benefit. The FDA may withdraw approval of a drug or an indication approved under Accelerated Approval if, for example, the confirmatory trial fails to verify the predicted clinical benefit of the product. In addition, the FDA generally requires, as a condition for Accelerated Approval, that all advertising and promotional materials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intended for dissemination or publication within 120 days of marketing approval be submitted to the agency for review during the </w:t>
      </w:r>
    </w:p>
    <w:p>
      <w:pPr>
        <w:pStyle w:val="TextBody"/>
        <w:spacing w:before="0" w:after="0"/>
        <w:jc w:val="left"/>
        <w:rPr>
          <w:rFonts w:ascii="Times New Roman" w:hAnsi="Times New Roman"/>
          <w:spacing w:val="0"/>
          <w:sz w:val="20"/>
        </w:rPr>
      </w:pPr>
      <w:r>
        <w:rPr>
          <w:rFonts w:ascii="Times New Roman" w:hAnsi="Times New Roman"/>
          <w:spacing w:val="0"/>
          <w:sz w:val="20"/>
        </w:rPr>
        <w:t>pre-approval review</w:t>
      </w:r>
    </w:p>
    <w:p>
      <w:pPr>
        <w:pStyle w:val="TextBody"/>
        <w:spacing w:before="0" w:after="0"/>
        <w:jc w:val="left"/>
        <w:rPr>
          <w:rFonts w:ascii="Times New Roman" w:hAnsi="Times New Roman"/>
          <w:sz w:val="20"/>
        </w:rPr>
      </w:pPr>
      <w:r>
        <w:rPr>
          <w:rFonts w:ascii="Times New Roman" w:hAnsi="Times New Roman"/>
          <w:sz w:val="20"/>
        </w:rPr>
        <w:t xml:space="preserve">period. After the </w:t>
      </w:r>
    </w:p>
    <w:p>
      <w:pPr>
        <w:pStyle w:val="TextBody"/>
        <w:spacing w:before="0" w:after="0"/>
        <w:jc w:val="left"/>
        <w:rPr>
          <w:rFonts w:ascii="Times New Roman" w:hAnsi="Times New Roman"/>
          <w:spacing w:val="0"/>
          <w:sz w:val="20"/>
        </w:rPr>
      </w:pPr>
      <w:r>
        <w:rPr>
          <w:rFonts w:ascii="Times New Roman" w:hAnsi="Times New Roman"/>
          <w:spacing w:val="0"/>
          <w:sz w:val="20"/>
        </w:rPr>
        <w:t>120-day period</w:t>
      </w:r>
    </w:p>
    <w:p>
      <w:pPr>
        <w:pStyle w:val="TextBody"/>
        <w:spacing w:before="0" w:after="0"/>
        <w:jc w:val="left"/>
        <w:rPr>
          <w:rFonts w:ascii="Times New Roman" w:hAnsi="Times New Roman"/>
          <w:sz w:val="20"/>
        </w:rPr>
      </w:pPr>
      <w:r>
        <w:rPr>
          <w:rFonts w:ascii="Times New Roman" w:hAnsi="Times New Roman"/>
          <w:sz w:val="20"/>
        </w:rPr>
        <w:t xml:space="preserve">has passed, all advertising and promotional materials must be submitted at least 30 days prior to the intended time of initial dissemination or publication.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Pediatric information and pediatric exclusivity </w:t>
      </w:r>
    </w:p>
    <w:p>
      <w:pPr>
        <w:pStyle w:val="TextBody"/>
        <w:spacing w:before="120" w:after="0"/>
        <w:jc w:val="left"/>
        <w:rPr>
          <w:rFonts w:ascii="Times New Roman" w:hAnsi="Times New Roman"/>
          <w:sz w:val="20"/>
        </w:rPr>
      </w:pPr>
      <w:r>
        <w:rPr>
          <w:rFonts w:ascii="Times New Roman" w:hAnsi="Times New Roman"/>
          <w:sz w:val="20"/>
        </w:rPr>
        <w:t xml:space="preserve">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w:t>
      </w:r>
    </w:p>
    <w:p>
      <w:pPr>
        <w:pStyle w:val="TextBody"/>
        <w:spacing w:before="120" w:after="0"/>
        <w:jc w:val="left"/>
        <w:rPr>
          <w:rFonts w:ascii="Times New Roman" w:hAnsi="Times New Roman"/>
          <w:spacing w:val="0"/>
          <w:sz w:val="20"/>
        </w:rPr>
      </w:pPr>
      <w:r>
        <w:rPr>
          <w:rFonts w:ascii="Times New Roman" w:hAnsi="Times New Roman"/>
          <w:spacing w:val="0"/>
          <w:sz w:val="20"/>
        </w:rPr>
        <w:t>end-of-Phase 2</w:t>
      </w:r>
    </w:p>
    <w:p>
      <w:pPr>
        <w:pStyle w:val="TextBody"/>
        <w:spacing w:before="120" w:after="0"/>
        <w:jc w:val="left"/>
        <w:rPr>
          <w:rFonts w:ascii="Times New Roman" w:hAnsi="Times New Roman"/>
          <w:sz w:val="20"/>
        </w:rPr>
      </w:pPr>
      <w:r>
        <w:rPr>
          <w:rFonts w:ascii="Times New Roman" w:hAnsi="Times New Roman"/>
          <w:sz w:val="20"/>
        </w:rPr>
        <w:t xml:space="preserve">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 </w:t>
      </w:r>
    </w:p>
    <w:p>
      <w:pPr>
        <w:pStyle w:val="TextBody"/>
        <w:spacing w:before="240" w:after="0"/>
        <w:jc w:val="left"/>
        <w:rPr>
          <w:rFonts w:ascii="Times New Roman" w:hAnsi="Times New Roman"/>
          <w:sz w:val="20"/>
        </w:rPr>
      </w:pPr>
      <w:r>
        <w:rPr>
          <w:rFonts w:ascii="Times New Roman" w:hAnsi="Times New Roman"/>
          <w:sz w:val="20"/>
        </w:rPr>
        <w:t xml:space="preserve">A drug can also obtain pediatric market exclusivity in the United States. Pediatric exclusivity, if granted, adds six months to existing exclusivity periods and patent terms. This </w:t>
      </w:r>
    </w:p>
    <w:p>
      <w:pPr>
        <w:pStyle w:val="TextBody"/>
        <w:spacing w:before="240" w:after="0"/>
        <w:jc w:val="left"/>
        <w:rPr>
          <w:rFonts w:ascii="Times New Roman" w:hAnsi="Times New Roman"/>
          <w:spacing w:val="0"/>
          <w:sz w:val="20"/>
        </w:rPr>
      </w:pPr>
      <w:r>
        <w:rPr>
          <w:rFonts w:ascii="Times New Roman" w:hAnsi="Times New Roman"/>
          <w:spacing w:val="0"/>
          <w:sz w:val="20"/>
        </w:rPr>
        <w:t>six-month exclusivity,</w:t>
      </w:r>
    </w:p>
    <w:p>
      <w:pPr>
        <w:pStyle w:val="TextBody"/>
        <w:spacing w:before="240" w:after="0"/>
        <w:jc w:val="left"/>
        <w:rPr>
          <w:rFonts w:ascii="Times New Roman" w:hAnsi="Times New Roman"/>
          <w:sz w:val="20"/>
        </w:rPr>
      </w:pPr>
      <w:r>
        <w:rPr>
          <w:rFonts w:ascii="Times New Roman" w:hAnsi="Times New Roman"/>
          <w:sz w:val="20"/>
        </w:rPr>
        <w:t xml:space="preserve">which runs from the end of other exclusivity protection or patent term, may be granted based on the voluntary completion of a pediatric study in accordance with an </w:t>
      </w:r>
    </w:p>
    <w:p>
      <w:pPr>
        <w:pStyle w:val="TextBody"/>
        <w:spacing w:before="240" w:after="0"/>
        <w:jc w:val="left"/>
        <w:rPr>
          <w:rFonts w:ascii="Times New Roman" w:hAnsi="Times New Roman"/>
          <w:spacing w:val="0"/>
          <w:sz w:val="20"/>
        </w:rPr>
      </w:pPr>
      <w:r>
        <w:rPr>
          <w:rFonts w:ascii="Times New Roman" w:hAnsi="Times New Roman"/>
          <w:spacing w:val="0"/>
          <w:sz w:val="20"/>
        </w:rPr>
        <w:t>FDA-issued “Written</w:t>
      </w:r>
    </w:p>
    <w:p>
      <w:pPr>
        <w:pStyle w:val="TextBody"/>
        <w:spacing w:before="240" w:after="0"/>
        <w:jc w:val="left"/>
        <w:rPr>
          <w:rFonts w:ascii="Times New Roman" w:hAnsi="Times New Roman"/>
          <w:sz w:val="20"/>
        </w:rPr>
      </w:pPr>
      <w:r>
        <w:rPr>
          <w:rFonts w:ascii="Times New Roman" w:hAnsi="Times New Roman"/>
          <w:sz w:val="20"/>
        </w:rPr>
        <w:t xml:space="preserve">Request” for such a study.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 post-approval requirements for drugs </w:t>
      </w:r>
    </w:p>
    <w:p>
      <w:pPr>
        <w:pStyle w:val="TextBody"/>
        <w:spacing w:before="120" w:after="0"/>
        <w:jc w:val="left"/>
        <w:rPr>
          <w:rFonts w:ascii="Times New Roman" w:hAnsi="Times New Roman"/>
          <w:sz w:val="20"/>
        </w:rPr>
      </w:pPr>
      <w:r>
        <w:rPr>
          <w:rFonts w:ascii="Times New Roman" w:hAnsi="Times New Roman"/>
          <w:sz w:val="20"/>
        </w:rPr>
        <w:t xml:space="preserve">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w:t>
      </w:r>
    </w:p>
    <w:p>
      <w:pPr>
        <w:pStyle w:val="TextBody"/>
        <w:spacing w:before="120" w:after="0"/>
        <w:jc w:val="left"/>
        <w:rPr>
          <w:spacing w:val="0"/>
        </w:rPr>
      </w:pPr>
      <w:r>
        <w:rPr>
          <w:spacing w:val="0"/>
        </w:rPr>
        <w:t>“</w:t>
      </w:r>
      <w:r>
        <w:rPr>
          <w:rFonts w:ascii="Times New Roman" w:hAnsi="Times New Roman"/>
          <w:spacing w:val="0"/>
          <w:sz w:val="20"/>
        </w:rPr>
        <w:t>off-label use”)</w:t>
      </w:r>
    </w:p>
    <w:p>
      <w:pPr>
        <w:pStyle w:val="TextBody"/>
        <w:spacing w:before="120" w:after="0"/>
        <w:jc w:val="left"/>
        <w:rPr>
          <w:rFonts w:ascii="Times New Roman" w:hAnsi="Times New Roman"/>
          <w:sz w:val="20"/>
        </w:rPr>
      </w:pPr>
      <w:r>
        <w:rPr>
          <w:rFonts w:ascii="Times New Roman" w:hAnsi="Times New Roman"/>
          <w:sz w:val="20"/>
        </w:rPr>
        <w:t xml:space="preserve">and limitations on industry-sponsored scientific and educational activities. Although physicians may prescribe approved products for </w:t>
      </w:r>
    </w:p>
    <w:p>
      <w:pPr>
        <w:pStyle w:val="TextBody"/>
        <w:spacing w:before="120" w:after="0"/>
        <w:jc w:val="left"/>
        <w:rPr>
          <w:rFonts w:ascii="Times New Roman" w:hAnsi="Times New Roman"/>
          <w:spacing w:val="0"/>
          <w:sz w:val="20"/>
        </w:rPr>
      </w:pPr>
      <w:r>
        <w:rPr>
          <w:rFonts w:ascii="Times New Roman" w:hAnsi="Times New Roman"/>
          <w:spacing w:val="0"/>
          <w:sz w:val="20"/>
        </w:rPr>
        <w:t>off-label uses,</w:t>
      </w:r>
    </w:p>
    <w:p>
      <w:pPr>
        <w:pStyle w:val="TextBody"/>
        <w:spacing w:before="120" w:after="0"/>
        <w:jc w:val="left"/>
        <w:rPr>
          <w:rFonts w:ascii="Times New Roman" w:hAnsi="Times New Roman"/>
          <w:sz w:val="20"/>
        </w:rPr>
      </w:pPr>
      <w:r>
        <w:rPr>
          <w:rFonts w:ascii="Times New Roman" w:hAnsi="Times New Roman"/>
          <w:sz w:val="20"/>
        </w:rPr>
        <w:t xml:space="preserve">manufacturers may not market or promote such uses. The FDA and other agencies actively enforce the laws and regulations prohibiting the promotion of </w:t>
      </w:r>
    </w:p>
    <w:p>
      <w:pPr>
        <w:pStyle w:val="TextBody"/>
        <w:spacing w:before="120" w:after="0"/>
        <w:jc w:val="left"/>
        <w:rPr>
          <w:rFonts w:ascii="Times New Roman" w:hAnsi="Times New Roman"/>
          <w:spacing w:val="0"/>
          <w:sz w:val="20"/>
        </w:rPr>
      </w:pPr>
      <w:r>
        <w:rPr>
          <w:rFonts w:ascii="Times New Roman" w:hAnsi="Times New Roman"/>
          <w:spacing w:val="0"/>
          <w:sz w:val="20"/>
        </w:rPr>
        <w:t>off-label uses,</w:t>
      </w:r>
    </w:p>
    <w:p>
      <w:pPr>
        <w:pStyle w:val="TextBody"/>
        <w:spacing w:before="120" w:after="0"/>
        <w:jc w:val="left"/>
        <w:rPr>
          <w:rFonts w:ascii="Times New Roman" w:hAnsi="Times New Roman"/>
          <w:sz w:val="20"/>
        </w:rPr>
      </w:pPr>
      <w:r>
        <w:rPr>
          <w:rFonts w:ascii="Times New Roman" w:hAnsi="Times New Roman"/>
          <w:sz w:val="20"/>
        </w:rPr>
        <w:t xml:space="preserve">including not only by company employees but also by agents of the company or those speaking on the company’s behalf, and a company that is found to have improperly promoted </w:t>
      </w:r>
    </w:p>
    <w:p>
      <w:pPr>
        <w:pStyle w:val="TextBody"/>
        <w:spacing w:before="120" w:after="0"/>
        <w:jc w:val="left"/>
        <w:rPr>
          <w:rFonts w:ascii="Times New Roman" w:hAnsi="Times New Roman"/>
          <w:spacing w:val="0"/>
          <w:sz w:val="20"/>
        </w:rPr>
      </w:pPr>
      <w:r>
        <w:rPr>
          <w:rFonts w:ascii="Times New Roman" w:hAnsi="Times New Roman"/>
          <w:spacing w:val="0"/>
          <w:sz w:val="20"/>
        </w:rPr>
        <w:t>off-label uses</w:t>
      </w:r>
    </w:p>
    <w:p>
      <w:pPr>
        <w:pStyle w:val="TextBody"/>
        <w:spacing w:before="120" w:after="0"/>
        <w:jc w:val="left"/>
        <w:rPr>
          <w:rFonts w:ascii="Times New Roman" w:hAnsi="Times New Roman"/>
          <w:sz w:val="20"/>
        </w:rPr>
      </w:pPr>
      <w:r>
        <w:rPr>
          <w:rFonts w:ascii="Times New Roman" w:hAnsi="Times New Roman"/>
          <w:sz w:val="20"/>
        </w:rPr>
        <w:t xml:space="preserve">may be subject to significant liability, including investigation by federal and state authorities. Failure to comply with these requirements can result in, among other things, adverse publicity, warning letters, corrective advertising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potential civil and criminal penalties, including liabilities under the False Claims Act where products are obtain reimbursement under federal health care programs. Promotional materials for approved drugs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 party manufacturers that a sponsor may use.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restrictions on the marketing or manufacturing of the product, complete withdrawal of the product from the market or product recalls;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issuance of safety alerts, Dear Healthcare Provider letters, press releases or other communications containing warnings or other safety information about the product; </w:t>
            </w:r>
          </w:p>
        </w:tc>
      </w:tr>
    </w:tbl>
    <w:p>
      <w:pPr>
        <w:pStyle w:val="TextBody"/>
        <w:spacing w:before="0" w:after="0"/>
        <w:jc w:val="left"/>
        <w:rPr>
          <w:spacing w:val="0"/>
        </w:rPr>
      </w:pPr>
      <w:r>
        <w:rPr>
          <w:spacing w:val="0"/>
        </w:rPr>
        <w:t> </w:t>
      </w:r>
    </w:p>
    <w:tbl>
      <w:tblPr>
        <w:tblW w:w="5305" w:type="dxa"/>
        <w:jc w:val="left"/>
        <w:tblInd w:w="0" w:type="dxa"/>
        <w:tblCellMar>
          <w:top w:w="0" w:type="dxa"/>
          <w:left w:w="0" w:type="dxa"/>
          <w:bottom w:w="0" w:type="dxa"/>
          <w:right w:w="0" w:type="dxa"/>
        </w:tblCellMar>
      </w:tblPr>
      <w:tblGrid>
        <w:gridCol w:w="75"/>
        <w:gridCol w:w="110"/>
        <w:gridCol w:w="60"/>
        <w:gridCol w:w="50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fines, warning letters or holds on post-approval clinical trials;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refusal of the FDA to approve applications or supplements to approved applications, or suspension or revocation of product approvals; </w:t>
            </w:r>
          </w:p>
        </w:tc>
      </w:tr>
    </w:tbl>
    <w:p>
      <w:pPr>
        <w:pStyle w:val="TextBody"/>
        <w:spacing w:before="0" w:after="0"/>
        <w:jc w:val="left"/>
        <w:rPr>
          <w:spacing w:val="0"/>
        </w:rPr>
      </w:pPr>
      <w:r>
        <w:rPr>
          <w:spacing w:val="0"/>
        </w:rPr>
        <w:t> </w:t>
      </w:r>
    </w:p>
    <w:tbl>
      <w:tblPr>
        <w:tblW w:w="6910" w:type="dxa"/>
        <w:jc w:val="left"/>
        <w:tblInd w:w="0" w:type="dxa"/>
        <w:tblCellMar>
          <w:top w:w="0" w:type="dxa"/>
          <w:left w:w="0" w:type="dxa"/>
          <w:bottom w:w="0" w:type="dxa"/>
          <w:right w:w="0" w:type="dxa"/>
        </w:tblCellMar>
      </w:tblPr>
      <w:tblGrid>
        <w:gridCol w:w="75"/>
        <w:gridCol w:w="110"/>
        <w:gridCol w:w="60"/>
        <w:gridCol w:w="6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product seizure or detention, or refusal to permit the import or export of products; </w:t>
            </w:r>
          </w:p>
        </w:tc>
      </w:tr>
    </w:tbl>
    <w:p>
      <w:pPr>
        <w:pStyle w:val="TextBody"/>
        <w:spacing w:before="0" w:after="0"/>
        <w:jc w:val="left"/>
        <w:rPr>
          <w:spacing w:val="0"/>
        </w:rPr>
      </w:pPr>
      <w:r>
        <w:rPr>
          <w:spacing w:val="0"/>
        </w:rPr>
        <w:t> </w:t>
      </w:r>
    </w:p>
    <w:tbl>
      <w:tblPr>
        <w:tblW w:w="5440" w:type="dxa"/>
        <w:jc w:val="left"/>
        <w:tblInd w:w="0" w:type="dxa"/>
        <w:tblCellMar>
          <w:top w:w="0" w:type="dxa"/>
          <w:left w:w="0" w:type="dxa"/>
          <w:bottom w:w="0" w:type="dxa"/>
          <w:right w:w="0" w:type="dxa"/>
        </w:tblCellMar>
      </w:tblPr>
      <w:tblGrid>
        <w:gridCol w:w="75"/>
        <w:gridCol w:w="110"/>
        <w:gridCol w:w="60"/>
        <w:gridCol w:w="5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injunctions or the imposition of civil or criminal penalties;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consent decrees, corporate integrity agreements, debarment or exclusion from federal healthcare programs; or mandated modification of promotional materials and labeling and issuance of corrective information.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Regulation of companion diagnostics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PMA. </w:t>
      </w:r>
    </w:p>
    <w:p>
      <w:pPr>
        <w:pStyle w:val="TextBody"/>
        <w:spacing w:before="240" w:after="0"/>
        <w:jc w:val="left"/>
        <w:rPr>
          <w:rFonts w:ascii="Times New Roman" w:hAnsi="Times New Roman"/>
          <w:sz w:val="20"/>
        </w:rPr>
      </w:pPr>
      <w:r>
        <w:rPr>
          <w:rFonts w:ascii="Times New Roman" w:hAnsi="Times New Roman"/>
          <w:sz w:val="20"/>
        </w:rPr>
        <w:t xml:space="preserve">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w:t>
      </w:r>
    </w:p>
    <w:p>
      <w:pPr>
        <w:pStyle w:val="TextBody"/>
        <w:spacing w:before="240" w:after="0"/>
        <w:jc w:val="left"/>
        <w:rPr>
          <w:rFonts w:ascii="Times New Roman" w:hAnsi="Times New Roman"/>
          <w:spacing w:val="0"/>
          <w:sz w:val="20"/>
        </w:rPr>
      </w:pPr>
      <w:r>
        <w:rPr>
          <w:rFonts w:ascii="Times New Roman" w:hAnsi="Times New Roman"/>
          <w:spacing w:val="0"/>
          <w:sz w:val="20"/>
        </w:rPr>
        <w:t>pre-amendment device</w:t>
      </w:r>
    </w:p>
    <w:p>
      <w:pPr>
        <w:pStyle w:val="TextBody"/>
        <w:spacing w:before="240" w:after="0"/>
        <w:jc w:val="left"/>
        <w:rPr>
          <w:rFonts w:ascii="Times New Roman" w:hAnsi="Times New Roman"/>
          <w:sz w:val="20"/>
        </w:rPr>
      </w:pPr>
      <w:r>
        <w:rPr>
          <w:rFonts w:ascii="Times New Roman" w:hAnsi="Times New Roman"/>
          <w:sz w:val="20"/>
        </w:rPr>
        <w:t xml:space="preserve">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 </w:t>
      </w:r>
    </w:p>
    <w:p>
      <w:pPr>
        <w:pStyle w:val="TextBody"/>
        <w:spacing w:before="240" w:after="0"/>
        <w:jc w:val="left"/>
        <w:rPr>
          <w:rFonts w:ascii="Times New Roman" w:hAnsi="Times New Roman"/>
          <w:sz w:val="20"/>
        </w:rPr>
      </w:pPr>
      <w:r>
        <w:rPr>
          <w:rFonts w:ascii="Times New Roman" w:hAnsi="Times New Roman"/>
          <w:sz w:val="20"/>
        </w:rPr>
        <w:t xml:space="preserve">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w:t>
      </w:r>
    </w:p>
    <w:p>
      <w:pPr>
        <w:pStyle w:val="TextBody"/>
        <w:spacing w:before="240" w:after="0"/>
        <w:jc w:val="left"/>
        <w:rPr>
          <w:rFonts w:ascii="Times New Roman" w:hAnsi="Times New Roman"/>
          <w:spacing w:val="0"/>
          <w:sz w:val="20"/>
        </w:rPr>
      </w:pPr>
      <w:r>
        <w:rPr>
          <w:rFonts w:ascii="Times New Roman" w:hAnsi="Times New Roman"/>
          <w:spacing w:val="0"/>
          <w:sz w:val="20"/>
        </w:rPr>
        <w:t>pre-approval inspection</w:t>
      </w:r>
    </w:p>
    <w:p>
      <w:pPr>
        <w:pStyle w:val="TextBody"/>
        <w:spacing w:before="240" w:after="0"/>
        <w:jc w:val="left"/>
        <w:rPr>
          <w:rFonts w:ascii="Times New Roman" w:hAnsi="Times New Roman"/>
          <w:sz w:val="20"/>
        </w:rPr>
      </w:pPr>
      <w:r>
        <w:rPr>
          <w:rFonts w:ascii="Times New Roman" w:hAnsi="Times New Roman"/>
          <w:sz w:val="20"/>
        </w:rPr>
        <w:t xml:space="preserve">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 </w:t>
      </w:r>
    </w:p>
    <w:p>
      <w:pPr>
        <w:pStyle w:val="TextBody"/>
        <w:spacing w:before="240" w:after="0"/>
        <w:jc w:val="left"/>
        <w:rPr>
          <w:rFonts w:ascii="Times New Roman" w:hAnsi="Times New Roman"/>
          <w:sz w:val="20"/>
        </w:rPr>
      </w:pPr>
      <w:r>
        <w:rPr>
          <w:rFonts w:ascii="Times New Roman" w:hAnsi="Times New Roman"/>
          <w:sz w:val="20"/>
        </w:rPr>
        <w:t xml:space="preserve">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w:t>
      </w:r>
    </w:p>
    <w:p>
      <w:pPr>
        <w:pStyle w:val="TextBody"/>
        <w:spacing w:before="240" w:after="0"/>
        <w:jc w:val="left"/>
        <w:rPr>
          <w:rFonts w:ascii="Times New Roman" w:hAnsi="Times New Roman"/>
          <w:spacing w:val="0"/>
          <w:sz w:val="20"/>
        </w:rPr>
      </w:pPr>
      <w:r>
        <w:rPr>
          <w:rFonts w:ascii="Times New Roman" w:hAnsi="Times New Roman"/>
          <w:spacing w:val="0"/>
          <w:sz w:val="20"/>
        </w:rPr>
        <w:t>co-development of</w:t>
      </w:r>
    </w:p>
    <w:p>
      <w:pPr>
        <w:pStyle w:val="TextBody"/>
        <w:spacing w:before="240" w:after="0"/>
        <w:jc w:val="left"/>
        <w:rPr>
          <w:rFonts w:ascii="Times New Roman" w:hAnsi="Times New Roman"/>
          <w:sz w:val="20"/>
        </w:rPr>
      </w:pPr>
      <w:r>
        <w:rPr>
          <w:rFonts w:ascii="Times New Roman" w:hAnsi="Times New Roman"/>
          <w:sz w:val="20"/>
        </w:rPr>
        <w:t>an in vitro companion diagnostic device with a therapeutic product. The draft guidance describes principles to guide the development and contemporaneous marketing authorization for the therapeutic product and its corresponding</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in vitro</w:t>
      </w:r>
    </w:p>
    <w:p>
      <w:pPr>
        <w:pStyle w:val="TextBody"/>
        <w:spacing w:before="240" w:after="0"/>
        <w:jc w:val="left"/>
        <w:rPr/>
      </w:pPr>
      <w:r>
        <w:rPr/>
        <w:t> </w:t>
      </w:r>
      <w:r>
        <w:rPr>
          <w:rFonts w:ascii="Times New Roman" w:hAnsi="Times New Roman"/>
          <w:sz w:val="20"/>
        </w:rPr>
        <w:t xml:space="preserve">companion diagnostic.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regulatory matters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healthcare laws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119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w:t>
            </w:r>
          </w:p>
          <w:p>
            <w:pPr>
              <w:pStyle w:val="TableContents"/>
              <w:spacing w:before="0" w:after="0"/>
              <w:jc w:val="left"/>
              <w:rPr>
                <w:rFonts w:ascii="Times New Roman" w:hAnsi="Times New Roman"/>
                <w:spacing w:val="0"/>
                <w:sz w:val="20"/>
              </w:rPr>
            </w:pPr>
            <w:r>
              <w:rPr>
                <w:rFonts w:ascii="Times New Roman" w:hAnsi="Times New Roman"/>
                <w:spacing w:val="0"/>
                <w:sz w:val="20"/>
              </w:rPr>
              <w:t>non-physician providers</w:t>
            </w:r>
          </w:p>
          <w:p>
            <w:pPr>
              <w:pStyle w:val="TableContents"/>
              <w:spacing w:before="0" w:after="0"/>
              <w:jc w:val="left"/>
              <w:rPr>
                <w:rFonts w:ascii="Times New Roman" w:hAnsi="Times New Roman"/>
                <w:sz w:val="20"/>
              </w:rPr>
            </w:pPr>
            <w:r>
              <w:rPr>
                <w:rFonts w:ascii="Times New Roman" w:hAnsi="Times New Roman"/>
                <w:sz w:val="20"/>
              </w:rPr>
              <w:t xml:space="preserve">such as physician assistants and nurse practitioners.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Federal consumer protection and unfair competition laws broadly regulate marketplace activities and activities that potentially harm consumers.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w:t>
            </w:r>
          </w:p>
          <w:p>
            <w:pPr>
              <w:pStyle w:val="TableContents"/>
              <w:spacing w:before="0" w:after="0"/>
              <w:jc w:val="left"/>
              <w:rPr>
                <w:rFonts w:ascii="Times New Roman" w:hAnsi="Times New Roman"/>
                <w:spacing w:val="0"/>
                <w:sz w:val="20"/>
              </w:rPr>
            </w:pPr>
            <w:r>
              <w:rPr>
                <w:rFonts w:ascii="Times New Roman" w:hAnsi="Times New Roman"/>
                <w:spacing w:val="0"/>
                <w:sz w:val="20"/>
              </w:rPr>
              <w:t>pre-empted by</w:t>
            </w:r>
          </w:p>
          <w:p>
            <w:pPr>
              <w:pStyle w:val="TableContents"/>
              <w:spacing w:before="0" w:after="0"/>
              <w:jc w:val="left"/>
              <w:rPr>
                <w:rFonts w:ascii="Times New Roman" w:hAnsi="Times New Roman"/>
                <w:sz w:val="20"/>
              </w:rPr>
            </w:pPr>
            <w:r>
              <w:rPr>
                <w:rFonts w:ascii="Times New Roman" w:hAnsi="Times New Roman"/>
                <w:sz w:val="20"/>
              </w:rPr>
              <w:t xml:space="preserve">HIPAA, which may complicate compliance efforts.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obligations if we become subject to a corporate integrity agreement or similar settlement to resolve allegations of </w:t>
      </w:r>
    </w:p>
    <w:p>
      <w:pPr>
        <w:pStyle w:val="TextBody"/>
        <w:spacing w:before="0" w:after="0"/>
        <w:jc w:val="left"/>
        <w:rPr>
          <w:rFonts w:ascii="Times New Roman" w:hAnsi="Times New Roman"/>
          <w:spacing w:val="0"/>
          <w:sz w:val="20"/>
        </w:rPr>
      </w:pPr>
      <w:r>
        <w:rPr>
          <w:rFonts w:ascii="Times New Roman" w:hAnsi="Times New Roman"/>
          <w:spacing w:val="0"/>
          <w:sz w:val="20"/>
        </w:rPr>
        <w:t>non-compliance with</w:t>
      </w:r>
    </w:p>
    <w:p>
      <w:pPr>
        <w:pStyle w:val="TextBody"/>
        <w:spacing w:before="0" w:after="0"/>
        <w:jc w:val="left"/>
        <w:rPr>
          <w:rFonts w:ascii="Times New Roman" w:hAnsi="Times New Roman"/>
          <w:sz w:val="20"/>
        </w:rPr>
      </w:pPr>
      <w:r>
        <w:rPr>
          <w:rFonts w:ascii="Times New Roman" w:hAnsi="Times New Roman"/>
          <w:sz w:val="20"/>
        </w:rPr>
        <w:t xml:space="preserve">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Insurance Coverage and Reimbursement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Current and future healthcare reform legislation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United States and certain foreign jurisdictions, there have been, and likely will continue to be, a number of legislative and regulatory changes and proposed changes regarding the healthcare system directed at broadening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created an annual, nondeductible fee on any entity that manufactures or imports specified branded prescription drugs and biologic products, apportioned among these entities according to their market share in certain government healthcare programs;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expanded eligibility criteria for Medicaid programs by, among other things, allowing states to offer Medicaid coverage to certain individuals with income at or below 133% of the federal poverty level, thereby potentially increasing a manufacturer’s Medicaid rebate liability;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addressed a new methodology by which rebates owed by manufacturers under the Medicaid Drug Rebate Program are calculated for drugs that are inhaled, infused, instilled, implanted or injected; </w:t>
            </w:r>
          </w:p>
        </w:tc>
      </w:tr>
    </w:tbl>
    <w:p>
      <w:pPr>
        <w:pStyle w:val="TextBody"/>
        <w:spacing w:before="0" w:after="0"/>
        <w:jc w:val="left"/>
        <w:rPr>
          <w:spacing w:val="0"/>
        </w:rPr>
      </w:pPr>
      <w:r>
        <w:rPr>
          <w:spacing w:val="0"/>
        </w:rPr>
        <w:t> </w:t>
      </w:r>
    </w:p>
    <w:tbl>
      <w:tblPr>
        <w:tblW w:w="6445" w:type="dxa"/>
        <w:jc w:val="left"/>
        <w:tblInd w:w="0" w:type="dxa"/>
        <w:tblCellMar>
          <w:top w:w="0" w:type="dxa"/>
          <w:left w:w="0" w:type="dxa"/>
          <w:bottom w:w="0" w:type="dxa"/>
          <w:right w:w="0" w:type="dxa"/>
        </w:tblCellMar>
      </w:tblPr>
      <w:tblGrid>
        <w:gridCol w:w="75"/>
        <w:gridCol w:w="110"/>
        <w:gridCol w:w="60"/>
        <w:gridCol w:w="6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expanded the types of entities eligible for the 340B drug discount program;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established the Medicare Part D coverage gap discount program by requiring manufacturers to provide </w:t>
            </w:r>
          </w:p>
          <w:p>
            <w:pPr>
              <w:pStyle w:val="TableContents"/>
              <w:spacing w:before="0" w:after="0"/>
              <w:jc w:val="left"/>
              <w:rPr>
                <w:rFonts w:ascii="Times New Roman" w:hAnsi="Times New Roman"/>
                <w:spacing w:val="0"/>
                <w:sz w:val="20"/>
              </w:rPr>
            </w:pPr>
            <w:r>
              <w:rPr>
                <w:rFonts w:ascii="Times New Roman" w:hAnsi="Times New Roman"/>
                <w:spacing w:val="0"/>
                <w:sz w:val="20"/>
              </w:rPr>
              <w:t>point-of-sale-discounts off</w:t>
            </w:r>
          </w:p>
          <w:p>
            <w:pPr>
              <w:pStyle w:val="TableContents"/>
              <w:spacing w:before="0" w:after="0"/>
              <w:jc w:val="left"/>
              <w:rPr>
                <w:rFonts w:ascii="Times New Roman" w:hAnsi="Times New Roman"/>
                <w:sz w:val="20"/>
              </w:rPr>
            </w:pPr>
            <w:r>
              <w:rPr>
                <w:rFonts w:ascii="Times New Roman" w:hAnsi="Times New Roman"/>
                <w:sz w:val="20"/>
              </w:rPr>
              <w:t xml:space="preserve">the negotiated price of applicable brand drugs to eligible beneficiaries during their coverage gap period as a condition for the manufacturers’ outpatient drugs to be covered under Medicare Part D;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created a new Patient-Centered Outcomes Research Institute to oversee, identify priorities in, and conduct comparative clinical effectiveness research, along with funding for such research.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The implementation of the ACA is ongoing, the law appears likely to continue the downward pressure on pharmaceutical pricing, especially under the Medicare program, and may also increase our regulatory burdens and operating costs. Litigation and legislation related to the ACA may continue, with unpredictable and uncertain results.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Other legislative changes have been proposed and adopted in the United States since the Affordable Care Act was enacted. For example,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 CARES Act, which was signed into law in March 2020 and is designed to provide financial support and resources to individuals and businesses affected by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COVID-19 pandemic,</w:t>
      </w:r>
    </w:p>
    <w:p>
      <w:pPr>
        <w:pStyle w:val="TextBody"/>
        <w:spacing w:before="0" w:after="0"/>
        <w:jc w:val="left"/>
        <w:rPr>
          <w:rFonts w:ascii="Times New Roman" w:hAnsi="Times New Roman"/>
          <w:sz w:val="20"/>
        </w:rPr>
      </w:pPr>
      <w:r>
        <w:rPr>
          <w:rFonts w:ascii="Times New Roman" w:hAnsi="Times New Roman"/>
          <w:sz w:val="20"/>
        </w:rPr>
        <w:t xml:space="preserve">suspended these reductions from May 1, 2020 through December 31, 2020.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w:t>
      </w:r>
    </w:p>
    <w:p>
      <w:pPr>
        <w:pStyle w:val="TextBody"/>
        <w:spacing w:before="240" w:after="0"/>
        <w:jc w:val="left"/>
        <w:rPr>
          <w:rFonts w:ascii="Times New Roman" w:hAnsi="Times New Roman"/>
          <w:sz w:val="20"/>
        </w:rPr>
      </w:pPr>
      <w:r>
        <w:rPr>
          <w:rFonts w:ascii="Times New Roman" w:hAnsi="Times New Roman"/>
          <w:sz w:val="20"/>
        </w:rPr>
        <w:t xml:space="preserve">Moreover, payment methodologies may be subject to changes in healthcare legislation and regulatory initiatives. For example, CMS may develop new payment and delivery models, including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former Trump administration’s budget proposal for fiscal year 2021 included a $135 billion allowance to support legislative proposals seeking to reduce drug prices, increase competition, lower </w:t>
      </w:r>
    </w:p>
    <w:p>
      <w:pPr>
        <w:pStyle w:val="TextBody"/>
        <w:spacing w:before="240" w:after="0"/>
        <w:jc w:val="left"/>
        <w:rPr>
          <w:rFonts w:ascii="Times New Roman" w:hAnsi="Times New Roman"/>
          <w:spacing w:val="0"/>
          <w:sz w:val="20"/>
        </w:rPr>
      </w:pPr>
      <w:r>
        <w:rPr>
          <w:rFonts w:ascii="Times New Roman" w:hAnsi="Times New Roman"/>
          <w:spacing w:val="0"/>
          <w:sz w:val="20"/>
        </w:rPr>
        <w:t>out-of-pocket drug</w:t>
      </w:r>
    </w:p>
    <w:p>
      <w:pPr>
        <w:pStyle w:val="TextBody"/>
        <w:spacing w:before="240" w:after="0"/>
        <w:jc w:val="left"/>
        <w:rPr>
          <w:rFonts w:ascii="Times New Roman" w:hAnsi="Times New Roman"/>
          <w:sz w:val="20"/>
        </w:rPr>
      </w:pPr>
      <w:r>
        <w:rPr>
          <w:rFonts w:ascii="Times New Roman" w:hAnsi="Times New Roman"/>
          <w:sz w:val="20"/>
        </w:rPr>
        <w:t xml:space="preserve">costs for patients, and increase patient access to lower-cost generic and biosimilar drugs. On March 10, 2020, the Trump administration sent “principles” for drug pricing to Congress, calling for legislation that would, among other things, cap Medicare Part D beneficiary </w:t>
      </w:r>
    </w:p>
    <w:p>
      <w:pPr>
        <w:pStyle w:val="TextBody"/>
        <w:spacing w:before="240" w:after="0"/>
        <w:jc w:val="left"/>
        <w:rPr>
          <w:rFonts w:ascii="Times New Roman" w:hAnsi="Times New Roman"/>
          <w:spacing w:val="0"/>
          <w:sz w:val="20"/>
        </w:rPr>
      </w:pPr>
      <w:r>
        <w:rPr>
          <w:rFonts w:ascii="Times New Roman" w:hAnsi="Times New Roman"/>
          <w:spacing w:val="0"/>
          <w:sz w:val="20"/>
        </w:rPr>
        <w:t>out-of-pocket pharmacy</w:t>
      </w:r>
    </w:p>
    <w:p>
      <w:pPr>
        <w:pStyle w:val="TextBody"/>
        <w:spacing w:before="240" w:after="0"/>
        <w:jc w:val="left"/>
        <w:rPr>
          <w:rFonts w:ascii="Times New Roman" w:hAnsi="Times New Roman"/>
          <w:sz w:val="20"/>
        </w:rPr>
      </w:pPr>
      <w:r>
        <w:rPr>
          <w:rFonts w:ascii="Times New Roman" w:hAnsi="Times New Roman"/>
          <w:sz w:val="20"/>
        </w:rPr>
        <w:t xml:space="preserve">expenses, provide an option to cap Medicare Part D beneficiary monthly </w:t>
      </w:r>
    </w:p>
    <w:p>
      <w:pPr>
        <w:pStyle w:val="TextBody"/>
        <w:spacing w:before="240" w:after="0"/>
        <w:jc w:val="left"/>
        <w:rPr>
          <w:rFonts w:ascii="Times New Roman" w:hAnsi="Times New Roman"/>
          <w:spacing w:val="0"/>
          <w:sz w:val="20"/>
        </w:rPr>
      </w:pPr>
      <w:r>
        <w:rPr>
          <w:rFonts w:ascii="Times New Roman" w:hAnsi="Times New Roman"/>
          <w:spacing w:val="0"/>
          <w:sz w:val="20"/>
        </w:rPr>
        <w:t>out-of-pocket expenses,</w:t>
      </w:r>
    </w:p>
    <w:p>
      <w:pPr>
        <w:pStyle w:val="TextBody"/>
        <w:spacing w:before="240" w:after="0"/>
        <w:jc w:val="left"/>
        <w:rPr>
          <w:rFonts w:ascii="Times New Roman" w:hAnsi="Times New Roman"/>
          <w:sz w:val="20"/>
        </w:rPr>
      </w:pPr>
      <w:r>
        <w:rPr>
          <w:rFonts w:ascii="Times New Roman" w:hAnsi="Times New Roman"/>
          <w:sz w:val="20"/>
        </w:rPr>
        <w:t xml:space="preserve">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implemented certain measures.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 </w:t>
      </w:r>
    </w:p>
    <w:p>
      <w:pPr>
        <w:pStyle w:val="TextBody"/>
        <w:spacing w:before="240" w:after="0"/>
        <w:jc w:val="left"/>
        <w:rPr>
          <w:rFonts w:ascii="Times New Roman" w:hAnsi="Times New Roman"/>
          <w:sz w:val="20"/>
        </w:rPr>
      </w:pPr>
      <w:r>
        <w:rPr>
          <w:rFonts w:ascii="Times New Roman" w:hAnsi="Times New Roman"/>
          <w:sz w:val="20"/>
        </w:rPr>
        <w:t xml:space="preserve">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w:t>
      </w:r>
    </w:p>
    <w:p>
      <w:pPr>
        <w:pStyle w:val="TextBody"/>
        <w:spacing w:before="240" w:after="0"/>
        <w:jc w:val="left"/>
        <w:rPr>
          <w:rFonts w:ascii="Times New Roman" w:hAnsi="Times New Roman"/>
          <w:spacing w:val="0"/>
          <w:sz w:val="20"/>
        </w:rPr>
      </w:pPr>
      <w:r>
        <w:rPr>
          <w:rFonts w:ascii="Times New Roman" w:hAnsi="Times New Roman"/>
          <w:spacing w:val="0"/>
          <w:sz w:val="20"/>
        </w:rPr>
        <w:t>so-called health</w:t>
      </w:r>
    </w:p>
    <w:p>
      <w:pPr>
        <w:pStyle w:val="TextBody"/>
        <w:spacing w:before="240" w:after="0"/>
        <w:jc w:val="left"/>
        <w:rPr>
          <w:rFonts w:ascii="Times New Roman" w:hAnsi="Times New Roman"/>
          <w:sz w:val="20"/>
        </w:rPr>
      </w:pPr>
      <w:r>
        <w:rPr>
          <w:rFonts w:ascii="Times New Roman" w:hAnsi="Times New Roman"/>
          <w:sz w:val="20"/>
        </w:rPr>
        <w:t xml:space="preserve">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w:t>
      </w:r>
    </w:p>
    <w:p>
      <w:pPr>
        <w:pStyle w:val="TextBody"/>
        <w:spacing w:before="0" w:after="0"/>
        <w:jc w:val="left"/>
        <w:rPr>
          <w:rFonts w:ascii="Times New Roman" w:hAnsi="Times New Roman"/>
          <w:spacing w:val="0"/>
          <w:sz w:val="20"/>
        </w:rPr>
      </w:pPr>
      <w:r>
        <w:rPr>
          <w:rFonts w:ascii="Times New Roman" w:hAnsi="Times New Roman"/>
          <w:spacing w:val="0"/>
          <w:sz w:val="20"/>
        </w:rPr>
        <w:t>low-priced and</w:t>
      </w:r>
    </w:p>
    <w:p>
      <w:pPr>
        <w:pStyle w:val="TextBody"/>
        <w:spacing w:before="0" w:after="0"/>
        <w:jc w:val="left"/>
        <w:rPr>
          <w:rFonts w:ascii="Times New Roman" w:hAnsi="Times New Roman"/>
          <w:sz w:val="20"/>
        </w:rPr>
      </w:pPr>
      <w:r>
        <w:rPr>
          <w:rFonts w:ascii="Times New Roman" w:hAnsi="Times New Roman"/>
          <w:sz w:val="20"/>
        </w:rPr>
        <w:t xml:space="preserve">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Compliance with other federal and state laws or requirements; changing legal requirements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United States environmental, health and safety laws and regulations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Government regulation of drugs outside of the United States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For instance, in the United Kingdom and the European Economic Area, or the EEA (comprised of the 27 EU Member States plus Iceland, Liechtenstein and Norway), medicinal products must be authorized for marketing by using either the centralized authorization procedure or national authorization procedures.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Centralized procedure</w:t>
            </w:r>
          </w:p>
          <w:p>
            <w:pPr>
              <w:pStyle w:val="TableContents"/>
              <w:spacing w:before="0" w:after="0"/>
              <w:jc w:val="left"/>
              <w:rPr/>
            </w:pPr>
            <w:r>
              <w:rPr/>
              <w:t xml:space="preserve"> — </w:t>
            </w:r>
            <w:r>
              <w:rPr>
                <w:rFonts w:ascii="Times New Roman" w:hAnsi="Times New Roman"/>
                <w:sz w:val="20"/>
              </w:rPr>
              <w:t xml:space="preserve">The centralized procedure provides for the grant of a single marketing 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National authorization procedures</w:t>
            </w:r>
          </w:p>
          <w:p>
            <w:pPr>
              <w:pStyle w:val="TableContents"/>
              <w:spacing w:before="0" w:after="0"/>
              <w:jc w:val="left"/>
              <w:rPr/>
            </w:pPr>
            <w:r>
              <w:rPr/>
              <w:t xml:space="preserve"> — </w:t>
            </w:r>
            <w:r>
              <w:rPr>
                <w:rFonts w:ascii="Times New Roman" w:hAnsi="Times New Roman"/>
                <w:sz w:val="20"/>
              </w:rPr>
              <w:t xml:space="preserve">There are also two other possible routes to authorize products for therapeutic indications in several countries, which are available for products that fall outside the scope of the centralized procedure: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Decentralized procedure</w:t>
            </w:r>
          </w:p>
          <w:p>
            <w:pPr>
              <w:pStyle w:val="TableContents"/>
              <w:spacing w:before="0" w:after="0"/>
              <w:jc w:val="left"/>
              <w:rPr/>
            </w:pPr>
            <w:r>
              <w:rPr/>
              <w:t xml:space="preserve"> — </w:t>
            </w:r>
            <w:r>
              <w:rPr>
                <w:rFonts w:ascii="Times New Roman" w:hAnsi="Times New Roman"/>
                <w:sz w:val="20"/>
              </w:rPr>
              <w:t xml:space="preserve">Using the decentralized procedure, an applicant may apply for simultaneous authorization in more than one EEA Member State for a medicinal product that has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125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not yet been authorized in any EEA Member State and that does not fall within the mandatory scope of the centralized procedure.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Mutual recognition procedure</w:t>
            </w:r>
          </w:p>
          <w:p>
            <w:pPr>
              <w:pStyle w:val="TableContents"/>
              <w:spacing w:before="0" w:after="0"/>
              <w:jc w:val="left"/>
              <w:rPr/>
            </w:pPr>
            <w:r>
              <w:rPr/>
              <w:t xml:space="preserve"> — </w:t>
            </w:r>
            <w:r>
              <w:rPr>
                <w:rFonts w:ascii="Times New Roman" w:hAnsi="Times New Roman"/>
                <w:sz w:val="20"/>
              </w:rPr>
              <w:t xml:space="preserve">In the mutual recognition procedure, a medicine is first authorized in one EEA Member State, in accordance with the national procedures of that country. Following this, additional marketing authorizations can be sought from other EEA Member States in a procedure whereby the countries concerned recognize the validity of the original, national marketing authorization.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both cases, as with the centralized procedure, the competent authorities of the EEA Member States assess the risk-benefit balance of the product on the basis of scientific criteria concerning its quality, safety and efficacy before granting the marketing authorization. </w:t>
      </w:r>
    </w:p>
    <w:p>
      <w:pPr>
        <w:pStyle w:val="TextBody"/>
        <w:spacing w:before="240" w:after="0"/>
        <w:jc w:val="left"/>
        <w:rPr>
          <w:rFonts w:ascii="Times New Roman" w:hAnsi="Times New Roman"/>
          <w:sz w:val="20"/>
        </w:rPr>
      </w:pPr>
      <w:r>
        <w:rPr>
          <w:rFonts w:ascii="Times New Roman" w:hAnsi="Times New Roman"/>
          <w:sz w:val="20"/>
        </w:rPr>
        <w:t xml:space="preserve">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w:t>
      </w:r>
    </w:p>
    <w:p>
      <w:pPr>
        <w:pStyle w:val="TextBody"/>
        <w:spacing w:before="240" w:after="0"/>
        <w:jc w:val="left"/>
        <w:rPr>
          <w:rFonts w:ascii="Times New Roman" w:hAnsi="Times New Roman"/>
          <w:spacing w:val="0"/>
          <w:sz w:val="20"/>
        </w:rPr>
      </w:pPr>
      <w:r>
        <w:rPr>
          <w:rFonts w:ascii="Times New Roman" w:hAnsi="Times New Roman"/>
          <w:spacing w:val="0"/>
          <w:sz w:val="20"/>
        </w:rPr>
        <w:t>two-year period</w:t>
      </w:r>
    </w:p>
    <w:p>
      <w:pPr>
        <w:pStyle w:val="TextBody"/>
        <w:spacing w:before="240" w:after="0"/>
        <w:jc w:val="left"/>
        <w:rPr>
          <w:rFonts w:ascii="Times New Roman" w:hAnsi="Times New Roman"/>
          <w:sz w:val="20"/>
        </w:rPr>
      </w:pPr>
      <w:r>
        <w:rPr>
          <w:rFonts w:ascii="Times New Roman" w:hAnsi="Times New Roman"/>
          <w:sz w:val="20"/>
        </w:rPr>
        <w:t xml:space="preserve">of market exclusivity period prevents a successful generic or biosimilar applicant from commercializing its product in the EEA until ten years have elapsed from the initial authorization of the reference product in the European Union. The overall </w:t>
      </w:r>
    </w:p>
    <w:p>
      <w:pPr>
        <w:pStyle w:val="TextBody"/>
        <w:spacing w:before="240" w:after="0"/>
        <w:jc w:val="left"/>
        <w:rPr>
          <w:rFonts w:ascii="Times New Roman" w:hAnsi="Times New Roman"/>
          <w:spacing w:val="0"/>
          <w:sz w:val="20"/>
        </w:rPr>
      </w:pPr>
      <w:r>
        <w:rPr>
          <w:rFonts w:ascii="Times New Roman" w:hAnsi="Times New Roman"/>
          <w:spacing w:val="0"/>
          <w:sz w:val="20"/>
        </w:rPr>
        <w:t>ten-year period</w:t>
      </w:r>
    </w:p>
    <w:p>
      <w:pPr>
        <w:pStyle w:val="TextBody"/>
        <w:spacing w:before="240" w:after="0"/>
        <w:jc w:val="left"/>
        <w:rPr>
          <w:rFonts w:ascii="Times New Roman" w:hAnsi="Times New Roman"/>
          <w:sz w:val="20"/>
        </w:rPr>
      </w:pPr>
      <w:r>
        <w:rPr>
          <w:rFonts w:ascii="Times New Roman" w:hAnsi="Times New Roman"/>
          <w:sz w:val="20"/>
        </w:rPr>
        <w:t xml:space="preserve">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 </w:t>
      </w:r>
    </w:p>
    <w:p>
      <w:pPr>
        <w:pStyle w:val="TextBody"/>
        <w:spacing w:before="240" w:after="0"/>
        <w:jc w:val="left"/>
        <w:rPr>
          <w:rFonts w:ascii="Times New Roman" w:hAnsi="Times New Roman"/>
          <w:sz w:val="20"/>
        </w:rPr>
      </w:pPr>
      <w:r>
        <w:rPr>
          <w:rFonts w:ascii="Times New Roman" w:hAnsi="Times New Roman"/>
          <w:sz w:val="20"/>
        </w:rPr>
        <w:t xml:space="preserve">The criteria for designating an “orphan medicinal product” in the EEA are similar in principle to those in the United States. Under Article 3 of Regulation (EC) 141/2000, in the EEA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w:t>
      </w:r>
    </w:p>
    <w:p>
      <w:pPr>
        <w:pStyle w:val="TextBody"/>
        <w:spacing w:before="240" w:after="0"/>
        <w:jc w:val="left"/>
        <w:rPr>
          <w:rFonts w:ascii="Times New Roman" w:hAnsi="Times New Roman"/>
          <w:spacing w:val="0"/>
          <w:sz w:val="20"/>
        </w:rPr>
      </w:pPr>
      <w:r>
        <w:rPr>
          <w:rFonts w:ascii="Times New Roman" w:hAnsi="Times New Roman"/>
          <w:spacing w:val="0"/>
          <w:sz w:val="20"/>
        </w:rPr>
        <w:t>ten-year orphan</w:t>
      </w:r>
    </w:p>
    <w:p>
      <w:pPr>
        <w:pStyle w:val="TextBody"/>
        <w:spacing w:before="240" w:after="0"/>
        <w:jc w:val="left"/>
        <w:rPr>
          <w:rFonts w:ascii="Times New Roman" w:hAnsi="Times New Roman"/>
          <w:sz w:val="20"/>
        </w:rPr>
      </w:pPr>
      <w:r>
        <w:rPr>
          <w:rFonts w:ascii="Times New Roman" w:hAnsi="Times New Roman"/>
          <w:sz w:val="20"/>
        </w:rPr>
        <w:t xml:space="preserve">market exclusivity period, no marketing authorization application shall be accepted, and no marketing authorization shall be granted for a similar medicinal product for the same indication, unless (i) the second applicant can establish that its product, although similar, is safer, more effective or otherwise clinically superior than the authorized product; (ii) the marketing authorization holder of the authorized product consents to a second orphan medicinal product application; or (iii) the marketing authorization holder of the authorized product cannot supply enough orphan medicinal product. An orphan product can also obtain an additional two years of market exclusivity in the European Union for pediatric studies. The </w:t>
      </w:r>
    </w:p>
    <w:p>
      <w:pPr>
        <w:pStyle w:val="TextBody"/>
        <w:spacing w:before="240" w:after="0"/>
        <w:jc w:val="left"/>
        <w:rPr>
          <w:rFonts w:ascii="Times New Roman" w:hAnsi="Times New Roman"/>
          <w:spacing w:val="0"/>
          <w:sz w:val="20"/>
        </w:rPr>
      </w:pPr>
      <w:r>
        <w:rPr>
          <w:rFonts w:ascii="Times New Roman" w:hAnsi="Times New Roman"/>
          <w:spacing w:val="0"/>
          <w:sz w:val="20"/>
        </w:rPr>
        <w:t>ten-year market</w:t>
      </w:r>
    </w:p>
    <w:p>
      <w:pPr>
        <w:pStyle w:val="TextBody"/>
        <w:spacing w:before="240" w:after="0"/>
        <w:jc w:val="left"/>
        <w:rPr>
          <w:rFonts w:ascii="Times New Roman" w:hAnsi="Times New Roman"/>
          <w:sz w:val="20"/>
        </w:rPr>
      </w:pPr>
      <w:r>
        <w:rPr>
          <w:rFonts w:ascii="Times New Roman" w:hAnsi="Times New Roman"/>
          <w:sz w:val="20"/>
        </w:rPr>
        <w:t xml:space="preserve">exclusivity may be reduced to six years if, at the end of the fifth year, it is established that the product no longer meets the criteria for orphan designation, for example, if the product is sufficiently profitable not to justify maintenance of market exclusivity. The application for orphan drug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drug designation does not convey any advantage in, or shorten the duration of, the regulatory review and approval process.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Similar to the United States, the various phases of </w:t>
      </w:r>
    </w:p>
    <w:p>
      <w:pPr>
        <w:pStyle w:val="TextBody"/>
        <w:spacing w:before="0" w:after="0"/>
        <w:jc w:val="left"/>
        <w:rPr>
          <w:rFonts w:ascii="Times New Roman" w:hAnsi="Times New Roman"/>
          <w:spacing w:val="0"/>
          <w:sz w:val="20"/>
        </w:rPr>
      </w:pPr>
      <w:r>
        <w:rPr>
          <w:rFonts w:ascii="Times New Roman" w:hAnsi="Times New Roman"/>
          <w:spacing w:val="0"/>
          <w:sz w:val="20"/>
        </w:rPr>
        <w:t>non-clinical and</w:t>
      </w:r>
    </w:p>
    <w:p>
      <w:pPr>
        <w:pStyle w:val="TextBody"/>
        <w:spacing w:before="0" w:after="0"/>
        <w:jc w:val="left"/>
        <w:rPr>
          <w:rFonts w:ascii="Times New Roman" w:hAnsi="Times New Roman"/>
          <w:sz w:val="20"/>
        </w:rPr>
      </w:pPr>
      <w:r>
        <w:rPr>
          <w:rFonts w:ascii="Times New Roman" w:hAnsi="Times New Roman"/>
          <w:sz w:val="20"/>
        </w:rPr>
        <w:t xml:space="preserve">clinical research in the European Union are subject to significant regulatory controls.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Directive 2001/20/EC, Directive 2005/28/EC, and the provisions of the individual EU Member States’ legislation implementing the Clinical Trials Directive. Under the current regime (the EU Clinical Trials Directive 2001/20/EC and corresponding national laws) all suspected unexpected serious adverse reactions to the investigated drug that occur during the clinical trial have to be reported to the NCA and ECs of the Member State where they occurred.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April 2014, the new Clinical Trials Regulation, (EU) No 536/2014 (Clinical Trials Regulation) was adopted. It is expected that the new Clinical Trials Regulation (EU) No 536/2014 will apply following confirmation of full functionality of the Clinical Trials Information System (CTIS), the centralized European Union portal and database for clinical trials foreseen by the regulation, through an independent audit. The regulation becomes applicable six months after the European Commission publishes notice of this confirmation. The Clinical Trials Regulation will be directly applicable in all the EU Member States, repealing the current Clinical Trials Directive 2001/20/EC. Conduct of all clinical trials performed in the European Union will continue to be bound by the Clinical Trials Directive and the Member States’ national implementing legislation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 The new Clinical Trials Regulation aims to simplify and streamline the approval of clinical trials in the European Union.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Government regulation of data collection outside of the United States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w:t>
      </w:r>
    </w:p>
    <w:p>
      <w:pPr>
        <w:pStyle w:val="TextBody"/>
        <w:spacing w:before="0" w:after="0"/>
        <w:jc w:val="left"/>
        <w:rPr>
          <w:rFonts w:ascii="Times New Roman" w:hAnsi="Times New Roman"/>
          <w:spacing w:val="0"/>
          <w:sz w:val="20"/>
        </w:rPr>
      </w:pPr>
      <w:r>
        <w:rPr>
          <w:rFonts w:ascii="Times New Roman" w:hAnsi="Times New Roman"/>
          <w:spacing w:val="0"/>
          <w:sz w:val="20"/>
        </w:rPr>
        <w:t>non-material damages</w:t>
      </w:r>
    </w:p>
    <w:p>
      <w:pPr>
        <w:pStyle w:val="TextBody"/>
        <w:spacing w:before="0" w:after="0"/>
        <w:jc w:val="left"/>
        <w:rPr>
          <w:rFonts w:ascii="Times New Roman" w:hAnsi="Times New Roman"/>
          <w:sz w:val="20"/>
        </w:rPr>
      </w:pPr>
      <w:r>
        <w:rPr>
          <w:rFonts w:ascii="Times New Roman" w:hAnsi="Times New Roman"/>
          <w:sz w:val="20"/>
        </w:rPr>
        <w:t xml:space="preserve">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Further, the United Kingdom’s decision to leave the European Union, means that it has in force its own legislation which is aligned with the GDPR, known as the Data Protection Act 2018. The requirements are similar except that the United Kingdom is now regarded as a “third country” for the purposes of transfers of personal data from the EEA. Transfers continue to flow freely from the United Kingdom to the EEA; however, as part of the agreement between the United Kingdom and the European Union, the United Kingdom intends to obtain an adequacy decision from the European Commission to ensure personal data can continue to flow freely from the European Union to the United Kingdom.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Data protection authority activity differs across the European Union,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Should we utilize third party distributors, compliance with such foreign governmental regulations would generally be the responsibility of such distributors, who may be independent contractors over whom we have limited control.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Competition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face direct competition from pharmaceutical and biotechnology companies leveraging the principle of synthetic lethality as well as companies developing therapies for the same target pathway. Well- established companies that are developing or may develop therapies based on synthetic lethality include AstraZeneca, GlaxoSmithKline, Bristol Myers Squibb, Merck KGaA and Pfizer. Smaller and earlier-stage companies focused on synthetic lethality include Artios Pharma, Cyteir Therapeutics, KSQ Therapeutics, Ideaya Biosciences, MetaboMed, Mirati Therapeutics and Repare Therapeutics. </w:t>
      </w:r>
    </w:p>
    <w:p>
      <w:pPr>
        <w:pStyle w:val="TextBody"/>
        <w:spacing w:before="240" w:after="0"/>
        <w:jc w:val="left"/>
        <w:rPr>
          <w:rFonts w:ascii="Times New Roman" w:hAnsi="Times New Roman"/>
          <w:sz w:val="20"/>
        </w:rPr>
      </w:pPr>
      <w:r>
        <w:rPr>
          <w:rFonts w:ascii="Times New Roman" w:hAnsi="Times New Roman"/>
          <w:sz w:val="20"/>
        </w:rPr>
        <w:t xml:space="preserve">Related to our PRMT5 inhibitor program, TNG908, we face direct competition from companies that have advanced preclinical-stage, </w:t>
      </w:r>
    </w:p>
    <w:p>
      <w:pPr>
        <w:pStyle w:val="TextBody"/>
        <w:spacing w:before="240" w:after="0"/>
        <w:jc w:val="left"/>
        <w:rPr>
          <w:rFonts w:ascii="Times New Roman" w:hAnsi="Times New Roman"/>
          <w:spacing w:val="0"/>
          <w:sz w:val="20"/>
        </w:rPr>
      </w:pPr>
      <w:r>
        <w:rPr>
          <w:rFonts w:ascii="Times New Roman" w:hAnsi="Times New Roman"/>
          <w:spacing w:val="0"/>
          <w:sz w:val="20"/>
        </w:rPr>
        <w:t>MTA-cooperative PRMT5</w:t>
      </w:r>
    </w:p>
    <w:p>
      <w:pPr>
        <w:pStyle w:val="TextBody"/>
        <w:spacing w:before="240" w:after="0"/>
        <w:jc w:val="left"/>
        <w:rPr>
          <w:rFonts w:ascii="Times New Roman" w:hAnsi="Times New Roman"/>
          <w:sz w:val="20"/>
        </w:rPr>
      </w:pPr>
      <w:r>
        <w:rPr>
          <w:rFonts w:ascii="Times New Roman" w:hAnsi="Times New Roman"/>
          <w:sz w:val="20"/>
        </w:rPr>
        <w:t xml:space="preserve">inhibitors that are selective for MTAP-deleted cancers. We are aware that Mirati Therapeutics, Inc. has a preclinical </w:t>
      </w:r>
    </w:p>
    <w:p>
      <w:pPr>
        <w:pStyle w:val="TextBody"/>
        <w:spacing w:before="240" w:after="0"/>
        <w:jc w:val="left"/>
        <w:rPr>
          <w:rFonts w:ascii="Times New Roman" w:hAnsi="Times New Roman"/>
          <w:spacing w:val="0"/>
          <w:sz w:val="20"/>
        </w:rPr>
      </w:pPr>
      <w:r>
        <w:rPr>
          <w:rFonts w:ascii="Times New Roman" w:hAnsi="Times New Roman"/>
          <w:spacing w:val="0"/>
          <w:sz w:val="20"/>
        </w:rPr>
        <w:t>MTA-cooperative PRMT5</w:t>
      </w:r>
    </w:p>
    <w:p>
      <w:pPr>
        <w:pStyle w:val="TextBody"/>
        <w:spacing w:before="240" w:after="0"/>
        <w:jc w:val="left"/>
        <w:rPr>
          <w:rFonts w:ascii="Times New Roman" w:hAnsi="Times New Roman"/>
          <w:sz w:val="20"/>
        </w:rPr>
      </w:pPr>
      <w:r>
        <w:rPr>
          <w:rFonts w:ascii="Times New Roman" w:hAnsi="Times New Roman"/>
          <w:sz w:val="20"/>
        </w:rPr>
        <w:t xml:space="preserve">inhibitor program, using the same mechanism of action as TNG908. </w:t>
      </w:r>
    </w:p>
    <w:p>
      <w:pPr>
        <w:pStyle w:val="TextBody"/>
        <w:spacing w:before="240" w:after="0"/>
        <w:jc w:val="left"/>
        <w:rPr>
          <w:rFonts w:ascii="Times New Roman" w:hAnsi="Times New Roman"/>
          <w:sz w:val="20"/>
        </w:rPr>
      </w:pPr>
      <w:r>
        <w:rPr>
          <w:rFonts w:ascii="Times New Roman" w:hAnsi="Times New Roman"/>
          <w:sz w:val="20"/>
        </w:rPr>
        <w:t xml:space="preserve">Indirect competition may come from </w:t>
      </w:r>
    </w:p>
    <w:p>
      <w:pPr>
        <w:pStyle w:val="TextBody"/>
        <w:spacing w:before="240" w:after="0"/>
        <w:jc w:val="left"/>
        <w:rPr>
          <w:rFonts w:ascii="Times New Roman" w:hAnsi="Times New Roman"/>
          <w:spacing w:val="0"/>
          <w:sz w:val="20"/>
        </w:rPr>
      </w:pPr>
      <w:r>
        <w:rPr>
          <w:rFonts w:ascii="Times New Roman" w:hAnsi="Times New Roman"/>
          <w:spacing w:val="0"/>
          <w:sz w:val="20"/>
        </w:rPr>
        <w:t>non-MTAP deletion</w:t>
      </w:r>
    </w:p>
    <w:p>
      <w:pPr>
        <w:pStyle w:val="TextBody"/>
        <w:spacing w:before="240" w:after="0"/>
        <w:jc w:val="left"/>
        <w:rPr>
          <w:rFonts w:ascii="Times New Roman" w:hAnsi="Times New Roman"/>
          <w:sz w:val="20"/>
        </w:rPr>
      </w:pPr>
      <w:r>
        <w:rPr>
          <w:rFonts w:ascii="Times New Roman" w:hAnsi="Times New Roman"/>
          <w:sz w:val="20"/>
        </w:rPr>
        <w:t xml:space="preserve">selective PRMT5 programs or MAT2A inhibitor programs that are uniquely different than the TNG908 mechanism of action. Several </w:t>
      </w:r>
    </w:p>
    <w:p>
      <w:pPr>
        <w:pStyle w:val="TextBody"/>
        <w:spacing w:before="240" w:after="0"/>
        <w:jc w:val="left"/>
        <w:rPr>
          <w:rFonts w:ascii="Times New Roman" w:hAnsi="Times New Roman"/>
          <w:spacing w:val="0"/>
          <w:sz w:val="20"/>
        </w:rPr>
      </w:pPr>
      <w:r>
        <w:rPr>
          <w:rFonts w:ascii="Times New Roman" w:hAnsi="Times New Roman"/>
          <w:spacing w:val="0"/>
          <w:sz w:val="20"/>
        </w:rPr>
        <w:t>non-MTAP deletion</w:t>
      </w:r>
    </w:p>
    <w:p>
      <w:pPr>
        <w:pStyle w:val="TextBody"/>
        <w:spacing w:before="240" w:after="0"/>
        <w:jc w:val="left"/>
        <w:rPr>
          <w:rFonts w:ascii="Times New Roman" w:hAnsi="Times New Roman"/>
          <w:sz w:val="20"/>
        </w:rPr>
      </w:pPr>
      <w:r>
        <w:rPr>
          <w:rFonts w:ascii="Times New Roman" w:hAnsi="Times New Roman"/>
          <w:sz w:val="20"/>
        </w:rPr>
        <w:t xml:space="preserve">selective PRMT5 inhibitors are in clinical development, including GlaxoSmithKline (GSK3326595), Prelude Therapeutics (PRT543 and PRT811), Johnson &amp; Johnson (JNJ 64619178) and Pfizer (PF 06939999). These PRMT5 inhibitors are not selective for MTAP deletions, do not have a patient selection strategy based on MTAP deletion and we believe TNG908 may have a wider therapeutic window than these </w:t>
      </w:r>
    </w:p>
    <w:p>
      <w:pPr>
        <w:pStyle w:val="TextBody"/>
        <w:spacing w:before="240" w:after="0"/>
        <w:jc w:val="left"/>
        <w:rPr>
          <w:rFonts w:ascii="Times New Roman" w:hAnsi="Times New Roman"/>
          <w:spacing w:val="0"/>
          <w:sz w:val="20"/>
        </w:rPr>
      </w:pPr>
      <w:r>
        <w:rPr>
          <w:rFonts w:ascii="Times New Roman" w:hAnsi="Times New Roman"/>
          <w:spacing w:val="0"/>
          <w:sz w:val="20"/>
        </w:rPr>
        <w:t>non-selective competitor</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candidates. MAT2A is an enzyme upstream of PRMT5 essential for the metabolism of the PRMT5 </w:t>
      </w:r>
    </w:p>
    <w:p>
      <w:pPr>
        <w:pStyle w:val="TextBody"/>
        <w:spacing w:before="0" w:after="0"/>
        <w:jc w:val="left"/>
        <w:rPr>
          <w:rFonts w:ascii="Times New Roman" w:hAnsi="Times New Roman"/>
          <w:spacing w:val="0"/>
          <w:sz w:val="20"/>
        </w:rPr>
      </w:pPr>
      <w:r>
        <w:rPr>
          <w:rFonts w:ascii="Times New Roman" w:hAnsi="Times New Roman"/>
          <w:spacing w:val="0"/>
          <w:sz w:val="20"/>
        </w:rPr>
        <w:t>co-factor SAM</w:t>
      </w:r>
    </w:p>
    <w:p>
      <w:pPr>
        <w:pStyle w:val="TextBody"/>
        <w:spacing w:before="0" w:after="0"/>
        <w:jc w:val="left"/>
        <w:rPr>
          <w:rFonts w:ascii="Times New Roman" w:hAnsi="Times New Roman"/>
          <w:sz w:val="20"/>
        </w:rPr>
      </w:pPr>
      <w:r>
        <w:rPr>
          <w:rFonts w:ascii="Times New Roman" w:hAnsi="Times New Roman"/>
          <w:sz w:val="20"/>
        </w:rPr>
        <w:t xml:space="preserve">that acts on the same pathway as TNG908. Agios Pharmaceuticals </w:t>
      </w:r>
    </w:p>
    <w:p>
      <w:pPr>
        <w:pStyle w:val="TextBody"/>
        <w:spacing w:before="0" w:after="0"/>
        <w:jc w:val="left"/>
        <w:rPr>
          <w:rFonts w:ascii="Times New Roman" w:hAnsi="Times New Roman"/>
          <w:spacing w:val="0"/>
          <w:sz w:val="20"/>
        </w:rPr>
      </w:pPr>
      <w:r>
        <w:rPr>
          <w:rFonts w:ascii="Times New Roman" w:hAnsi="Times New Roman"/>
          <w:spacing w:val="0"/>
          <w:sz w:val="20"/>
        </w:rPr>
        <w:t>(AG-0270)</w:t>
      </w:r>
    </w:p>
    <w:p>
      <w:pPr>
        <w:pStyle w:val="TextBody"/>
        <w:spacing w:before="0" w:after="0"/>
        <w:jc w:val="left"/>
        <w:rPr>
          <w:rFonts w:ascii="Times New Roman" w:hAnsi="Times New Roman"/>
          <w:sz w:val="20"/>
        </w:rPr>
      </w:pPr>
      <w:r>
        <w:rPr>
          <w:rFonts w:ascii="Times New Roman" w:hAnsi="Times New Roman"/>
          <w:sz w:val="20"/>
        </w:rPr>
        <w:t xml:space="preserve">and Ideaya Biosciences (IDE397) are the two companies we are aware of competing in the MAT2A space. Agios announced the divestment of their oncology portfolio to Servier Pharmaceuticals, including the MAT2A program in December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Competition for our preclinical USP1 inhibitor program comes from KSQ Therapeutics, which has a USP1 program in preclinical development.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Employees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August 31, 2021, we had 86 full-time employees, of which 42 have M.D. or Ph.D. degrees. Within our workforce, 69 employees are engaged in research and development and 17 are engaged in business development, finance, legal, and general management and administration. None of our employees are represented by labor unions or covered by collective bargaining agreements. We consider our relationship with our employees to be good.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Facilities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corporate headquarters is located in Cambridge, Massachusetts, where we lease and occupy approximately 22,383 square feet of office and laboratory space. The term of our lease expires on June 30, 2026, with an option to extend for one additional three-year period.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Legal proceedings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MANAGEMENT’S DISCUSSION AND ANALYSIS OF FINANCIAL CONDITION AND RESULTS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You should read the following discussion and analysis of our financial condition and results of operations together with the section entitled “Unaudited Pro Forma Condensed Combined Financial Information” and our financial statements and notes thereto included elsewhere in this prospectus. Certain of the information contained in this discussion and analysis or set forth elsewhere in this prospectus, including information with respect to plans and strategy for our business, includes forward-looking statements that involve risks and uncertainties. As a result of many factors, including those factors set forth in the section entitled “Risk Factors,” our actual results could differ materially from the results described in or implied by the forward-looking statements contained in the following discussion and analysis. You should carefully read the section entitled “Risk Factors” to gain an understanding of the material and other risks that could cause actual results to differ materially from our forward-looking statements. Please also see the section entitled “Cautionary Note Regarding Forward-Looking Statements.”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are a precision oncology company leveraging our </w:t>
      </w:r>
    </w:p>
    <w:p>
      <w:pPr>
        <w:pStyle w:val="TextBody"/>
        <w:spacing w:before="120" w:after="0"/>
        <w:jc w:val="left"/>
        <w:rPr>
          <w:rFonts w:ascii="Times New Roman" w:hAnsi="Times New Roman"/>
          <w:spacing w:val="0"/>
          <w:sz w:val="20"/>
        </w:rPr>
      </w:pPr>
      <w:r>
        <w:rPr>
          <w:rFonts w:ascii="Times New Roman" w:hAnsi="Times New Roman"/>
          <w:spacing w:val="0"/>
          <w:sz w:val="20"/>
        </w:rPr>
        <w:t>state-of-the-art</w:t>
      </w:r>
    </w:p>
    <w:p>
      <w:pPr>
        <w:pStyle w:val="TextBody"/>
        <w:spacing w:before="120" w:after="0"/>
        <w:jc w:val="left"/>
        <w:rPr>
          <w:rFonts w:ascii="Times New Roman" w:hAnsi="Times New Roman"/>
          <w:sz w:val="20"/>
        </w:rPr>
      </w:pPr>
      <w:r>
        <w:rPr>
          <w:rFonts w:ascii="Times New Roman" w:hAnsi="Times New Roman"/>
          <w:sz w:val="20"/>
        </w:rPr>
        <w:t xml:space="preserve">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t>
      </w:r>
    </w:p>
    <w:p>
      <w:pPr>
        <w:pStyle w:val="TextBody"/>
        <w:spacing w:before="240" w:after="0"/>
        <w:jc w:val="left"/>
        <w:rPr>
          <w:rFonts w:ascii="Times New Roman" w:hAnsi="Times New Roman"/>
          <w:sz w:val="20"/>
        </w:rPr>
      </w:pPr>
      <w:r>
        <w:rPr>
          <w:rFonts w:ascii="Times New Roman" w:hAnsi="Times New Roman"/>
          <w:sz w:val="20"/>
        </w:rPr>
        <w:t xml:space="preserve">Our lead program, TNG908, a protein arginine methyl transferase 5, or PRMT5, inhibitor that is synthetic lethal with MTAP deletion, is being developed as a treatment for cancers with MTAP deletions, which occur in 10% to 15% of all human cancers. In preclinical studies, TNG908 demonstrated </w:t>
      </w:r>
    </w:p>
    <w:p>
      <w:pPr>
        <w:pStyle w:val="TextBody"/>
        <w:spacing w:before="240" w:after="0"/>
        <w:jc w:val="left"/>
        <w:rPr>
          <w:rFonts w:ascii="Times New Roman" w:hAnsi="Times New Roman"/>
          <w:spacing w:val="0"/>
          <w:sz w:val="20"/>
        </w:rPr>
      </w:pPr>
      <w:r>
        <w:rPr>
          <w:rFonts w:ascii="Times New Roman" w:hAnsi="Times New Roman"/>
          <w:spacing w:val="0"/>
          <w:sz w:val="20"/>
        </w:rPr>
        <w:t>15-fold</w:t>
      </w:r>
    </w:p>
    <w:p>
      <w:pPr>
        <w:pStyle w:val="TextBody"/>
        <w:spacing w:before="240" w:after="0"/>
        <w:jc w:val="left"/>
        <w:rPr>
          <w:rFonts w:ascii="Times New Roman" w:hAnsi="Times New Roman"/>
          <w:sz w:val="20"/>
        </w:rPr>
      </w:pPr>
      <w:r>
        <w:rPr>
          <w:rFonts w:ascii="Times New Roman" w:hAnsi="Times New Roman"/>
          <w:sz w:val="20"/>
        </w:rPr>
        <w:t xml:space="preserve">greater potency in cells with MTAP deletions than those without. We plan to file an IND application for TNG908 in the fourth quarter of 2021 and initiate a Phase 1/2 clinical trial in the first half of 2022. We are also developing a ubiquitin-specific protease 1 (USP1) inhibitor that is synthetic lethal with BRCA1 mutations, which are present in approximately 15% of ovarian cancer, 5% of breast cancers, and 1% of prostate cancers.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 vitro</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 vivo</w:t>
      </w:r>
    </w:p>
    <w:p>
      <w:pPr>
        <w:pStyle w:val="TextBody"/>
        <w:spacing w:before="240" w:after="0"/>
        <w:jc w:val="left"/>
        <w:rPr>
          <w:rFonts w:ascii="Times New Roman" w:hAnsi="Times New Roman"/>
          <w:sz w:val="20"/>
        </w:rPr>
      </w:pPr>
      <w:r>
        <w:rPr>
          <w:rFonts w:ascii="Times New Roman" w:hAnsi="Times New Roman"/>
          <w:sz w:val="20"/>
        </w:rPr>
        <w:t xml:space="preserve">preclinical data demonstrated potent anti-tumor activity. We plan to file an IND in 2022 and expect this molecule to have both single agent activity in PARPi-naïve and PARPi-resistant BRCA1 mutant cancers and to synergize with PARP inhibitors. Our third program, an undisclosed synthetic lethal target (Target 3), reverses the immune evasion effect of serine-threonine kinase 11 (STK11) </w:t>
      </w:r>
    </w:p>
    <w:p>
      <w:pPr>
        <w:pStyle w:val="TextBody"/>
        <w:spacing w:before="240" w:after="0"/>
        <w:jc w:val="left"/>
        <w:rPr>
          <w:rFonts w:ascii="Times New Roman" w:hAnsi="Times New Roman"/>
          <w:spacing w:val="0"/>
          <w:sz w:val="20"/>
        </w:rPr>
      </w:pPr>
      <w:r>
        <w:rPr>
          <w:rFonts w:ascii="Times New Roman" w:hAnsi="Times New Roman"/>
          <w:spacing w:val="0"/>
          <w:sz w:val="20"/>
        </w:rPr>
        <w:t>loss-of-function</w:t>
      </w:r>
    </w:p>
    <w:p>
      <w:pPr>
        <w:pStyle w:val="TextBody"/>
        <w:spacing w:before="240" w:after="0"/>
        <w:jc w:val="left"/>
        <w:rPr>
          <w:rFonts w:ascii="Times New Roman" w:hAnsi="Times New Roman"/>
          <w:sz w:val="20"/>
        </w:rPr>
      </w:pPr>
      <w:r>
        <w:rPr>
          <w:rFonts w:ascii="Times New Roman" w:hAnsi="Times New Roman"/>
          <w:sz w:val="20"/>
        </w:rPr>
        <w:t xml:space="preserve">mutations, which are present in approximately 20% of </w:t>
      </w:r>
    </w:p>
    <w:p>
      <w:pPr>
        <w:pStyle w:val="TextBody"/>
        <w:spacing w:before="240" w:after="0"/>
        <w:jc w:val="left"/>
        <w:rPr>
          <w:rFonts w:ascii="Times New Roman" w:hAnsi="Times New Roman"/>
          <w:spacing w:val="0"/>
          <w:sz w:val="20"/>
        </w:rPr>
      </w:pPr>
      <w:r>
        <w:rPr>
          <w:rFonts w:ascii="Times New Roman" w:hAnsi="Times New Roman"/>
          <w:spacing w:val="0"/>
          <w:sz w:val="20"/>
        </w:rPr>
        <w:t>non-small</w:t>
      </w:r>
    </w:p>
    <w:p>
      <w:pPr>
        <w:pStyle w:val="TextBody"/>
        <w:spacing w:before="240" w:after="0"/>
        <w:jc w:val="left"/>
        <w:rPr>
          <w:rFonts w:ascii="Times New Roman" w:hAnsi="Times New Roman"/>
          <w:sz w:val="20"/>
        </w:rPr>
      </w:pPr>
      <w:r>
        <w:rPr>
          <w:rFonts w:ascii="Times New Roman" w:hAnsi="Times New Roman"/>
          <w:sz w:val="20"/>
        </w:rPr>
        <w:t xml:space="preserve">cell lung cancers. We plan to file an IND for this program in 2023. </w:t>
      </w:r>
    </w:p>
    <w:p>
      <w:pPr>
        <w:pStyle w:val="TextBody"/>
        <w:spacing w:before="240" w:after="0"/>
        <w:jc w:val="left"/>
        <w:rPr>
          <w:rFonts w:ascii="Times New Roman" w:hAnsi="Times New Roman"/>
          <w:sz w:val="20"/>
        </w:rPr>
      </w:pPr>
      <w:r>
        <w:rPr>
          <w:rFonts w:ascii="Times New Roman" w:hAnsi="Times New Roman"/>
          <w:sz w:val="20"/>
        </w:rPr>
        <w:t>On August 10, 2021, we completed a business combination transaction with BCTG Acquisition Corp., or BCTG, in which BCTG acquired 100% of our issued and outstanding equity securities in exchange for $550.0 million worth of consideration in the form of BCTG common stock, or the Business Combination. See “</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Business Combination</w:t>
      </w:r>
    </w:p>
    <w:p>
      <w:pPr>
        <w:pStyle w:val="TextBody"/>
        <w:spacing w:before="240" w:after="0"/>
        <w:jc w:val="left"/>
        <w:rPr/>
      </w:pPr>
      <w:r>
        <w:rPr/>
        <w:t xml:space="preserve">” </w:t>
      </w:r>
      <w:r>
        <w:rPr>
          <w:rFonts w:ascii="Times New Roman" w:hAnsi="Times New Roman"/>
          <w:sz w:val="20"/>
        </w:rPr>
        <w:t xml:space="preserve">below for additional information.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Since our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or Gilead. Since inception we have raised an aggregate of approximately $166.9 million of gross proceeds from the sale of preferred shares, approximately $352.9 million in gross proceeds through the closing of the Business Combination and PIPE Financing transactions and another $202.1 million through our collaboration with Gilead. </w:t>
      </w:r>
    </w:p>
    <w:p>
      <w:pPr>
        <w:pStyle w:val="TextBody"/>
        <w:spacing w:before="240" w:after="0"/>
        <w:jc w:val="left"/>
        <w:rPr>
          <w:rFonts w:ascii="Times New Roman" w:hAnsi="Times New Roman"/>
          <w:sz w:val="20"/>
        </w:rPr>
      </w:pPr>
      <w:r>
        <w:rPr>
          <w:rFonts w:ascii="Times New Roman" w:hAnsi="Times New Roman"/>
          <w:sz w:val="20"/>
        </w:rPr>
        <w:t xml:space="preserve">Since inception, we have incurred significant operating losses. For the years ended December 31, 2020 and 2019, and the six months ended June 30, 2021, our net losses were $52.0 million, $14.1 million and $16.6 million, respectively. We had an accumulated deficit of $119.7 million and $103.1 million as of June 30, 2021 and December 31, 2020, respectively.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SEC, director and officer liability insurance, investor and public relations activities and other expenses associated with operating as a public company. Our net losses may fluctuate significantly from </w:t>
      </w:r>
    </w:p>
    <w:p>
      <w:pPr>
        <w:pStyle w:val="TextBody"/>
        <w:spacing w:before="240" w:after="0"/>
        <w:jc w:val="left"/>
        <w:rPr>
          <w:rFonts w:ascii="Times New Roman" w:hAnsi="Times New Roman"/>
          <w:spacing w:val="0"/>
          <w:sz w:val="20"/>
        </w:rPr>
      </w:pPr>
      <w:r>
        <w:rPr>
          <w:rFonts w:ascii="Times New Roman" w:hAnsi="Times New Roman"/>
          <w:spacing w:val="0"/>
          <w:sz w:val="20"/>
        </w:rPr>
        <w:t>quarter-to-quarter</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pacing w:val="0"/>
          <w:sz w:val="20"/>
        </w:rPr>
      </w:pPr>
      <w:r>
        <w:rPr>
          <w:rFonts w:ascii="Times New Roman" w:hAnsi="Times New Roman"/>
          <w:spacing w:val="0"/>
          <w:sz w:val="20"/>
        </w:rPr>
        <w:t>year-to-year,</w:t>
      </w:r>
    </w:p>
    <w:p>
      <w:pPr>
        <w:pStyle w:val="TextBody"/>
        <w:spacing w:before="240" w:after="0"/>
        <w:jc w:val="left"/>
        <w:rPr>
          <w:rFonts w:ascii="Times New Roman" w:hAnsi="Times New Roman"/>
          <w:sz w:val="20"/>
        </w:rPr>
      </w:pPr>
      <w:r>
        <w:rPr>
          <w:rFonts w:ascii="Times New Roman" w:hAnsi="Times New Roman"/>
          <w:sz w:val="20"/>
        </w:rPr>
        <w:t xml:space="preserve">depending on the timing of our preclinical studies, our clinical trials and our expenditures on other research and development activities.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Response to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In response to the ongoing global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including any novel variants such as the “Delta variant,” we established a cross-functional task force and have implemented business continuity plans designed to address and mitigate the impact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on our employees and our business. Our operations are considered an essential business and we have been allowed to continue operating under current governmental restrictions during this period. We have taken measures to secure our research and development activities, while work in laboratories and facilities has been organized to reduce risk of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transmission. The extent of the impact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on our business, operations and clinical development timelines and plans remains uncertain, and will depend on certain developments, including the duration and spread of the outbreak and its impact on our clinical trial enrollment, trial sites, CROs, CMOs and other third parties with whom we do business, as well as its impact on regulatory authorities and our key scientific and management personnel. While we are experiencing limited financial and operational impacts at this time, given the global economic slowdown, the overall disruption of global healthcare systems and the other risks and uncertainties associated with the pandemic, our business, financial condition and results of operations ultimately could be materially adversely affected. We continue to closely monitor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as we evolve our business continuity plans, clinical development plans and response strategy.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Business Combination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13, 2021, we executed a definitive merger agreement with BCTG and BCTG Merger Sub memorializing the terms of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accounting principles generally accepted in the United States, or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our stockholders have a majority of the voting power of the combined company, we comprise all of the ongoing operations of the combined entity, we comprise a majority of the governing body of the combined company, and our senior management comprise all of the senior management of the combined company. In connection with the Business Combination, BCTG was renamed Tango Therapeutics, Inc.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received gross proceeds of $166.8 million upon the closing of the Business Combination. Upon the closing of the Business Combination, the PIPE Investors purchased an aggregate of 18,610,000 shares of our common stock at a price of $10.00 per share, which resulted in gross proceeds of an additional $186.1 million upon the closing of the PIPE Financing. Total transaction costs and redemptions approximated $27.3 million, resulting in total net proceeds of $325.6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effective time of the Business Combination, each option to purchase Old Tango common stock became an option to purchase shares of New Tango common stock, subject to adjustment in accordance with the exchange ratio. Completion of the PIPE Financing and merger transaction were subject to approval of BCTG stockholders and the satisfaction or waiver of certain other customary closing conditions, all of which were satisfied or waived prior to closing on August 10, 2021.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Financial Overview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Collaboration Agreements with Gilead Sciences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December 2020, Gilead elected to extend a program for an additional $12.0 million fee which was added to our estimate of the transaction price to total $187.0 million. Certain portions of the payment related to this research extension remained outstanding at June 30, 2021, however, we determined that achievement of the entire research extension fee was probable and that a significant reversal in the amount of cumulative revenue recognized would not occur.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April 2021, Gilead licensed a program for an $11.0 million fee. The $11.0 million license fee was received in May 2021 and recognized as revenue in the second quarter of 2021 since we have no continued involvement in the advancement of the program, Gilead can benefit from the license on its own and the license is separately identifiable from the research services.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date, $37.8 million has been recognized as collaboration revenue related to the upfront and research extension payments from the agreement with Gilead.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the six months ended June 30, 2021 and 2020, we recognized $20.7 million and $13.8 million, respectively, of revenue associated with the Gilead Agreements based on performance completed during each period.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Refer to Note 2 and Note 3 to our unaudited condensed consolidated financial statements and related notes and our audited consolidated financial statements and related notes appearing in elsewhere in this prospectus for additional information regarding our revenue recognition accounting policy and our collaboration agreement with Gilead.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Expenses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Research and Development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Research and development expenses consist primarily of costs incurred for our research activities, including our drug discovery efforts and the development of our product candidates. We expense research and development costs as incurred, which include: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employee-related expenses, including salaries, bonuses, benefits, stock-based compensation, other related costs for those employees involved in research and development efforts;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external research and development expenses incurred under agreements with CROs as well as consultants that conduct our preclinical studies and development services; </w:t>
            </w:r>
          </w:p>
        </w:tc>
      </w:tr>
    </w:tbl>
    <w:p>
      <w:pPr>
        <w:pStyle w:val="TextBody"/>
        <w:spacing w:before="0" w:after="0"/>
        <w:jc w:val="left"/>
        <w:rPr>
          <w:spacing w:val="0"/>
        </w:rPr>
      </w:pPr>
      <w:r>
        <w:rPr>
          <w:spacing w:val="0"/>
        </w:rPr>
        <w:t> </w:t>
      </w:r>
    </w:p>
    <w:tbl>
      <w:tblPr>
        <w:tblW w:w="5650" w:type="dxa"/>
        <w:jc w:val="left"/>
        <w:tblInd w:w="0" w:type="dxa"/>
        <w:tblCellMar>
          <w:top w:w="0" w:type="dxa"/>
          <w:left w:w="0" w:type="dxa"/>
          <w:bottom w:w="0" w:type="dxa"/>
          <w:right w:w="0" w:type="dxa"/>
        </w:tblCellMar>
      </w:tblPr>
      <w:tblGrid>
        <w:gridCol w:w="75"/>
        <w:gridCol w:w="110"/>
        <w:gridCol w:w="60"/>
        <w:gridCol w:w="5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costs related to manufacturing material for our preclinical studies; </w:t>
            </w:r>
          </w:p>
        </w:tc>
      </w:tr>
    </w:tbl>
    <w:p>
      <w:pPr>
        <w:pStyle w:val="TextBody"/>
        <w:spacing w:before="0" w:after="0"/>
        <w:jc w:val="left"/>
        <w:rPr>
          <w:spacing w:val="0"/>
        </w:rPr>
      </w:pPr>
      <w:r>
        <w:rPr>
          <w:spacing w:val="0"/>
        </w:rPr>
        <w:t> </w:t>
      </w:r>
    </w:p>
    <w:tbl>
      <w:tblPr>
        <w:tblW w:w="3775" w:type="dxa"/>
        <w:jc w:val="left"/>
        <w:tblInd w:w="0" w:type="dxa"/>
        <w:tblCellMar>
          <w:top w:w="0" w:type="dxa"/>
          <w:left w:w="0" w:type="dxa"/>
          <w:bottom w:w="0" w:type="dxa"/>
          <w:right w:w="0" w:type="dxa"/>
        </w:tblCellMar>
      </w:tblPr>
      <w:tblGrid>
        <w:gridCol w:w="75"/>
        <w:gridCol w:w="110"/>
        <w:gridCol w:w="60"/>
        <w:gridCol w:w="3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laboratory supplies and research materials; </w:t>
            </w:r>
          </w:p>
        </w:tc>
      </w:tr>
    </w:tbl>
    <w:p>
      <w:pPr>
        <w:pStyle w:val="TextBody"/>
        <w:spacing w:before="0" w:after="0"/>
        <w:jc w:val="left"/>
        <w:rPr>
          <w:spacing w:val="0"/>
        </w:rPr>
      </w:pPr>
      <w:r>
        <w:rPr>
          <w:spacing w:val="0"/>
        </w:rPr>
        <w:t> </w:t>
      </w:r>
    </w:p>
    <w:tbl>
      <w:tblPr>
        <w:tblW w:w="5740" w:type="dxa"/>
        <w:jc w:val="left"/>
        <w:tblInd w:w="0" w:type="dxa"/>
        <w:tblCellMar>
          <w:top w:w="0" w:type="dxa"/>
          <w:left w:w="0" w:type="dxa"/>
          <w:bottom w:w="0" w:type="dxa"/>
          <w:right w:w="0" w:type="dxa"/>
        </w:tblCellMar>
      </w:tblPr>
      <w:tblGrid>
        <w:gridCol w:w="75"/>
        <w:gridCol w:w="110"/>
        <w:gridCol w:w="60"/>
        <w:gridCol w:w="5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costs to fulfill our obligations under the collaboration with Gilead; </w:t>
            </w:r>
          </w:p>
        </w:tc>
      </w:tr>
    </w:tbl>
    <w:p>
      <w:pPr>
        <w:pStyle w:val="TextBody"/>
        <w:spacing w:before="0" w:after="0"/>
        <w:jc w:val="left"/>
        <w:rPr>
          <w:spacing w:val="0"/>
        </w:rPr>
      </w:pPr>
      <w:r>
        <w:rPr>
          <w:spacing w:val="0"/>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costs related to compliance with regulatory requirements;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facilities, depreciation and other allocated expenses, which include direct and allocated expenses for rent, utilities and insurance.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Costs for certain activities are recognized based on an evaluation of the progress to completion of specific tasks using data such as information provided to us by our vendors and analyzing the progress of our preclinical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studies or other services performed. Significant judgment and estimates are made in determining the accrued expense balances at the end of any reporting period. </w:t>
      </w:r>
    </w:p>
    <w:p>
      <w:pPr>
        <w:pStyle w:val="TextBody"/>
        <w:spacing w:before="240" w:after="0"/>
        <w:jc w:val="left"/>
        <w:rPr>
          <w:rFonts w:ascii="Times New Roman" w:hAnsi="Times New Roman"/>
          <w:sz w:val="20"/>
        </w:rPr>
      </w:pPr>
      <w:r>
        <w:rPr>
          <w:rFonts w:ascii="Times New Roman" w:hAnsi="Times New Roman"/>
          <w:sz w:val="20"/>
        </w:rPr>
        <w:t xml:space="preserve">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w:t>
      </w:r>
    </w:p>
    <w:p>
      <w:pPr>
        <w:pStyle w:val="TextBody"/>
        <w:spacing w:before="240" w:after="0"/>
        <w:jc w:val="left"/>
        <w:rPr>
          <w:rFonts w:ascii="Times New Roman" w:hAnsi="Times New Roman"/>
          <w:spacing w:val="0"/>
          <w:sz w:val="20"/>
        </w:rPr>
      </w:pPr>
      <w:r>
        <w:rPr>
          <w:rFonts w:ascii="Times New Roman" w:hAnsi="Times New Roman"/>
          <w:spacing w:val="0"/>
          <w:sz w:val="20"/>
        </w:rPr>
        <w:t>program-by-program</w:t>
      </w:r>
    </w:p>
    <w:p>
      <w:pPr>
        <w:pStyle w:val="TextBody"/>
        <w:spacing w:before="240" w:after="0"/>
        <w:jc w:val="left"/>
        <w:rPr>
          <w:rFonts w:ascii="Times New Roman" w:hAnsi="Times New Roman"/>
          <w:sz w:val="20"/>
        </w:rPr>
      </w:pPr>
      <w:r>
        <w:rPr>
          <w:rFonts w:ascii="Times New Roman" w:hAnsi="Times New Roman"/>
          <w:sz w:val="20"/>
        </w:rPr>
        <w:t xml:space="preserve">basis once we have identified a product candidate.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summarizes our research and development expenses: </w:t>
      </w:r>
    </w:p>
    <w:p>
      <w:pPr>
        <w:pStyle w:val="TextBody"/>
        <w:spacing w:before="0" w:after="0"/>
        <w:jc w:val="left"/>
        <w:rPr>
          <w:spacing w:val="0"/>
        </w:rPr>
      </w:pPr>
      <w:r>
        <w:rPr>
          <w:spacing w:val="0"/>
        </w:rPr>
        <w:t> </w:t>
      </w:r>
    </w:p>
    <w:tbl>
      <w:tblPr>
        <w:tblW w:w="8065" w:type="dxa"/>
        <w:jc w:val="left"/>
        <w:tblInd w:w="0" w:type="dxa"/>
        <w:tblCellMar>
          <w:top w:w="0" w:type="dxa"/>
          <w:left w:w="0" w:type="dxa"/>
          <w:bottom w:w="0" w:type="dxa"/>
          <w:right w:w="0" w:type="dxa"/>
        </w:tblCellMar>
      </w:tblPr>
      <w:tblGrid>
        <w:gridCol w:w="3965"/>
        <w:gridCol w:w="120"/>
        <w:gridCol w:w="146"/>
        <w:gridCol w:w="713"/>
        <w:gridCol w:w="62"/>
        <w:gridCol w:w="125"/>
        <w:gridCol w:w="146"/>
        <w:gridCol w:w="713"/>
        <w:gridCol w:w="60"/>
        <w:gridCol w:w="120"/>
        <w:gridCol w:w="140"/>
        <w:gridCol w:w="680"/>
        <w:gridCol w:w="60"/>
        <w:gridCol w:w="120"/>
        <w:gridCol w:w="140"/>
        <w:gridCol w:w="680"/>
        <w:gridCol w:w="75"/>
      </w:tblGrid>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5" w:type="dxa"/>
            <w:gridSpan w:val="6"/>
            <w:tcBorders/>
            <w:shd w:fill="auto" w:val="clear"/>
            <w:vAlign w:val="center"/>
          </w:tcPr>
          <w:p>
            <w:pPr>
              <w:pStyle w:val="TableContents"/>
              <w:spacing w:before="0" w:after="0"/>
              <w:jc w:val="center"/>
              <w:rPr>
                <w:b/>
                <w:spacing w:val="0"/>
              </w:rPr>
            </w:pPr>
            <w:r>
              <w:rPr>
                <w:b/>
                <w:spacing w:val="0"/>
              </w:rPr>
              <w:t>Six Months Ended</w:t>
              <w:br/>
              <w:t>June 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0" w:type="dxa"/>
            <w:gridSpan w:val="6"/>
            <w:tcBorders/>
            <w:shd w:fill="auto" w:val="clear"/>
            <w:vAlign w:val="center"/>
          </w:tcPr>
          <w:p>
            <w:pPr>
              <w:pStyle w:val="TableContents"/>
              <w:spacing w:before="0" w:after="0"/>
              <w:jc w:val="center"/>
              <w:rPr>
                <w:b/>
                <w:spacing w:val="0"/>
              </w:rPr>
            </w:pPr>
            <w:r>
              <w:rPr>
                <w:b/>
                <w:spacing w:val="0"/>
              </w:rPr>
              <w:t>Year Ended</w:t>
              <w:br/>
              <w:t>December 31,</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9" w:type="dxa"/>
            <w:gridSpan w:val="2"/>
            <w:tcBorders/>
            <w:shd w:fill="auto" w:val="clear"/>
            <w:vAlign w:val="center"/>
          </w:tcPr>
          <w:p>
            <w:pPr>
              <w:pStyle w:val="TableContents"/>
              <w:spacing w:before="0" w:after="0"/>
              <w:jc w:val="center"/>
              <w:rPr>
                <w:b/>
                <w:spacing w:val="0"/>
              </w:rPr>
            </w:pPr>
            <w:r>
              <w:rPr>
                <w:b/>
                <w:spacing w:val="0"/>
              </w:rPr>
              <w:t>2021</w:t>
            </w:r>
          </w:p>
        </w:tc>
        <w:tc>
          <w:tcPr>
            <w:tcW w:w="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59"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2019</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5" w:type="dxa"/>
            <w:gridSpan w:val="6"/>
            <w:tcBorders/>
            <w:shd w:fill="auto" w:val="clear"/>
            <w:vAlign w:val="center"/>
          </w:tcPr>
          <w:p>
            <w:pPr>
              <w:pStyle w:val="TableContents"/>
              <w:spacing w:before="0" w:after="0"/>
              <w:jc w:val="center"/>
              <w:rPr>
                <w:b/>
                <w:spacing w:val="0"/>
              </w:rPr>
            </w:pPr>
            <w:r>
              <w:rPr>
                <w:b/>
                <w:spacing w:val="0"/>
              </w:rPr>
              <w:t>(in thousands)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0" w:type="dxa"/>
            <w:gridSpan w:val="6"/>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TNG908 direct program expenses</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3" w:type="dxa"/>
            <w:tcBorders/>
            <w:shd w:fill="CCEEFF" w:val="clear"/>
            <w:vAlign w:val="center"/>
          </w:tcPr>
          <w:p>
            <w:pPr>
              <w:pStyle w:val="TableContents"/>
              <w:spacing w:before="0" w:after="283"/>
              <w:jc w:val="right"/>
              <w:rPr/>
            </w:pPr>
            <w:r>
              <w:rPr/>
              <w:t>5,527</w:t>
            </w:r>
          </w:p>
        </w:tc>
        <w:tc>
          <w:tcPr>
            <w:tcW w:w="62"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3" w:type="dxa"/>
            <w:tcBorders/>
            <w:shd w:fill="CCEEFF" w:val="clear"/>
            <w:vAlign w:val="center"/>
          </w:tcPr>
          <w:p>
            <w:pPr>
              <w:pStyle w:val="TableContents"/>
              <w:spacing w:before="0" w:after="283"/>
              <w:jc w:val="right"/>
              <w:rPr/>
            </w:pPr>
            <w:r>
              <w:rPr/>
              <w:t>4,060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9,548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4,954</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USP1 direct program expenses</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3" w:type="dxa"/>
            <w:tcBorders/>
            <w:shd w:fill="auto" w:val="clear"/>
            <w:vAlign w:val="center"/>
          </w:tcPr>
          <w:p>
            <w:pPr>
              <w:pStyle w:val="TableContents"/>
              <w:spacing w:before="0" w:after="283"/>
              <w:jc w:val="right"/>
              <w:rPr/>
            </w:pPr>
            <w:r>
              <w:rPr/>
              <w:t>3,489</w:t>
            </w:r>
          </w:p>
        </w:tc>
        <w:tc>
          <w:tcPr>
            <w:tcW w:w="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3" w:type="dxa"/>
            <w:tcBorders/>
            <w:shd w:fill="auto" w:val="clear"/>
            <w:vAlign w:val="center"/>
          </w:tcPr>
          <w:p>
            <w:pPr>
              <w:pStyle w:val="TableContents"/>
              <w:spacing w:before="0" w:after="283"/>
              <w:jc w:val="right"/>
              <w:rPr/>
            </w:pPr>
            <w:r>
              <w:rPr/>
              <w:t>1,822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4,594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151</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Discovery direct program expenses</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3" w:type="dxa"/>
            <w:tcBorders/>
            <w:shd w:fill="CCEEFF" w:val="clear"/>
            <w:vAlign w:val="center"/>
          </w:tcPr>
          <w:p>
            <w:pPr>
              <w:pStyle w:val="TableContents"/>
              <w:spacing w:before="0" w:after="283"/>
              <w:jc w:val="right"/>
              <w:rPr/>
            </w:pPr>
            <w:r>
              <w:rPr/>
              <w:t>11,368</w:t>
            </w:r>
          </w:p>
        </w:tc>
        <w:tc>
          <w:tcPr>
            <w:tcW w:w="62"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3" w:type="dxa"/>
            <w:tcBorders/>
            <w:shd w:fill="CCEEFF" w:val="clear"/>
            <w:vAlign w:val="center"/>
          </w:tcPr>
          <w:p>
            <w:pPr>
              <w:pStyle w:val="TableContents"/>
              <w:spacing w:before="0" w:after="283"/>
              <w:jc w:val="right"/>
              <w:rPr/>
            </w:pPr>
            <w:r>
              <w:rPr/>
              <w:t>5,582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13,365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8,987</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Unallocated research and development expenses</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Personnel related expenses</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3" w:type="dxa"/>
            <w:tcBorders/>
            <w:shd w:fill="CCEEFF" w:val="clear"/>
            <w:vAlign w:val="center"/>
          </w:tcPr>
          <w:p>
            <w:pPr>
              <w:pStyle w:val="TableContents"/>
              <w:spacing w:before="0" w:after="283"/>
              <w:jc w:val="right"/>
              <w:rPr/>
            </w:pPr>
            <w:r>
              <w:rPr/>
              <w:t>9,471</w:t>
            </w:r>
          </w:p>
        </w:tc>
        <w:tc>
          <w:tcPr>
            <w:tcW w:w="62"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3" w:type="dxa"/>
            <w:tcBorders/>
            <w:shd w:fill="CCEEFF" w:val="clear"/>
            <w:vAlign w:val="center"/>
          </w:tcPr>
          <w:p>
            <w:pPr>
              <w:pStyle w:val="TableContents"/>
              <w:spacing w:before="0" w:after="283"/>
              <w:jc w:val="right"/>
              <w:rPr/>
            </w:pPr>
            <w:r>
              <w:rPr/>
              <w:t>6,668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12,937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9,508</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Facilities and other related expenses</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3" w:type="dxa"/>
            <w:tcBorders/>
            <w:shd w:fill="auto" w:val="clear"/>
            <w:vAlign w:val="center"/>
          </w:tcPr>
          <w:p>
            <w:pPr>
              <w:pStyle w:val="TableContents"/>
              <w:spacing w:before="0" w:after="283"/>
              <w:jc w:val="right"/>
              <w:rPr/>
            </w:pPr>
            <w:r>
              <w:rPr/>
              <w:t>4,224</w:t>
            </w:r>
          </w:p>
        </w:tc>
        <w:tc>
          <w:tcPr>
            <w:tcW w:w="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3" w:type="dxa"/>
            <w:tcBorders/>
            <w:shd w:fill="auto" w:val="clear"/>
            <w:vAlign w:val="center"/>
          </w:tcPr>
          <w:p>
            <w:pPr>
              <w:pStyle w:val="TableContents"/>
              <w:spacing w:before="0" w:after="283"/>
              <w:jc w:val="right"/>
              <w:rPr/>
            </w:pPr>
            <w:r>
              <w:rPr/>
              <w:t>3,819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9,547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8,674</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research and development expenses</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3" w:type="dxa"/>
            <w:tcBorders/>
            <w:shd w:fill="CCEEFF" w:val="clear"/>
            <w:vAlign w:val="center"/>
          </w:tcPr>
          <w:p>
            <w:pPr>
              <w:pStyle w:val="TableContents"/>
              <w:spacing w:before="0" w:after="283"/>
              <w:jc w:val="right"/>
              <w:rPr/>
            </w:pPr>
            <w:r>
              <w:rPr/>
              <w:t>34,079</w:t>
            </w:r>
          </w:p>
        </w:tc>
        <w:tc>
          <w:tcPr>
            <w:tcW w:w="62"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3" w:type="dxa"/>
            <w:tcBorders/>
            <w:shd w:fill="CCEEFF" w:val="clear"/>
            <w:vAlign w:val="center"/>
          </w:tcPr>
          <w:p>
            <w:pPr>
              <w:pStyle w:val="TableContents"/>
              <w:spacing w:before="0" w:after="283"/>
              <w:jc w:val="right"/>
              <w:rPr/>
            </w:pPr>
            <w:r>
              <w:rPr/>
              <w:t>21,951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49,991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32,274</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2"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scope, rate of progress, and expenses of our ongoing research activities as well as any preclinical studies, clinical trials and other research and development activities; </w:t>
            </w:r>
          </w:p>
        </w:tc>
      </w:tr>
    </w:tbl>
    <w:p>
      <w:pPr>
        <w:pStyle w:val="TextBody"/>
        <w:spacing w:before="0" w:after="0"/>
        <w:jc w:val="left"/>
        <w:rPr>
          <w:spacing w:val="0"/>
        </w:rPr>
      </w:pPr>
      <w:r>
        <w:rPr>
          <w:spacing w:val="0"/>
        </w:rPr>
        <w:t> </w:t>
      </w:r>
    </w:p>
    <w:tbl>
      <w:tblPr>
        <w:tblW w:w="5860" w:type="dxa"/>
        <w:jc w:val="left"/>
        <w:tblInd w:w="0" w:type="dxa"/>
        <w:tblCellMar>
          <w:top w:w="0" w:type="dxa"/>
          <w:left w:w="0" w:type="dxa"/>
          <w:bottom w:w="0" w:type="dxa"/>
          <w:right w:w="0" w:type="dxa"/>
        </w:tblCellMar>
      </w:tblPr>
      <w:tblGrid>
        <w:gridCol w:w="75"/>
        <w:gridCol w:w="110"/>
        <w:gridCol w:w="60"/>
        <w:gridCol w:w="5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establishing an appropriate safety profile with IND enabling studies; </w:t>
            </w:r>
          </w:p>
        </w:tc>
      </w:tr>
    </w:tbl>
    <w:p>
      <w:pPr>
        <w:pStyle w:val="TextBody"/>
        <w:spacing w:before="0" w:after="0"/>
        <w:jc w:val="left"/>
        <w:rPr>
          <w:spacing w:val="0"/>
        </w:rPr>
      </w:pPr>
      <w:r>
        <w:rPr>
          <w:spacing w:val="0"/>
        </w:rPr>
        <w:t> </w:t>
      </w:r>
    </w:p>
    <w:tbl>
      <w:tblPr>
        <w:tblW w:w="4990" w:type="dxa"/>
        <w:jc w:val="left"/>
        <w:tblInd w:w="0" w:type="dxa"/>
        <w:tblCellMar>
          <w:top w:w="0" w:type="dxa"/>
          <w:left w:w="0" w:type="dxa"/>
          <w:bottom w:w="0" w:type="dxa"/>
          <w:right w:w="0" w:type="dxa"/>
        </w:tblCellMar>
      </w:tblPr>
      <w:tblGrid>
        <w:gridCol w:w="75"/>
        <w:gridCol w:w="110"/>
        <w:gridCol w:w="60"/>
        <w:gridCol w:w="47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successful enrollment in and completion of clinical trials; </w:t>
            </w:r>
          </w:p>
        </w:tc>
      </w:tr>
    </w:tbl>
    <w:p>
      <w:pPr>
        <w:pStyle w:val="TextBody"/>
        <w:spacing w:before="0" w:after="0"/>
        <w:jc w:val="left"/>
        <w:rPr>
          <w:spacing w:val="0"/>
        </w:rPr>
      </w:pPr>
      <w:r>
        <w:rPr>
          <w:spacing w:val="0"/>
        </w:rPr>
        <w:t> </w:t>
      </w:r>
    </w:p>
    <w:tbl>
      <w:tblPr>
        <w:tblW w:w="6595" w:type="dxa"/>
        <w:jc w:val="left"/>
        <w:tblInd w:w="0" w:type="dxa"/>
        <w:tblCellMar>
          <w:top w:w="0" w:type="dxa"/>
          <w:left w:w="0" w:type="dxa"/>
          <w:bottom w:w="0" w:type="dxa"/>
          <w:right w:w="0" w:type="dxa"/>
        </w:tblCellMar>
      </w:tblPr>
      <w:tblGrid>
        <w:gridCol w:w="75"/>
        <w:gridCol w:w="110"/>
        <w:gridCol w:w="60"/>
        <w:gridCol w:w="6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whether our product candidates show safety and efficacy in our clinical trials; </w:t>
            </w:r>
          </w:p>
        </w:tc>
      </w:tr>
    </w:tbl>
    <w:p>
      <w:pPr>
        <w:pStyle w:val="TextBody"/>
        <w:spacing w:before="0" w:after="0"/>
        <w:jc w:val="left"/>
        <w:rPr>
          <w:spacing w:val="0"/>
        </w:rPr>
      </w:pPr>
      <w:r>
        <w:rPr>
          <w:spacing w:val="0"/>
        </w:rPr>
        <w:t> </w:t>
      </w:r>
    </w:p>
    <w:tbl>
      <w:tblPr>
        <w:tblW w:w="5980" w:type="dxa"/>
        <w:jc w:val="left"/>
        <w:tblInd w:w="0" w:type="dxa"/>
        <w:tblCellMar>
          <w:top w:w="0" w:type="dxa"/>
          <w:left w:w="0" w:type="dxa"/>
          <w:bottom w:w="0" w:type="dxa"/>
          <w:right w:w="0" w:type="dxa"/>
        </w:tblCellMar>
      </w:tblPr>
      <w:tblGrid>
        <w:gridCol w:w="75"/>
        <w:gridCol w:w="110"/>
        <w:gridCol w:w="60"/>
        <w:gridCol w:w="5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receipt of marketing approvals from applicable regulatory authorities; </w:t>
            </w:r>
          </w:p>
        </w:tc>
      </w:tr>
    </w:tbl>
    <w:p>
      <w:pPr>
        <w:pStyle w:val="TextBody"/>
        <w:spacing w:before="0" w:after="0"/>
        <w:jc w:val="left"/>
        <w:rPr>
          <w:spacing w:val="0"/>
        </w:rPr>
      </w:pPr>
      <w:r>
        <w:rPr>
          <w:spacing w:val="0"/>
        </w:rPr>
        <w:t> </w:t>
      </w:r>
    </w:p>
    <w:tbl>
      <w:tblPr>
        <w:tblW w:w="4015" w:type="dxa"/>
        <w:jc w:val="left"/>
        <w:tblInd w:w="0" w:type="dxa"/>
        <w:tblCellMar>
          <w:top w:w="0" w:type="dxa"/>
          <w:left w:w="0" w:type="dxa"/>
          <w:bottom w:w="0" w:type="dxa"/>
          <w:right w:w="0" w:type="dxa"/>
        </w:tblCellMar>
      </w:tblPr>
      <w:tblGrid>
        <w:gridCol w:w="75"/>
        <w:gridCol w:w="110"/>
        <w:gridCol w:w="60"/>
        <w:gridCol w:w="3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progress of our collaboration with Gilead;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135 </w:t>
      </w:r>
    </w:p>
    <w:p>
      <w:pPr>
        <w:pStyle w:val="HorizontalLine"/>
        <w:rPr/>
      </w:pPr>
      <w:r>
        <w:rPr/>
      </w:r>
    </w:p>
    <w:p>
      <w:pPr>
        <w:pStyle w:val="TextBody"/>
        <w:spacing w:before="0" w:after="0"/>
        <w:rPr/>
      </w:pPr>
      <w:hyperlink w:anchor="toc">
        <w:r>
          <w:rPr>
            <w:rStyle w:val="InternetLink"/>
            <w:b/>
            <w:sz w:val="20"/>
          </w:rPr>
          <w:t>Table of Contents</w:t>
        </w:r>
      </w:hyperlink>
    </w:p>
    <w:tbl>
      <w:tblPr>
        <w:tblW w:w="9085" w:type="dxa"/>
        <w:jc w:val="left"/>
        <w:tblInd w:w="0" w:type="dxa"/>
        <w:tblCellMar>
          <w:top w:w="0" w:type="dxa"/>
          <w:left w:w="0" w:type="dxa"/>
          <w:bottom w:w="0" w:type="dxa"/>
          <w:right w:w="0" w:type="dxa"/>
        </w:tblCellMar>
      </w:tblPr>
      <w:tblGrid>
        <w:gridCol w:w="75"/>
        <w:gridCol w:w="110"/>
        <w:gridCol w:w="60"/>
        <w:gridCol w:w="88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establishing commercial manufacturing capabilities or making arrangements with third-party manufacturers; </w:t>
            </w:r>
          </w:p>
        </w:tc>
      </w:tr>
    </w:tbl>
    <w:p>
      <w:pPr>
        <w:pStyle w:val="TextBody"/>
        <w:spacing w:before="0" w:after="0"/>
        <w:jc w:val="left"/>
        <w:rPr>
          <w:spacing w:val="0"/>
        </w:rPr>
      </w:pPr>
      <w:r>
        <w:rPr>
          <w:spacing w:val="0"/>
        </w:rPr>
        <w:t> </w:t>
      </w:r>
    </w:p>
    <w:tbl>
      <w:tblPr>
        <w:tblW w:w="9670" w:type="dxa"/>
        <w:jc w:val="left"/>
        <w:tblInd w:w="0" w:type="dxa"/>
        <w:tblCellMar>
          <w:top w:w="0" w:type="dxa"/>
          <w:left w:w="0" w:type="dxa"/>
          <w:bottom w:w="0" w:type="dxa"/>
          <w:right w:w="0" w:type="dxa"/>
        </w:tblCellMar>
      </w:tblPr>
      <w:tblGrid>
        <w:gridCol w:w="75"/>
        <w:gridCol w:w="110"/>
        <w:gridCol w:w="60"/>
        <w:gridCol w:w="9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obtaining and maintaining patent and trade secret protection and regulatory exclusivity for our product candidates; </w:t>
            </w:r>
          </w:p>
        </w:tc>
      </w:tr>
    </w:tbl>
    <w:p>
      <w:pPr>
        <w:pStyle w:val="TextBody"/>
        <w:spacing w:before="0" w:after="0"/>
        <w:jc w:val="left"/>
        <w:rPr>
          <w:spacing w:val="0"/>
        </w:rPr>
      </w:pPr>
      <w:r>
        <w:rPr>
          <w:spacing w:val="0"/>
        </w:rPr>
        <w:t> </w:t>
      </w:r>
    </w:p>
    <w:tbl>
      <w:tblPr>
        <w:tblW w:w="9265" w:type="dxa"/>
        <w:jc w:val="left"/>
        <w:tblInd w:w="0" w:type="dxa"/>
        <w:tblCellMar>
          <w:top w:w="0" w:type="dxa"/>
          <w:left w:w="0" w:type="dxa"/>
          <w:bottom w:w="0" w:type="dxa"/>
          <w:right w:w="0" w:type="dxa"/>
        </w:tblCellMar>
      </w:tblPr>
      <w:tblGrid>
        <w:gridCol w:w="75"/>
        <w:gridCol w:w="110"/>
        <w:gridCol w:w="60"/>
        <w:gridCol w:w="9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commercializing product candidates, if and when approved, whether alone or in collaboration with others; and </w:t>
            </w:r>
          </w:p>
        </w:tc>
      </w:tr>
    </w:tbl>
    <w:p>
      <w:pPr>
        <w:pStyle w:val="TextBody"/>
        <w:spacing w:before="0" w:after="0"/>
        <w:jc w:val="left"/>
        <w:rPr>
          <w:spacing w:val="0"/>
        </w:rPr>
      </w:pPr>
      <w:r>
        <w:rPr>
          <w:spacing w:val="0"/>
        </w:rPr>
        <w:t> </w:t>
      </w:r>
    </w:p>
    <w:tbl>
      <w:tblPr>
        <w:tblW w:w="7015" w:type="dxa"/>
        <w:jc w:val="left"/>
        <w:tblInd w:w="0" w:type="dxa"/>
        <w:tblCellMar>
          <w:top w:w="0" w:type="dxa"/>
          <w:left w:w="0" w:type="dxa"/>
          <w:bottom w:w="0" w:type="dxa"/>
          <w:right w:w="0" w:type="dxa"/>
        </w:tblCellMar>
      </w:tblPr>
      <w:tblGrid>
        <w:gridCol w:w="75"/>
        <w:gridCol w:w="110"/>
        <w:gridCol w:w="60"/>
        <w:gridCol w:w="6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continued acceptable safety profile of products following any regulatory approval.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General and Administrative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Income, Net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Interest Income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Interest income consists of income earned in connection with our investments in money market funds, U.S. Treasury bills and U.S. government agency bonds.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 Income,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Other income, net consists of miscellaneous income and expense unrelated to our core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Benefit from (provision for) 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benefit from (provision for) income tax consists of an estimate for U.S. federal and state income taxes based on enacted rates, as adjusted for allowable credits, deductions, uncertain tax positions, changes in deferred tax assets and liabilities and changes in tax law. We have recorded an insignificant amount of income tax provision or benefit for the six months ended June 30, 2021. There is no provision for income taxes for the six months ended June 30, 2020 and for the years ended December 31, 2020 and 2019 because we have historically incurred net operating losses and maintain a full valuation allowance against our deferred tax assets.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Results of Operations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Comparison of the Six Months Ended June 30, 2021 and 2020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summarizes our results of operations for the six months ended June 30, 2021 and 2020: </w:t>
      </w:r>
    </w:p>
    <w:p>
      <w:pPr>
        <w:pStyle w:val="TextBody"/>
        <w:spacing w:before="0" w:after="0"/>
        <w:jc w:val="left"/>
        <w:rPr>
          <w:spacing w:val="0"/>
        </w:rPr>
      </w:pPr>
      <w:r>
        <w:rPr>
          <w:spacing w:val="0"/>
        </w:rPr>
        <w:t> </w:t>
      </w:r>
    </w:p>
    <w:tbl>
      <w:tblPr>
        <w:tblW w:w="6868" w:type="dxa"/>
        <w:jc w:val="left"/>
        <w:tblInd w:w="0" w:type="dxa"/>
        <w:tblCellMar>
          <w:top w:w="0" w:type="dxa"/>
          <w:left w:w="0" w:type="dxa"/>
          <w:bottom w:w="0" w:type="dxa"/>
          <w:right w:w="0" w:type="dxa"/>
        </w:tblCellMar>
      </w:tblPr>
      <w:tblGrid>
        <w:gridCol w:w="2660"/>
        <w:gridCol w:w="120"/>
        <w:gridCol w:w="191"/>
        <w:gridCol w:w="1031"/>
        <w:gridCol w:w="211"/>
        <w:gridCol w:w="163"/>
        <w:gridCol w:w="191"/>
        <w:gridCol w:w="1036"/>
        <w:gridCol w:w="155"/>
        <w:gridCol w:w="120"/>
        <w:gridCol w:w="140"/>
        <w:gridCol w:w="680"/>
        <w:gridCol w:w="170"/>
      </w:tblGrid>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3"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2" w:type="dxa"/>
            <w:gridSpan w:val="2"/>
            <w:tcBorders/>
            <w:shd w:fill="auto" w:val="clear"/>
            <w:vAlign w:val="center"/>
          </w:tcPr>
          <w:p>
            <w:pPr>
              <w:pStyle w:val="TableContents"/>
              <w:spacing w:before="0" w:after="0"/>
              <w:jc w:val="center"/>
              <w:rPr>
                <w:spacing w:val="0"/>
              </w:rPr>
            </w:pPr>
            <w:r>
              <w:rPr>
                <w:spacing w:val="0"/>
              </w:rPr>
              <w:t>    </w:t>
            </w:r>
            <w:r>
              <w:rPr>
                <w:b/>
                <w:spacing w:val="0"/>
              </w:rPr>
              <w:t>2021    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227" w:type="dxa"/>
            <w:gridSpan w:val="2"/>
            <w:tcBorders/>
            <w:shd w:fill="auto" w:val="clear"/>
            <w:vAlign w:val="center"/>
          </w:tcPr>
          <w:p>
            <w:pPr>
              <w:pStyle w:val="TableContents"/>
              <w:spacing w:before="0" w:after="0"/>
              <w:jc w:val="center"/>
              <w:rPr>
                <w:spacing w:val="0"/>
              </w:rPr>
            </w:pPr>
            <w:r>
              <w:rPr>
                <w:spacing w:val="0"/>
              </w:rPr>
              <w:t>    </w:t>
            </w:r>
            <w:r>
              <w:rPr>
                <w:b/>
                <w:spacing w:val="0"/>
              </w:rPr>
              <w:t>2020    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Change</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8" w:type="dxa"/>
            <w:gridSpan w:val="10"/>
            <w:tcBorders/>
            <w:shd w:fill="auto" w:val="clear"/>
            <w:vAlign w:val="center"/>
          </w:tcPr>
          <w:p>
            <w:pPr>
              <w:pStyle w:val="TableContents"/>
              <w:spacing w:before="0" w:after="0"/>
              <w:jc w:val="center"/>
              <w:rPr>
                <w:b/>
                <w:spacing w:val="0"/>
              </w:rPr>
            </w:pPr>
            <w:r>
              <w:rPr>
                <w:b/>
                <w:spacing w:val="0"/>
              </w:rPr>
              <w:t>(in thousands)</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Collaboration revenue</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031" w:type="dxa"/>
            <w:tcBorders/>
            <w:shd w:fill="CCEEFF" w:val="clear"/>
            <w:vAlign w:val="center"/>
          </w:tcPr>
          <w:p>
            <w:pPr>
              <w:pStyle w:val="TableContents"/>
              <w:spacing w:before="0" w:after="283"/>
              <w:jc w:val="right"/>
              <w:rPr/>
            </w:pPr>
            <w:r>
              <w:rPr/>
              <w:t>13,539</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036" w:type="dxa"/>
            <w:tcBorders/>
            <w:shd w:fill="CCEEFF" w:val="clear"/>
            <w:vAlign w:val="center"/>
          </w:tcPr>
          <w:p>
            <w:pPr>
              <w:pStyle w:val="TableContents"/>
              <w:spacing w:before="0" w:after="283"/>
              <w:jc w:val="right"/>
              <w:rPr/>
            </w:pPr>
            <w:r>
              <w:rPr/>
              <w:t>9,106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4,433</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License revenue</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right"/>
              <w:rPr/>
            </w:pPr>
            <w:r>
              <w:rPr/>
              <w:t>11,000</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669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10,331</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1" w:type="dxa"/>
            <w:tcBorders/>
            <w:shd w:fill="CCEEFF" w:val="clear"/>
            <w:vAlign w:val="center"/>
          </w:tcPr>
          <w:p>
            <w:pPr>
              <w:pStyle w:val="TableContents"/>
              <w:spacing w:before="0" w:after="283"/>
              <w:jc w:val="right"/>
              <w:rPr/>
            </w:pPr>
            <w:r>
              <w:rPr/>
              <w:t>24,539</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9,775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14,764</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1" w:type="dxa"/>
            <w:tcBorders/>
            <w:shd w:fill="CCEEFF" w:val="clear"/>
            <w:vAlign w:val="center"/>
          </w:tcPr>
          <w:p>
            <w:pPr>
              <w:pStyle w:val="TableContents"/>
              <w:spacing w:before="0" w:after="283"/>
              <w:jc w:val="right"/>
              <w:rPr/>
            </w:pPr>
            <w:r>
              <w:rPr/>
              <w:t>34,079</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21,951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12,128</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right"/>
              <w:rPr/>
            </w:pPr>
            <w:r>
              <w:rPr/>
              <w:t>7,097</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4,331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2,766</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1" w:type="dxa"/>
            <w:tcBorders/>
            <w:shd w:fill="CCEEFF" w:val="clear"/>
            <w:vAlign w:val="center"/>
          </w:tcPr>
          <w:p>
            <w:pPr>
              <w:pStyle w:val="TableContents"/>
              <w:spacing w:before="0" w:after="283"/>
              <w:jc w:val="right"/>
              <w:rPr/>
            </w:pPr>
            <w:r>
              <w:rPr/>
              <w:t>41,176</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26,282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14,894</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right"/>
              <w:rPr/>
            </w:pPr>
            <w:r>
              <w:rPr/>
              <w:t>(16,637</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(16,507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(130</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sz w:val="4"/>
                <w:szCs w:val="4"/>
              </w:rPr>
            </w:pPr>
            <w:r>
              <w:rPr>
                <w:sz w:val="4"/>
                <w:szCs w:val="4"/>
              </w:rPr>
            </w:r>
          </w:p>
        </w:tc>
        <w:tc>
          <w:tcPr>
            <w:tcW w:w="1031"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right"/>
              <w:rPr/>
            </w:pPr>
            <w:r>
              <w:rPr/>
              <w:t>208</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87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121</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(expense) income, net</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1" w:type="dxa"/>
            <w:tcBorders/>
            <w:shd w:fill="CCEEFF" w:val="clear"/>
            <w:vAlign w:val="center"/>
          </w:tcPr>
          <w:p>
            <w:pPr>
              <w:pStyle w:val="TableContents"/>
              <w:spacing w:before="0" w:after="283"/>
              <w:jc w:val="right"/>
              <w:rPr/>
            </w:pPr>
            <w:r>
              <w:rPr/>
              <w:t>(117</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114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(231</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other income, net</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right"/>
              <w:rPr/>
            </w:pPr>
            <w:r>
              <w:rPr/>
              <w:t>91</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201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(110</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before income taxes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1" w:type="dxa"/>
            <w:tcBorders/>
            <w:shd w:fill="CCEEFF" w:val="clear"/>
            <w:vAlign w:val="center"/>
          </w:tcPr>
          <w:p>
            <w:pPr>
              <w:pStyle w:val="TableContents"/>
              <w:spacing w:before="0" w:after="283"/>
              <w:jc w:val="right"/>
              <w:rPr/>
            </w:pPr>
            <w:r>
              <w:rPr/>
              <w:t>(16,546</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(16,306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(240</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income taxes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right"/>
              <w:rPr/>
            </w:pPr>
            <w:r>
              <w:rPr/>
              <w:t>(53</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(53</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1" w:type="dxa"/>
            <w:tcBorders/>
            <w:shd w:fill="CCEEFF" w:val="clear"/>
            <w:vAlign w:val="center"/>
          </w:tcPr>
          <w:p>
            <w:pPr>
              <w:pStyle w:val="TableContents"/>
              <w:spacing w:before="0" w:after="283"/>
              <w:jc w:val="right"/>
              <w:rPr/>
            </w:pPr>
            <w:r>
              <w:rPr/>
              <w:t>(16,599</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(16,306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(293</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and comprehensive loss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031" w:type="dxa"/>
            <w:tcBorders/>
            <w:shd w:fill="auto" w:val="clear"/>
            <w:vAlign w:val="center"/>
          </w:tcPr>
          <w:p>
            <w:pPr>
              <w:pStyle w:val="TableContents"/>
              <w:spacing w:before="0" w:after="283"/>
              <w:jc w:val="right"/>
              <w:rPr/>
            </w:pPr>
            <w:r>
              <w:rPr/>
              <w:t>(16,614</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036" w:type="dxa"/>
            <w:tcBorders/>
            <w:shd w:fill="auto" w:val="clear"/>
            <w:vAlign w:val="center"/>
          </w:tcPr>
          <w:p>
            <w:pPr>
              <w:pStyle w:val="TableContents"/>
              <w:spacing w:before="0" w:after="283"/>
              <w:jc w:val="right"/>
              <w:rPr/>
            </w:pPr>
            <w:r>
              <w:rPr/>
              <w:t>(16,305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(309</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Collaboration Revenue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Collaboration revenue was $13.5 million and $9.1 million for the six months ended June 30, 2021 and 2020, respectively, which was derived from the Gilead collaboration. The increase of $4.4 million is primarily due to incremental costs incurred under the Gilead Agreement during the six months ended June 30, 2021 as compared to the six months ended June 30, 2020 as well as an increase in the total transaction price allocated to the combined performance obligation under the Gilead Agreement during the second half of 2020, which resulted in greater revenue recognized during the first half of 2021.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License Revenue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Collaboration revenue was $11.0 million and $0.7 million for the six months ended June 30, 2021 and 2020, respectively, which was derived from the Gilead collaboration. The increase of $10.3 million is primarily due to the incremental revenue recognized during the six months ended June 30, 2021 from Gilead licensing a program for an $11.0 million fee as compared to residual 2019 Gilead Letter Agreement revenue of $0.7 million recognized during the six months ended June 30, 2020.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Research and Development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Research and development expense was $34.1 million for the six months ended June 30, 2021 compared to $22.0 million for the six months ended June 30, 2020. The increase of $12.1 million was primarily due to a $9.1 million increase in external CRO expenses and lab supplies primarily relating to our lead product candidate, TNG908, and the advancement of our other drug discovery programs. Additionally, personnel-related costs increased $2.3 million primarily due to additional headcount to support our research and development activities as well as a $0.8 million increase in IT spend, consulting and professional fees.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General and Administrative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General and administrative expense was $7.1 million for the six months ended June 30, 2021 compared to $4.3 million for the six months ended June 30, 2020. The increase of $2.8 million was primarily due to a $1.6 million increase in personnel-related costs due to additional headcount and a $0.9 million increase in consulting and professional fees.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Interest Income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Interest income was $0.2 million for the six months ended June 30, 2021 compared to $0.1 million for the six months ended June 30, 2020. Interest income was not significant for the six month periods primarily due to low interest rates in each period.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 (Expense) Income,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Other expense, net was $0.1 million for the six months ended June 30, 2021 compared to other income, net of $0.1 million for the six months ended June 30, 2020. Other (expense) income was not significant for both the six months ended June 30, 2021 and 2020.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Provision for 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Provision for income taxes was less than $0.1 million for the six months ended June 30, 2021 compared to $0 for the six months ended June 30, 2020. The increase of less than $0.1 million is primarily attributable to taxable deferred revenue partially offset by the utilization of federal and state net operating losses and federal and state tax credits.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Comparison of the Years Ended December 31, 2020 and 2019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summarizes our results of operations for the years ended December 31, 2020 and 2019: </w:t>
      </w:r>
    </w:p>
    <w:p>
      <w:pPr>
        <w:pStyle w:val="TextBody"/>
        <w:spacing w:before="0" w:after="0"/>
        <w:jc w:val="left"/>
        <w:rPr>
          <w:spacing w:val="0"/>
        </w:rPr>
      </w:pPr>
      <w:r>
        <w:rPr>
          <w:spacing w:val="0"/>
        </w:rPr>
        <w:t> </w:t>
      </w:r>
    </w:p>
    <w:tbl>
      <w:tblPr>
        <w:tblW w:w="6837" w:type="dxa"/>
        <w:jc w:val="left"/>
        <w:tblInd w:w="0" w:type="dxa"/>
        <w:tblCellMar>
          <w:top w:w="0" w:type="dxa"/>
          <w:left w:w="0" w:type="dxa"/>
          <w:bottom w:w="0" w:type="dxa"/>
          <w:right w:w="0" w:type="dxa"/>
        </w:tblCellMar>
      </w:tblPr>
      <w:tblGrid>
        <w:gridCol w:w="2660"/>
        <w:gridCol w:w="120"/>
        <w:gridCol w:w="184"/>
        <w:gridCol w:w="993"/>
        <w:gridCol w:w="203"/>
        <w:gridCol w:w="157"/>
        <w:gridCol w:w="184"/>
        <w:gridCol w:w="996"/>
        <w:gridCol w:w="155"/>
        <w:gridCol w:w="120"/>
        <w:gridCol w:w="140"/>
        <w:gridCol w:w="755"/>
        <w:gridCol w:w="170"/>
      </w:tblGrid>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7" w:type="dxa"/>
            <w:gridSpan w:val="6"/>
            <w:tcBorders/>
            <w:shd w:fill="auto" w:val="clear"/>
            <w:vAlign w:val="center"/>
          </w:tcPr>
          <w:p>
            <w:pPr>
              <w:pStyle w:val="TableContents"/>
              <w:spacing w:before="0" w:after="0"/>
              <w:jc w:val="center"/>
              <w:rPr>
                <w:b/>
                <w:spacing w:val="0"/>
              </w:rPr>
            </w:pPr>
            <w:r>
              <w:rPr>
                <w:b/>
                <w:spacing w:val="0"/>
              </w:rPr>
              <w:t>Year Ended December 31,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7" w:type="dxa"/>
            <w:gridSpan w:val="2"/>
            <w:tcBorders/>
            <w:shd w:fill="auto" w:val="clear"/>
            <w:vAlign w:val="center"/>
          </w:tcPr>
          <w:p>
            <w:pPr>
              <w:pStyle w:val="TableContents"/>
              <w:spacing w:before="0" w:after="0"/>
              <w:jc w:val="center"/>
              <w:rPr>
                <w:b/>
                <w:spacing w:val="0"/>
              </w:rPr>
            </w:pPr>
            <w:r>
              <w:rPr>
                <w:b/>
                <w:spacing w:val="0"/>
              </w:rPr>
              <w:t>2020</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180" w:type="dxa"/>
            <w:gridSpan w:val="2"/>
            <w:tcBorders/>
            <w:shd w:fill="auto" w:val="clear"/>
            <w:vAlign w:val="center"/>
          </w:tcPr>
          <w:p>
            <w:pPr>
              <w:pStyle w:val="TableContents"/>
              <w:spacing w:before="0" w:after="0"/>
              <w:jc w:val="center"/>
              <w:rPr>
                <w:b/>
                <w:spacing w:val="0"/>
              </w:rPr>
            </w:pPr>
            <w:r>
              <w:rPr>
                <w:b/>
                <w:spacing w:val="0"/>
              </w:rPr>
              <w:t>2019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0"/>
              <w:jc w:val="center"/>
              <w:rPr>
                <w:b/>
                <w:spacing w:val="0"/>
              </w:rPr>
            </w:pPr>
            <w:r>
              <w:rPr>
                <w:b/>
                <w:spacing w:val="0"/>
              </w:rPr>
              <w:t>Change</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87" w:type="dxa"/>
            <w:gridSpan w:val="10"/>
            <w:tcBorders/>
            <w:shd w:fill="auto" w:val="clear"/>
            <w:vAlign w:val="center"/>
          </w:tcPr>
          <w:p>
            <w:pPr>
              <w:pStyle w:val="TableContents"/>
              <w:spacing w:before="0" w:after="0"/>
              <w:jc w:val="center"/>
              <w:rPr>
                <w:b/>
                <w:spacing w:val="0"/>
              </w:rPr>
            </w:pPr>
            <w:r>
              <w:rPr>
                <w:b/>
                <w:spacing w:val="0"/>
              </w:rPr>
              <w:t>(in thousands)</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Collaboration revenue</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993" w:type="dxa"/>
            <w:tcBorders/>
            <w:shd w:fill="CCEEFF" w:val="clear"/>
            <w:vAlign w:val="center"/>
          </w:tcPr>
          <w:p>
            <w:pPr>
              <w:pStyle w:val="TableContents"/>
              <w:spacing w:before="0" w:after="283"/>
              <w:jc w:val="right"/>
              <w:rPr/>
            </w:pPr>
            <w:r>
              <w:rPr/>
              <w:t>7,656</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996" w:type="dxa"/>
            <w:tcBorders/>
            <w:shd w:fill="CCEEFF" w:val="clear"/>
            <w:vAlign w:val="center"/>
          </w:tcPr>
          <w:p>
            <w:pPr>
              <w:pStyle w:val="TableContents"/>
              <w:spacing w:before="0" w:after="283"/>
              <w:jc w:val="right"/>
              <w:rPr/>
            </w:pPr>
            <w:r>
              <w:rPr/>
              <w:t>24,649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(16,993</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pPr>
            <w:r>
              <w:rPr/>
              <w:t>49,991</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32,274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17,717</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3" w:type="dxa"/>
            <w:tcBorders/>
            <w:shd w:fill="auto" w:val="clear"/>
            <w:vAlign w:val="center"/>
          </w:tcPr>
          <w:p>
            <w:pPr>
              <w:pStyle w:val="TableContents"/>
              <w:spacing w:before="0" w:after="283"/>
              <w:jc w:val="right"/>
              <w:rPr/>
            </w:pPr>
            <w:r>
              <w:rPr/>
              <w:t>9,865</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7,537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2,328</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pPr>
            <w:r>
              <w:rPr/>
              <w:t>59,856</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39,811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20,045</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3" w:type="dxa"/>
            <w:tcBorders/>
            <w:shd w:fill="auto" w:val="clear"/>
            <w:vAlign w:val="center"/>
          </w:tcPr>
          <w:p>
            <w:pPr>
              <w:pStyle w:val="TableContents"/>
              <w:spacing w:before="0" w:after="283"/>
              <w:jc w:val="right"/>
              <w:rPr/>
            </w:pPr>
            <w:r>
              <w:rPr/>
              <w:t>(52,200</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(15,162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(37,038</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sz w:val="4"/>
                <w:szCs w:val="4"/>
              </w:rPr>
            </w:pPr>
            <w:r>
              <w:rPr>
                <w:sz w:val="4"/>
                <w:szCs w:val="4"/>
              </w:rPr>
            </w:r>
          </w:p>
        </w:tc>
        <w:tc>
          <w:tcPr>
            <w:tcW w:w="993" w:type="dxa"/>
            <w:tcBorders/>
            <w:shd w:fill="CCEEFF" w:val="clear"/>
            <w:vAlign w:val="center"/>
          </w:tcPr>
          <w:p>
            <w:pPr>
              <w:pStyle w:val="TableContents"/>
              <w:spacing w:before="0" w:after="283"/>
              <w:rPr>
                <w:sz w:val="4"/>
                <w:szCs w:val="4"/>
              </w:rPr>
            </w:pPr>
            <w:r>
              <w:rPr>
                <w:sz w:val="4"/>
                <w:szCs w:val="4"/>
              </w:rPr>
            </w:r>
          </w:p>
        </w:tc>
        <w:tc>
          <w:tcPr>
            <w:tcW w:w="203" w:type="dxa"/>
            <w:tcBorders/>
            <w:shd w:fill="CCEEFF" w:val="clear"/>
            <w:vAlign w:val="center"/>
          </w:tcPr>
          <w:p>
            <w:pPr>
              <w:pStyle w:val="TableContents"/>
              <w:spacing w:before="0" w:after="283"/>
              <w:rPr>
                <w:sz w:val="4"/>
                <w:szCs w:val="4"/>
              </w:rPr>
            </w:pPr>
            <w:r>
              <w:rPr>
                <w:sz w:val="4"/>
                <w:szCs w:val="4"/>
              </w:rPr>
            </w:r>
          </w:p>
        </w:tc>
        <w:tc>
          <w:tcPr>
            <w:tcW w:w="15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3" w:type="dxa"/>
            <w:tcBorders/>
            <w:shd w:fill="auto" w:val="clear"/>
            <w:vAlign w:val="center"/>
          </w:tcPr>
          <w:p>
            <w:pPr>
              <w:pStyle w:val="TableContents"/>
              <w:spacing w:before="0" w:after="283"/>
              <w:jc w:val="right"/>
              <w:rPr/>
            </w:pPr>
            <w:r>
              <w:rPr/>
              <w:t>108</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684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(576</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pPr>
            <w:r>
              <w:rPr/>
              <w:t>120</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383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(263</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other income, net</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3" w:type="dxa"/>
            <w:tcBorders/>
            <w:shd w:fill="auto" w:val="clear"/>
            <w:vAlign w:val="center"/>
          </w:tcPr>
          <w:p>
            <w:pPr>
              <w:pStyle w:val="TableContents"/>
              <w:spacing w:before="0" w:after="283"/>
              <w:jc w:val="right"/>
              <w:rPr/>
            </w:pPr>
            <w:r>
              <w:rPr/>
              <w:t>228</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1,067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(839</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pPr>
            <w:r>
              <w:rPr/>
              <w:t>(51,972</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(14,095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(37,877</w:t>
            </w:r>
          </w:p>
        </w:tc>
        <w:tc>
          <w:tcPr>
            <w:tcW w:w="170" w:type="dxa"/>
            <w:tcBorders/>
            <w:shd w:fill="CCEEFF"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and comprehensive loss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993" w:type="dxa"/>
            <w:tcBorders/>
            <w:shd w:fill="auto" w:val="clear"/>
            <w:vAlign w:val="center"/>
          </w:tcPr>
          <w:p>
            <w:pPr>
              <w:pStyle w:val="TableContents"/>
              <w:spacing w:before="0" w:after="283"/>
              <w:jc w:val="right"/>
              <w:rPr/>
            </w:pPr>
            <w:r>
              <w:rPr/>
              <w:t>(51,965</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996" w:type="dxa"/>
            <w:tcBorders/>
            <w:shd w:fill="auto" w:val="clear"/>
            <w:vAlign w:val="center"/>
          </w:tcPr>
          <w:p>
            <w:pPr>
              <w:pStyle w:val="TableContents"/>
              <w:spacing w:before="0" w:after="283"/>
              <w:jc w:val="right"/>
              <w:rPr/>
            </w:pPr>
            <w:r>
              <w:rPr/>
              <w:t>(14,078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(37,887</w:t>
            </w:r>
          </w:p>
        </w:tc>
        <w:tc>
          <w:tcPr>
            <w:tcW w:w="170" w:type="dxa"/>
            <w:tcBorders/>
            <w:shd w:fill="auto" w:val="clear"/>
            <w:vAlign w:val="center"/>
          </w:tcPr>
          <w:p>
            <w:pPr>
              <w:pStyle w:val="TableContents"/>
              <w:spacing w:before="0" w:after="283"/>
              <w:rPr/>
            </w:pPr>
            <w:r>
              <w:rPr/>
              <w:t>) </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Collaboration Revenue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Collaboration revenue was $7.7 million and $24.7 million for the years ended December 31, 2020 and 2019, respectively, which was derived from the Gilead collaboration. The decrease of $17.0 million was due to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majority of the obligations under the license and letter agreement being substantially completed in 2019, which resulted in greater revenue recognized in 2019. Additionally, a cumulative </w:t>
      </w:r>
    </w:p>
    <w:p>
      <w:pPr>
        <w:pStyle w:val="TextBody"/>
        <w:spacing w:before="0" w:after="0"/>
        <w:jc w:val="left"/>
        <w:rPr>
          <w:rFonts w:ascii="Times New Roman" w:hAnsi="Times New Roman"/>
          <w:spacing w:val="0"/>
          <w:sz w:val="20"/>
        </w:rPr>
      </w:pPr>
      <w:r>
        <w:rPr>
          <w:rFonts w:ascii="Times New Roman" w:hAnsi="Times New Roman"/>
          <w:spacing w:val="0"/>
          <w:sz w:val="20"/>
        </w:rPr>
        <w:t>catch-up</w:t>
      </w:r>
    </w:p>
    <w:p>
      <w:pPr>
        <w:pStyle w:val="TextBody"/>
        <w:spacing w:before="0" w:after="0"/>
        <w:jc w:val="left"/>
        <w:rPr>
          <w:rFonts w:ascii="Times New Roman" w:hAnsi="Times New Roman"/>
          <w:sz w:val="20"/>
        </w:rPr>
      </w:pPr>
      <w:r>
        <w:rPr>
          <w:rFonts w:ascii="Times New Roman" w:hAnsi="Times New Roman"/>
          <w:sz w:val="20"/>
        </w:rPr>
        <w:t xml:space="preserve">adjustment was recorded during 2020 due to executing the Gilead Agreement resulting in a reduction of $11.3 million of revenue.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Research and Development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Research and development expense was $50.0 million for the year ended December 31, 2020 compared to $32.3 million for the year ended December 31, 2019. The increase of $17.7 million was primarily due to a $13.7 million increase in external CRO expenses primarily relating to our lead product candidate, TNG908, and the advancement of our other drug discovery programs. Additionally, personnel-related costs increased $3.6 million primarily due to additional headcount to support our research and development activities as well as a $0.5 million increase in consulting and professional fees.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General and Administrative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General and administrative expense was $9.9 million for the year ended December 31, 2020 compared to $7.5 million for the year ended December 31, 2019. The increase of $2.3 million was primarily due to a $1.0 million increase in personnel-related costs due to additional headcount and a $1.2 million increase in consulting and professional service fees.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Interest Income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Interest income was $0.1 million for the year ended December 31, 2020 compared to $0.7 million for the year ended December 31, 2019. The decrease of $0.6 million was primarily due to a decline in interest rates in 2020 as compared to 2019.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 Income,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Other income, net was $0.1 million for the year ended December 31, 2020 compared to $0.4 million for the year ended December 31, 2019. Other income was not significant for both the years ended December 31, 2020 and 2019.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Liquidity and Capital Resources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Sources of Liquidity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preferred stock and from the proceeds received from our collaboration with Gilead. We received gross proceeds of $352.9 million upon the closing of the Business Combination and PIPE Financing in August 2021. Prior to the Business Combination we raised an aggregate of approximately $166.9 million of gross proceeds from the sale of our preferred stock and another $202.1 million through our collaboration. As of June 30, 2021, we had cash, cash equivalents and marketable securities of $198.4 million, not inclusive of the $325.6 million in net proceeds received upon the closing of the Business Combination and PIPE Financing.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Funding Requirements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believe that the gross proceeds of approximately $352.9 million from the Business Combination and the PIPE Financing, together with our existing cash, cash equivalents and marketable securities on hand as of June 30, 2021 of $198.4 million will enable us to fund our operating expenses and capital expenditure requirements at least into the second half of 2024. We have based this estimate on assumptions that may prove to be wrong, and we could expend our capital resources sooner than we expect.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we expect to incur additional costs associated with operating as a public company. 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 </w:t>
      </w:r>
    </w:p>
    <w:p>
      <w:pPr>
        <w:pStyle w:val="TextBody"/>
        <w:spacing w:before="0" w:after="0"/>
        <w:jc w:val="left"/>
        <w:rPr>
          <w:spacing w:val="0"/>
        </w:rPr>
      </w:pPr>
      <w:r>
        <w:rPr>
          <w:spacing w:val="0"/>
        </w:rPr>
        <w:t> </w:t>
      </w:r>
    </w:p>
    <w:tbl>
      <w:tblPr>
        <w:tblW w:w="7555" w:type="dxa"/>
        <w:jc w:val="left"/>
        <w:tblInd w:w="0" w:type="dxa"/>
        <w:tblCellMar>
          <w:top w:w="0" w:type="dxa"/>
          <w:left w:w="0" w:type="dxa"/>
          <w:bottom w:w="0" w:type="dxa"/>
          <w:right w:w="0" w:type="dxa"/>
        </w:tblCellMar>
      </w:tblPr>
      <w:tblGrid>
        <w:gridCol w:w="75"/>
        <w:gridCol w:w="110"/>
        <w:gridCol w:w="60"/>
        <w:gridCol w:w="7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initiation, timing, costs, progress and results of our planned clinical trials of TNG908; </w:t>
            </w:r>
          </w:p>
        </w:tc>
      </w:tr>
    </w:tbl>
    <w:p>
      <w:pPr>
        <w:pStyle w:val="TextBody"/>
        <w:spacing w:before="0" w:after="0"/>
        <w:jc w:val="left"/>
        <w:rPr>
          <w:spacing w:val="0"/>
        </w:rPr>
      </w:pPr>
      <w:r>
        <w:rPr>
          <w:spacing w:val="0"/>
        </w:rPr>
        <w:t> </w:t>
      </w:r>
    </w:p>
    <w:tbl>
      <w:tblPr>
        <w:tblW w:w="9610" w:type="dxa"/>
        <w:jc w:val="left"/>
        <w:tblInd w:w="0" w:type="dxa"/>
        <w:tblCellMar>
          <w:top w:w="0" w:type="dxa"/>
          <w:left w:w="0" w:type="dxa"/>
          <w:bottom w:w="0" w:type="dxa"/>
          <w:right w:w="0" w:type="dxa"/>
        </w:tblCellMar>
      </w:tblPr>
      <w:tblGrid>
        <w:gridCol w:w="75"/>
        <w:gridCol w:w="110"/>
        <w:gridCol w:w="60"/>
        <w:gridCol w:w="9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progress of preclinical development and possible clinical trials of our current and future earlier-stage programs;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scope, progress, results and costs of our research programs and preclinical development of any additional product candidates that we may pursue; </w:t>
            </w:r>
          </w:p>
        </w:tc>
      </w:tr>
    </w:tbl>
    <w:p>
      <w:pPr>
        <w:pStyle w:val="TextBody"/>
        <w:spacing w:before="0" w:after="0"/>
        <w:jc w:val="left"/>
        <w:rPr>
          <w:spacing w:val="0"/>
        </w:rPr>
      </w:pPr>
      <w:r>
        <w:rPr>
          <w:spacing w:val="0"/>
        </w:rPr>
        <w:t> </w:t>
      </w:r>
    </w:p>
    <w:tbl>
      <w:tblPr>
        <w:tblW w:w="6715" w:type="dxa"/>
        <w:jc w:val="left"/>
        <w:tblInd w:w="0" w:type="dxa"/>
        <w:tblCellMar>
          <w:top w:w="0" w:type="dxa"/>
          <w:left w:w="0" w:type="dxa"/>
          <w:bottom w:w="0" w:type="dxa"/>
          <w:right w:w="0" w:type="dxa"/>
        </w:tblCellMar>
      </w:tblPr>
      <w:tblGrid>
        <w:gridCol w:w="75"/>
        <w:gridCol w:w="110"/>
        <w:gridCol w:w="60"/>
        <w:gridCol w:w="6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development requirements of other product candidates that we may pursue;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headcount growth and associated costs as we expand our research and development and establish a commercial infrastructure;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timing and amount of milestone and royalty payments that we are required to make or eligible to receive under our current or future collaboration and license agreements;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outcome, timing and cost of meeting regulatory requirements established by the FDA, EMA and other regulatory authorities;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costs and timing of future commercialization activities, including product manufacturing, marketing, sales and distribution, for any of our product candidates for which we receive marketing approval;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 of expanding, maintaining and enforcing our intellectual property portfolio, including filing, prosecuting, defending and enforcing our patent claims and other intellectual property rights;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 of defending potential intellectual property disputes, including patent infringement actions brought by third parties against us or any of our product candidates; </w:t>
            </w:r>
          </w:p>
        </w:tc>
      </w:tr>
    </w:tbl>
    <w:p>
      <w:pPr>
        <w:pStyle w:val="TextBody"/>
        <w:spacing w:before="0" w:after="0"/>
        <w:jc w:val="left"/>
        <w:rPr>
          <w:spacing w:val="0"/>
        </w:rPr>
      </w:pPr>
      <w:r>
        <w:rPr>
          <w:spacing w:val="0"/>
        </w:rPr>
        <w:t> </w:t>
      </w:r>
    </w:p>
    <w:tbl>
      <w:tblPr>
        <w:tblW w:w="5560" w:type="dxa"/>
        <w:jc w:val="left"/>
        <w:tblInd w:w="0" w:type="dxa"/>
        <w:tblCellMar>
          <w:top w:w="0" w:type="dxa"/>
          <w:left w:w="0" w:type="dxa"/>
          <w:bottom w:w="0" w:type="dxa"/>
          <w:right w:w="0" w:type="dxa"/>
        </w:tblCellMar>
      </w:tblPr>
      <w:tblGrid>
        <w:gridCol w:w="75"/>
        <w:gridCol w:w="110"/>
        <w:gridCol w:w="60"/>
        <w:gridCol w:w="53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effect of competing technological and market developments; </w:t>
            </w:r>
          </w:p>
        </w:tc>
      </w:tr>
    </w:tbl>
    <w:p>
      <w:pPr>
        <w:pStyle w:val="TextBody"/>
        <w:spacing w:before="0" w:after="0"/>
        <w:jc w:val="left"/>
        <w:rPr>
          <w:spacing w:val="0"/>
        </w:rPr>
      </w:pPr>
      <w:r>
        <w:rPr>
          <w:spacing w:val="0"/>
        </w:rPr>
        <w:t> </w:t>
      </w:r>
    </w:p>
    <w:tbl>
      <w:tblPr>
        <w:tblW w:w="6820" w:type="dxa"/>
        <w:jc w:val="left"/>
        <w:tblInd w:w="0" w:type="dxa"/>
        <w:tblCellMar>
          <w:top w:w="0" w:type="dxa"/>
          <w:left w:w="0" w:type="dxa"/>
          <w:bottom w:w="0" w:type="dxa"/>
          <w:right w:w="0" w:type="dxa"/>
        </w:tblCellMar>
      </w:tblPr>
      <w:tblGrid>
        <w:gridCol w:w="75"/>
        <w:gridCol w:w="110"/>
        <w:gridCol w:w="60"/>
        <w:gridCol w:w="6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 and timing of completion of commercial-scale manufacturing activities; </w:t>
            </w:r>
          </w:p>
        </w:tc>
      </w:tr>
    </w:tbl>
    <w:p>
      <w:pPr>
        <w:pStyle w:val="TextBody"/>
        <w:spacing w:before="0" w:after="0"/>
        <w:jc w:val="left"/>
        <w:rPr>
          <w:spacing w:val="0"/>
        </w:rPr>
      </w:pPr>
      <w:r>
        <w:rPr>
          <w:spacing w:val="0"/>
        </w:rPr>
        <w:t> </w:t>
      </w:r>
    </w:p>
    <w:tbl>
      <w:tblPr>
        <w:tblW w:w="6970" w:type="dxa"/>
        <w:jc w:val="left"/>
        <w:tblInd w:w="0" w:type="dxa"/>
        <w:tblCellMar>
          <w:top w:w="0" w:type="dxa"/>
          <w:left w:w="0" w:type="dxa"/>
          <w:bottom w:w="0" w:type="dxa"/>
          <w:right w:w="0" w:type="dxa"/>
        </w:tblCellMar>
      </w:tblPr>
      <w:tblGrid>
        <w:gridCol w:w="75"/>
        <w:gridCol w:w="110"/>
        <w:gridCol w:w="60"/>
        <w:gridCol w:w="6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extent to which we partner our programs, acquire or </w:t>
            </w:r>
          </w:p>
          <w:p>
            <w:pPr>
              <w:pStyle w:val="TableContents"/>
              <w:spacing w:before="0" w:after="0"/>
              <w:jc w:val="left"/>
              <w:rPr>
                <w:rFonts w:ascii="Times New Roman" w:hAnsi="Times New Roman"/>
                <w:spacing w:val="0"/>
                <w:sz w:val="20"/>
              </w:rPr>
            </w:pPr>
            <w:r>
              <w:rPr>
                <w:rFonts w:ascii="Times New Roman" w:hAnsi="Times New Roman"/>
                <w:spacing w:val="0"/>
                <w:sz w:val="20"/>
              </w:rPr>
              <w:t>in-license</w:t>
            </w:r>
          </w:p>
          <w:p>
            <w:pPr>
              <w:pStyle w:val="TableContents"/>
              <w:spacing w:before="0" w:after="0"/>
              <w:jc w:val="left"/>
              <w:rPr>
                <w:rFonts w:ascii="Times New Roman" w:hAnsi="Times New Roman"/>
                <w:sz w:val="20"/>
              </w:rPr>
            </w:pPr>
            <w:r>
              <w:rPr>
                <w:rFonts w:ascii="Times New Roman" w:hAnsi="Times New Roman"/>
                <w:sz w:val="20"/>
              </w:rPr>
              <w:t xml:space="preserve">other product candidates and technologies or enter into additional collaborations;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revenue, if any, received from commercial sales of TNG908 and any future product candidates for which we receive marketing approval; and </w:t>
            </w:r>
          </w:p>
        </w:tc>
      </w:tr>
    </w:tbl>
    <w:p>
      <w:pPr>
        <w:pStyle w:val="TextBody"/>
        <w:spacing w:before="0" w:after="0"/>
        <w:jc w:val="left"/>
        <w:rPr>
          <w:spacing w:val="0"/>
        </w:rPr>
      </w:pPr>
      <w:r>
        <w:rPr>
          <w:spacing w:val="0"/>
        </w:rPr>
        <w:t> </w:t>
      </w:r>
    </w:p>
    <w:tbl>
      <w:tblPr>
        <w:tblW w:w="3820" w:type="dxa"/>
        <w:jc w:val="left"/>
        <w:tblInd w:w="0" w:type="dxa"/>
        <w:tblCellMar>
          <w:top w:w="0" w:type="dxa"/>
          <w:left w:w="0" w:type="dxa"/>
          <w:bottom w:w="0" w:type="dxa"/>
          <w:right w:w="0" w:type="dxa"/>
        </w:tblCellMar>
      </w:tblPr>
      <w:tblGrid>
        <w:gridCol w:w="75"/>
        <w:gridCol w:w="110"/>
        <w:gridCol w:w="60"/>
        <w:gridCol w:w="3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costs of operating as a public company.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Flows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Comparison of the Six Months Ended June 30, 2021 and 2020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summarizes our cash flows for each of the six month periods presented: </w:t>
      </w:r>
    </w:p>
    <w:p>
      <w:pPr>
        <w:pStyle w:val="TextBody"/>
        <w:spacing w:before="0" w:after="0"/>
        <w:jc w:val="left"/>
        <w:rPr>
          <w:spacing w:val="0"/>
        </w:rPr>
      </w:pPr>
      <w:r>
        <w:rPr>
          <w:spacing w:val="0"/>
        </w:rPr>
        <w:t> </w:t>
      </w:r>
    </w:p>
    <w:tbl>
      <w:tblPr>
        <w:tblW w:w="9688" w:type="dxa"/>
        <w:jc w:val="left"/>
        <w:tblInd w:w="0" w:type="dxa"/>
        <w:tblCellMar>
          <w:top w:w="0" w:type="dxa"/>
          <w:left w:w="0" w:type="dxa"/>
          <w:bottom w:w="0" w:type="dxa"/>
          <w:right w:w="0" w:type="dxa"/>
        </w:tblCellMar>
      </w:tblPr>
      <w:tblGrid>
        <w:gridCol w:w="5480"/>
        <w:gridCol w:w="120"/>
        <w:gridCol w:w="191"/>
        <w:gridCol w:w="1031"/>
        <w:gridCol w:w="211"/>
        <w:gridCol w:w="163"/>
        <w:gridCol w:w="191"/>
        <w:gridCol w:w="1036"/>
        <w:gridCol w:w="155"/>
        <w:gridCol w:w="120"/>
        <w:gridCol w:w="140"/>
        <w:gridCol w:w="680"/>
        <w:gridCol w:w="170"/>
      </w:tblGrid>
      <w:tr>
        <w:trPr/>
        <w:tc>
          <w:tcPr>
            <w:tcW w:w="5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3"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2" w:type="dxa"/>
            <w:gridSpan w:val="2"/>
            <w:tcBorders/>
            <w:shd w:fill="auto" w:val="clear"/>
            <w:vAlign w:val="center"/>
          </w:tcPr>
          <w:p>
            <w:pPr>
              <w:pStyle w:val="TableContents"/>
              <w:spacing w:before="0" w:after="0"/>
              <w:jc w:val="center"/>
              <w:rPr>
                <w:spacing w:val="0"/>
              </w:rPr>
            </w:pPr>
            <w:r>
              <w:rPr>
                <w:spacing w:val="0"/>
              </w:rPr>
              <w:t>      </w:t>
            </w:r>
            <w:r>
              <w:rPr>
                <w:b/>
                <w:spacing w:val="0"/>
              </w:rPr>
              <w:t>2021      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227" w:type="dxa"/>
            <w:gridSpan w:val="2"/>
            <w:tcBorders/>
            <w:shd w:fill="auto" w:val="clear"/>
            <w:vAlign w:val="center"/>
          </w:tcPr>
          <w:p>
            <w:pPr>
              <w:pStyle w:val="TableContents"/>
              <w:spacing w:before="0" w:after="0"/>
              <w:jc w:val="center"/>
              <w:rPr>
                <w:spacing w:val="0"/>
              </w:rPr>
            </w:pPr>
            <w:r>
              <w:rPr>
                <w:spacing w:val="0"/>
              </w:rPr>
              <w:t>      </w:t>
            </w:r>
            <w:r>
              <w:rPr>
                <w:b/>
                <w:spacing w:val="0"/>
              </w:rPr>
              <w:t>2020      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Change</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8" w:type="dxa"/>
            <w:gridSpan w:val="10"/>
            <w:tcBorders/>
            <w:shd w:fill="auto" w:val="clear"/>
            <w:vAlign w:val="center"/>
          </w:tcPr>
          <w:p>
            <w:pPr>
              <w:pStyle w:val="TableContents"/>
              <w:spacing w:before="0" w:after="0"/>
              <w:jc w:val="center"/>
              <w:rPr>
                <w:b/>
                <w:spacing w:val="0"/>
              </w:rPr>
            </w:pPr>
            <w:r>
              <w:rPr>
                <w:b/>
                <w:spacing w:val="0"/>
              </w:rPr>
              <w:t>(in thousands)</w:t>
            </w:r>
          </w:p>
        </w:tc>
        <w:tc>
          <w:tcPr>
            <w:tcW w:w="170" w:type="dxa"/>
            <w:tcBorders/>
            <w:shd w:fill="auto" w:val="clear"/>
            <w:vAlign w:val="center"/>
          </w:tcPr>
          <w:p>
            <w:pPr>
              <w:pStyle w:val="TableContents"/>
              <w:spacing w:before="0" w:after="283"/>
              <w:rPr/>
            </w:pPr>
            <w:r>
              <w:rPr/>
              <w:t> </w:t>
            </w:r>
          </w:p>
        </w:tc>
      </w:tr>
      <w:tr>
        <w:trPr/>
        <w:tc>
          <w:tcPr>
            <w:tcW w:w="5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031" w:type="dxa"/>
            <w:tcBorders/>
            <w:shd w:fill="CCEEFF" w:val="clear"/>
            <w:vAlign w:val="center"/>
          </w:tcPr>
          <w:p>
            <w:pPr>
              <w:pStyle w:val="TableContents"/>
              <w:spacing w:before="0" w:after="283"/>
              <w:jc w:val="right"/>
              <w:rPr/>
            </w:pPr>
            <w:r>
              <w:rPr/>
              <w:t>(21,131</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w:t>
            </w:r>
          </w:p>
        </w:tc>
        <w:tc>
          <w:tcPr>
            <w:tcW w:w="1036" w:type="dxa"/>
            <w:tcBorders/>
            <w:shd w:fill="CCEEFF" w:val="clear"/>
            <w:vAlign w:val="center"/>
          </w:tcPr>
          <w:p>
            <w:pPr>
              <w:pStyle w:val="TableContents"/>
              <w:spacing w:before="0" w:after="283"/>
              <w:jc w:val="right"/>
              <w:rPr/>
            </w:pPr>
            <w:r>
              <w:rPr/>
              <w:t>(23,123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1,992</w:t>
            </w:r>
          </w:p>
        </w:tc>
        <w:tc>
          <w:tcPr>
            <w:tcW w:w="170" w:type="dxa"/>
            <w:tcBorders/>
            <w:shd w:fill="CCEEFF"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(used in) investing activities</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right"/>
              <w:rPr/>
            </w:pPr>
            <w:r>
              <w:rPr/>
              <w:t>13,987</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(16,507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30,494</w:t>
            </w:r>
          </w:p>
        </w:tc>
        <w:tc>
          <w:tcPr>
            <w:tcW w:w="170" w:type="dxa"/>
            <w:tcBorders/>
            <w:shd w:fill="auto" w:val="clear"/>
            <w:vAlign w:val="center"/>
          </w:tcPr>
          <w:p>
            <w:pPr>
              <w:pStyle w:val="TableContents"/>
              <w:spacing w:before="0" w:after="283"/>
              <w:rPr/>
            </w:pPr>
            <w:r>
              <w:rPr/>
              <w:t> </w:t>
            </w:r>
          </w:p>
        </w:tc>
      </w:tr>
      <w:tr>
        <w:trPr/>
        <w:tc>
          <w:tcPr>
            <w:tcW w:w="5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1" w:type="dxa"/>
            <w:tcBorders/>
            <w:shd w:fill="CCEEFF" w:val="clear"/>
            <w:vAlign w:val="center"/>
          </w:tcPr>
          <w:p>
            <w:pPr>
              <w:pStyle w:val="TableContents"/>
              <w:spacing w:before="0" w:after="283"/>
              <w:jc w:val="right"/>
              <w:rPr/>
            </w:pPr>
            <w:r>
              <w:rPr/>
              <w:t>29,665</w:t>
            </w:r>
          </w:p>
        </w:tc>
        <w:tc>
          <w:tcPr>
            <w:tcW w:w="21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29,859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(194</w:t>
            </w:r>
          </w:p>
        </w:tc>
        <w:tc>
          <w:tcPr>
            <w:tcW w:w="170" w:type="dxa"/>
            <w:tcBorders/>
            <w:shd w:fill="CCEEFF"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increase (decrease) in cash, cash equivalents and restricted cash</w:t>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031" w:type="dxa"/>
            <w:tcBorders/>
            <w:shd w:fill="auto" w:val="clear"/>
            <w:vAlign w:val="center"/>
          </w:tcPr>
          <w:p>
            <w:pPr>
              <w:pStyle w:val="TableContents"/>
              <w:spacing w:before="0" w:after="283"/>
              <w:jc w:val="right"/>
              <w:rPr/>
            </w:pPr>
            <w:r>
              <w:rPr/>
              <w:t>22,521</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w:t>
            </w:r>
          </w:p>
        </w:tc>
        <w:tc>
          <w:tcPr>
            <w:tcW w:w="1036" w:type="dxa"/>
            <w:tcBorders/>
            <w:shd w:fill="auto" w:val="clear"/>
            <w:vAlign w:val="center"/>
          </w:tcPr>
          <w:p>
            <w:pPr>
              <w:pStyle w:val="TableContents"/>
              <w:spacing w:before="0" w:after="283"/>
              <w:jc w:val="right"/>
              <w:rPr/>
            </w:pPr>
            <w:r>
              <w:rPr/>
              <w:t>(9,771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32,292</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1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Cash flows from operating activities represent the cash receipts and disbursements related to all of our activities other than investing and financing activities. Operating cash flow is derived by adjusting our net loss for </w:t>
      </w:r>
    </w:p>
    <w:p>
      <w:pPr>
        <w:pStyle w:val="TextBody"/>
        <w:spacing w:before="120" w:after="0"/>
        <w:jc w:val="left"/>
        <w:rPr>
          <w:rFonts w:ascii="Times New Roman" w:hAnsi="Times New Roman"/>
          <w:spacing w:val="0"/>
          <w:sz w:val="20"/>
        </w:rPr>
      </w:pPr>
      <w:r>
        <w:rPr>
          <w:rFonts w:ascii="Times New Roman" w:hAnsi="Times New Roman"/>
          <w:spacing w:val="0"/>
          <w:sz w:val="20"/>
        </w:rPr>
        <w:t>non-cash</w:t>
      </w:r>
    </w:p>
    <w:p>
      <w:pPr>
        <w:pStyle w:val="TextBody"/>
        <w:spacing w:before="120" w:after="0"/>
        <w:jc w:val="left"/>
        <w:rPr>
          <w:rFonts w:ascii="Times New Roman" w:hAnsi="Times New Roman"/>
          <w:sz w:val="20"/>
        </w:rPr>
      </w:pPr>
      <w:r>
        <w:rPr>
          <w:rFonts w:ascii="Times New Roman" w:hAnsi="Times New Roman"/>
          <w:sz w:val="20"/>
        </w:rPr>
        <w:t xml:space="preserve">operating items such as depreciation, and stock-based compensation as well as changes in operating assets and liabilities, which reflect timing differences between the receipt and payment of cash associated with transactions and when they are recognized in our results of operations.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was $21.1 million for the six months ended June 30, 2021 compared to net cash used in operating activities of $23.1 million for the six months ended June 30, 2020. Our net loss drove our net cash used in operating activities. The largest </w:t>
      </w:r>
    </w:p>
    <w:p>
      <w:pPr>
        <w:pStyle w:val="TextBody"/>
        <w:spacing w:before="240" w:after="0"/>
        <w:jc w:val="left"/>
        <w:rPr>
          <w:rFonts w:ascii="Times New Roman" w:hAnsi="Times New Roman"/>
          <w:spacing w:val="0"/>
          <w:sz w:val="20"/>
        </w:rPr>
      </w:pPr>
      <w:r>
        <w:rPr>
          <w:rFonts w:ascii="Times New Roman" w:hAnsi="Times New Roman"/>
          <w:spacing w:val="0"/>
          <w:sz w:val="20"/>
        </w:rPr>
        <w:t>non-cash</w:t>
      </w:r>
    </w:p>
    <w:p>
      <w:pPr>
        <w:pStyle w:val="TextBody"/>
        <w:spacing w:before="240" w:after="0"/>
        <w:jc w:val="left"/>
        <w:rPr>
          <w:rFonts w:ascii="Times New Roman" w:hAnsi="Times New Roman"/>
          <w:sz w:val="20"/>
        </w:rPr>
      </w:pPr>
      <w:r>
        <w:rPr>
          <w:rFonts w:ascii="Times New Roman" w:hAnsi="Times New Roman"/>
          <w:sz w:val="20"/>
        </w:rPr>
        <w:t xml:space="preserve">items reconciling included in our net loss were stock based compensation expense of $2.1 million for the six months ended June 30, 2021 and $0.8 million for the six months ended June 30, 2020. The decrease in net cash used in operations was primarily due to higher </w:t>
      </w:r>
    </w:p>
    <w:p>
      <w:pPr>
        <w:pStyle w:val="TextBody"/>
        <w:spacing w:before="240" w:after="0"/>
        <w:jc w:val="left"/>
        <w:rPr>
          <w:rFonts w:ascii="Times New Roman" w:hAnsi="Times New Roman"/>
          <w:spacing w:val="0"/>
          <w:sz w:val="20"/>
        </w:rPr>
      </w:pPr>
      <w:r>
        <w:rPr>
          <w:rFonts w:ascii="Times New Roman" w:hAnsi="Times New Roman"/>
          <w:spacing w:val="0"/>
          <w:sz w:val="20"/>
        </w:rPr>
        <w:t>non-cash</w:t>
      </w:r>
    </w:p>
    <w:p>
      <w:pPr>
        <w:pStyle w:val="TextBody"/>
        <w:spacing w:before="240" w:after="0"/>
        <w:jc w:val="left"/>
        <w:rPr>
          <w:rFonts w:ascii="Times New Roman" w:hAnsi="Times New Roman"/>
          <w:sz w:val="20"/>
        </w:rPr>
      </w:pPr>
      <w:r>
        <w:rPr>
          <w:rFonts w:ascii="Times New Roman" w:hAnsi="Times New Roman"/>
          <w:sz w:val="20"/>
        </w:rPr>
        <w:t xml:space="preserve">expenses, including stock-based compensation and depreciation.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Investing Activities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Net cash provided by investing activities was $14.0 million for the six months ended June 30, 2021 compared to net cash used in investing activities of $16.5 million for the six months ended June 30, 2020. The increase in cash provided by investing activities was primarily due to increased sales and maturities of marketable securities partially offset by purchases of marketable securities.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Financing Activities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Net cash provided by financing activities was $29.7 million for the six months ended June 30, 2021 compared to net cash provided by financing activities of $29.9 million for the six months ended June 30, 2020. The net cash provided by financing activities in both periods related to net proceeds from the issuance of shares of redeemable convertible Series B preferred stock, which occurred in April 2020 and March 2021, respectively. The decrease in net proceeds provided by financing activities was primarily due to merger related transaction expenses incurred in 2021, partially offset by greater proceeds from the exercising of stock options.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Comparison of the Years Ended December 31, 2020 and 2019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summarizes our cash flows for each of the years presented: </w:t>
      </w:r>
    </w:p>
    <w:p>
      <w:pPr>
        <w:pStyle w:val="TextBody"/>
        <w:spacing w:before="0" w:after="0"/>
        <w:jc w:val="left"/>
        <w:rPr>
          <w:spacing w:val="0"/>
        </w:rPr>
      </w:pPr>
      <w:r>
        <w:rPr>
          <w:spacing w:val="0"/>
        </w:rPr>
        <w:t> </w:t>
      </w:r>
    </w:p>
    <w:tbl>
      <w:tblPr>
        <w:tblW w:w="9777" w:type="dxa"/>
        <w:jc w:val="left"/>
        <w:tblInd w:w="0" w:type="dxa"/>
        <w:tblCellMar>
          <w:top w:w="0" w:type="dxa"/>
          <w:left w:w="0" w:type="dxa"/>
          <w:bottom w:w="0" w:type="dxa"/>
          <w:right w:w="0" w:type="dxa"/>
        </w:tblCellMar>
      </w:tblPr>
      <w:tblGrid>
        <w:gridCol w:w="5480"/>
        <w:gridCol w:w="120"/>
        <w:gridCol w:w="174"/>
        <w:gridCol w:w="1089"/>
        <w:gridCol w:w="192"/>
        <w:gridCol w:w="149"/>
        <w:gridCol w:w="174"/>
        <w:gridCol w:w="939"/>
        <w:gridCol w:w="155"/>
        <w:gridCol w:w="120"/>
        <w:gridCol w:w="140"/>
        <w:gridCol w:w="875"/>
        <w:gridCol w:w="170"/>
      </w:tblGrid>
      <w:tr>
        <w:trPr/>
        <w:tc>
          <w:tcPr>
            <w:tcW w:w="5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7" w:type="dxa"/>
            <w:gridSpan w:val="6"/>
            <w:tcBorders/>
            <w:shd w:fill="auto" w:val="clear"/>
            <w:vAlign w:val="center"/>
          </w:tcPr>
          <w:p>
            <w:pPr>
              <w:pStyle w:val="TableContents"/>
              <w:spacing w:before="0" w:after="0"/>
              <w:jc w:val="center"/>
              <w:rPr>
                <w:b/>
                <w:spacing w:val="0"/>
              </w:rPr>
            </w:pPr>
            <w:r>
              <w:rPr>
                <w:b/>
                <w:spacing w:val="0"/>
              </w:rPr>
              <w:t>Year Ended December 31,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3" w:type="dxa"/>
            <w:gridSpan w:val="2"/>
            <w:tcBorders/>
            <w:shd w:fill="auto" w:val="clear"/>
            <w:vAlign w:val="center"/>
          </w:tcPr>
          <w:p>
            <w:pPr>
              <w:pStyle w:val="TableContents"/>
              <w:spacing w:before="0" w:after="0"/>
              <w:jc w:val="center"/>
              <w:rPr>
                <w:b/>
                <w:spacing w:val="0"/>
              </w:rPr>
            </w:pPr>
            <w:r>
              <w:rPr>
                <w:b/>
                <w:spacing w:val="0"/>
              </w:rPr>
              <w:t>2020</w:t>
            </w:r>
          </w:p>
        </w:tc>
        <w:tc>
          <w:tcPr>
            <w:tcW w:w="19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13" w:type="dxa"/>
            <w:gridSpan w:val="2"/>
            <w:tcBorders/>
            <w:shd w:fill="auto" w:val="clear"/>
            <w:vAlign w:val="center"/>
          </w:tcPr>
          <w:p>
            <w:pPr>
              <w:pStyle w:val="TableContents"/>
              <w:spacing w:before="0" w:after="0"/>
              <w:jc w:val="center"/>
              <w:rPr>
                <w:b/>
                <w:spacing w:val="0"/>
              </w:rPr>
            </w:pPr>
            <w:r>
              <w:rPr>
                <w:b/>
                <w:spacing w:val="0"/>
              </w:rPr>
              <w:t>2019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0"/>
              <w:jc w:val="center"/>
              <w:rPr>
                <w:b/>
                <w:spacing w:val="0"/>
              </w:rPr>
            </w:pPr>
            <w:r>
              <w:rPr>
                <w:b/>
                <w:spacing w:val="0"/>
              </w:rPr>
              <w:t>Change</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7" w:type="dxa"/>
            <w:gridSpan w:val="6"/>
            <w:tcBorders/>
            <w:shd w:fill="auto" w:val="clear"/>
            <w:vAlign w:val="center"/>
          </w:tcPr>
          <w:p>
            <w:pPr>
              <w:pStyle w:val="TableContents"/>
              <w:spacing w:before="0" w:after="0"/>
              <w:jc w:val="center"/>
              <w:rPr>
                <w:b/>
                <w:spacing w:val="0"/>
              </w:rPr>
            </w:pPr>
            <w:r>
              <w:rPr>
                <w:b/>
                <w:spacing w:val="0"/>
              </w:rPr>
              <w:t>(in thousands)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(used in) operating activities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089" w:type="dxa"/>
            <w:tcBorders/>
            <w:shd w:fill="CCEEFF" w:val="clear"/>
            <w:vAlign w:val="center"/>
          </w:tcPr>
          <w:p>
            <w:pPr>
              <w:pStyle w:val="TableContents"/>
              <w:spacing w:before="0" w:after="283"/>
              <w:jc w:val="right"/>
              <w:rPr/>
            </w:pPr>
            <w:r>
              <w:rPr/>
              <w:t>70,074</w:t>
            </w:r>
          </w:p>
        </w:tc>
        <w:tc>
          <w:tcPr>
            <w:tcW w:w="192"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jc w:val="right"/>
              <w:rPr/>
            </w:pPr>
            <w:r>
              <w:rPr/>
              <w:t>(24,803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94,877</w:t>
            </w:r>
          </w:p>
        </w:tc>
        <w:tc>
          <w:tcPr>
            <w:tcW w:w="170" w:type="dxa"/>
            <w:tcBorders/>
            <w:shd w:fill="CCEEFF"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provided by investing activities</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89" w:type="dxa"/>
            <w:tcBorders/>
            <w:shd w:fill="auto" w:val="clear"/>
            <w:vAlign w:val="center"/>
          </w:tcPr>
          <w:p>
            <w:pPr>
              <w:pStyle w:val="TableContents"/>
              <w:spacing w:before="0" w:after="283"/>
              <w:jc w:val="right"/>
              <w:rPr/>
            </w:pPr>
            <w:r>
              <w:rPr/>
              <w:t>(145,466</w:t>
            </w:r>
          </w:p>
        </w:tc>
        <w:tc>
          <w:tcPr>
            <w:tcW w:w="19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39" w:type="dxa"/>
            <w:tcBorders/>
            <w:shd w:fill="auto" w:val="clear"/>
            <w:vAlign w:val="center"/>
          </w:tcPr>
          <w:p>
            <w:pPr>
              <w:pStyle w:val="TableContents"/>
              <w:spacing w:before="0" w:after="283"/>
              <w:jc w:val="right"/>
              <w:rPr/>
            </w:pPr>
            <w:r>
              <w:rPr/>
              <w:t>848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(146,314</w:t>
            </w:r>
          </w:p>
        </w:tc>
        <w:tc>
          <w:tcPr>
            <w:tcW w:w="170" w:type="dxa"/>
            <w:tcBorders/>
            <w:shd w:fill="auto" w:val="clear"/>
            <w:vAlign w:val="center"/>
          </w:tcPr>
          <w:p>
            <w:pPr>
              <w:pStyle w:val="TableContents"/>
              <w:spacing w:before="0" w:after="283"/>
              <w:rPr/>
            </w:pPr>
            <w:r>
              <w:rPr/>
              <w:t>) </w:t>
            </w:r>
          </w:p>
        </w:tc>
      </w:tr>
      <w:tr>
        <w:trPr/>
        <w:tc>
          <w:tcPr>
            <w:tcW w:w="54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089" w:type="dxa"/>
            <w:tcBorders/>
            <w:shd w:fill="CCEEFF" w:val="clear"/>
            <w:vAlign w:val="center"/>
          </w:tcPr>
          <w:p>
            <w:pPr>
              <w:pStyle w:val="TableContents"/>
              <w:spacing w:before="0" w:after="283"/>
              <w:jc w:val="right"/>
              <w:rPr/>
            </w:pPr>
            <w:r>
              <w:rPr/>
              <w:t>80,884</w:t>
            </w:r>
          </w:p>
        </w:tc>
        <w:tc>
          <w:tcPr>
            <w:tcW w:w="192"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939" w:type="dxa"/>
            <w:tcBorders/>
            <w:shd w:fill="CCEEFF" w:val="clear"/>
            <w:vAlign w:val="center"/>
          </w:tcPr>
          <w:p>
            <w:pPr>
              <w:pStyle w:val="TableContents"/>
              <w:spacing w:before="0" w:after="283"/>
              <w:jc w:val="right"/>
              <w:rPr/>
            </w:pPr>
            <w:r>
              <w:rPr/>
              <w:t>11,000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69,884</w:t>
            </w:r>
          </w:p>
        </w:tc>
        <w:tc>
          <w:tcPr>
            <w:tcW w:w="170" w:type="dxa"/>
            <w:tcBorders/>
            <w:shd w:fill="CCEEFF"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8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9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3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increase (decrease) in cash, cash equivalents and restricted cash</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1089" w:type="dxa"/>
            <w:tcBorders/>
            <w:shd w:fill="auto" w:val="clear"/>
            <w:vAlign w:val="center"/>
          </w:tcPr>
          <w:p>
            <w:pPr>
              <w:pStyle w:val="TableContents"/>
              <w:spacing w:before="0" w:after="283"/>
              <w:jc w:val="right"/>
              <w:rPr/>
            </w:pPr>
            <w:r>
              <w:rPr/>
              <w:t>5,492</w:t>
            </w:r>
          </w:p>
        </w:tc>
        <w:tc>
          <w:tcPr>
            <w:tcW w:w="19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283"/>
              <w:jc w:val="right"/>
              <w:rPr/>
            </w:pPr>
            <w:r>
              <w:rPr/>
              <w:t>(12,955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18,447</w:t>
            </w:r>
          </w:p>
        </w:tc>
        <w:tc>
          <w:tcPr>
            <w:tcW w:w="170" w:type="dxa"/>
            <w:tcBorders/>
            <w:shd w:fill="auto" w:val="clear"/>
            <w:vAlign w:val="center"/>
          </w:tcPr>
          <w:p>
            <w:pPr>
              <w:pStyle w:val="TableContents"/>
              <w:spacing w:before="0" w:after="283"/>
              <w:rPr/>
            </w:pPr>
            <w:r>
              <w:rPr/>
              <w:t> </w:t>
            </w:r>
          </w:p>
        </w:tc>
      </w:tr>
      <w:tr>
        <w:trPr/>
        <w:tc>
          <w:tcPr>
            <w:tcW w:w="5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8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9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3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operating activities was $70.1 million for the year ended December 31, 2020 compared to net cash used in operating activities of $24.8 million for the year ended December 31, 2019. The increase in net cash provided by operations was primarily due to a net increase in operating liabilities driven by a $125.0 million </w:t>
      </w:r>
    </w:p>
    <w:p>
      <w:pPr>
        <w:pStyle w:val="TextBody"/>
        <w:spacing w:before="120" w:after="0"/>
        <w:jc w:val="left"/>
        <w:rPr>
          <w:rFonts w:ascii="Times New Roman" w:hAnsi="Times New Roman"/>
          <w:spacing w:val="0"/>
          <w:sz w:val="20"/>
        </w:rPr>
      </w:pPr>
      <w:r>
        <w:rPr>
          <w:rFonts w:ascii="Times New Roman" w:hAnsi="Times New Roman"/>
          <w:spacing w:val="0"/>
          <w:sz w:val="20"/>
        </w:rPr>
        <w:t>non-refundable</w:t>
      </w:r>
    </w:p>
    <w:p>
      <w:pPr>
        <w:pStyle w:val="TextBody"/>
        <w:spacing w:before="120" w:after="0"/>
        <w:jc w:val="left"/>
        <w:rPr>
          <w:rFonts w:ascii="Times New Roman" w:hAnsi="Times New Roman"/>
          <w:sz w:val="20"/>
        </w:rPr>
      </w:pPr>
      <w:r>
        <w:rPr>
          <w:rFonts w:ascii="Times New Roman" w:hAnsi="Times New Roman"/>
          <w:sz w:val="20"/>
        </w:rPr>
        <w:t xml:space="preserve">upfront payment received from Gilead that was recorded as deferred revenue in 2020. It was also due to higher </w:t>
      </w:r>
    </w:p>
    <w:p>
      <w:pPr>
        <w:pStyle w:val="TextBody"/>
        <w:spacing w:before="120" w:after="0"/>
        <w:jc w:val="left"/>
        <w:rPr>
          <w:rFonts w:ascii="Times New Roman" w:hAnsi="Times New Roman"/>
          <w:spacing w:val="0"/>
          <w:sz w:val="20"/>
        </w:rPr>
      </w:pPr>
      <w:r>
        <w:rPr>
          <w:rFonts w:ascii="Times New Roman" w:hAnsi="Times New Roman"/>
          <w:spacing w:val="0"/>
          <w:sz w:val="20"/>
        </w:rPr>
        <w:t>non-cash</w:t>
      </w:r>
    </w:p>
    <w:p>
      <w:pPr>
        <w:pStyle w:val="TextBody"/>
        <w:spacing w:before="120" w:after="0"/>
        <w:jc w:val="left"/>
        <w:rPr>
          <w:rFonts w:ascii="Times New Roman" w:hAnsi="Times New Roman"/>
          <w:sz w:val="20"/>
        </w:rPr>
      </w:pPr>
      <w:r>
        <w:rPr>
          <w:rFonts w:ascii="Times New Roman" w:hAnsi="Times New Roman"/>
          <w:sz w:val="20"/>
        </w:rPr>
        <w:t xml:space="preserve">expenses, including stock-based compensation and depreciation, partially offset by our net loss as a result of higher operating expenses, primarily related to TNG908 and our other discovery programs.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Investing Activities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Net cash used in investing activities was $145.5 million for the year ended December 31, 2020 compared to net cash provided by investing activities of $0.8 million for the year ended December 31, 2019. The increase in cash used in investing activities was primarily due to increased purchases of marketable securities and was partially offset by an increase in sales and maturities of marketable securities, as well as a reduction in purchases of property and equipment.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financing activities was $80.9 million for the year ended December 31, 2020, consisting of net proceeds from the issuance of shares of redeemable convertible Series B preferred stock in April 2020 and net proceeds from the issuance of shares of redeemable convertible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preferred stock in August 2020. Net cash provided by financing activities was $11.0 million for the year ended December 31, 2019, consisting of net proceeds from the issuance of shares of redeemable convertible Series A preferred stock in January 2019 upon the achievement of specified development milestones in connection with the third tranche of the Series A stock purchase agreement.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Contractual Obligations and Commitments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summarizes our contractual obligations at December 31, 2020 and the effects that such obligations are expected to have on our liquidity and cash flows in future periods: </w:t>
      </w:r>
    </w:p>
    <w:p>
      <w:pPr>
        <w:pStyle w:val="TextBody"/>
        <w:spacing w:before="0" w:after="0"/>
        <w:jc w:val="left"/>
        <w:rPr>
          <w:spacing w:val="0"/>
        </w:rPr>
      </w:pPr>
      <w:r>
        <w:rPr>
          <w:spacing w:val="0"/>
        </w:rPr>
        <w:t> </w:t>
      </w:r>
    </w:p>
    <w:tbl>
      <w:tblPr>
        <w:tblW w:w="8585" w:type="dxa"/>
        <w:jc w:val="left"/>
        <w:tblInd w:w="0" w:type="dxa"/>
        <w:tblCellMar>
          <w:top w:w="0" w:type="dxa"/>
          <w:left w:w="0" w:type="dxa"/>
          <w:bottom w:w="0" w:type="dxa"/>
          <w:right w:w="0" w:type="dxa"/>
        </w:tblCellMar>
      </w:tblPr>
      <w:tblGrid>
        <w:gridCol w:w="2435"/>
        <w:gridCol w:w="120"/>
        <w:gridCol w:w="140"/>
        <w:gridCol w:w="680"/>
        <w:gridCol w:w="60"/>
        <w:gridCol w:w="120"/>
        <w:gridCol w:w="199"/>
        <w:gridCol w:w="796"/>
        <w:gridCol w:w="60"/>
        <w:gridCol w:w="120"/>
        <w:gridCol w:w="232"/>
        <w:gridCol w:w="928"/>
        <w:gridCol w:w="60"/>
        <w:gridCol w:w="120"/>
        <w:gridCol w:w="232"/>
        <w:gridCol w:w="928"/>
        <w:gridCol w:w="60"/>
        <w:gridCol w:w="120"/>
        <w:gridCol w:w="220"/>
        <w:gridCol w:w="880"/>
        <w:gridCol w:w="75"/>
      </w:tblGrid>
      <w:tr>
        <w:trPr/>
        <w:tc>
          <w:tcPr>
            <w:tcW w:w="2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955" w:type="dxa"/>
            <w:gridSpan w:val="18"/>
            <w:tcBorders/>
            <w:shd w:fill="auto" w:val="clear"/>
            <w:vAlign w:val="center"/>
          </w:tcPr>
          <w:p>
            <w:pPr>
              <w:pStyle w:val="TableContents"/>
              <w:spacing w:before="0" w:after="0"/>
              <w:jc w:val="center"/>
              <w:rPr>
                <w:b/>
                <w:spacing w:val="0"/>
              </w:rPr>
            </w:pPr>
            <w:r>
              <w:rPr>
                <w:b/>
                <w:spacing w:val="0"/>
              </w:rPr>
              <w:t>Payments Due by Period</w:t>
            </w:r>
          </w:p>
        </w:tc>
        <w:tc>
          <w:tcPr>
            <w:tcW w:w="75" w:type="dxa"/>
            <w:tcBorders/>
            <w:shd w:fill="auto"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Total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0"/>
              <w:jc w:val="center"/>
              <w:rPr>
                <w:b/>
                <w:spacing w:val="0"/>
              </w:rPr>
            </w:pPr>
            <w:r>
              <w:rPr>
                <w:b/>
                <w:spacing w:val="0"/>
              </w:rPr>
              <w:t>Less than</w:t>
              <w:br/>
              <w:t>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1 – 3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3 – 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0"/>
              <w:jc w:val="center"/>
              <w:rPr>
                <w:b/>
                <w:spacing w:val="0"/>
              </w:rPr>
            </w:pPr>
            <w:r>
              <w:rPr>
                <w:b/>
                <w:spacing w:val="0"/>
              </w:rPr>
              <w:t>More than</w:t>
              <w:br/>
              <w:t>5 Years</w:t>
            </w:r>
          </w:p>
        </w:tc>
        <w:tc>
          <w:tcPr>
            <w:tcW w:w="75" w:type="dxa"/>
            <w:tcBorders/>
            <w:shd w:fill="auto"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955" w:type="dxa"/>
            <w:gridSpan w:val="18"/>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4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commitments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10,795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796" w:type="dxa"/>
            <w:tcBorders/>
            <w:shd w:fill="CCEEFF" w:val="clear"/>
            <w:vAlign w:val="center"/>
          </w:tcPr>
          <w:p>
            <w:pPr>
              <w:pStyle w:val="TableContents"/>
              <w:spacing w:before="0" w:after="283"/>
              <w:jc w:val="right"/>
              <w:rPr/>
            </w:pPr>
            <w:r>
              <w:rPr/>
              <w:t>1,836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w:t>
            </w:r>
          </w:p>
        </w:tc>
        <w:tc>
          <w:tcPr>
            <w:tcW w:w="928" w:type="dxa"/>
            <w:tcBorders/>
            <w:shd w:fill="CCEEFF" w:val="clear"/>
            <w:vAlign w:val="center"/>
          </w:tcPr>
          <w:p>
            <w:pPr>
              <w:pStyle w:val="TableContents"/>
              <w:spacing w:before="0" w:after="283"/>
              <w:jc w:val="right"/>
              <w:rPr/>
            </w:pPr>
            <w:r>
              <w:rPr/>
              <w:t>3,839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w:t>
            </w:r>
          </w:p>
        </w:tc>
        <w:tc>
          <w:tcPr>
            <w:tcW w:w="928" w:type="dxa"/>
            <w:tcBorders/>
            <w:shd w:fill="CCEEFF" w:val="clear"/>
            <w:vAlign w:val="center"/>
          </w:tcPr>
          <w:p>
            <w:pPr>
              <w:pStyle w:val="TableContents"/>
              <w:spacing w:before="0" w:after="283"/>
              <w:jc w:val="right"/>
              <w:rPr/>
            </w:pPr>
            <w:r>
              <w:rPr/>
              <w:t>4,074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w:t>
            </w:r>
          </w:p>
        </w:tc>
        <w:tc>
          <w:tcPr>
            <w:tcW w:w="880" w:type="dxa"/>
            <w:tcBorders/>
            <w:shd w:fill="CCEEFF" w:val="clear"/>
            <w:vAlign w:val="center"/>
          </w:tcPr>
          <w:p>
            <w:pPr>
              <w:pStyle w:val="TableContents"/>
              <w:spacing w:before="0" w:after="283"/>
              <w:jc w:val="right"/>
              <w:rPr/>
            </w:pPr>
            <w:r>
              <w:rPr/>
              <w:t>1,046</w:t>
            </w:r>
          </w:p>
        </w:tc>
        <w:tc>
          <w:tcPr>
            <w:tcW w:w="75" w:type="dxa"/>
            <w:tcBorders/>
            <w:shd w:fill="CCEEFF"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10,795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w:t>
            </w:r>
          </w:p>
        </w:tc>
        <w:tc>
          <w:tcPr>
            <w:tcW w:w="796" w:type="dxa"/>
            <w:tcBorders/>
            <w:shd w:fill="auto" w:val="clear"/>
            <w:vAlign w:val="center"/>
          </w:tcPr>
          <w:p>
            <w:pPr>
              <w:pStyle w:val="TableContents"/>
              <w:spacing w:before="0" w:after="283"/>
              <w:jc w:val="right"/>
              <w:rPr/>
            </w:pPr>
            <w:r>
              <w:rPr/>
              <w:t>1,836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w:t>
            </w:r>
          </w:p>
        </w:tc>
        <w:tc>
          <w:tcPr>
            <w:tcW w:w="928" w:type="dxa"/>
            <w:tcBorders/>
            <w:shd w:fill="auto" w:val="clear"/>
            <w:vAlign w:val="center"/>
          </w:tcPr>
          <w:p>
            <w:pPr>
              <w:pStyle w:val="TableContents"/>
              <w:spacing w:before="0" w:after="283"/>
              <w:jc w:val="right"/>
              <w:rPr/>
            </w:pPr>
            <w:r>
              <w:rPr/>
              <w:t>3,839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w:t>
            </w:r>
          </w:p>
        </w:tc>
        <w:tc>
          <w:tcPr>
            <w:tcW w:w="928" w:type="dxa"/>
            <w:tcBorders/>
            <w:shd w:fill="auto" w:val="clear"/>
            <w:vAlign w:val="center"/>
          </w:tcPr>
          <w:p>
            <w:pPr>
              <w:pStyle w:val="TableContents"/>
              <w:spacing w:before="0" w:after="283"/>
              <w:jc w:val="right"/>
              <w:rPr/>
            </w:pPr>
            <w:r>
              <w:rPr/>
              <w:t>4,074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w:t>
            </w:r>
          </w:p>
        </w:tc>
        <w:tc>
          <w:tcPr>
            <w:tcW w:w="880" w:type="dxa"/>
            <w:tcBorders/>
            <w:shd w:fill="auto" w:val="clear"/>
            <w:vAlign w:val="center"/>
          </w:tcPr>
          <w:p>
            <w:pPr>
              <w:pStyle w:val="TableContents"/>
              <w:spacing w:before="0" w:after="283"/>
              <w:jc w:val="right"/>
              <w:rPr/>
            </w:pPr>
            <w:r>
              <w:rPr/>
              <w:t>1,046</w:t>
            </w:r>
          </w:p>
        </w:tc>
        <w:tc>
          <w:tcPr>
            <w:tcW w:w="75" w:type="dxa"/>
            <w:tcBorders/>
            <w:shd w:fill="auto" w:val="clear"/>
            <w:vAlign w:val="center"/>
          </w:tcPr>
          <w:p>
            <w:pPr>
              <w:pStyle w:val="TableContents"/>
              <w:spacing w:before="0" w:after="283"/>
              <w:rPr/>
            </w:pPr>
            <w:r>
              <w:rPr/>
              <w:t> </w:t>
            </w:r>
          </w:p>
        </w:tc>
      </w:tr>
      <w:tr>
        <w:trPr/>
        <w:tc>
          <w:tcPr>
            <w:tcW w:w="2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December 31, 2020. The table does not include the minimum payments due under our new operating lease for office and laboratory space at the 201 Brookline Avenue, Cambridge, Massachusetts location, as this lease is yet to commence as of December 31, 2020. Commitments pertaining to the 201 Brookline Avenue lease will be added to the table above, and also recognized as operating lease liabilities on our balance sheet once the new lease commences. The fixed annual rent payable under the lease is $5.1 million, increasing by 3% annually from the rent commencement date. We will also be required to pay the remaining security deposit balance of $1.7 million for the 201 Brookline Avenue lease on the delivery date notice, which is expected to occur in the second half of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June 30, 2021, our remaining obligations associated with the operating lease for office and laboratory space at our 100 Binney Street, Cambridge, Massachusetts location totaled $9.9 million.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Purchase Obligations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There have been no material changes in our contractual obligations since December 31, 2020.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License Agreement Obligations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June 30, 2021 and December 31, 2020, we were unable to estimate the timing or likelihood of achieving these milestones or generating future product sales. See Note 8 to our audited consolidated financial statements and notes included in this prospectus and Note 7 to our unaudited condensed consolidated financial statements and related notes appearing elsewhere in this prospectus for a description of our license agreements.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Critical Accounting Policies and Significant Judgments and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While our significant accounting policies are described in more detail in Note 2 to our audited consolidated financial statements and related notes appearing elsewhere in this prospectus, we believe that the following accounting policies are those most critical to the judgments and estimates used in the preparation of our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The terms of our collaboration agreements may include consideration such as </w:t>
      </w:r>
    </w:p>
    <w:p>
      <w:pPr>
        <w:pStyle w:val="TextBody"/>
        <w:spacing w:before="120" w:after="0"/>
        <w:jc w:val="left"/>
        <w:rPr>
          <w:rFonts w:ascii="Times New Roman" w:hAnsi="Times New Roman"/>
          <w:spacing w:val="0"/>
          <w:sz w:val="20"/>
        </w:rPr>
      </w:pPr>
      <w:r>
        <w:rPr>
          <w:rFonts w:ascii="Times New Roman" w:hAnsi="Times New Roman"/>
          <w:spacing w:val="0"/>
          <w:sz w:val="20"/>
        </w:rPr>
        <w:t>non-refundable</w:t>
      </w:r>
    </w:p>
    <w:p>
      <w:pPr>
        <w:pStyle w:val="TextBody"/>
        <w:spacing w:before="120" w:after="0"/>
        <w:jc w:val="left"/>
        <w:rPr>
          <w:rFonts w:ascii="Times New Roman" w:hAnsi="Times New Roman"/>
          <w:spacing w:val="0"/>
          <w:sz w:val="20"/>
        </w:rPr>
      </w:pPr>
      <w:r>
        <w:rPr>
          <w:rFonts w:ascii="Times New Roman" w:hAnsi="Times New Roman"/>
          <w:spacing w:val="0"/>
          <w:sz w:val="20"/>
        </w:rPr>
        <w:t>up-front</w:t>
      </w:r>
    </w:p>
    <w:p>
      <w:pPr>
        <w:pStyle w:val="TextBody"/>
        <w:spacing w:before="120" w:after="0"/>
        <w:jc w:val="left"/>
        <w:rPr>
          <w:rFonts w:ascii="Times New Roman" w:hAnsi="Times New Roman"/>
          <w:sz w:val="20"/>
        </w:rPr>
      </w:pPr>
      <w:r>
        <w:rPr>
          <w:rFonts w:ascii="Times New Roman" w:hAnsi="Times New Roman"/>
          <w:sz w:val="20"/>
        </w:rPr>
        <w:t xml:space="preserve">payments, license fees, research extension fees, and clinical, regulatory and sales-based milestones and royalties on product sales. </w:t>
      </w:r>
    </w:p>
    <w:p>
      <w:pPr>
        <w:pStyle w:val="TextBody"/>
        <w:spacing w:before="240" w:after="0"/>
        <w:jc w:val="left"/>
        <w:rPr>
          <w:rFonts w:ascii="Times New Roman" w:hAnsi="Times New Roman"/>
          <w:sz w:val="20"/>
        </w:rPr>
      </w:pPr>
      <w:r>
        <w:rPr>
          <w:rFonts w:ascii="Times New Roman" w:hAnsi="Times New Roman"/>
          <w:sz w:val="20"/>
        </w:rPr>
        <w:t xml:space="preserve">We recognize revenue under ASC Topic 606,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spacing w:before="240" w:after="0"/>
        <w:jc w:val="left"/>
        <w:rPr>
          <w:rFonts w:ascii="Times New Roman" w:hAnsi="Times New Roman"/>
          <w:sz w:val="20"/>
        </w:rPr>
      </w:pPr>
      <w:r>
        <w:rPr>
          <w:rFonts w:ascii="Times New Roman" w:hAnsi="Times New Roman"/>
          <w:sz w:val="20"/>
        </w:rPr>
        <w:t xml:space="preserve">,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new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 </w:t>
      </w:r>
    </w:p>
    <w:p>
      <w:pPr>
        <w:pStyle w:val="TextBody"/>
        <w:spacing w:before="240" w:after="0"/>
        <w:jc w:val="left"/>
        <w:rPr>
          <w:rFonts w:ascii="Times New Roman" w:hAnsi="Times New Roman"/>
          <w:sz w:val="20"/>
        </w:rPr>
      </w:pPr>
      <w:r>
        <w:rPr>
          <w:rFonts w:ascii="Times New Roman" w:hAnsi="Times New Roman"/>
          <w:sz w:val="20"/>
        </w:rPr>
        <w:t xml:space="preserve">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w:t>
      </w:r>
    </w:p>
    <w:p>
      <w:pPr>
        <w:pStyle w:val="TextBody"/>
        <w:spacing w:before="240" w:after="0"/>
        <w:jc w:val="left"/>
        <w:rPr>
          <w:rFonts w:ascii="Times New Roman" w:hAnsi="Times New Roman"/>
          <w:spacing w:val="0"/>
          <w:sz w:val="20"/>
        </w:rPr>
      </w:pPr>
      <w:r>
        <w:rPr>
          <w:rFonts w:ascii="Times New Roman" w:hAnsi="Times New Roman"/>
          <w:spacing w:val="0"/>
          <w:sz w:val="20"/>
        </w:rPr>
        <w:t>re-evaluate</w:t>
      </w:r>
    </w:p>
    <w:p>
      <w:pPr>
        <w:pStyle w:val="TextBody"/>
        <w:spacing w:before="240" w:after="0"/>
        <w:jc w:val="left"/>
        <w:rPr>
          <w:rFonts w:ascii="Times New Roman" w:hAnsi="Times New Roman"/>
          <w:sz w:val="20"/>
        </w:rPr>
      </w:pPr>
      <w:r>
        <w:rPr>
          <w:rFonts w:ascii="Times New Roman" w:hAnsi="Times New Roman"/>
          <w:sz w:val="20"/>
        </w:rPr>
        <w:t xml:space="preserve">the probability of a significant reversal of the cumulative revenue recognized for the milestones, and, if necessary, adjust the estimate of the overall transaction price. Any such adjustments are recorded on a cumulative </w:t>
      </w:r>
    </w:p>
    <w:p>
      <w:pPr>
        <w:pStyle w:val="TextBody"/>
        <w:spacing w:before="240" w:after="0"/>
        <w:jc w:val="left"/>
        <w:rPr>
          <w:rFonts w:ascii="Times New Roman" w:hAnsi="Times New Roman"/>
          <w:spacing w:val="0"/>
          <w:sz w:val="20"/>
        </w:rPr>
      </w:pPr>
      <w:r>
        <w:rPr>
          <w:rFonts w:ascii="Times New Roman" w:hAnsi="Times New Roman"/>
          <w:spacing w:val="0"/>
          <w:sz w:val="20"/>
        </w:rPr>
        <w:t>catch-up</w:t>
      </w:r>
    </w:p>
    <w:p>
      <w:pPr>
        <w:pStyle w:val="TextBody"/>
        <w:spacing w:before="240" w:after="0"/>
        <w:jc w:val="left"/>
        <w:rPr>
          <w:rFonts w:ascii="Times New Roman" w:hAnsi="Times New Roman"/>
          <w:sz w:val="20"/>
        </w:rPr>
      </w:pPr>
      <w:r>
        <w:rPr>
          <w:rFonts w:ascii="Times New Roman" w:hAnsi="Times New Roman"/>
          <w:sz w:val="20"/>
        </w:rPr>
        <w:t xml:space="preserve">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 </w:t>
      </w:r>
    </w:p>
    <w:p>
      <w:pPr>
        <w:pStyle w:val="TextBody"/>
        <w:spacing w:before="240" w:after="0"/>
        <w:jc w:val="left"/>
        <w:rPr>
          <w:rFonts w:ascii="Times New Roman" w:hAnsi="Times New Roman"/>
          <w:sz w:val="20"/>
        </w:rPr>
      </w:pPr>
      <w:r>
        <w:rPr>
          <w:rFonts w:ascii="Times New Roman" w:hAnsi="Times New Roman"/>
          <w:sz w:val="20"/>
        </w:rPr>
        <w:t xml:space="preserve">Whenever we determine that multiple promises to a customer are not distinct and comprise a combined performance obligation that includes services, we recognize revenue over time using the </w:t>
      </w:r>
    </w:p>
    <w:p>
      <w:pPr>
        <w:pStyle w:val="TextBody"/>
        <w:spacing w:before="240" w:after="0"/>
        <w:jc w:val="left"/>
        <w:rPr>
          <w:rFonts w:ascii="Times New Roman" w:hAnsi="Times New Roman"/>
          <w:spacing w:val="0"/>
          <w:sz w:val="20"/>
        </w:rPr>
      </w:pPr>
      <w:r>
        <w:rPr>
          <w:rFonts w:ascii="Times New Roman" w:hAnsi="Times New Roman"/>
          <w:spacing w:val="0"/>
          <w:sz w:val="20"/>
        </w:rPr>
        <w:t>cost-to-cost</w:t>
      </w:r>
    </w:p>
    <w:p>
      <w:pPr>
        <w:pStyle w:val="TextBody"/>
        <w:spacing w:before="240" w:after="0"/>
        <w:jc w:val="left"/>
        <w:rPr>
          <w:rFonts w:ascii="Times New Roman" w:hAnsi="Times New Roman"/>
          <w:sz w:val="20"/>
        </w:rPr>
      </w:pPr>
      <w:r>
        <w:rPr>
          <w:rFonts w:ascii="Times New Roman" w:hAnsi="Times New Roman"/>
          <w:sz w:val="20"/>
        </w:rPr>
        <w:t xml:space="preserve">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Under ASC 606, we will recognize revenue when we fulfill our performance obligations under the agreement with Gilead. As the required performance obligation is satisfied, we will recognize revenue for the portion satisfied and record a receivable for any optional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w:t>
      </w:r>
    </w:p>
    <w:p>
      <w:pPr>
        <w:pStyle w:val="TextBody"/>
        <w:spacing w:before="120" w:after="0"/>
        <w:jc w:val="left"/>
        <w:rPr>
          <w:rFonts w:ascii="Times New Roman" w:hAnsi="Times New Roman"/>
          <w:spacing w:val="0"/>
          <w:sz w:val="20"/>
        </w:rPr>
      </w:pPr>
      <w:r>
        <w:rPr>
          <w:rFonts w:ascii="Times New Roman" w:hAnsi="Times New Roman"/>
          <w:spacing w:val="0"/>
          <w:sz w:val="20"/>
        </w:rPr>
        <w:t>pre-determined</w:t>
      </w:r>
    </w:p>
    <w:p>
      <w:pPr>
        <w:pStyle w:val="TextBody"/>
        <w:spacing w:before="120" w:after="0"/>
        <w:jc w:val="left"/>
        <w:rPr>
          <w:rFonts w:ascii="Times New Roman" w:hAnsi="Times New Roman"/>
          <w:sz w:val="20"/>
        </w:rPr>
      </w:pPr>
      <w:r>
        <w:rPr>
          <w:rFonts w:ascii="Times New Roman" w:hAnsi="Times New Roman"/>
          <w:sz w:val="20"/>
        </w:rPr>
        <w:t xml:space="preserve">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record the expense and accrual related to research and development activities performed by our vendors based on our estimates of the services received and efforts expended considering a number of factors, including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spacing w:before="120" w:after="0"/>
        <w:jc w:val="left"/>
        <w:rPr>
          <w:rFonts w:ascii="Times New Roman" w:hAnsi="Times New Roman"/>
          <w:sz w:val="20"/>
        </w:rPr>
      </w:pPr>
      <w:r>
        <w:rPr>
          <w:rFonts w:ascii="Times New Roman" w:hAnsi="Times New Roman"/>
          <w:sz w:val="20"/>
        </w:rPr>
        <w:t xml:space="preserve">Subsequent to the consummation of the Business Combination, we estimate the fair value of our stock option awards using the Black Scholes method utilizing the “simplified method,” for determining the expected life of the award, which is based on the </w:t>
      </w:r>
    </w:p>
    <w:p>
      <w:pPr>
        <w:pStyle w:val="TextBody"/>
        <w:spacing w:before="120" w:after="0"/>
        <w:jc w:val="left"/>
        <w:rPr>
          <w:rFonts w:ascii="Times New Roman" w:hAnsi="Times New Roman"/>
          <w:spacing w:val="0"/>
          <w:sz w:val="20"/>
        </w:rPr>
      </w:pPr>
      <w:r>
        <w:rPr>
          <w:rFonts w:ascii="Times New Roman" w:hAnsi="Times New Roman"/>
          <w:spacing w:val="0"/>
          <w:sz w:val="20"/>
        </w:rPr>
        <w:t>mid-point</w:t>
      </w:r>
    </w:p>
    <w:p>
      <w:pPr>
        <w:pStyle w:val="TextBody"/>
        <w:spacing w:before="120" w:after="0"/>
        <w:jc w:val="left"/>
        <w:rPr>
          <w:rFonts w:ascii="Times New Roman" w:hAnsi="Times New Roman"/>
          <w:sz w:val="20"/>
        </w:rPr>
      </w:pPr>
      <w:r>
        <w:rPr>
          <w:rFonts w:ascii="Times New Roman" w:hAnsi="Times New Roman"/>
          <w:sz w:val="20"/>
        </w:rPr>
        <w:t xml:space="preserve">between the vesting date and the end of the contractual term as all options granted after becoming a public entity will be granted </w:t>
      </w:r>
    </w:p>
    <w:p>
      <w:pPr>
        <w:pStyle w:val="TextBody"/>
        <w:spacing w:before="120" w:after="0"/>
        <w:jc w:val="left"/>
        <w:rPr>
          <w:spacing w:val="0"/>
        </w:rPr>
      </w:pPr>
      <w:r>
        <w:rPr>
          <w:spacing w:val="0"/>
        </w:rPr>
        <w:t>“</w:t>
      </w:r>
      <w:r>
        <w:rPr>
          <w:rFonts w:ascii="Times New Roman" w:hAnsi="Times New Roman"/>
          <w:spacing w:val="0"/>
          <w:sz w:val="20"/>
        </w:rPr>
        <w:t>at-the-money.”</w:t>
      </w:r>
    </w:p>
    <w:p>
      <w:pPr>
        <w:pStyle w:val="TextBody"/>
        <w:spacing w:before="120" w:after="0"/>
        <w:jc w:val="left"/>
        <w:rPr>
          <w:rFonts w:ascii="Times New Roman" w:hAnsi="Times New Roman"/>
          <w:sz w:val="20"/>
        </w:rPr>
      </w:pPr>
      <w:r>
        <w:rPr>
          <w:rFonts w:ascii="Times New Roman" w:hAnsi="Times New Roman"/>
          <w:sz w:val="20"/>
        </w:rPr>
        <w:t xml:space="preserve">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Our board of directors determines the fair value of each share of common stock underlying stock-based awards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 </w:t>
      </w:r>
    </w:p>
    <w:p>
      <w:pPr>
        <w:pStyle w:val="TextBody"/>
        <w:spacing w:before="240" w:after="0"/>
        <w:jc w:val="left"/>
        <w:rPr>
          <w:rFonts w:ascii="Times New Roman" w:hAnsi="Times New Roman"/>
          <w:sz w:val="20"/>
        </w:rPr>
      </w:pPr>
      <w:r>
        <w:rPr>
          <w:rFonts w:ascii="Times New Roman" w:hAnsi="Times New Roman"/>
          <w:sz w:val="20"/>
        </w:rPr>
        <w:t xml:space="preserve">Prior to the consummation of the Business Combination, we measured stock-based awards granted to employees, </w:t>
      </w:r>
    </w:p>
    <w:p>
      <w:pPr>
        <w:pStyle w:val="TextBody"/>
        <w:spacing w:before="240" w:after="0"/>
        <w:jc w:val="left"/>
        <w:rPr>
          <w:rFonts w:ascii="Times New Roman" w:hAnsi="Times New Roman"/>
          <w:spacing w:val="0"/>
          <w:sz w:val="20"/>
        </w:rPr>
      </w:pPr>
      <w:r>
        <w:rPr>
          <w:rFonts w:ascii="Times New Roman" w:hAnsi="Times New Roman"/>
          <w:spacing w:val="0"/>
          <w:sz w:val="20"/>
        </w:rPr>
        <w:t>non-employees</w:t>
      </w:r>
    </w:p>
    <w:p>
      <w:pPr>
        <w:pStyle w:val="TextBody"/>
        <w:spacing w:before="240" w:after="0"/>
        <w:jc w:val="left"/>
        <w:rPr>
          <w:rFonts w:ascii="Times New Roman" w:hAnsi="Times New Roman"/>
          <w:sz w:val="20"/>
        </w:rPr>
      </w:pPr>
      <w:r>
        <w:rPr>
          <w:rFonts w:ascii="Times New Roman" w:hAnsi="Times New Roman"/>
          <w:sz w:val="20"/>
        </w:rPr>
        <w:t xml:space="preserve">and directors based on their fair value on the date of the grant using the Black-Scholes option-pricing model for options or the difference between the purchase price per share of the award, if any, and the fair value of our common stock for restricted common stock awards. As there was not a public market for our common stock prior to becoming publicly traded,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Valuation of Privately-Held-Company Equity Securities Issued as Compensation</w:t>
      </w:r>
    </w:p>
    <w:p>
      <w:pPr>
        <w:pStyle w:val="TextBody"/>
        <w:spacing w:before="240" w:after="0"/>
        <w:jc w:val="left"/>
        <w:rPr>
          <w:rFonts w:ascii="Times New Roman" w:hAnsi="Times New Roman"/>
          <w:sz w:val="20"/>
        </w:rPr>
      </w:pPr>
      <w:r>
        <w:rPr>
          <w:rFonts w:ascii="Times New Roman" w:hAnsi="Times New Roman"/>
          <w:sz w:val="20"/>
        </w:rPr>
        <w:t xml:space="preserve">.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of the common stock under each outcome was discounted back to the valuation date at an appropriate risk-adjusted discount rate and probability weighted to arrive at an indication of value for the common stock. A discount for lack of marketability of the common stock was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 </w:t>
      </w:r>
    </w:p>
    <w:p>
      <w:pPr>
        <w:pStyle w:val="TextBody"/>
        <w:spacing w:before="240" w:after="0"/>
        <w:jc w:val="left"/>
        <w:rPr>
          <w:rFonts w:ascii="Times New Roman" w:hAnsi="Times New Roman"/>
          <w:sz w:val="20"/>
        </w:rPr>
      </w:pPr>
      <w:r>
        <w:rPr>
          <w:rFonts w:ascii="Times New Roman" w:hAnsi="Times New Roman"/>
          <w:sz w:val="20"/>
        </w:rPr>
        <w:t xml:space="preserve">Compensation expense for awards is recognized over the requisite service period, which is generally the vesting period of the respective award for employees and directors and the period during which services are performed for </w:t>
      </w:r>
    </w:p>
    <w:p>
      <w:pPr>
        <w:pStyle w:val="TextBody"/>
        <w:spacing w:before="240" w:after="0"/>
        <w:jc w:val="left"/>
        <w:rPr>
          <w:rFonts w:ascii="Times New Roman" w:hAnsi="Times New Roman"/>
          <w:spacing w:val="0"/>
          <w:sz w:val="20"/>
        </w:rPr>
      </w:pPr>
      <w:r>
        <w:rPr>
          <w:rFonts w:ascii="Times New Roman" w:hAnsi="Times New Roman"/>
          <w:spacing w:val="0"/>
          <w:sz w:val="20"/>
        </w:rPr>
        <w:t>non-employees.</w:t>
      </w:r>
    </w:p>
    <w:p>
      <w:pPr>
        <w:pStyle w:val="TextBody"/>
        <w:spacing w:before="240" w:after="0"/>
        <w:jc w:val="left"/>
        <w:rPr>
          <w:rFonts w:ascii="Times New Roman" w:hAnsi="Times New Roman"/>
          <w:sz w:val="20"/>
        </w:rPr>
      </w:pPr>
      <w:r>
        <w:rPr>
          <w:rFonts w:ascii="Times New Roman" w:hAnsi="Times New Roman"/>
          <w:sz w:val="20"/>
        </w:rPr>
        <w:t xml:space="preserve">We use the straight-line method to record the expense of awards with service-based vesting conditions.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believe our methodologies are reasonable based upon our internal peer company analyses and further supported by transactions involving our preferred stock. If different assumptions had been made, equity-based compensation expense, consolidated net loss and consolidated net loss per share could have been significantly different.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sets forth, by grant date, the number of shares subject to options granted from October 18, 2019 through June 30, 2021, the exercise price per share of the options, the fair value per share on each grant date and the estimated per share fair value of the options: </w:t>
      </w:r>
    </w:p>
    <w:p>
      <w:pPr>
        <w:pStyle w:val="TextBody"/>
        <w:spacing w:before="0" w:after="0"/>
        <w:jc w:val="left"/>
        <w:rPr>
          <w:spacing w:val="0"/>
        </w:rPr>
      </w:pPr>
      <w:r>
        <w:rPr>
          <w:spacing w:val="0"/>
        </w:rPr>
        <w:t> </w:t>
      </w:r>
    </w:p>
    <w:tbl>
      <w:tblPr>
        <w:tblW w:w="7694" w:type="dxa"/>
        <w:jc w:val="left"/>
        <w:tblInd w:w="0" w:type="dxa"/>
        <w:tblCellMar>
          <w:top w:w="0" w:type="dxa"/>
          <w:left w:w="0" w:type="dxa"/>
          <w:bottom w:w="0" w:type="dxa"/>
          <w:right w:w="0" w:type="dxa"/>
        </w:tblCellMar>
      </w:tblPr>
      <w:tblGrid>
        <w:gridCol w:w="1505"/>
        <w:gridCol w:w="120"/>
        <w:gridCol w:w="65"/>
        <w:gridCol w:w="1065"/>
        <w:gridCol w:w="60"/>
        <w:gridCol w:w="120"/>
        <w:gridCol w:w="330"/>
        <w:gridCol w:w="1040"/>
        <w:gridCol w:w="60"/>
        <w:gridCol w:w="120"/>
        <w:gridCol w:w="334"/>
        <w:gridCol w:w="1051"/>
        <w:gridCol w:w="350"/>
        <w:gridCol w:w="60"/>
        <w:gridCol w:w="323"/>
        <w:gridCol w:w="1016"/>
        <w:gridCol w:w="75"/>
      </w:tblGrid>
      <w:tr>
        <w:trPr/>
        <w:tc>
          <w:tcPr>
            <w:tcW w:w="1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Grant Date</w:t>
            </w:r>
          </w:p>
        </w:tc>
        <w:tc>
          <w:tcPr>
            <w:tcW w:w="12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Number of</w:t>
              <w:br/>
              <w:t>Common</w:t>
              <w:br/>
              <w:t>Shares</w:t>
              <w:br/>
              <w:t>Subject to</w:t>
              <w:br/>
              <w:t>Options</w:t>
              <w:br/>
              <w:t>Granted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0"/>
              <w:jc w:val="center"/>
              <w:rPr>
                <w:b/>
                <w:spacing w:val="0"/>
              </w:rPr>
            </w:pPr>
            <w:r>
              <w:rPr>
                <w:b/>
                <w:spacing w:val="0"/>
              </w:rPr>
              <w:t>Exercise</w:t>
              <w:br/>
              <w:t>Price</w:t>
              <w:br/>
              <w:t>per Common</w:t>
              <w:br/>
              <w:t>Share(1)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5" w:type="dxa"/>
            <w:gridSpan w:val="2"/>
            <w:tcBorders/>
            <w:shd w:fill="auto" w:val="clear"/>
            <w:vAlign w:val="center"/>
          </w:tcPr>
          <w:p>
            <w:pPr>
              <w:pStyle w:val="TableContents"/>
              <w:spacing w:before="0" w:after="0"/>
              <w:jc w:val="center"/>
              <w:rPr>
                <w:b/>
                <w:spacing w:val="0"/>
              </w:rPr>
            </w:pPr>
            <w:r>
              <w:rPr>
                <w:b/>
                <w:spacing w:val="0"/>
              </w:rPr>
              <w:t>Fair Value</w:t>
              <w:br/>
              <w:t>Per Common</w:t>
              <w:br/>
              <w:t>Share</w:t>
              <w:br/>
              <w:t>at Grant</w:t>
              <w:br/>
              <w:t>Date(1)</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39" w:type="dxa"/>
            <w:gridSpan w:val="2"/>
            <w:tcBorders/>
            <w:shd w:fill="auto" w:val="clear"/>
            <w:vAlign w:val="center"/>
          </w:tcPr>
          <w:p>
            <w:pPr>
              <w:pStyle w:val="TableContents"/>
              <w:spacing w:before="0" w:after="0"/>
              <w:jc w:val="center"/>
              <w:rPr>
                <w:b/>
                <w:spacing w:val="0"/>
              </w:rPr>
            </w:pPr>
            <w:r>
              <w:rPr>
                <w:b/>
                <w:spacing w:val="0"/>
              </w:rPr>
              <w:t>Estimated</w:t>
            </w:r>
          </w:p>
          <w:p>
            <w:pPr>
              <w:pStyle w:val="TableContents"/>
              <w:spacing w:before="0" w:after="0"/>
              <w:jc w:val="center"/>
              <w:rPr>
                <w:b/>
                <w:spacing w:val="0"/>
              </w:rPr>
            </w:pPr>
            <w:r>
              <w:rPr>
                <w:b/>
                <w:spacing w:val="0"/>
              </w:rPr>
              <w:t>Per- Share</w:t>
            </w:r>
          </w:p>
          <w:p>
            <w:pPr>
              <w:pStyle w:val="TableContents"/>
              <w:spacing w:before="0" w:after="0"/>
              <w:jc w:val="center"/>
              <w:rPr>
                <w:b/>
                <w:spacing w:val="0"/>
              </w:rPr>
            </w:pPr>
            <w:r>
              <w:rPr>
                <w:b/>
                <w:spacing w:val="0"/>
              </w:rPr>
              <w:br/>
              <w:t>Fair Value</w:t>
              <w:br/>
              <w:t>of Options(2)</w:t>
            </w:r>
          </w:p>
        </w:tc>
        <w:tc>
          <w:tcPr>
            <w:tcW w:w="75" w:type="dxa"/>
            <w:tcBorders/>
            <w:shd w:fill="auto" w:val="clear"/>
            <w:vAlign w:val="center"/>
          </w:tcPr>
          <w:p>
            <w:pPr>
              <w:pStyle w:val="TableContents"/>
              <w:spacing w:before="0" w:after="283"/>
              <w:rPr/>
            </w:pPr>
            <w:r>
              <w:rPr/>
              <w:t> </w:t>
            </w:r>
          </w:p>
        </w:tc>
      </w:tr>
      <w:tr>
        <w:trPr/>
        <w:tc>
          <w:tcPr>
            <w:tcW w:w="15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October 18, 2019</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534,000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0.52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rPr/>
            </w:pPr>
            <w:r>
              <w:rPr/>
              <w:t>$</w:t>
            </w:r>
          </w:p>
        </w:tc>
        <w:tc>
          <w:tcPr>
            <w:tcW w:w="1051" w:type="dxa"/>
            <w:tcBorders/>
            <w:shd w:fill="CCEEFF" w:val="clear"/>
            <w:vAlign w:val="center"/>
          </w:tcPr>
          <w:p>
            <w:pPr>
              <w:pStyle w:val="TableContents"/>
              <w:spacing w:before="0" w:after="283"/>
              <w:jc w:val="right"/>
              <w:rPr/>
            </w:pPr>
            <w:r>
              <w:rPr/>
              <w:t>0.52</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3" w:type="dxa"/>
            <w:tcBorders/>
            <w:shd w:fill="CCEEFF" w:val="clear"/>
            <w:vAlign w:val="center"/>
          </w:tcPr>
          <w:p>
            <w:pPr>
              <w:pStyle w:val="TableContents"/>
              <w:spacing w:before="0" w:after="283"/>
              <w:rPr/>
            </w:pPr>
            <w:r>
              <w:rPr/>
              <w:t>$</w:t>
            </w:r>
          </w:p>
        </w:tc>
        <w:tc>
          <w:tcPr>
            <w:tcW w:w="1016" w:type="dxa"/>
            <w:tcBorders/>
            <w:shd w:fill="CCEEFF" w:val="clear"/>
            <w:vAlign w:val="center"/>
          </w:tcPr>
          <w:p>
            <w:pPr>
              <w:pStyle w:val="TableContents"/>
              <w:spacing w:before="0" w:after="283"/>
              <w:jc w:val="right"/>
              <w:rPr/>
            </w:pPr>
            <w:r>
              <w:rPr/>
              <w:t>0.33</w:t>
            </w:r>
          </w:p>
        </w:tc>
        <w:tc>
          <w:tcPr>
            <w:tcW w:w="75" w:type="dxa"/>
            <w:tcBorders/>
            <w:shd w:fill="CCEEFF"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October 22, 2019</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9,000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0.52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jc w:val="right"/>
              <w:rPr/>
            </w:pPr>
            <w:r>
              <w:rPr/>
              <w:t>0.52</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w:t>
            </w:r>
          </w:p>
        </w:tc>
        <w:tc>
          <w:tcPr>
            <w:tcW w:w="1016" w:type="dxa"/>
            <w:tcBorders/>
            <w:shd w:fill="auto" w:val="clear"/>
            <w:vAlign w:val="center"/>
          </w:tcPr>
          <w:p>
            <w:pPr>
              <w:pStyle w:val="TableContents"/>
              <w:spacing w:before="0" w:after="283"/>
              <w:jc w:val="right"/>
              <w:rPr/>
            </w:pPr>
            <w:r>
              <w:rPr/>
              <w:t>0.30</w:t>
            </w:r>
          </w:p>
        </w:tc>
        <w:tc>
          <w:tcPr>
            <w:tcW w:w="75" w:type="dxa"/>
            <w:tcBorders/>
            <w:shd w:fill="auto" w:val="clear"/>
            <w:vAlign w:val="center"/>
          </w:tcPr>
          <w:p>
            <w:pPr>
              <w:pStyle w:val="TableContents"/>
              <w:spacing w:before="0" w:after="283"/>
              <w:rPr/>
            </w:pPr>
            <w:r>
              <w:rPr/>
              <w:t> </w:t>
            </w:r>
          </w:p>
        </w:tc>
      </w:tr>
      <w:tr>
        <w:trPr/>
        <w:tc>
          <w:tcPr>
            <w:tcW w:w="15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January 30, 2020</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2,171,868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0.56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rPr/>
            </w:pPr>
            <w:r>
              <w:rPr/>
              <w:t>$</w:t>
            </w:r>
          </w:p>
        </w:tc>
        <w:tc>
          <w:tcPr>
            <w:tcW w:w="1051" w:type="dxa"/>
            <w:tcBorders/>
            <w:shd w:fill="CCEEFF" w:val="clear"/>
            <w:vAlign w:val="center"/>
          </w:tcPr>
          <w:p>
            <w:pPr>
              <w:pStyle w:val="TableContents"/>
              <w:spacing w:before="0" w:after="283"/>
              <w:jc w:val="right"/>
              <w:rPr/>
            </w:pPr>
            <w:r>
              <w:rPr/>
              <w:t>0.56</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3" w:type="dxa"/>
            <w:tcBorders/>
            <w:shd w:fill="CCEEFF" w:val="clear"/>
            <w:vAlign w:val="center"/>
          </w:tcPr>
          <w:p>
            <w:pPr>
              <w:pStyle w:val="TableContents"/>
              <w:spacing w:before="0" w:after="283"/>
              <w:rPr/>
            </w:pPr>
            <w:r>
              <w:rPr/>
              <w:t>$</w:t>
            </w:r>
          </w:p>
        </w:tc>
        <w:tc>
          <w:tcPr>
            <w:tcW w:w="1016" w:type="dxa"/>
            <w:tcBorders/>
            <w:shd w:fill="CCEEFF" w:val="clear"/>
            <w:vAlign w:val="center"/>
          </w:tcPr>
          <w:p>
            <w:pPr>
              <w:pStyle w:val="TableContents"/>
              <w:spacing w:before="0" w:after="283"/>
              <w:jc w:val="right"/>
              <w:rPr/>
            </w:pPr>
            <w:r>
              <w:rPr/>
              <w:t>0.35</w:t>
            </w:r>
          </w:p>
        </w:tc>
        <w:tc>
          <w:tcPr>
            <w:tcW w:w="75" w:type="dxa"/>
            <w:tcBorders/>
            <w:shd w:fill="CCEEFF"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June 2, 2020</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1,251,000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0.62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jc w:val="right"/>
              <w:rPr/>
            </w:pPr>
            <w:r>
              <w:rPr/>
              <w:t>0.62</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w:t>
            </w:r>
          </w:p>
        </w:tc>
        <w:tc>
          <w:tcPr>
            <w:tcW w:w="1016" w:type="dxa"/>
            <w:tcBorders/>
            <w:shd w:fill="auto" w:val="clear"/>
            <w:vAlign w:val="center"/>
          </w:tcPr>
          <w:p>
            <w:pPr>
              <w:pStyle w:val="TableContents"/>
              <w:spacing w:before="0" w:after="283"/>
              <w:jc w:val="right"/>
              <w:rPr/>
            </w:pPr>
            <w:r>
              <w:rPr/>
              <w:t>0.39</w:t>
            </w:r>
          </w:p>
        </w:tc>
        <w:tc>
          <w:tcPr>
            <w:tcW w:w="75" w:type="dxa"/>
            <w:tcBorders/>
            <w:shd w:fill="auto" w:val="clear"/>
            <w:vAlign w:val="center"/>
          </w:tcPr>
          <w:p>
            <w:pPr>
              <w:pStyle w:val="TableContents"/>
              <w:spacing w:before="0" w:after="283"/>
              <w:rPr/>
            </w:pPr>
            <w:r>
              <w:rPr/>
              <w:t> </w:t>
            </w:r>
          </w:p>
        </w:tc>
      </w:tr>
      <w:tr>
        <w:trPr/>
        <w:tc>
          <w:tcPr>
            <w:tcW w:w="15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October 1, 2020</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1,697,500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1.09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rPr/>
            </w:pPr>
            <w:r>
              <w:rPr/>
              <w:t>$</w:t>
            </w:r>
          </w:p>
        </w:tc>
        <w:tc>
          <w:tcPr>
            <w:tcW w:w="1051" w:type="dxa"/>
            <w:tcBorders/>
            <w:shd w:fill="CCEEFF" w:val="clear"/>
            <w:vAlign w:val="center"/>
          </w:tcPr>
          <w:p>
            <w:pPr>
              <w:pStyle w:val="TableContents"/>
              <w:spacing w:before="0" w:after="283"/>
              <w:jc w:val="right"/>
              <w:rPr/>
            </w:pPr>
            <w:r>
              <w:rPr/>
              <w:t>1.09</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3" w:type="dxa"/>
            <w:tcBorders/>
            <w:shd w:fill="CCEEFF" w:val="clear"/>
            <w:vAlign w:val="center"/>
          </w:tcPr>
          <w:p>
            <w:pPr>
              <w:pStyle w:val="TableContents"/>
              <w:spacing w:before="0" w:after="283"/>
              <w:rPr/>
            </w:pPr>
            <w:r>
              <w:rPr/>
              <w:t>$</w:t>
            </w:r>
          </w:p>
        </w:tc>
        <w:tc>
          <w:tcPr>
            <w:tcW w:w="1016" w:type="dxa"/>
            <w:tcBorders/>
            <w:shd w:fill="CCEEFF" w:val="clear"/>
            <w:vAlign w:val="center"/>
          </w:tcPr>
          <w:p>
            <w:pPr>
              <w:pStyle w:val="TableContents"/>
              <w:spacing w:before="0" w:after="283"/>
              <w:jc w:val="right"/>
              <w:rPr/>
            </w:pPr>
            <w:r>
              <w:rPr/>
              <w:t>0.67</w:t>
            </w:r>
          </w:p>
        </w:tc>
        <w:tc>
          <w:tcPr>
            <w:tcW w:w="75" w:type="dxa"/>
            <w:tcBorders/>
            <w:shd w:fill="CCEEFF"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December 9, 2020</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596,000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1.09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jc w:val="right"/>
              <w:rPr/>
            </w:pPr>
            <w:r>
              <w:rPr/>
              <w:t>1.09</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w:t>
            </w:r>
          </w:p>
        </w:tc>
        <w:tc>
          <w:tcPr>
            <w:tcW w:w="1016" w:type="dxa"/>
            <w:tcBorders/>
            <w:shd w:fill="auto" w:val="clear"/>
            <w:vAlign w:val="center"/>
          </w:tcPr>
          <w:p>
            <w:pPr>
              <w:pStyle w:val="TableContents"/>
              <w:spacing w:before="0" w:after="283"/>
              <w:jc w:val="right"/>
              <w:rPr/>
            </w:pPr>
            <w:r>
              <w:rPr/>
              <w:t>0.67</w:t>
            </w:r>
          </w:p>
        </w:tc>
        <w:tc>
          <w:tcPr>
            <w:tcW w:w="75" w:type="dxa"/>
            <w:tcBorders/>
            <w:shd w:fill="auto" w:val="clear"/>
            <w:vAlign w:val="center"/>
          </w:tcPr>
          <w:p>
            <w:pPr>
              <w:pStyle w:val="TableContents"/>
              <w:spacing w:before="0" w:after="283"/>
              <w:rPr/>
            </w:pPr>
            <w:r>
              <w:rPr/>
              <w:t> </w:t>
            </w:r>
          </w:p>
        </w:tc>
      </w:tr>
      <w:tr>
        <w:trPr/>
        <w:tc>
          <w:tcPr>
            <w:tcW w:w="15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January 28, 2021</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6,805,312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1.19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rPr/>
            </w:pPr>
            <w:r>
              <w:rPr/>
              <w:t>$</w:t>
            </w:r>
          </w:p>
        </w:tc>
        <w:tc>
          <w:tcPr>
            <w:tcW w:w="1051" w:type="dxa"/>
            <w:tcBorders/>
            <w:shd w:fill="CCEEFF" w:val="clear"/>
            <w:vAlign w:val="center"/>
          </w:tcPr>
          <w:p>
            <w:pPr>
              <w:pStyle w:val="TableContents"/>
              <w:spacing w:before="0" w:after="283"/>
              <w:jc w:val="right"/>
              <w:rPr/>
            </w:pPr>
            <w:r>
              <w:rPr/>
              <w:t>1.81</w:t>
            </w:r>
          </w:p>
        </w:tc>
        <w:tc>
          <w:tcPr>
            <w:tcW w:w="350"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323" w:type="dxa"/>
            <w:tcBorders/>
            <w:shd w:fill="CCEEFF" w:val="clear"/>
            <w:vAlign w:val="center"/>
          </w:tcPr>
          <w:p>
            <w:pPr>
              <w:pStyle w:val="TableContents"/>
              <w:spacing w:before="0" w:after="283"/>
              <w:rPr/>
            </w:pPr>
            <w:r>
              <w:rPr/>
              <w:t>$</w:t>
            </w:r>
          </w:p>
        </w:tc>
        <w:tc>
          <w:tcPr>
            <w:tcW w:w="1016" w:type="dxa"/>
            <w:tcBorders/>
            <w:shd w:fill="CCEEFF" w:val="clear"/>
            <w:vAlign w:val="center"/>
          </w:tcPr>
          <w:p>
            <w:pPr>
              <w:pStyle w:val="TableContents"/>
              <w:spacing w:before="0" w:after="283"/>
              <w:jc w:val="right"/>
              <w:rPr/>
            </w:pPr>
            <w:r>
              <w:rPr/>
              <w:t>1.30</w:t>
            </w:r>
          </w:p>
        </w:tc>
        <w:tc>
          <w:tcPr>
            <w:tcW w:w="75" w:type="dxa"/>
            <w:tcBorders/>
            <w:shd w:fill="CCEEFF" w:val="clear"/>
            <w:vAlign w:val="center"/>
          </w:tcPr>
          <w:p>
            <w:pPr>
              <w:pStyle w:val="TableContents"/>
              <w:spacing w:before="0" w:after="283"/>
              <w:rPr/>
            </w:pPr>
            <w:r>
              <w:rPr/>
              <w:t> </w:t>
            </w:r>
          </w:p>
        </w:tc>
      </w:tr>
      <w:tr>
        <w:trPr/>
        <w:tc>
          <w:tcPr>
            <w:tcW w:w="15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March 18, 2021</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1,010,000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2.57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jc w:val="right"/>
              <w:rPr/>
            </w:pPr>
            <w:r>
              <w:rPr/>
              <w:t>2.57</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w:t>
            </w:r>
          </w:p>
        </w:tc>
        <w:tc>
          <w:tcPr>
            <w:tcW w:w="1016" w:type="dxa"/>
            <w:tcBorders/>
            <w:shd w:fill="auto" w:val="clear"/>
            <w:vAlign w:val="center"/>
          </w:tcPr>
          <w:p>
            <w:pPr>
              <w:pStyle w:val="TableContents"/>
              <w:spacing w:before="0" w:after="283"/>
              <w:jc w:val="right"/>
              <w:rPr/>
            </w:pPr>
            <w:r>
              <w:rPr/>
              <w:t>1.68</w:t>
            </w:r>
          </w:p>
        </w:tc>
        <w:tc>
          <w:tcPr>
            <w:tcW w:w="75" w:type="dxa"/>
            <w:tcBorders/>
            <w:shd w:fill="auto" w:val="clear"/>
            <w:vAlign w:val="center"/>
          </w:tcPr>
          <w:p>
            <w:pPr>
              <w:pStyle w:val="TableContents"/>
              <w:spacing w:before="0" w:after="283"/>
              <w:rPr/>
            </w:pPr>
            <w:r>
              <w:rPr/>
              <w:t> </w:t>
            </w:r>
          </w:p>
        </w:tc>
      </w:tr>
      <w:tr>
        <w:trPr/>
        <w:tc>
          <w:tcPr>
            <w:tcW w:w="15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May 19, 2021</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805,000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3.42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4" w:type="dxa"/>
            <w:tcBorders/>
            <w:shd w:fill="CCEEFF" w:val="clear"/>
            <w:vAlign w:val="center"/>
          </w:tcPr>
          <w:p>
            <w:pPr>
              <w:pStyle w:val="TableContents"/>
              <w:spacing w:before="0" w:after="283"/>
              <w:rPr/>
            </w:pPr>
            <w:r>
              <w:rPr/>
              <w:t>$</w:t>
            </w:r>
          </w:p>
        </w:tc>
        <w:tc>
          <w:tcPr>
            <w:tcW w:w="1051" w:type="dxa"/>
            <w:tcBorders/>
            <w:shd w:fill="CCEEFF" w:val="clear"/>
            <w:vAlign w:val="center"/>
          </w:tcPr>
          <w:p>
            <w:pPr>
              <w:pStyle w:val="TableContents"/>
              <w:spacing w:before="0" w:after="283"/>
              <w:jc w:val="right"/>
              <w:rPr/>
            </w:pPr>
            <w:r>
              <w:rPr/>
              <w:t>3.42</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3" w:type="dxa"/>
            <w:tcBorders/>
            <w:shd w:fill="CCEEFF" w:val="clear"/>
            <w:vAlign w:val="center"/>
          </w:tcPr>
          <w:p>
            <w:pPr>
              <w:pStyle w:val="TableContents"/>
              <w:spacing w:before="0" w:after="283"/>
              <w:rPr/>
            </w:pPr>
            <w:r>
              <w:rPr/>
              <w:t>$</w:t>
            </w:r>
          </w:p>
        </w:tc>
        <w:tc>
          <w:tcPr>
            <w:tcW w:w="1016" w:type="dxa"/>
            <w:tcBorders/>
            <w:shd w:fill="CCEEFF" w:val="clear"/>
            <w:vAlign w:val="center"/>
          </w:tcPr>
          <w:p>
            <w:pPr>
              <w:pStyle w:val="TableContents"/>
              <w:spacing w:before="0" w:after="283"/>
              <w:jc w:val="right"/>
              <w:rPr/>
            </w:pPr>
            <w:r>
              <w:rPr/>
              <w:t>2.18</w:t>
            </w:r>
          </w:p>
        </w:tc>
        <w:tc>
          <w:tcPr>
            <w:tcW w:w="75" w:type="dxa"/>
            <w:tcBorders/>
            <w:shd w:fill="CCEEFF"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(1)</w:t>
            </w:r>
          </w:p>
        </w:tc>
        <w:tc>
          <w:tcPr>
            <w:tcW w:w="995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exercise price per share of common stock and fair value of our common stock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 </w:t>
            </w:r>
          </w:p>
        </w:tc>
      </w:tr>
    </w:tbl>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(2)</w:t>
            </w:r>
          </w:p>
        </w:tc>
        <w:tc>
          <w:tcPr>
            <w:tcW w:w="992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estimated per share fair value of options reflects the weighted average fair value of options granted on each grant date, determined using the Black-Scholes option-pricing model. </w:t>
            </w:r>
          </w:p>
        </w:tc>
      </w:tr>
    </w:tbl>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(3)</w:t>
            </w:r>
          </w:p>
        </w:tc>
        <w:tc>
          <w:tcPr>
            <w:tcW w:w="995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At the time of the option grants on January 28, 2021, our board of directors determined that the fair value of our common stock of $1.19 per share calculated in the third-party valuation as of December 14, 2020 described above reasonably reflected the per share fair value of our common stock as of the respective grant dates in that period. However, as described below, the fair value of common stock at the date of these grants was adjusted in connection with retrospective fair value assessments for accounting purposes.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preparing for the issuance of our financial statements for the year ended December 31, 2020, in March 2021, we performed a retrospective fair value assessment and concluded that the fair value of our common shares underlying stock options that we granted on January 28, 2021 was $1.81 per share for accounting purposes. We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applied the fair value of our common shares from our retrospective fair value assessment to determine the fair value of these awards and calculate stock-based compensation expense for accounting purposes. This reassessed value was based, in part, upon a third-party valuation of our common shares prepared as of December 14, 2020, inclusive of a retrospective valuation prepared as of January 2021 reflecting the initial BCTG merger offer. The third-party valuation was prepared using an OPM, which used a market approach to determine our enterprise value. </w:t>
      </w:r>
    </w:p>
    <w:p>
      <w:pPr>
        <w:pStyle w:val="TextBody"/>
        <w:spacing w:before="360" w:after="0"/>
        <w:jc w:val="left"/>
        <w:rPr>
          <w:rFonts w:ascii="Times New Roman" w:hAnsi="Times New Roman"/>
          <w:b/>
          <w:spacing w:val="0"/>
          <w:sz w:val="20"/>
        </w:rPr>
      </w:pPr>
      <w:r>
        <w:rPr>
          <w:rFonts w:ascii="Times New Roman" w:hAnsi="Times New Roman"/>
          <w:b/>
          <w:spacing w:val="0"/>
          <w:sz w:val="20"/>
        </w:rPr>
        <w:t>Off-Balance</w:t>
      </w:r>
    </w:p>
    <w:p>
      <w:pPr>
        <w:pStyle w:val="TextBody"/>
        <w:spacing w:before="360" w:after="0"/>
        <w:jc w:val="left"/>
        <w:rPr>
          <w:rFonts w:ascii="Times New Roman" w:hAnsi="Times New Roman"/>
          <w:b/>
          <w:sz w:val="20"/>
        </w:rPr>
      </w:pPr>
      <w:r>
        <w:rPr>
          <w:rFonts w:ascii="Times New Roman" w:hAnsi="Times New Roman"/>
          <w:b/>
          <w:sz w:val="20"/>
        </w:rPr>
        <w:t xml:space="preserve">Sheet Arrangements </w:t>
      </w:r>
    </w:p>
    <w:p>
      <w:pPr>
        <w:pStyle w:val="TextBody"/>
        <w:spacing w:before="120" w:after="0"/>
        <w:jc w:val="left"/>
        <w:rPr>
          <w:rFonts w:ascii="Times New Roman" w:hAnsi="Times New Roman"/>
          <w:sz w:val="20"/>
        </w:rPr>
      </w:pPr>
      <w:r>
        <w:rPr>
          <w:rFonts w:ascii="Times New Roman" w:hAnsi="Times New Roman"/>
          <w:sz w:val="20"/>
        </w:rPr>
        <w:t xml:space="preserve">We did not have during the periods presented, and we do not currently have any </w:t>
      </w:r>
    </w:p>
    <w:p>
      <w:pPr>
        <w:pStyle w:val="TextBody"/>
        <w:spacing w:before="120" w:after="0"/>
        <w:jc w:val="left"/>
        <w:rPr>
          <w:rFonts w:ascii="Times New Roman" w:hAnsi="Times New Roman"/>
          <w:spacing w:val="0"/>
          <w:sz w:val="20"/>
        </w:rPr>
      </w:pPr>
      <w:r>
        <w:rPr>
          <w:rFonts w:ascii="Times New Roman" w:hAnsi="Times New Roman"/>
          <w:spacing w:val="0"/>
          <w:sz w:val="20"/>
        </w:rPr>
        <w:t>off-balance</w:t>
      </w:r>
    </w:p>
    <w:p>
      <w:pPr>
        <w:pStyle w:val="TextBody"/>
        <w:spacing w:before="120" w:after="0"/>
        <w:jc w:val="left"/>
        <w:rPr>
          <w:rFonts w:ascii="Times New Roman" w:hAnsi="Times New Roman"/>
          <w:sz w:val="20"/>
        </w:rPr>
      </w:pPr>
      <w:r>
        <w:rPr>
          <w:rFonts w:ascii="Times New Roman" w:hAnsi="Times New Roman"/>
          <w:sz w:val="20"/>
        </w:rPr>
        <w:t xml:space="preserve">sheet arrangements, as defined in the rules and regulations of the SEC.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Recently Adopted Accounting Pronouncements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 description of recently issued accounting pronouncements that may potentially impact our financial position, results of operations or cash flows is disclosed within the unaudited condensed consolidated financial statements and related notes appearing elsewhere in this prospectus and also in Note 2 to our audited consolidated financial statements and related notes appearing elsewhere in this prospectus.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Qualitative and Quantitative Disclosures about Market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exposed to certain market risks in the ordinary course of our business. Market risk represents the risk of loss that may impact our financial position due to adverse changes in financial market prices and rates.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Interest Rate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had cash, cash equivalents and marketable securities of $198.4 million and $190.3 million as of June 30,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Foreign Currency Exchange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Effects of Inflation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do not believe that inflation has had a material effect on our business, financial condition or results of operations. Our operations may be subject to inflation in the future.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Emerging Growth Company Status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entities. As an emerging growth company, we may take advantage of certain exemptions and reduced reporting requirements under the JOBS Act. Subject to certain conditions, as an emerging growth company: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present only two years of audited financial statements and only two years of related Management’s Discussion and Analysis of Financial Condition and Results of Operations in our periodic reports and registration statements, including this prospectus;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avail ourselves of the exemption from providing an auditor’s attestation report on our system of internal controls over financial reporting pursuant to Section 404(b) of the Sarbanes-Oxley Act; </w:t>
            </w:r>
          </w:p>
        </w:tc>
      </w:tr>
    </w:tbl>
    <w:p>
      <w:pPr>
        <w:pStyle w:val="TextBody"/>
        <w:spacing w:before="0" w:after="0"/>
        <w:jc w:val="left"/>
        <w:rPr>
          <w:spacing w:val="0"/>
        </w:rPr>
      </w:pPr>
      <w:r>
        <w:rPr>
          <w:spacing w:val="0"/>
        </w:rPr>
        <w:t> </w:t>
      </w:r>
    </w:p>
    <w:tbl>
      <w:tblPr>
        <w:tblW w:w="7555" w:type="dxa"/>
        <w:jc w:val="left"/>
        <w:tblInd w:w="0" w:type="dxa"/>
        <w:tblCellMar>
          <w:top w:w="0" w:type="dxa"/>
          <w:left w:w="0" w:type="dxa"/>
          <w:bottom w:w="0" w:type="dxa"/>
          <w:right w:w="0" w:type="dxa"/>
        </w:tblCellMar>
      </w:tblPr>
      <w:tblGrid>
        <w:gridCol w:w="75"/>
        <w:gridCol w:w="110"/>
        <w:gridCol w:w="60"/>
        <w:gridCol w:w="7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provide reduced disclosure about our executive compensation arrangements;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may not require nonbinding advisory votes on executive compensation or stockholder approval of any golden parachute payments. </w:t>
            </w:r>
          </w:p>
        </w:tc>
      </w:tr>
    </w:tbl>
    <w:p>
      <w:pPr>
        <w:pStyle w:val="TextBody"/>
        <w:spacing w:before="240" w:after="0"/>
        <w:jc w:val="left"/>
        <w:rPr>
          <w:rFonts w:ascii="Times New Roman" w:hAnsi="Times New Roman"/>
          <w:sz w:val="20"/>
        </w:rPr>
      </w:pPr>
      <w:r>
        <w:rPr>
          <w:rFonts w:ascii="Times New Roman" w:hAnsi="Times New Roman"/>
          <w:sz w:val="20"/>
        </w:rPr>
        <w:t xml:space="preserve">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w:t>
      </w:r>
    </w:p>
    <w:p>
      <w:pPr>
        <w:pStyle w:val="TextBody"/>
        <w:spacing w:before="240" w:after="0"/>
        <w:jc w:val="left"/>
        <w:rPr>
          <w:rFonts w:ascii="Times New Roman" w:hAnsi="Times New Roman"/>
          <w:spacing w:val="0"/>
          <w:sz w:val="20"/>
        </w:rPr>
      </w:pPr>
      <w:r>
        <w:rPr>
          <w:rFonts w:ascii="Times New Roman" w:hAnsi="Times New Roman"/>
          <w:spacing w:val="0"/>
          <w:sz w:val="20"/>
        </w:rPr>
        <w:t>12b-2</w:t>
      </w:r>
    </w:p>
    <w:p>
      <w:pPr>
        <w:pStyle w:val="TextBody"/>
        <w:spacing w:before="240" w:after="0"/>
        <w:jc w:val="left"/>
        <w:rPr>
          <w:rFonts w:ascii="Times New Roman" w:hAnsi="Times New Roman"/>
          <w:sz w:val="20"/>
        </w:rPr>
      </w:pPr>
      <w:r>
        <w:rPr>
          <w:rFonts w:ascii="Times New Roman" w:hAnsi="Times New Roman"/>
          <w:sz w:val="20"/>
        </w:rPr>
        <w:t xml:space="preserve">under the Exchange Act, which would occur if the market value of our common stock held by </w:t>
      </w:r>
    </w:p>
    <w:p>
      <w:pPr>
        <w:pStyle w:val="TextBody"/>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spacing w:before="240" w:after="0"/>
        <w:jc w:val="left"/>
        <w:rPr>
          <w:rFonts w:ascii="Times New Roman" w:hAnsi="Times New Roman"/>
          <w:sz w:val="20"/>
        </w:rPr>
      </w:pPr>
      <w:r>
        <w:rPr>
          <w:rFonts w:ascii="Times New Roman" w:hAnsi="Times New Roman"/>
          <w:sz w:val="20"/>
        </w:rPr>
        <w:t xml:space="preserve">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w:t>
      </w:r>
    </w:p>
    <w:p>
      <w:pPr>
        <w:pStyle w:val="TextBody"/>
        <w:spacing w:before="240" w:after="0"/>
        <w:jc w:val="left"/>
        <w:rPr>
          <w:rFonts w:ascii="Times New Roman" w:hAnsi="Times New Roman"/>
          <w:spacing w:val="0"/>
          <w:sz w:val="20"/>
        </w:rPr>
      </w:pPr>
      <w:r>
        <w:rPr>
          <w:rFonts w:ascii="Times New Roman" w:hAnsi="Times New Roman"/>
          <w:spacing w:val="0"/>
          <w:sz w:val="20"/>
        </w:rPr>
        <w:t>non-convertible</w:t>
      </w:r>
    </w:p>
    <w:p>
      <w:pPr>
        <w:pStyle w:val="TextBody"/>
        <w:spacing w:before="240" w:after="0"/>
        <w:jc w:val="left"/>
        <w:rPr>
          <w:rFonts w:ascii="Times New Roman" w:hAnsi="Times New Roman"/>
          <w:sz w:val="20"/>
        </w:rPr>
      </w:pPr>
      <w:r>
        <w:rPr>
          <w:rFonts w:ascii="Times New Roman" w:hAnsi="Times New Roman"/>
          <w:sz w:val="20"/>
        </w:rPr>
        <w:t xml:space="preserve">debt securities during the prior three-year period. We may choose to take advantage of some but not all of these exemptions.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149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CERTAIN RELATIONSHIPS AND RELATED PERSON TRANSACTIONS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Amended and Restated Registration and Shareholder Rights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the Closing Date, we entered into an Amended and Restated Registration and Stockholder Rights Agreement, or the Amended and Restated Registration and Stockholder Rights Agreement with BCTG Holdings, LLC, or the Sponsor, certain persons and entities holding securities of New Tango, and entities receiving Common Stock pursuant to the Merger Agreement (the foregoing persons and entities, together with other persons or entities who become party to the Amended and Restated Registration and Stockholder Rights Agreement collectively referred to as the Holders), pursuant to which we (i) agreed to register for resale (1) certain shares of Common Stock held by, or issuable upon exercise of options held by, the Holders and (2) any warrants, shares of capital stock or other securities of our company issued as a dividend or other distribution with respect to, or in exchange for or in replacement of the shares specified in clause (1) (the securities in clauses (1) and (2) collectively referred to as the Registrable Securities) and (ii) granted certain other registration rights to the Holders.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particular, the Amended and Restated Registration and Stockholder Rights Agreement provides for the following registration rights: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Shelf registration/demand registration rights</w:t>
            </w:r>
          </w:p>
          <w:p>
            <w:pPr>
              <w:pStyle w:val="TableContents"/>
              <w:spacing w:before="0" w:after="0"/>
              <w:jc w:val="left"/>
              <w:rPr>
                <w:rFonts w:ascii="Times New Roman" w:hAnsi="Times New Roman"/>
                <w:sz w:val="20"/>
              </w:rPr>
            </w:pPr>
            <w:r>
              <w:rPr>
                <w:rFonts w:ascii="Times New Roman" w:hAnsi="Times New Roman"/>
                <w:sz w:val="20"/>
              </w:rPr>
              <w:t xml:space="preserve">. No later than 30 calendar days following the Closing Date, we are required to file with the SEC, a shelf registration statement registering the resale of the Registrable Securities, and use our commercially reasonable efforts to have such registration statement declared effective by the SEC within a specified period.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w:t>
            </w:r>
          </w:p>
          <w:p>
            <w:pPr>
              <w:pStyle w:val="TableContents"/>
              <w:spacing w:before="0" w:after="0"/>
              <w:jc w:val="left"/>
              <w:rPr>
                <w:rFonts w:ascii="Times New Roman" w:hAnsi="Times New Roman"/>
                <w:spacing w:val="0"/>
                <w:sz w:val="20"/>
              </w:rPr>
            </w:pPr>
            <w:r>
              <w:rPr>
                <w:rFonts w:ascii="Times New Roman" w:hAnsi="Times New Roman"/>
                <w:spacing w:val="0"/>
                <w:sz w:val="20"/>
              </w:rPr>
              <w:t>six-month</w:t>
            </w:r>
          </w:p>
          <w:p>
            <w:pPr>
              <w:pStyle w:val="TableContents"/>
              <w:spacing w:before="0" w:after="0"/>
              <w:jc w:val="left"/>
              <w:rPr>
                <w:rFonts w:ascii="Times New Roman" w:hAnsi="Times New Roman"/>
                <w:sz w:val="20"/>
              </w:rPr>
            </w:pPr>
            <w:r>
              <w:rPr>
                <w:rFonts w:ascii="Times New Roman" w:hAnsi="Times New Roman"/>
                <w:sz w:val="20"/>
              </w:rPr>
              <w:t xml:space="preserve">period.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Piggyback registration rights</w:t>
            </w:r>
          </w:p>
          <w:p>
            <w:pPr>
              <w:pStyle w:val="TableContents"/>
              <w:spacing w:before="0" w:after="0"/>
              <w:jc w:val="left"/>
              <w:rPr>
                <w:rFonts w:ascii="Times New Roman" w:hAnsi="Times New Roman"/>
                <w:sz w:val="20"/>
              </w:rPr>
            </w:pPr>
            <w:r>
              <w:rPr>
                <w:rFonts w:ascii="Times New Roman" w:hAnsi="Times New Roman"/>
                <w:sz w:val="20"/>
              </w:rPr>
              <w:t xml:space="preserve">. Subject to exceptions for certain offerings and registration statements, if at any time, we propose to file a registration statement under the Securities Act in connection with an offering of our equity securities or securities or other obligations exercisable or exchangeable for, or convertible into, our equity securities, either for our own account or for the account of our stockholders, the Holders are entitled to include their Registrable Securities in such registration statement.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Expenses and indemnification</w:t>
            </w:r>
          </w:p>
          <w:p>
            <w:pPr>
              <w:pStyle w:val="TableContents"/>
              <w:spacing w:before="0" w:after="0"/>
              <w:jc w:val="left"/>
              <w:rPr>
                <w:rFonts w:ascii="Times New Roman" w:hAnsi="Times New Roman"/>
                <w:sz w:val="20"/>
              </w:rPr>
            </w:pPr>
            <w:r>
              <w:rPr>
                <w:rFonts w:ascii="Times New Roman" w:hAnsi="Times New Roman"/>
                <w:sz w:val="20"/>
              </w:rPr>
              <w:t xml:space="preserve">. The fees, costs and expenses of registrations pursuant to the registration rights granted to the Holders under the Amended and Restated Registration and Stockholder Rights Agreement will be borne by us,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Tango for material misstatements or omissions attributable to them.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Our securities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Amended and Restated Registration and Stockholder Rights Agreement shall terminate on the earlier of (i) the 10th anniversary of the date of the agreement and (ii) with respect to any Holder, on the date that such Holder no longer holds any Registrable Securities.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foregoing description of the Amended and Restated Registration and Stockholder Rights Agreement does not purport to be complete and is qualified in its entirety by the full text of the Amended and Restated Registration and Stockholder Rights Agreement, a copy of which is attached hereto as Exhibit 10.3 and is incorporated herein by reference.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Lock-Up</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Agreements </w:t>
      </w:r>
    </w:p>
    <w:p>
      <w:pPr>
        <w:pStyle w:val="TextBody"/>
        <w:spacing w:before="120" w:after="0"/>
        <w:jc w:val="left"/>
        <w:rPr>
          <w:rFonts w:ascii="Times New Roman" w:hAnsi="Times New Roman"/>
          <w:sz w:val="20"/>
        </w:rPr>
      </w:pPr>
      <w:r>
        <w:rPr>
          <w:rFonts w:ascii="Times New Roman" w:hAnsi="Times New Roman"/>
          <w:sz w:val="20"/>
        </w:rPr>
        <w:t xml:space="preserve">In connection with the Merger, on the Closing Date, we entered into </w:t>
      </w:r>
    </w:p>
    <w:p>
      <w:pPr>
        <w:pStyle w:val="TextBody"/>
        <w:spacing w:before="120" w:after="0"/>
        <w:jc w:val="left"/>
        <w:rPr>
          <w:rFonts w:ascii="Times New Roman" w:hAnsi="Times New Roman"/>
          <w:spacing w:val="0"/>
          <w:sz w:val="20"/>
        </w:rPr>
      </w:pPr>
      <w:r>
        <w:rPr>
          <w:rFonts w:ascii="Times New Roman" w:hAnsi="Times New Roman"/>
          <w:spacing w:val="0"/>
          <w:sz w:val="20"/>
        </w:rPr>
        <w:t>lock-up</w:t>
      </w:r>
    </w:p>
    <w:p>
      <w:pPr>
        <w:pStyle w:val="TextBody"/>
        <w:spacing w:before="120" w:after="0"/>
        <w:jc w:val="left"/>
        <w:rPr>
          <w:rFonts w:ascii="Times New Roman" w:hAnsi="Times New Roman"/>
          <w:sz w:val="20"/>
        </w:rPr>
      </w:pPr>
      <w:r>
        <w:rPr>
          <w:rFonts w:ascii="Times New Roman" w:hAnsi="Times New Roman"/>
          <w:sz w:val="20"/>
        </w:rPr>
        <w:t xml:space="preserve">agreements with our directors, officers and certain of our stockholders, or collectively, the Lockup Holders. The terms of the </w:t>
      </w:r>
    </w:p>
    <w:p>
      <w:pPr>
        <w:pStyle w:val="TextBody"/>
        <w:spacing w:before="120" w:after="0"/>
        <w:jc w:val="left"/>
        <w:rPr>
          <w:rFonts w:ascii="Times New Roman" w:hAnsi="Times New Roman"/>
          <w:spacing w:val="0"/>
          <w:sz w:val="20"/>
        </w:rPr>
      </w:pPr>
      <w:r>
        <w:rPr>
          <w:rFonts w:ascii="Times New Roman" w:hAnsi="Times New Roman"/>
          <w:spacing w:val="0"/>
          <w:sz w:val="20"/>
        </w:rPr>
        <w:t>lock-up</w:t>
      </w:r>
    </w:p>
    <w:p>
      <w:pPr>
        <w:pStyle w:val="TextBody"/>
        <w:spacing w:before="120" w:after="0"/>
        <w:jc w:val="left"/>
        <w:rPr>
          <w:rFonts w:ascii="Times New Roman" w:hAnsi="Times New Roman"/>
          <w:sz w:val="20"/>
        </w:rPr>
      </w:pPr>
      <w:r>
        <w:rPr>
          <w:rFonts w:ascii="Times New Roman" w:hAnsi="Times New Roman"/>
          <w:sz w:val="20"/>
        </w:rPr>
        <w:t xml:space="preserve">agreements provide for the Common Stock held by the Lockup Holders as of immediately after the effective time of the Business Combination to be subject to transfer restrictions for a period of 180 days after the Closing Date, subject to certain exceptions.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w:t>
      </w:r>
    </w:p>
    <w:p>
      <w:pPr>
        <w:pStyle w:val="TextBody"/>
        <w:spacing w:before="240" w:after="0"/>
        <w:jc w:val="left"/>
        <w:rPr>
          <w:rFonts w:ascii="Times New Roman" w:hAnsi="Times New Roman"/>
          <w:spacing w:val="0"/>
          <w:sz w:val="20"/>
        </w:rPr>
      </w:pPr>
      <w:r>
        <w:rPr>
          <w:rFonts w:ascii="Times New Roman" w:hAnsi="Times New Roman"/>
          <w:spacing w:val="0"/>
          <w:sz w:val="20"/>
        </w:rPr>
        <w:t>lock-up</w:t>
      </w:r>
    </w:p>
    <w:p>
      <w:pPr>
        <w:pStyle w:val="TextBody"/>
        <w:spacing w:before="240" w:after="0"/>
        <w:jc w:val="left"/>
        <w:rPr>
          <w:rFonts w:ascii="Times New Roman" w:hAnsi="Times New Roman"/>
          <w:sz w:val="20"/>
        </w:rPr>
      </w:pPr>
      <w:r>
        <w:rPr>
          <w:rFonts w:ascii="Times New Roman" w:hAnsi="Times New Roman"/>
          <w:sz w:val="20"/>
        </w:rPr>
        <w:t xml:space="preserve">agreements does not purport to be complete and is qualified in its entirety by the full text of the form of </w:t>
      </w:r>
    </w:p>
    <w:p>
      <w:pPr>
        <w:pStyle w:val="TextBody"/>
        <w:spacing w:before="240" w:after="0"/>
        <w:jc w:val="left"/>
        <w:rPr>
          <w:rFonts w:ascii="Times New Roman" w:hAnsi="Times New Roman"/>
          <w:spacing w:val="0"/>
          <w:sz w:val="20"/>
        </w:rPr>
      </w:pPr>
      <w:r>
        <w:rPr>
          <w:rFonts w:ascii="Times New Roman" w:hAnsi="Times New Roman"/>
          <w:spacing w:val="0"/>
          <w:sz w:val="20"/>
        </w:rPr>
        <w:t>lock-up</w:t>
      </w:r>
    </w:p>
    <w:p>
      <w:pPr>
        <w:pStyle w:val="TextBody"/>
        <w:spacing w:before="240" w:after="0"/>
        <w:jc w:val="left"/>
        <w:rPr>
          <w:rFonts w:ascii="Times New Roman" w:hAnsi="Times New Roman"/>
          <w:sz w:val="20"/>
        </w:rPr>
      </w:pPr>
      <w:r>
        <w:rPr>
          <w:rFonts w:ascii="Times New Roman" w:hAnsi="Times New Roman"/>
          <w:sz w:val="20"/>
        </w:rPr>
        <w:t xml:space="preserve">agreement, which is attached hereto as Exhibit 10.2 and incorporated herein by reference.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Certain Relationships and Related Person Transactions — BCTG </w:t>
      </w:r>
    </w:p>
    <w:p>
      <w:pPr>
        <w:pStyle w:val="TextBody"/>
        <w:spacing w:before="12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Founders Shares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June 4, 2020, BCTG issued 3,593,750 shares of common stock to the Sponsor in exchange for a payment of $25,000. We refer to such issued shares in this prospectus as the Founder Shares. On September 2, 2020, BCTG declared a dividend of 0.16 shares for each outstanding share of common stock (an aggregate of 575,000 shares), resulting in an aggregate of 4,168,750 Founder Shares outstanding. The Sponsor had agreed to forfeit up to an aggregate of 543,750 Founders Shares, so that the Founders Shares would represent 20% of BTCG’s issued and outstanding shares after BCTG’s initial public offering, to the extent the underwriters’ over-allotment option was not exercised in full or in part. On September 8, 2020, the underwriters exercised their 15% over-allotment option in full; thus, the Founders Shares were no longer subject to forfeiture. The Sponsor currently owns an aggregate of 4,493,450 shares of our common stock, and its independent directors and advisors collectively own 208,800 shares of our common stock. </w:t>
      </w:r>
    </w:p>
    <w:p>
      <w:pPr>
        <w:pStyle w:val="TextBody"/>
        <w:spacing w:before="240" w:after="0"/>
        <w:jc w:val="left"/>
        <w:rPr>
          <w:rFonts w:ascii="Times New Roman" w:hAnsi="Times New Roman"/>
          <w:sz w:val="20"/>
        </w:rPr>
      </w:pPr>
      <w:r>
        <w:rPr>
          <w:rFonts w:ascii="Times New Roman" w:hAnsi="Times New Roman"/>
          <w:sz w:val="20"/>
        </w:rPr>
        <w:t xml:space="preserve">The initial stockholders have agreed not to transfer, assign or sell any of their Founders Shares (except to certain permitted transferees) until the earlier of (i) one year after the date of the consummation of the Business Combination or (ii) the date on which the closing price of our common stock equals or exceeds $12.00 per share (as adjusted for stock splits, stock dividends, reorganizations and recapitalizations) for any 20 trading days within any </w:t>
      </w:r>
    </w:p>
    <w:p>
      <w:pPr>
        <w:pStyle w:val="TextBody"/>
        <w:spacing w:before="240" w:after="0"/>
        <w:jc w:val="left"/>
        <w:rPr>
          <w:rFonts w:ascii="Times New Roman" w:hAnsi="Times New Roman"/>
          <w:spacing w:val="0"/>
          <w:sz w:val="20"/>
        </w:rPr>
      </w:pPr>
      <w:r>
        <w:rPr>
          <w:rFonts w:ascii="Times New Roman" w:hAnsi="Times New Roman"/>
          <w:spacing w:val="0"/>
          <w:sz w:val="20"/>
        </w:rPr>
        <w:t>30-trading day</w:t>
      </w:r>
    </w:p>
    <w:p>
      <w:pPr>
        <w:pStyle w:val="TextBody"/>
        <w:spacing w:before="240" w:after="0"/>
        <w:jc w:val="left"/>
        <w:rPr>
          <w:rFonts w:ascii="Times New Roman" w:hAnsi="Times New Roman"/>
          <w:sz w:val="20"/>
        </w:rPr>
      </w:pPr>
      <w:r>
        <w:rPr>
          <w:rFonts w:ascii="Times New Roman" w:hAnsi="Times New Roman"/>
          <w:sz w:val="20"/>
        </w:rPr>
        <w:t xml:space="preserve">period commencing at least 150 days after the Business Combination, or earlier if, subsequent to the Business Combination, we consummate a subsequent liquidation, merger, stock exchange or other similar transaction which results in all of our stockholders having the right to exchange their shares of common stock for cash, securities or other property.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Private Shares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Concurrently with the closing of BCTG’s initial public offering, the Sponsor purchased 533,500 Private Shares, at a price of $10.00 per share, in a private placement for an aggregate purchase price of approximately $5.3 million. The Private Shares are identical to the shares of common stock sold in BCTG’s initial public offering, subject to certain limited exceptions.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Related Party Loans</w:t>
      </w:r>
    </w:p>
    <w:p>
      <w:pPr>
        <w:pStyle w:val="TextBody"/>
        <w:spacing w:before="120" w:after="0"/>
        <w:jc w:val="left"/>
        <w:rPr>
          <w:rFonts w:ascii="Times New Roman" w:hAnsi="Times New Roman"/>
          <w:sz w:val="20"/>
        </w:rPr>
      </w:pPr>
      <w:r>
        <w:rPr>
          <w:rFonts w:ascii="Times New Roman" w:hAnsi="Times New Roman"/>
          <w:sz w:val="20"/>
        </w:rPr>
        <w:t xml:space="preserve">On May 21, 2020 and June 10, 2020, the Sponsor agreed to loan BCTG up to $25,025 and $274,975, respectively, for an aggregate amount of $300,000 to be used for the payment of costs related to BCTG’s initial public offering pursuant to a promissory note, or each, a Note, and collectively, the Notes. The Notes were </w:t>
      </w:r>
    </w:p>
    <w:p>
      <w:pPr>
        <w:pStyle w:val="TextBody"/>
        <w:spacing w:before="120" w:after="0"/>
        <w:jc w:val="left"/>
        <w:rPr>
          <w:rFonts w:ascii="Times New Roman" w:hAnsi="Times New Roman"/>
          <w:spacing w:val="0"/>
          <w:sz w:val="20"/>
        </w:rPr>
      </w:pPr>
      <w:r>
        <w:rPr>
          <w:rFonts w:ascii="Times New Roman" w:hAnsi="Times New Roman"/>
          <w:spacing w:val="0"/>
          <w:sz w:val="20"/>
        </w:rPr>
        <w:t>non-interest</w:t>
      </w:r>
    </w:p>
    <w:p>
      <w:pPr>
        <w:pStyle w:val="TextBody"/>
        <w:spacing w:before="120" w:after="0"/>
        <w:jc w:val="left"/>
        <w:rPr>
          <w:rFonts w:ascii="Times New Roman" w:hAnsi="Times New Roman"/>
          <w:sz w:val="20"/>
        </w:rPr>
      </w:pPr>
      <w:r>
        <w:rPr>
          <w:rFonts w:ascii="Times New Roman" w:hAnsi="Times New Roman"/>
          <w:sz w:val="20"/>
        </w:rPr>
        <w:t xml:space="preserve">bearing, unsecured and due upon the date BCTG consummated its initial public offering. BCTG borrowed approximately $127,000 under the Notes and repaid the Notes in full on September 10,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order to fund working capital deficiencies or finance transaction costs in connection with the Business Combination, the initial stockholders, officers and directors and their affiliates could have, but were not obligated to, loan BCTG funds as may be required, or the Working Capital Loans. Each loan would be evidenced by a promissory note. The notes would either be paid upon consummation of the Business Combination, without interest, or, at the lender’s discretion, up to $1.5 million of the notes may be converted upon consummation of the Business Combination into additional private placement shares at a conversion price of $10.00 per share. If BCTG did not complete a business combination, the loans would not be repaid. Such private placement shares would be identical to the Private Shares. BCTG did not have any borrowings under the Working Capital Loans.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Administrative Support Agreement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Commencing on September 2, 2020, BCTG’s prospectus, BCTG agreed to pay an affiliate of the Sponsor a total of $10,000 per month for office space and certain office and secretarial services. Upon completion of the Business Combination, BCTG ceased paying these monthly fees. For the period from May 21, 2020 (inception) through the completion of the Business Combination, BCTG incurred approximately $110,000 related to these services. As of the date hereof, no amounts are payable related to this agreement.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Share Purchase Commitment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Sponsor entered into an agreement to purchase an aggregate of at least 2,500,000 shares of BCTG’s common stock for an aggregate purchase price of $25.0 million, or $10.00 per share, prior to, concurrently with, or following the closing of the Business Combination in a private placement. The funds from such private placement could be used as part of the consideration to the sellers in the Business Combination, and any excess funds from such private placement may be used for working capital in the post-transaction company.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PIPE Financing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Closing, PIPE Investors subscribed for and purchased an aggregate of 18,610,000 shares of Common Stock at a price of $10.00 per share for aggregate gross proceeds of $186,100,000.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Certain Relationships and Related Person Transactions — Old Tango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is a summary of transactions since January 1, 2018 or any currently proposed transactions to which have been or will be a participant, in which: </w:t>
      </w:r>
    </w:p>
    <w:p>
      <w:pPr>
        <w:pStyle w:val="TextBody"/>
        <w:spacing w:before="0" w:after="0"/>
        <w:jc w:val="left"/>
        <w:rPr>
          <w:spacing w:val="0"/>
        </w:rPr>
      </w:pPr>
      <w:r>
        <w:rPr>
          <w:spacing w:val="0"/>
        </w:rPr>
        <w:t> </w:t>
      </w:r>
    </w:p>
    <w:tbl>
      <w:tblPr>
        <w:tblW w:w="5245" w:type="dxa"/>
        <w:jc w:val="left"/>
        <w:tblInd w:w="0" w:type="dxa"/>
        <w:tblCellMar>
          <w:top w:w="0" w:type="dxa"/>
          <w:left w:w="0" w:type="dxa"/>
          <w:bottom w:w="0" w:type="dxa"/>
          <w:right w:w="0" w:type="dxa"/>
        </w:tblCellMar>
      </w:tblPr>
      <w:tblGrid>
        <w:gridCol w:w="75"/>
        <w:gridCol w:w="110"/>
        <w:gridCol w:w="60"/>
        <w:gridCol w:w="5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amount involved exceeded or will exceed $120,000;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any of our directors, executive officers, or holders of more than 5% of our capital stock, or any member of the immediate family of the foregoing persons, had or will have a direct or indirect material interest, other than compensation and other arrangements that are described in the section titled “</w:t>
            </w:r>
          </w:p>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Executive Compensation</w:t>
            </w:r>
          </w:p>
          <w:p>
            <w:pPr>
              <w:pStyle w:val="TableContents"/>
              <w:spacing w:before="0" w:after="0"/>
              <w:jc w:val="left"/>
              <w:rPr/>
            </w:pPr>
            <w:r>
              <w:rPr/>
              <w:t xml:space="preserve">” </w:t>
            </w:r>
            <w:r>
              <w:rPr>
                <w:rFonts w:ascii="Times New Roman" w:hAnsi="Times New Roman"/>
                <w:sz w:val="20"/>
              </w:rPr>
              <w:t xml:space="preserve">or that were approved by its compensation committee. </w:t>
            </w:r>
          </w:p>
        </w:tc>
      </w:tr>
    </w:tbl>
    <w:p>
      <w:pPr>
        <w:pStyle w:val="TextBody"/>
        <w:spacing w:before="240" w:after="0"/>
        <w:jc w:val="left"/>
        <w:rPr>
          <w:rFonts w:ascii="Times New Roman" w:hAnsi="Times New Roman"/>
          <w:sz w:val="20"/>
        </w:rPr>
      </w:pPr>
      <w:r>
        <w:rPr>
          <w:rFonts w:ascii="Times New Roman" w:hAnsi="Times New Roman"/>
          <w:sz w:val="20"/>
        </w:rPr>
        <w:t xml:space="preserve">We believe the terms obtained or consideration that we paid or received, as applicable, in connection with the transactions described below were comparable to terms available or the amounts that would be paid or received, as applicable in </w:t>
      </w:r>
    </w:p>
    <w:p>
      <w:pPr>
        <w:pStyle w:val="TextBody"/>
        <w:spacing w:before="240" w:after="0"/>
        <w:jc w:val="left"/>
        <w:rPr>
          <w:rFonts w:ascii="Times New Roman" w:hAnsi="Times New Roman"/>
          <w:spacing w:val="0"/>
          <w:sz w:val="20"/>
        </w:rPr>
      </w:pPr>
      <w:r>
        <w:rPr>
          <w:rFonts w:ascii="Times New Roman" w:hAnsi="Times New Roman"/>
          <w:spacing w:val="0"/>
          <w:sz w:val="20"/>
        </w:rPr>
        <w:t>arm’s-length</w:t>
      </w:r>
    </w:p>
    <w:p>
      <w:pPr>
        <w:pStyle w:val="TextBody"/>
        <w:spacing w:before="240" w:after="0"/>
        <w:jc w:val="left"/>
        <w:rPr>
          <w:rFonts w:ascii="Times New Roman" w:hAnsi="Times New Roman"/>
          <w:sz w:val="20"/>
        </w:rPr>
      </w:pPr>
      <w:r>
        <w:rPr>
          <w:rFonts w:ascii="Times New Roman" w:hAnsi="Times New Roman"/>
          <w:sz w:val="20"/>
        </w:rPr>
        <w:t xml:space="preserve">transactions.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Series B Preferred Stock Financing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7, 2020, Old Tango entered into a Series B Preferred Stock Purchase Agreement, or the Series B Purchase Agreement, pursuant to which Old Tango issued 45,372,050 shares of its Series B Preferred Stock for a 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Old Tango’s capital stock participated in the Series B Preferred Stock financing.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730"/>
        <w:gridCol w:w="120"/>
        <w:gridCol w:w="94"/>
        <w:gridCol w:w="1546"/>
        <w:gridCol w:w="60"/>
        <w:gridCol w:w="120"/>
        <w:gridCol w:w="157"/>
        <w:gridCol w:w="1573"/>
        <w:gridCol w:w="60"/>
        <w:gridCol w:w="120"/>
        <w:gridCol w:w="94"/>
        <w:gridCol w:w="1546"/>
        <w:gridCol w:w="60"/>
        <w:gridCol w:w="120"/>
        <w:gridCol w:w="157"/>
        <w:gridCol w:w="1573"/>
        <w:gridCol w:w="75"/>
      </w:tblGrid>
      <w:tr>
        <w:trPr/>
        <w:tc>
          <w:tcPr>
            <w:tcW w:w="2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73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 of 5% Tango Stockholder</w:t>
            </w:r>
          </w:p>
        </w:tc>
        <w:tc>
          <w:tcPr>
            <w:tcW w:w="12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0"/>
              <w:jc w:val="center"/>
              <w:rPr>
                <w:b/>
                <w:spacing w:val="0"/>
              </w:rPr>
            </w:pPr>
            <w:r>
              <w:rPr>
                <w:b/>
                <w:spacing w:val="0"/>
              </w:rPr>
              <w:t>Number of</w:t>
              <w:br/>
              <w:t>Series B</w:t>
              <w:br/>
              <w:t>Preferred Stock</w:t>
              <w:br/>
              <w:t>Purchased –</w:t>
              <w:br/>
              <w:t>First Closing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30" w:type="dxa"/>
            <w:gridSpan w:val="2"/>
            <w:tcBorders/>
            <w:shd w:fill="auto" w:val="clear"/>
            <w:vAlign w:val="center"/>
          </w:tcPr>
          <w:p>
            <w:pPr>
              <w:pStyle w:val="TableContents"/>
              <w:spacing w:before="0" w:after="0"/>
              <w:jc w:val="center"/>
              <w:rPr>
                <w:b/>
                <w:spacing w:val="0"/>
              </w:rPr>
            </w:pPr>
            <w:r>
              <w:rPr>
                <w:b/>
                <w:spacing w:val="0"/>
              </w:rPr>
              <w:t>Aggregate</w:t>
              <w:br/>
              <w:t>Purchase Price –</w:t>
              <w:br/>
              <w:t>First Closing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0"/>
              <w:jc w:val="center"/>
              <w:rPr>
                <w:b/>
                <w:spacing w:val="0"/>
              </w:rPr>
            </w:pPr>
            <w:r>
              <w:rPr>
                <w:b/>
                <w:spacing w:val="0"/>
              </w:rPr>
              <w:t>Number of</w:t>
              <w:br/>
              <w:t>Series B</w:t>
              <w:br/>
              <w:t>Preferred Stock</w:t>
              <w:br/>
              <w:t>Purchased –</w:t>
              <w:br/>
              <w:t>Second Closing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30" w:type="dxa"/>
            <w:gridSpan w:val="2"/>
            <w:tcBorders/>
            <w:shd w:fill="auto" w:val="clear"/>
            <w:vAlign w:val="center"/>
          </w:tcPr>
          <w:p>
            <w:pPr>
              <w:pStyle w:val="TableContents"/>
              <w:spacing w:before="0" w:after="0"/>
              <w:jc w:val="center"/>
              <w:rPr>
                <w:b/>
                <w:spacing w:val="0"/>
              </w:rPr>
            </w:pPr>
            <w:r>
              <w:rPr>
                <w:b/>
                <w:spacing w:val="0"/>
              </w:rPr>
              <w:t>Aggregate</w:t>
              <w:br/>
              <w:t>Purchase Price –</w:t>
              <w:br/>
              <w:t>Second Closing</w:t>
            </w:r>
          </w:p>
        </w:tc>
        <w:tc>
          <w:tcPr>
            <w:tcW w:w="75" w:type="dxa"/>
            <w:tcBorders/>
            <w:shd w:fill="auto" w:val="clear"/>
            <w:vAlign w:val="center"/>
          </w:tcPr>
          <w:p>
            <w:pPr>
              <w:pStyle w:val="TableContents"/>
              <w:spacing w:before="0" w:after="283"/>
              <w:rPr/>
            </w:pPr>
            <w:r>
              <w:rPr/>
              <w:t> </w:t>
            </w:r>
          </w:p>
        </w:tc>
      </w:tr>
      <w:tr>
        <w:trPr/>
        <w:tc>
          <w:tcPr>
            <w:tcW w:w="27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Boxer Capital, LLC and affiliated entities(1)</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546" w:type="dxa"/>
            <w:tcBorders/>
            <w:shd w:fill="CCEEFF" w:val="clear"/>
            <w:vAlign w:val="center"/>
          </w:tcPr>
          <w:p>
            <w:pPr>
              <w:pStyle w:val="TableContents"/>
              <w:spacing w:before="0" w:after="283"/>
              <w:jc w:val="right"/>
              <w:rPr/>
            </w:pPr>
            <w:r>
              <w:rPr/>
              <w:t>8,507,260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1573" w:type="dxa"/>
            <w:tcBorders/>
            <w:shd w:fill="CCEEFF" w:val="clear"/>
            <w:vAlign w:val="center"/>
          </w:tcPr>
          <w:p>
            <w:pPr>
              <w:pStyle w:val="TableContents"/>
              <w:spacing w:before="0" w:after="283"/>
              <w:jc w:val="right"/>
              <w:rPr/>
            </w:pPr>
            <w:r>
              <w:rPr/>
              <w:t>11,250,000.63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546" w:type="dxa"/>
            <w:tcBorders/>
            <w:shd w:fill="CCEEFF" w:val="clear"/>
            <w:vAlign w:val="center"/>
          </w:tcPr>
          <w:p>
            <w:pPr>
              <w:pStyle w:val="TableContents"/>
              <w:spacing w:before="0" w:after="283"/>
              <w:jc w:val="right"/>
              <w:rPr/>
            </w:pPr>
            <w:r>
              <w:rPr/>
              <w:t>8,507,260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1573" w:type="dxa"/>
            <w:tcBorders/>
            <w:shd w:fill="CCEEFF" w:val="clear"/>
            <w:vAlign w:val="center"/>
          </w:tcPr>
          <w:p>
            <w:pPr>
              <w:pStyle w:val="TableContents"/>
              <w:spacing w:before="0" w:after="283"/>
              <w:jc w:val="right"/>
              <w:rPr/>
            </w:pPr>
            <w:r>
              <w:rPr/>
              <w:t>11,250,000.63</w:t>
            </w:r>
          </w:p>
        </w:tc>
        <w:tc>
          <w:tcPr>
            <w:tcW w:w="75" w:type="dxa"/>
            <w:tcBorders/>
            <w:shd w:fill="CCEEFF" w:val="clear"/>
            <w:vAlign w:val="center"/>
          </w:tcPr>
          <w:p>
            <w:pPr>
              <w:pStyle w:val="TableContents"/>
              <w:spacing w:before="0" w:after="283"/>
              <w:rPr/>
            </w:pPr>
            <w:r>
              <w:rPr/>
              <w:t> </w:t>
            </w:r>
          </w:p>
        </w:tc>
      </w:tr>
      <w:tr>
        <w:trPr/>
        <w:tc>
          <w:tcPr>
            <w:tcW w:w="27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Casdin Capital</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right"/>
              <w:rPr/>
            </w:pPr>
            <w:r>
              <w:rPr/>
              <w:t>1,890,502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573" w:type="dxa"/>
            <w:tcBorders/>
            <w:shd w:fill="auto" w:val="clear"/>
            <w:vAlign w:val="center"/>
          </w:tcPr>
          <w:p>
            <w:pPr>
              <w:pStyle w:val="TableContents"/>
              <w:spacing w:before="0" w:after="283"/>
              <w:jc w:val="right"/>
              <w:rPr/>
            </w:pPr>
            <w:r>
              <w:rPr/>
              <w:t>2,499,999.85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right"/>
              <w:rPr/>
            </w:pPr>
            <w:r>
              <w:rPr/>
              <w:t>1,890,502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573" w:type="dxa"/>
            <w:tcBorders/>
            <w:shd w:fill="auto" w:val="clear"/>
            <w:vAlign w:val="center"/>
          </w:tcPr>
          <w:p>
            <w:pPr>
              <w:pStyle w:val="TableContents"/>
              <w:spacing w:before="0" w:after="283"/>
              <w:jc w:val="right"/>
              <w:rPr/>
            </w:pPr>
            <w:r>
              <w:rPr/>
              <w:t>2,499,999.85</w:t>
            </w:r>
          </w:p>
        </w:tc>
        <w:tc>
          <w:tcPr>
            <w:tcW w:w="75" w:type="dxa"/>
            <w:tcBorders/>
            <w:shd w:fill="auto" w:val="clear"/>
            <w:vAlign w:val="center"/>
          </w:tcPr>
          <w:p>
            <w:pPr>
              <w:pStyle w:val="TableContents"/>
              <w:spacing w:before="0" w:after="283"/>
              <w:rPr/>
            </w:pPr>
            <w:r>
              <w:rPr/>
              <w:t> </w:t>
            </w:r>
          </w:p>
        </w:tc>
      </w:tr>
      <w:tr>
        <w:trPr/>
        <w:tc>
          <w:tcPr>
            <w:tcW w:w="27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Cormorant Asset Management and affiliated entities(2)</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546" w:type="dxa"/>
            <w:tcBorders/>
            <w:shd w:fill="CCEEFF" w:val="clear"/>
            <w:vAlign w:val="center"/>
          </w:tcPr>
          <w:p>
            <w:pPr>
              <w:pStyle w:val="TableContents"/>
              <w:spacing w:before="0" w:after="283"/>
              <w:jc w:val="right"/>
              <w:rPr/>
            </w:pPr>
            <w:r>
              <w:rPr/>
              <w:t>3,781,004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1573" w:type="dxa"/>
            <w:tcBorders/>
            <w:shd w:fill="CCEEFF" w:val="clear"/>
            <w:vAlign w:val="center"/>
          </w:tcPr>
          <w:p>
            <w:pPr>
              <w:pStyle w:val="TableContents"/>
              <w:spacing w:before="0" w:after="283"/>
              <w:jc w:val="right"/>
              <w:rPr/>
            </w:pPr>
            <w:r>
              <w:rPr/>
              <w:t>4,999,999.70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546" w:type="dxa"/>
            <w:tcBorders/>
            <w:shd w:fill="CCEEFF" w:val="clear"/>
            <w:vAlign w:val="center"/>
          </w:tcPr>
          <w:p>
            <w:pPr>
              <w:pStyle w:val="TableContents"/>
              <w:spacing w:before="0" w:after="283"/>
              <w:jc w:val="right"/>
              <w:rPr/>
            </w:pPr>
            <w:r>
              <w:rPr/>
              <w:t>3,781,004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1573" w:type="dxa"/>
            <w:tcBorders/>
            <w:shd w:fill="CCEEFF" w:val="clear"/>
            <w:vAlign w:val="center"/>
          </w:tcPr>
          <w:p>
            <w:pPr>
              <w:pStyle w:val="TableContents"/>
              <w:spacing w:before="0" w:after="283"/>
              <w:jc w:val="right"/>
              <w:rPr/>
            </w:pPr>
            <w:r>
              <w:rPr/>
              <w:t>4,999,999.70</w:t>
            </w:r>
          </w:p>
        </w:tc>
        <w:tc>
          <w:tcPr>
            <w:tcW w:w="75" w:type="dxa"/>
            <w:tcBorders/>
            <w:shd w:fill="CCEEFF" w:val="clear"/>
            <w:vAlign w:val="center"/>
          </w:tcPr>
          <w:p>
            <w:pPr>
              <w:pStyle w:val="TableContents"/>
              <w:spacing w:before="0" w:after="283"/>
              <w:rPr/>
            </w:pPr>
            <w:r>
              <w:rPr/>
              <w:t> </w:t>
            </w:r>
          </w:p>
        </w:tc>
      </w:tr>
      <w:tr>
        <w:trPr/>
        <w:tc>
          <w:tcPr>
            <w:tcW w:w="27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Hillhouse Capital</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right"/>
              <w:rPr/>
            </w:pPr>
            <w:r>
              <w:rPr/>
              <w:t>4,726,255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573" w:type="dxa"/>
            <w:tcBorders/>
            <w:shd w:fill="auto" w:val="clear"/>
            <w:vAlign w:val="center"/>
          </w:tcPr>
          <w:p>
            <w:pPr>
              <w:pStyle w:val="TableContents"/>
              <w:spacing w:before="0" w:after="283"/>
              <w:jc w:val="right"/>
              <w:rPr/>
            </w:pPr>
            <w:r>
              <w:rPr/>
              <w:t>6,249,999.62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right"/>
              <w:rPr/>
            </w:pPr>
            <w:r>
              <w:rPr/>
              <w:t>4,726,255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573" w:type="dxa"/>
            <w:tcBorders/>
            <w:shd w:fill="auto" w:val="clear"/>
            <w:vAlign w:val="center"/>
          </w:tcPr>
          <w:p>
            <w:pPr>
              <w:pStyle w:val="TableContents"/>
              <w:spacing w:before="0" w:after="283"/>
              <w:jc w:val="right"/>
              <w:rPr/>
            </w:pPr>
            <w:r>
              <w:rPr/>
              <w:t>6,249,999.62</w:t>
            </w:r>
          </w:p>
        </w:tc>
        <w:tc>
          <w:tcPr>
            <w:tcW w:w="75" w:type="dxa"/>
            <w:tcBorders/>
            <w:shd w:fill="auto"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(1)</w:t>
            </w:r>
          </w:p>
        </w:tc>
        <w:tc>
          <w:tcPr>
            <w:tcW w:w="99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Includes Boxer Capital LLC, which purchased 8,417,650 shares at the first closing and 8,417,650 shares at the second closing; and MVA Investors, LLC, which purchased 89,610 shares at the first closing and 89,610 shares at the second closing. Aaron Davis, a member of our board of directors, is Chief Executive Officer of Boxer Capital, LLC. Boxer Capital, LLC and Mr. Davis are each affiliated with BCTG and the Sponsor.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left"/>
              <w:rPr/>
            </w:pPr>
            <w:r>
              <w:rPr/>
              <w:t>(2)</w:t>
            </w:r>
          </w:p>
        </w:tc>
        <w:tc>
          <w:tcPr>
            <w:tcW w:w="995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 </w:t>
            </w:r>
          </w:p>
        </w:tc>
      </w:tr>
    </w:tbl>
    <w:p>
      <w:pPr>
        <w:pStyle w:val="TextBody"/>
        <w:spacing w:before="360" w:after="0"/>
        <w:jc w:val="left"/>
        <w:rPr>
          <w:rFonts w:ascii="Times New Roman" w:hAnsi="Times New Roman"/>
          <w:b/>
          <w:sz w:val="20"/>
        </w:rPr>
      </w:pPr>
      <w:r>
        <w:rPr>
          <w:rFonts w:ascii="Times New Roman" w:hAnsi="Times New Roman"/>
          <w:b/>
          <w:sz w:val="20"/>
        </w:rPr>
        <w:t xml:space="preserve">Series </w:t>
      </w:r>
    </w:p>
    <w:p>
      <w:pPr>
        <w:pStyle w:val="TextBody"/>
        <w:spacing w:before="360" w:after="0"/>
        <w:jc w:val="left"/>
        <w:rPr>
          <w:rFonts w:ascii="Times New Roman" w:hAnsi="Times New Roman"/>
          <w:b/>
          <w:spacing w:val="0"/>
          <w:sz w:val="20"/>
        </w:rPr>
      </w:pPr>
      <w:r>
        <w:rPr>
          <w:rFonts w:ascii="Times New Roman" w:hAnsi="Times New Roman"/>
          <w:b/>
          <w:spacing w:val="0"/>
          <w:sz w:val="20"/>
        </w:rPr>
        <w:t>B-1</w:t>
      </w:r>
    </w:p>
    <w:p>
      <w:pPr>
        <w:pStyle w:val="TextBody"/>
        <w:spacing w:before="360" w:after="0"/>
        <w:jc w:val="left"/>
        <w:rPr>
          <w:rFonts w:ascii="Times New Roman" w:hAnsi="Times New Roman"/>
          <w:b/>
          <w:sz w:val="20"/>
        </w:rPr>
      </w:pPr>
      <w:r>
        <w:rPr>
          <w:rFonts w:ascii="Times New Roman" w:hAnsi="Times New Roman"/>
          <w:b/>
          <w:sz w:val="20"/>
        </w:rPr>
        <w:t xml:space="preserve">Preferred Stock Financing </w:t>
      </w:r>
    </w:p>
    <w:p>
      <w:pPr>
        <w:pStyle w:val="TextBody"/>
        <w:spacing w:before="120" w:after="0"/>
        <w:jc w:val="left"/>
        <w:rPr>
          <w:rFonts w:ascii="Times New Roman" w:hAnsi="Times New Roman"/>
          <w:sz w:val="20"/>
        </w:rPr>
      </w:pPr>
      <w:r>
        <w:rPr>
          <w:rFonts w:ascii="Times New Roman" w:hAnsi="Times New Roman"/>
          <w:sz w:val="20"/>
        </w:rPr>
        <w:t xml:space="preserve">On August 17, 2020, Old Tango held the closing of its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Preferred Stock financing, pursuant to its </w:t>
      </w:r>
    </w:p>
    <w:p>
      <w:pPr>
        <w:pStyle w:val="TextBody"/>
        <w:spacing w:before="120" w:after="0"/>
        <w:jc w:val="left"/>
        <w:rPr>
          <w:rFonts w:ascii="Times New Roman" w:hAnsi="Times New Roman"/>
          <w:spacing w:val="0"/>
          <w:sz w:val="20"/>
        </w:rPr>
      </w:pPr>
      <w:r>
        <w:rPr>
          <w:rFonts w:ascii="Times New Roman" w:hAnsi="Times New Roman"/>
          <w:spacing w:val="0"/>
          <w:sz w:val="20"/>
        </w:rPr>
        <w:t>Series B-1</w:t>
      </w:r>
    </w:p>
    <w:p>
      <w:pPr>
        <w:pStyle w:val="TextBody"/>
        <w:spacing w:before="120" w:after="0"/>
        <w:jc w:val="left"/>
        <w:rPr>
          <w:rFonts w:ascii="Times New Roman" w:hAnsi="Times New Roman"/>
          <w:sz w:val="20"/>
        </w:rPr>
      </w:pPr>
      <w:r>
        <w:rPr>
          <w:rFonts w:ascii="Times New Roman" w:hAnsi="Times New Roman"/>
          <w:sz w:val="20"/>
        </w:rPr>
        <w:t xml:space="preserve">Preferred Stock Purchase Agreement, or the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Purchase Agreement, at which Old Tango issued 27,152,255 shares of its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Preferred Stock for a per share price of $1.885, for aggregate gross proceeds in the amount of $51.2 million. The following holders of more than 5% of Old Tango’s capital stock participated in the </w:t>
      </w:r>
    </w:p>
    <w:p>
      <w:pPr>
        <w:pStyle w:val="TextBody"/>
        <w:spacing w:before="120" w:after="0"/>
        <w:jc w:val="left"/>
        <w:rPr>
          <w:rFonts w:ascii="Times New Roman" w:hAnsi="Times New Roman"/>
          <w:spacing w:val="0"/>
          <w:sz w:val="20"/>
        </w:rPr>
      </w:pPr>
      <w:r>
        <w:rPr>
          <w:rFonts w:ascii="Times New Roman" w:hAnsi="Times New Roman"/>
          <w:spacing w:val="0"/>
          <w:sz w:val="20"/>
        </w:rPr>
        <w:t>Series B-1</w:t>
      </w:r>
    </w:p>
    <w:p>
      <w:pPr>
        <w:pStyle w:val="TextBody"/>
        <w:spacing w:before="120" w:after="0"/>
        <w:jc w:val="left"/>
        <w:rPr>
          <w:rFonts w:ascii="Times New Roman" w:hAnsi="Times New Roman"/>
          <w:sz w:val="20"/>
        </w:rPr>
      </w:pPr>
      <w:r>
        <w:rPr>
          <w:rFonts w:ascii="Times New Roman" w:hAnsi="Times New Roman"/>
          <w:sz w:val="20"/>
        </w:rPr>
        <w:t xml:space="preserve">Preferred Stock financing. </w:t>
      </w:r>
    </w:p>
    <w:p>
      <w:pPr>
        <w:pStyle w:val="TextBody"/>
        <w:spacing w:before="0" w:after="0"/>
        <w:jc w:val="left"/>
        <w:rPr>
          <w:spacing w:val="0"/>
        </w:rPr>
      </w:pPr>
      <w:r>
        <w:rPr>
          <w:spacing w:val="0"/>
        </w:rPr>
        <w:t> </w:t>
      </w:r>
    </w:p>
    <w:tbl>
      <w:tblPr>
        <w:tblW w:w="8054" w:type="dxa"/>
        <w:jc w:val="left"/>
        <w:tblInd w:w="0" w:type="dxa"/>
        <w:tblCellMar>
          <w:top w:w="0" w:type="dxa"/>
          <w:left w:w="0" w:type="dxa"/>
          <w:bottom w:w="0" w:type="dxa"/>
          <w:right w:w="0" w:type="dxa"/>
        </w:tblCellMar>
      </w:tblPr>
      <w:tblGrid>
        <w:gridCol w:w="4490"/>
        <w:gridCol w:w="120"/>
        <w:gridCol w:w="84"/>
        <w:gridCol w:w="1556"/>
        <w:gridCol w:w="60"/>
        <w:gridCol w:w="120"/>
        <w:gridCol w:w="140"/>
        <w:gridCol w:w="1409"/>
        <w:gridCol w:w="75"/>
      </w:tblGrid>
      <w:tr>
        <w:trPr/>
        <w:tc>
          <w:tcPr>
            <w:tcW w:w="44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 of 5% Tango Stockholder</w:t>
            </w:r>
          </w:p>
        </w:tc>
        <w:tc>
          <w:tcPr>
            <w:tcW w:w="12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0"/>
              <w:jc w:val="center"/>
              <w:rPr>
                <w:b/>
                <w:spacing w:val="0"/>
              </w:rPr>
            </w:pPr>
            <w:r>
              <w:rPr>
                <w:b/>
                <w:spacing w:val="0"/>
              </w:rPr>
              <w:t>Number of</w:t>
              <w:br/>
              <w:t xml:space="preserve">Series </w:t>
            </w:r>
          </w:p>
          <w:p>
            <w:pPr>
              <w:pStyle w:val="TableContents"/>
              <w:spacing w:before="0" w:after="0"/>
              <w:jc w:val="center"/>
              <w:rPr>
                <w:b/>
                <w:spacing w:val="0"/>
              </w:rPr>
            </w:pPr>
            <w:r>
              <w:rPr>
                <w:b/>
                <w:spacing w:val="0"/>
              </w:rPr>
              <w:t>B-1</w:t>
            </w:r>
          </w:p>
          <w:p>
            <w:pPr>
              <w:pStyle w:val="TableContents"/>
              <w:spacing w:before="0" w:after="0"/>
              <w:jc w:val="center"/>
              <w:rPr>
                <w:b/>
                <w:spacing w:val="0"/>
              </w:rPr>
            </w:pPr>
            <w:r>
              <w:rPr>
                <w:b/>
                <w:spacing w:val="0"/>
              </w:rPr>
              <w:br/>
              <w:t>Preferred Stock</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9" w:type="dxa"/>
            <w:gridSpan w:val="2"/>
            <w:tcBorders/>
            <w:shd w:fill="auto" w:val="clear"/>
            <w:vAlign w:val="center"/>
          </w:tcPr>
          <w:p>
            <w:pPr>
              <w:pStyle w:val="TableContents"/>
              <w:spacing w:before="0" w:after="0"/>
              <w:jc w:val="center"/>
              <w:rPr>
                <w:b/>
                <w:spacing w:val="0"/>
              </w:rPr>
            </w:pPr>
            <w:r>
              <w:rPr>
                <w:b/>
                <w:spacing w:val="0"/>
              </w:rPr>
              <w:t>Aggregate</w:t>
              <w:br/>
              <w:t>Purchase Price</w:t>
            </w:r>
          </w:p>
        </w:tc>
        <w:tc>
          <w:tcPr>
            <w:tcW w:w="75" w:type="dxa"/>
            <w:tcBorders/>
            <w:shd w:fill="auto"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Boxer Capital, LLC and affiliated entities(1)</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556" w:type="dxa"/>
            <w:tcBorders/>
            <w:shd w:fill="CCEEFF" w:val="clear"/>
            <w:vAlign w:val="center"/>
          </w:tcPr>
          <w:p>
            <w:pPr>
              <w:pStyle w:val="TableContents"/>
              <w:spacing w:before="0" w:after="283"/>
              <w:jc w:val="right"/>
              <w:rPr/>
            </w:pPr>
            <w:r>
              <w:rPr/>
              <w:t>3,511,769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09" w:type="dxa"/>
            <w:tcBorders/>
            <w:shd w:fill="CCEEFF" w:val="clear"/>
            <w:vAlign w:val="center"/>
          </w:tcPr>
          <w:p>
            <w:pPr>
              <w:pStyle w:val="TableContents"/>
              <w:spacing w:before="0" w:after="283"/>
              <w:jc w:val="right"/>
              <w:rPr/>
            </w:pPr>
            <w:r>
              <w:rPr/>
              <w:t>6,519,684.57</w:t>
            </w:r>
          </w:p>
        </w:tc>
        <w:tc>
          <w:tcPr>
            <w:tcW w:w="75" w:type="dxa"/>
            <w:tcBorders/>
            <w:shd w:fill="CCEEFF" w:val="clear"/>
            <w:vAlign w:val="center"/>
          </w:tcPr>
          <w:p>
            <w:pPr>
              <w:pStyle w:val="TableContents"/>
              <w:spacing w:before="0" w:after="283"/>
              <w:rPr/>
            </w:pPr>
            <w:r>
              <w:rPr/>
              <w:t> </w:t>
            </w:r>
          </w:p>
        </w:tc>
      </w:tr>
      <w:tr>
        <w:trPr/>
        <w:tc>
          <w:tcPr>
            <w:tcW w:w="44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Casdin Capital</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556" w:type="dxa"/>
            <w:tcBorders/>
            <w:shd w:fill="auto" w:val="clear"/>
            <w:vAlign w:val="center"/>
          </w:tcPr>
          <w:p>
            <w:pPr>
              <w:pStyle w:val="TableContents"/>
              <w:spacing w:before="0" w:after="283"/>
              <w:jc w:val="right"/>
              <w:rPr/>
            </w:pPr>
            <w:r>
              <w:rPr/>
              <w:t>7,957,852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409" w:type="dxa"/>
            <w:tcBorders/>
            <w:shd w:fill="auto" w:val="clear"/>
            <w:vAlign w:val="center"/>
          </w:tcPr>
          <w:p>
            <w:pPr>
              <w:pStyle w:val="TableContents"/>
              <w:spacing w:before="0" w:after="283"/>
              <w:jc w:val="right"/>
              <w:rPr/>
            </w:pPr>
            <w:r>
              <w:rPr/>
              <w:t>15,000,551.02</w:t>
            </w:r>
          </w:p>
        </w:tc>
        <w:tc>
          <w:tcPr>
            <w:tcW w:w="75" w:type="dxa"/>
            <w:tcBorders/>
            <w:shd w:fill="auto"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Cormorant Asset Management and affiliated entities(2)</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556" w:type="dxa"/>
            <w:tcBorders/>
            <w:shd w:fill="CCEEFF" w:val="clear"/>
            <w:vAlign w:val="center"/>
          </w:tcPr>
          <w:p>
            <w:pPr>
              <w:pStyle w:val="TableContents"/>
              <w:spacing w:before="0" w:after="283"/>
              <w:jc w:val="right"/>
              <w:rPr/>
            </w:pPr>
            <w:r>
              <w:rPr/>
              <w:t>1,560,786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09" w:type="dxa"/>
            <w:tcBorders/>
            <w:shd w:fill="CCEEFF" w:val="clear"/>
            <w:vAlign w:val="center"/>
          </w:tcPr>
          <w:p>
            <w:pPr>
              <w:pStyle w:val="TableContents"/>
              <w:spacing w:before="0" w:after="283"/>
              <w:jc w:val="right"/>
              <w:rPr/>
            </w:pPr>
            <w:r>
              <w:rPr/>
              <w:t>2,942,081.61</w:t>
            </w:r>
          </w:p>
        </w:tc>
        <w:tc>
          <w:tcPr>
            <w:tcW w:w="75" w:type="dxa"/>
            <w:tcBorders/>
            <w:shd w:fill="CCEEFF" w:val="clear"/>
            <w:vAlign w:val="center"/>
          </w:tcPr>
          <w:p>
            <w:pPr>
              <w:pStyle w:val="TableContents"/>
              <w:spacing w:before="0" w:after="283"/>
              <w:rPr/>
            </w:pPr>
            <w:r>
              <w:rPr/>
              <w:t> </w:t>
            </w:r>
          </w:p>
        </w:tc>
      </w:tr>
      <w:tr>
        <w:trPr/>
        <w:tc>
          <w:tcPr>
            <w:tcW w:w="44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Hillhouse Capital</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556" w:type="dxa"/>
            <w:tcBorders/>
            <w:shd w:fill="auto" w:val="clear"/>
            <w:vAlign w:val="center"/>
          </w:tcPr>
          <w:p>
            <w:pPr>
              <w:pStyle w:val="TableContents"/>
              <w:spacing w:before="0" w:after="283"/>
              <w:jc w:val="right"/>
              <w:rPr/>
            </w:pPr>
            <w:r>
              <w:rPr/>
              <w:t>1,950,983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409" w:type="dxa"/>
            <w:tcBorders/>
            <w:shd w:fill="auto" w:val="clear"/>
            <w:vAlign w:val="center"/>
          </w:tcPr>
          <w:p>
            <w:pPr>
              <w:pStyle w:val="TableContents"/>
              <w:spacing w:before="0" w:after="283"/>
              <w:jc w:val="right"/>
              <w:rPr/>
            </w:pPr>
            <w:r>
              <w:rPr/>
              <w:t>3,677,602.96</w:t>
            </w:r>
          </w:p>
        </w:tc>
        <w:tc>
          <w:tcPr>
            <w:tcW w:w="75" w:type="dxa"/>
            <w:tcBorders/>
            <w:shd w:fill="auto"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Gilead Sciences, Inc.</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556" w:type="dxa"/>
            <w:tcBorders/>
            <w:shd w:fill="CCEEFF" w:val="clear"/>
            <w:vAlign w:val="center"/>
          </w:tcPr>
          <w:p>
            <w:pPr>
              <w:pStyle w:val="TableContents"/>
              <w:spacing w:before="0" w:after="283"/>
              <w:jc w:val="right"/>
              <w:rPr/>
            </w:pPr>
            <w:r>
              <w:rPr/>
              <w:t>10,610,079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09" w:type="dxa"/>
            <w:tcBorders/>
            <w:shd w:fill="CCEEFF" w:val="clear"/>
            <w:vAlign w:val="center"/>
          </w:tcPr>
          <w:p>
            <w:pPr>
              <w:pStyle w:val="TableContents"/>
              <w:spacing w:before="0" w:after="283"/>
              <w:jc w:val="right"/>
              <w:rPr/>
            </w:pPr>
            <w:r>
              <w:rPr/>
              <w:t>19,999,998.92</w:t>
            </w:r>
          </w:p>
        </w:tc>
        <w:tc>
          <w:tcPr>
            <w:tcW w:w="75" w:type="dxa"/>
            <w:tcBorders/>
            <w:shd w:fill="CCEEFF"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(1)</w:t>
            </w:r>
          </w:p>
        </w:tc>
        <w:tc>
          <w:tcPr>
            <w:tcW w:w="994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Includes Boxer Capital LLC, which purchased 3,392,141 shares; and MVA Investors, LLC, which purchased 119,628 shares. Aaron Davis, a member of our Board of Directors, is Chief Executive Officer of Boxer Capital, LLC. Boxer Capital, LLC and Mr. Davis are each affiliated with BCTG and the Sponsor. </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(2)</w:t>
            </w:r>
          </w:p>
        </w:tc>
        <w:tc>
          <w:tcPr>
            <w:tcW w:w="99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Includes Cormorant Private Healthcare Fund II, LP, which purchased 1,235,518 shares; and Cormorant Global Healthcare Master Fund, LP, which purchased 325,268 shares.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Gilead Collaboration Agreement </w:t>
      </w:r>
    </w:p>
    <w:p>
      <w:pPr>
        <w:pStyle w:val="TextBody"/>
        <w:spacing w:before="120" w:after="0"/>
        <w:jc w:val="left"/>
        <w:rPr>
          <w:rFonts w:ascii="Times New Roman" w:hAnsi="Times New Roman"/>
          <w:sz w:val="20"/>
        </w:rPr>
      </w:pPr>
      <w:r>
        <w:rPr>
          <w:rFonts w:ascii="Times New Roman" w:hAnsi="Times New Roman"/>
          <w:sz w:val="20"/>
        </w:rPr>
        <w:t xml:space="preserve">In October 2018, we entered into a Collaboration and License Agreement with Gilead Sciences, Inc. which collaboration was amended and restated on August 17, 2020, concurrently with the closing of the </w:t>
      </w:r>
    </w:p>
    <w:p>
      <w:pPr>
        <w:pStyle w:val="TextBody"/>
        <w:spacing w:before="120" w:after="0"/>
        <w:jc w:val="left"/>
        <w:rPr>
          <w:rFonts w:ascii="Times New Roman" w:hAnsi="Times New Roman"/>
          <w:spacing w:val="0"/>
          <w:sz w:val="20"/>
        </w:rPr>
      </w:pPr>
      <w:r>
        <w:rPr>
          <w:rFonts w:ascii="Times New Roman" w:hAnsi="Times New Roman"/>
          <w:spacing w:val="0"/>
          <w:sz w:val="20"/>
        </w:rPr>
        <w:t>Series B-1</w:t>
      </w:r>
    </w:p>
    <w:p>
      <w:pPr>
        <w:pStyle w:val="TextBody"/>
        <w:spacing w:before="120" w:after="0"/>
        <w:jc w:val="left"/>
        <w:rPr>
          <w:rFonts w:ascii="Times New Roman" w:hAnsi="Times New Roman"/>
          <w:sz w:val="20"/>
        </w:rPr>
      </w:pPr>
      <w:r>
        <w:rPr>
          <w:rFonts w:ascii="Times New Roman" w:hAnsi="Times New Roman"/>
          <w:sz w:val="20"/>
        </w:rPr>
        <w:t>Preferred Stock financing in which Gilead Sciences, Inc. participated. Gilead Sciences, Inc. holds 5% or more of our capital stock. See the section titled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Business — Collaboration and License Agreements — Collaboration and License Agreement with Gilead Sciences</w:t>
      </w:r>
    </w:p>
    <w:p>
      <w:pPr>
        <w:pStyle w:val="TextBody"/>
        <w:spacing w:before="120" w:after="0"/>
        <w:jc w:val="left"/>
        <w:rPr/>
      </w:pPr>
      <w:r>
        <w:rPr/>
        <w:t xml:space="preserve">” </w:t>
      </w:r>
      <w:r>
        <w:rPr>
          <w:rFonts w:ascii="Times New Roman" w:hAnsi="Times New Roman"/>
          <w:sz w:val="20"/>
        </w:rPr>
        <w:t xml:space="preserve">for more information.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Investors Rights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connection with the initial closing of the Series B Preferred Stock financing, Old Tango entered into an Amended and Restated Investors Rights Agreement, or the Investors Rights Agreement with certain of its investors, including its 5% stockholders. Pursuant to the Investors Agreement, the investors were granted certain demand and registration rights as well as certain information rights. In connection with the Merger, the Investors Rights Agreement was terminated at the closing of the Business Combination.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Voting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connection with the initial closing of the Series B Preferred Stock financing, Old Tango entered into an Amended and Restated Voting Agreement, or the Voting Agreement with certain of its investors, including its 5% stockholders. Pursuant to the Investors Agreement, certain investors were given the right to designate certain members of Old Tango’s board of directors. In connection with the Merger, the Voting Agreement was terminated at the closing of the Business Combination.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Indemnification Agreements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Policies for Approval of Related Party Transactions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board of directors reviews and approves transactions with directors, officers and holders of 5% or more our capital stock and their affiliates, or each, related party. Prior to the transaction,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Policies and Procedures for Related Party Transactions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adopted a written related person transaction policy that sets forth the following policies and procedures for the review and approval or ratification of related person transactions.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 </w:t>
      </w:r>
    </w:p>
    <w:p>
      <w:pPr>
        <w:pStyle w:val="TextBody"/>
        <w:spacing w:before="0" w:after="0"/>
        <w:jc w:val="left"/>
        <w:rPr>
          <w:spacing w:val="0"/>
        </w:rPr>
      </w:pPr>
      <w:r>
        <w:rPr>
          <w:spacing w:val="0"/>
        </w:rPr>
        <w:t> </w:t>
      </w:r>
    </w:p>
    <w:tbl>
      <w:tblPr>
        <w:tblW w:w="9520" w:type="dxa"/>
        <w:jc w:val="left"/>
        <w:tblInd w:w="0" w:type="dxa"/>
        <w:tblCellMar>
          <w:top w:w="0" w:type="dxa"/>
          <w:left w:w="0" w:type="dxa"/>
          <w:bottom w:w="0" w:type="dxa"/>
          <w:right w:w="0" w:type="dxa"/>
        </w:tblCellMar>
      </w:tblPr>
      <w:tblGrid>
        <w:gridCol w:w="75"/>
        <w:gridCol w:w="110"/>
        <w:gridCol w:w="60"/>
        <w:gridCol w:w="9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person who is, or at any time during the applicable period was, one of our officers or one of Tango’s directors; </w:t>
            </w:r>
          </w:p>
        </w:tc>
      </w:tr>
    </w:tbl>
    <w:p>
      <w:pPr>
        <w:pStyle w:val="TextBody"/>
        <w:spacing w:before="0" w:after="0"/>
        <w:jc w:val="left"/>
        <w:rPr>
          <w:spacing w:val="0"/>
        </w:rPr>
      </w:pPr>
      <w:r>
        <w:rPr>
          <w:spacing w:val="0"/>
        </w:rPr>
        <w:t> </w:t>
      </w:r>
    </w:p>
    <w:tbl>
      <w:tblPr>
        <w:tblW w:w="8035" w:type="dxa"/>
        <w:jc w:val="left"/>
        <w:tblInd w:w="0" w:type="dxa"/>
        <w:tblCellMar>
          <w:top w:w="0" w:type="dxa"/>
          <w:left w:w="0" w:type="dxa"/>
          <w:bottom w:w="0" w:type="dxa"/>
          <w:right w:w="0" w:type="dxa"/>
        </w:tblCellMar>
      </w:tblPr>
      <w:tblGrid>
        <w:gridCol w:w="75"/>
        <w:gridCol w:w="110"/>
        <w:gridCol w:w="60"/>
        <w:gridCol w:w="77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person who is known by us to be the beneficial owner of more than 5% of our voting stock;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immediate family member of any of the foregoing persons, which means any child, stepchild, parent, stepparent, spouse, sibling, </w:t>
            </w:r>
          </w:p>
          <w:p>
            <w:pPr>
              <w:pStyle w:val="TableContents"/>
              <w:spacing w:before="0" w:after="0"/>
              <w:jc w:val="left"/>
              <w:rPr>
                <w:rFonts w:ascii="Times New Roman" w:hAnsi="Times New Roman"/>
                <w:spacing w:val="0"/>
                <w:sz w:val="20"/>
              </w:rPr>
            </w:pPr>
            <w:r>
              <w:rPr>
                <w:rFonts w:ascii="Times New Roman" w:hAnsi="Times New Roman"/>
                <w:spacing w:val="0"/>
                <w:sz w:val="20"/>
              </w:rPr>
              <w:t>mother-in-law,</w:t>
            </w:r>
          </w:p>
          <w:p>
            <w:pPr>
              <w:pStyle w:val="TableContents"/>
              <w:spacing w:before="0" w:after="0"/>
              <w:jc w:val="left"/>
              <w:rPr>
                <w:rFonts w:ascii="Times New Roman" w:hAnsi="Times New Roman"/>
                <w:spacing w:val="0"/>
                <w:sz w:val="20"/>
              </w:rPr>
            </w:pPr>
            <w:r>
              <w:rPr>
                <w:rFonts w:ascii="Times New Roman" w:hAnsi="Times New Roman"/>
                <w:spacing w:val="0"/>
                <w:sz w:val="20"/>
              </w:rPr>
              <w:t>father-in-law,</w:t>
            </w:r>
          </w:p>
          <w:p>
            <w:pPr>
              <w:pStyle w:val="TableContents"/>
              <w:spacing w:before="0" w:after="0"/>
              <w:jc w:val="left"/>
              <w:rPr>
                <w:rFonts w:ascii="Times New Roman" w:hAnsi="Times New Roman"/>
                <w:spacing w:val="0"/>
                <w:sz w:val="20"/>
              </w:rPr>
            </w:pPr>
            <w:r>
              <w:rPr>
                <w:rFonts w:ascii="Times New Roman" w:hAnsi="Times New Roman"/>
                <w:spacing w:val="0"/>
                <w:sz w:val="20"/>
              </w:rPr>
              <w:t>daughter-in-law,</w:t>
            </w:r>
          </w:p>
          <w:p>
            <w:pPr>
              <w:pStyle w:val="TableContents"/>
              <w:spacing w:before="0" w:after="0"/>
              <w:jc w:val="left"/>
              <w:rPr>
                <w:rFonts w:ascii="Times New Roman" w:hAnsi="Times New Roman"/>
                <w:spacing w:val="0"/>
                <w:sz w:val="20"/>
              </w:rPr>
            </w:pPr>
            <w:r>
              <w:rPr>
                <w:rFonts w:ascii="Times New Roman" w:hAnsi="Times New Roman"/>
                <w:spacing w:val="0"/>
                <w:sz w:val="20"/>
              </w:rPr>
              <w:t>brother-in-law</w:t>
            </w:r>
          </w:p>
          <w:p>
            <w:pPr>
              <w:pStyle w:val="TableContents"/>
              <w:spacing w:before="0" w:after="0"/>
              <w:jc w:val="left"/>
              <w:rPr>
                <w:rFonts w:ascii="Times New Roman" w:hAnsi="Times New Roman"/>
                <w:sz w:val="20"/>
              </w:rPr>
            </w:pPr>
            <w:r>
              <w:rPr>
                <w:rFonts w:ascii="Times New Roman" w:hAnsi="Times New Roman"/>
                <w:sz w:val="20"/>
              </w:rPr>
              <w:t xml:space="preserve">or </w:t>
            </w:r>
          </w:p>
          <w:p>
            <w:pPr>
              <w:pStyle w:val="TableContents"/>
              <w:spacing w:before="0" w:after="0"/>
              <w:jc w:val="left"/>
              <w:rPr>
                <w:rFonts w:ascii="Times New Roman" w:hAnsi="Times New Roman"/>
                <w:spacing w:val="0"/>
                <w:sz w:val="20"/>
              </w:rPr>
            </w:pPr>
            <w:r>
              <w:rPr>
                <w:rFonts w:ascii="Times New Roman" w:hAnsi="Times New Roman"/>
                <w:spacing w:val="0"/>
                <w:sz w:val="20"/>
              </w:rPr>
              <w:t>sister-in-law</w:t>
            </w:r>
          </w:p>
          <w:p>
            <w:pPr>
              <w:pStyle w:val="TableContents"/>
              <w:spacing w:before="0" w:after="0"/>
              <w:jc w:val="left"/>
              <w:rPr>
                <w:rFonts w:ascii="Times New Roman" w:hAnsi="Times New Roman"/>
                <w:sz w:val="20"/>
              </w:rPr>
            </w:pPr>
            <w:r>
              <w:rPr>
                <w:rFonts w:ascii="Times New Roman" w:hAnsi="Times New Roman"/>
                <w:sz w:val="20"/>
              </w:rPr>
              <w:t xml:space="preserve">of a director, officer or a beneficial owner of more than 5% of its voting stock, and any person (other than a tenant or employee) sharing the household of such director, officer or beneficial owner of more than five percent 5% of our voting stock;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firm, corporation or other entity in which any of the foregoing persons is a partner or principal or in a similar position or in which such person has a ten percent 10% or greater beneficial ownership interest.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our charter, the audit committee has the responsibility to review related party transactions.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155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MANAGEMENT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sets forth certain information, as of the date of this prospectus, concerning our directors and executive officers. </w:t>
      </w:r>
    </w:p>
    <w:p>
      <w:pPr>
        <w:pStyle w:val="TextBody"/>
        <w:spacing w:before="0" w:after="0"/>
        <w:jc w:val="left"/>
        <w:rPr>
          <w:spacing w:val="0"/>
        </w:rPr>
      </w:pPr>
      <w:r>
        <w:rPr>
          <w:spacing w:val="0"/>
        </w:rPr>
        <w:t> </w:t>
      </w:r>
    </w:p>
    <w:tbl>
      <w:tblPr>
        <w:tblW w:w="8100" w:type="dxa"/>
        <w:jc w:val="left"/>
        <w:tblInd w:w="0" w:type="dxa"/>
        <w:tblCellMar>
          <w:top w:w="0" w:type="dxa"/>
          <w:left w:w="0" w:type="dxa"/>
          <w:bottom w:w="0" w:type="dxa"/>
          <w:right w:w="0" w:type="dxa"/>
        </w:tblCellMar>
      </w:tblPr>
      <w:tblGrid>
        <w:gridCol w:w="1985"/>
        <w:gridCol w:w="120"/>
        <w:gridCol w:w="79"/>
        <w:gridCol w:w="346"/>
        <w:gridCol w:w="60"/>
        <w:gridCol w:w="120"/>
        <w:gridCol w:w="5390"/>
      </w:tblGrid>
      <w:tr>
        <w:trPr/>
        <w:tc>
          <w:tcPr>
            <w:tcW w:w="19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39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0"/>
              <w:rPr>
                <w:rFonts w:ascii="Times New Roman" w:hAnsi="Times New Roman"/>
                <w:b/>
                <w:spacing w:val="0"/>
                <w:sz w:val="16"/>
              </w:rPr>
            </w:pPr>
            <w:r>
              <w:rPr>
                <w:rFonts w:ascii="Times New Roman" w:hAnsi="Times New Roman"/>
                <w:b/>
                <w:spacing w:val="0"/>
                <w:sz w:val="16"/>
              </w:rPr>
              <w:t>Name</w:t>
            </w:r>
          </w:p>
        </w:tc>
        <w:tc>
          <w:tcPr>
            <w:tcW w:w="120" w:type="dxa"/>
            <w:tcBorders/>
            <w:shd w:fill="auto" w:val="clear"/>
            <w:vAlign w:val="center"/>
          </w:tcPr>
          <w:p>
            <w:pPr>
              <w:pStyle w:val="TableContents"/>
              <w:spacing w:before="0" w:after="283"/>
              <w:rPr/>
            </w:pPr>
            <w:r>
              <w:rPr/>
              <w:t>  </w:t>
            </w:r>
          </w:p>
        </w:tc>
        <w:tc>
          <w:tcPr>
            <w:tcW w:w="425" w:type="dxa"/>
            <w:gridSpan w:val="2"/>
            <w:tcBorders/>
            <w:shd w:fill="auto" w:val="clear"/>
            <w:vAlign w:val="center"/>
          </w:tcPr>
          <w:p>
            <w:pPr>
              <w:pStyle w:val="TableContents"/>
              <w:spacing w:before="0" w:after="0"/>
              <w:jc w:val="center"/>
              <w:rPr>
                <w:b/>
                <w:spacing w:val="0"/>
              </w:rPr>
            </w:pPr>
            <w:r>
              <w:rPr>
                <w:b/>
                <w:spacing w:val="0"/>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0"/>
              <w:jc w:val="center"/>
              <w:rPr>
                <w:b/>
                <w:spacing w:val="0"/>
              </w:rPr>
            </w:pPr>
            <w:r>
              <w:rPr>
                <w:b/>
                <w:spacing w:val="0"/>
              </w:rPr>
              <w:t>Position</w:t>
            </w:r>
          </w:p>
        </w:tc>
      </w:tr>
      <w:tr>
        <w:trPr/>
        <w:tc>
          <w:tcPr>
            <w:tcW w:w="19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Barbara Weber, M.D.</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390" w:type="dxa"/>
            <w:tcBorders/>
            <w:shd w:fill="CCEEFF" w:val="clear"/>
            <w:vAlign w:val="center"/>
          </w:tcPr>
          <w:p>
            <w:pPr>
              <w:pStyle w:val="TableContents"/>
              <w:spacing w:before="0" w:after="283"/>
              <w:rPr/>
            </w:pPr>
            <w:r>
              <w:rPr/>
              <w:t>President, Chief Executive Officer and Class III Director</w:t>
            </w:r>
          </w:p>
        </w:tc>
      </w:tr>
      <w:tr>
        <w:trPr/>
        <w:tc>
          <w:tcPr>
            <w:tcW w:w="19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Daniella Beckman</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283"/>
              <w:rPr/>
            </w:pPr>
            <w:r>
              <w:rPr/>
              <w:t>Chief Financial Officer</w:t>
            </w:r>
          </w:p>
        </w:tc>
      </w:tr>
      <w:tr>
        <w:trPr/>
        <w:tc>
          <w:tcPr>
            <w:tcW w:w="19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Alan Huang, Ph.D.</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390" w:type="dxa"/>
            <w:tcBorders/>
            <w:shd w:fill="CCEEFF" w:val="clear"/>
            <w:vAlign w:val="center"/>
          </w:tcPr>
          <w:p>
            <w:pPr>
              <w:pStyle w:val="TableContents"/>
              <w:spacing w:before="0" w:after="283"/>
              <w:rPr/>
            </w:pPr>
            <w:r>
              <w:rPr/>
              <w:t>Chief Scientific Officer</w:t>
            </w:r>
          </w:p>
        </w:tc>
      </w:tr>
      <w:tr>
        <w:trPr/>
        <w:tc>
          <w:tcPr>
            <w:tcW w:w="19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Alexis Borisy</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283"/>
              <w:rPr/>
            </w:pPr>
            <w:r>
              <w:rPr/>
              <w:t>Class III Director and Chair</w:t>
            </w:r>
          </w:p>
        </w:tc>
      </w:tr>
      <w:tr>
        <w:trPr/>
        <w:tc>
          <w:tcPr>
            <w:tcW w:w="19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Lesley Calhoun</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390" w:type="dxa"/>
            <w:tcBorders/>
            <w:shd w:fill="CCEEFF" w:val="clear"/>
            <w:vAlign w:val="center"/>
          </w:tcPr>
          <w:p>
            <w:pPr>
              <w:pStyle w:val="TableContents"/>
              <w:spacing w:before="0" w:after="283"/>
              <w:rPr/>
            </w:pPr>
            <w:r>
              <w:rPr/>
              <w:t>Class I Director</w:t>
            </w:r>
          </w:p>
        </w:tc>
      </w:tr>
      <w:tr>
        <w:trPr/>
        <w:tc>
          <w:tcPr>
            <w:tcW w:w="19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Aaron Davis</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283"/>
              <w:rPr/>
            </w:pPr>
            <w:r>
              <w:rPr/>
              <w:t>Class III Director</w:t>
            </w:r>
          </w:p>
        </w:tc>
      </w:tr>
      <w:tr>
        <w:trPr/>
        <w:tc>
          <w:tcPr>
            <w:tcW w:w="19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Reid Huber Ph.D.</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390" w:type="dxa"/>
            <w:tcBorders/>
            <w:shd w:fill="CCEEFF" w:val="clear"/>
            <w:vAlign w:val="center"/>
          </w:tcPr>
          <w:p>
            <w:pPr>
              <w:pStyle w:val="TableContents"/>
              <w:spacing w:before="0" w:after="283"/>
              <w:rPr/>
            </w:pPr>
            <w:r>
              <w:rPr/>
              <w:t>Class I Director</w:t>
            </w:r>
          </w:p>
        </w:tc>
      </w:tr>
      <w:tr>
        <w:trPr/>
        <w:tc>
          <w:tcPr>
            <w:tcW w:w="19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Malte Peters, M.D.</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283"/>
              <w:rPr/>
            </w:pPr>
            <w:r>
              <w:rPr/>
              <w:t>Class II Director</w:t>
            </w:r>
          </w:p>
        </w:tc>
      </w:tr>
      <w:tr>
        <w:trPr/>
        <w:tc>
          <w:tcPr>
            <w:tcW w:w="19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Mace Rothenberg, M.D.</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390" w:type="dxa"/>
            <w:tcBorders/>
            <w:shd w:fill="CCEEFF" w:val="clear"/>
            <w:vAlign w:val="center"/>
          </w:tcPr>
          <w:p>
            <w:pPr>
              <w:pStyle w:val="TableContents"/>
              <w:spacing w:before="0" w:after="283"/>
              <w:rPr/>
            </w:pPr>
            <w:r>
              <w:rPr/>
              <w:t>Class II Director</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Executive Officers </w:t>
      </w:r>
    </w:p>
    <w:p>
      <w:pPr>
        <w:pStyle w:val="TextBody"/>
        <w:spacing w:before="120" w:after="0"/>
        <w:jc w:val="left"/>
        <w:rPr>
          <w:rFonts w:ascii="Times New Roman" w:hAnsi="Times New Roman"/>
          <w:b/>
          <w:spacing w:val="0"/>
          <w:sz w:val="20"/>
        </w:rPr>
      </w:pPr>
      <w:r>
        <w:rPr>
          <w:rFonts w:ascii="Times New Roman" w:hAnsi="Times New Roman"/>
          <w:b/>
          <w:spacing w:val="0"/>
          <w:sz w:val="20"/>
        </w:rPr>
        <w:t>Barbara Weber, M.D.</w:t>
      </w:r>
    </w:p>
    <w:p>
      <w:pPr>
        <w:pStyle w:val="TextBody"/>
        <w:spacing w:before="120" w:after="0"/>
        <w:jc w:val="left"/>
        <w:rPr/>
      </w:pPr>
      <w:r>
        <w:rPr/>
        <w:t> </w:t>
      </w:r>
      <w:r>
        <w:rPr>
          <w:rFonts w:ascii="Times New Roman" w:hAnsi="Times New Roman"/>
          <w:sz w:val="20"/>
        </w:rPr>
        <w:t xml:space="preserve">has served as our President and Chief Executive Officer since March 2017. Dr. Weber has been a Venture Partner at Third Rock 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received a B.S. in Chemistry and an M.D. from the University of Washington, was a resident in internal medicine at Yale University and fellow in Medical Oncology at the Dana Farber Cancer Institute. We believe Dr. Weber qualifies to serve on our board based on her position as our President and Chief Executive Officer, her leadership experience and her extensive experience in the biopharmaceutical industry. </w:t>
      </w:r>
    </w:p>
    <w:p>
      <w:pPr>
        <w:pStyle w:val="TextBody"/>
        <w:spacing w:before="240" w:after="0"/>
        <w:jc w:val="left"/>
        <w:rPr>
          <w:rFonts w:ascii="Times New Roman" w:hAnsi="Times New Roman"/>
          <w:b/>
          <w:spacing w:val="0"/>
          <w:sz w:val="20"/>
        </w:rPr>
      </w:pPr>
      <w:r>
        <w:rPr>
          <w:rFonts w:ascii="Times New Roman" w:hAnsi="Times New Roman"/>
          <w:b/>
          <w:spacing w:val="0"/>
          <w:sz w:val="20"/>
        </w:rPr>
        <w:t>Daniella Beckman</w:t>
      </w:r>
    </w:p>
    <w:p>
      <w:pPr>
        <w:pStyle w:val="TextBody"/>
        <w:spacing w:before="240" w:after="0"/>
        <w:jc w:val="left"/>
        <w:rPr/>
      </w:pPr>
      <w:r>
        <w:rPr/>
        <w:t> </w:t>
      </w:r>
      <w:r>
        <w:rPr>
          <w:rFonts w:ascii="Times New Roman" w:hAnsi="Times New Roman"/>
          <w:sz w:val="20"/>
        </w:rPr>
        <w:t xml:space="preserve">has served as our Chief Financial Officer since September 2019 and served as our interim Chief Financial Officer from October 2016 to August 2019. Prior to joining us,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has served on the board of directors of Translate Bio, Inc., a clinical-stage mRNA therapeutics company, since October 2017, on the board of directors of 5:01 Acquisition Corp, a special purpose acquisition company, since October 2020 and on the board of directors of Vor Biopharma Inc., a cell therapies company, since July 2020. Ms. Beckman holds a B.S. in business administration-accounting from Boston University. She is also a certified public accountant in Massachusetts. </w:t>
      </w:r>
    </w:p>
    <w:p>
      <w:pPr>
        <w:pStyle w:val="TextBody"/>
        <w:spacing w:before="240" w:after="0"/>
        <w:jc w:val="left"/>
        <w:rPr>
          <w:rFonts w:ascii="Times New Roman" w:hAnsi="Times New Roman"/>
          <w:b/>
          <w:spacing w:val="0"/>
          <w:sz w:val="20"/>
        </w:rPr>
      </w:pPr>
      <w:r>
        <w:rPr>
          <w:rFonts w:ascii="Times New Roman" w:hAnsi="Times New Roman"/>
          <w:b/>
          <w:spacing w:val="0"/>
          <w:sz w:val="20"/>
        </w:rPr>
        <w:t>Alan Huang, Ph.D.</w:t>
      </w:r>
    </w:p>
    <w:p>
      <w:pPr>
        <w:pStyle w:val="TextBody"/>
        <w:spacing w:before="240" w:after="0"/>
        <w:jc w:val="left"/>
        <w:rPr>
          <w:rFonts w:ascii="Times New Roman" w:hAnsi="Times New Roman"/>
          <w:sz w:val="20"/>
        </w:rPr>
      </w:pPr>
      <w:r>
        <w:rPr>
          <w:rFonts w:ascii="Times New Roman" w:hAnsi="Times New Roman"/>
          <w:sz w:val="20"/>
        </w:rPr>
        <w:t xml:space="preserve">, has served as our Chief Scientific Officer since April 2018. Before being appointed as Chief Scientific officer, Dr. Huang served as Senior Vice President, Head of Biology. From 2016 to 2017, he served as a consultant at Third Rock Ventures. Previously, Dr. Huang was Senior Director and interim Global Head of Oncology Translational Research at Novartis Institute for Biomedical Research. Prior to joining Novartis, Dr. Huang was a senior scientist at Millennium Pharmaceuticals, Inc. Dr. Huang obtained his B.S. in biochemistry from Fudan University and his doctorate in biochemistry &amp; molecular biology from the University of South Alabama. He completed a postdoctoral fellowship at Schepen’s Eye Research Institute of Harvard Medical School.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Non-Employee Directors </w:t>
      </w:r>
    </w:p>
    <w:p>
      <w:pPr>
        <w:pStyle w:val="TextBody"/>
        <w:spacing w:before="120" w:after="0"/>
        <w:jc w:val="left"/>
        <w:rPr>
          <w:rFonts w:ascii="Times New Roman" w:hAnsi="Times New Roman"/>
          <w:b/>
          <w:spacing w:val="0"/>
          <w:sz w:val="20"/>
        </w:rPr>
      </w:pPr>
      <w:r>
        <w:rPr>
          <w:rFonts w:ascii="Times New Roman" w:hAnsi="Times New Roman"/>
          <w:b/>
          <w:spacing w:val="0"/>
          <w:sz w:val="20"/>
        </w:rPr>
        <w:t>Alexis Borisy</w:t>
      </w:r>
    </w:p>
    <w:p>
      <w:pPr>
        <w:pStyle w:val="TextBody"/>
        <w:spacing w:before="120" w:after="0"/>
        <w:jc w:val="left"/>
        <w:rPr/>
      </w:pPr>
      <w:r>
        <w:rPr/>
        <w:t> </w:t>
      </w:r>
      <w:r>
        <w:rPr>
          <w:rFonts w:ascii="Times New Roman" w:hAnsi="Times New Roman"/>
          <w:sz w:val="20"/>
        </w:rPr>
        <w:t xml:space="preserve">has served as a member of our board of directors since our founding in 2017. Since June 2019, Mr. Borisy has served as Chief Executive Officer and chairman of EQRx, Inc., a biotechnology company. From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2010 to June 2019, Mr. Borisy was a partner at Third Rock Ventures, a series of venture capital funds investing in life science companies. Mr. Borisy </w:t>
      </w:r>
    </w:p>
    <w:p>
      <w:pPr>
        <w:pStyle w:val="TextBody"/>
        <w:spacing w:before="0" w:after="0"/>
        <w:jc w:val="left"/>
        <w:rPr>
          <w:rFonts w:ascii="Times New Roman" w:hAnsi="Times New Roman"/>
          <w:spacing w:val="0"/>
          <w:sz w:val="20"/>
        </w:rPr>
      </w:pPr>
      <w:r>
        <w:rPr>
          <w:rFonts w:ascii="Times New Roman" w:hAnsi="Times New Roman"/>
          <w:spacing w:val="0"/>
          <w:sz w:val="20"/>
        </w:rPr>
        <w:t>co-founded Blueprint</w:t>
      </w:r>
    </w:p>
    <w:p>
      <w:pPr>
        <w:pStyle w:val="TextBody"/>
        <w:spacing w:before="0" w:after="0"/>
        <w:jc w:val="left"/>
        <w:rPr>
          <w:rFonts w:ascii="Times New Roman" w:hAnsi="Times New Roman"/>
          <w:sz w:val="20"/>
        </w:rPr>
      </w:pPr>
      <w:r>
        <w:rPr>
          <w:rFonts w:ascii="Times New Roman" w:hAnsi="Times New Roman"/>
          <w:sz w:val="20"/>
        </w:rPr>
        <w:t xml:space="preserve">Medicines Corporation (NASDAQ: BPMC), a biopharmaceutical company, and served as its Interim Chief Executive Officer from 2013 to 2014 and has served as a member of its board of directors since 2011. Mr. Borisy </w:t>
      </w:r>
    </w:p>
    <w:p>
      <w:pPr>
        <w:pStyle w:val="TextBody"/>
        <w:spacing w:before="0" w:after="0"/>
        <w:jc w:val="left"/>
        <w:rPr>
          <w:rFonts w:ascii="Times New Roman" w:hAnsi="Times New Roman"/>
          <w:spacing w:val="0"/>
          <w:sz w:val="20"/>
        </w:rPr>
      </w:pPr>
      <w:r>
        <w:rPr>
          <w:rFonts w:ascii="Times New Roman" w:hAnsi="Times New Roman"/>
          <w:spacing w:val="0"/>
          <w:sz w:val="20"/>
        </w:rPr>
        <w:t>co-founded Foundation</w:t>
      </w:r>
    </w:p>
    <w:p>
      <w:pPr>
        <w:pStyle w:val="TextBody"/>
        <w:spacing w:before="0" w:after="0"/>
        <w:jc w:val="left"/>
        <w:rPr>
          <w:rFonts w:ascii="Times New Roman" w:hAnsi="Times New Roman"/>
          <w:sz w:val="20"/>
        </w:rPr>
      </w:pPr>
      <w:r>
        <w:rPr>
          <w:rFonts w:ascii="Times New Roman" w:hAnsi="Times New Roman"/>
          <w:sz w:val="20"/>
        </w:rPr>
        <w:t xml:space="preserve">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(NASDAQ: RLAY), Revolution Medicines, Inc. (NASDAQ: RVMD),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 </w:t>
      </w:r>
    </w:p>
    <w:p>
      <w:pPr>
        <w:pStyle w:val="TextBody"/>
        <w:spacing w:before="240" w:after="0"/>
        <w:jc w:val="left"/>
        <w:rPr>
          <w:rFonts w:ascii="Times New Roman" w:hAnsi="Times New Roman"/>
          <w:b/>
          <w:spacing w:val="0"/>
          <w:sz w:val="20"/>
        </w:rPr>
      </w:pPr>
      <w:r>
        <w:rPr>
          <w:rFonts w:ascii="Times New Roman" w:hAnsi="Times New Roman"/>
          <w:b/>
          <w:spacing w:val="0"/>
          <w:sz w:val="20"/>
        </w:rPr>
        <w:t>Lesley Ann Calhoun</w:t>
      </w:r>
    </w:p>
    <w:p>
      <w:pPr>
        <w:pStyle w:val="TextBody"/>
        <w:spacing w:before="240" w:after="0"/>
        <w:jc w:val="left"/>
        <w:rPr/>
      </w:pPr>
      <w:r>
        <w:rPr/>
        <w:t> </w:t>
      </w:r>
      <w:r>
        <w:rPr>
          <w:rFonts w:ascii="Times New Roman" w:hAnsi="Times New Roman"/>
          <w:sz w:val="20"/>
        </w:rPr>
        <w:t xml:space="preserve">has served as a member of our board of directors since March 2021. Since June 2020, Ms. Calhoun has served as Executive Vice 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w:t>
      </w:r>
    </w:p>
    <w:p>
      <w:pPr>
        <w:pStyle w:val="TextBody"/>
        <w:spacing w:before="240" w:after="0"/>
        <w:jc w:val="left"/>
        <w:rPr>
          <w:rFonts w:ascii="Times New Roman" w:hAnsi="Times New Roman"/>
          <w:spacing w:val="0"/>
          <w:sz w:val="20"/>
        </w:rPr>
      </w:pPr>
      <w:r>
        <w:rPr>
          <w:rFonts w:ascii="Times New Roman" w:hAnsi="Times New Roman"/>
          <w:spacing w:val="0"/>
          <w:sz w:val="20"/>
        </w:rPr>
        <w:t>pre-IPO stage</w:t>
      </w:r>
    </w:p>
    <w:p>
      <w:pPr>
        <w:pStyle w:val="TextBody"/>
        <w:spacing w:before="240" w:after="0"/>
        <w:jc w:val="left"/>
        <w:rPr>
          <w:rFonts w:ascii="Times New Roman" w:hAnsi="Times New Roman"/>
          <w:sz w:val="20"/>
        </w:rPr>
      </w:pPr>
      <w:r>
        <w:rPr>
          <w:rFonts w:ascii="Times New Roman" w:hAnsi="Times New Roman"/>
          <w:sz w:val="20"/>
        </w:rPr>
        <w:t xml:space="preserve">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 </w:t>
      </w:r>
    </w:p>
    <w:p>
      <w:pPr>
        <w:pStyle w:val="TextBody"/>
        <w:spacing w:before="240" w:after="0"/>
        <w:jc w:val="left"/>
        <w:rPr>
          <w:rFonts w:ascii="Times New Roman" w:hAnsi="Times New Roman"/>
          <w:b/>
          <w:spacing w:val="0"/>
          <w:sz w:val="20"/>
        </w:rPr>
      </w:pPr>
      <w:r>
        <w:rPr>
          <w:rFonts w:ascii="Times New Roman" w:hAnsi="Times New Roman"/>
          <w:b/>
          <w:spacing w:val="0"/>
          <w:sz w:val="20"/>
        </w:rPr>
        <w:t>Aaron Davis</w:t>
      </w:r>
    </w:p>
    <w:p>
      <w:pPr>
        <w:pStyle w:val="TextBody"/>
        <w:spacing w:before="240" w:after="0"/>
        <w:jc w:val="left"/>
        <w:rPr/>
      </w:pPr>
      <w:r>
        <w:rPr/>
        <w:t> </w:t>
      </w:r>
      <w:r>
        <w:rPr>
          <w:rFonts w:ascii="Times New Roman" w:hAnsi="Times New Roman"/>
          <w:sz w:val="20"/>
        </w:rPr>
        <w:t xml:space="preserve">has served as a member of our board of directors since April 2020. Mr. Davis has been the Chief Executive Officer of Boxer Capital, the healthcare arm of Tavistock Group, since 2012. He </w:t>
      </w:r>
    </w:p>
    <w:p>
      <w:pPr>
        <w:pStyle w:val="TextBody"/>
        <w:spacing w:before="240" w:after="0"/>
        <w:jc w:val="left"/>
        <w:rPr>
          <w:rFonts w:ascii="Times New Roman" w:hAnsi="Times New Roman"/>
          <w:spacing w:val="0"/>
          <w:sz w:val="20"/>
        </w:rPr>
      </w:pPr>
      <w:r>
        <w:rPr>
          <w:rFonts w:ascii="Times New Roman" w:hAnsi="Times New Roman"/>
          <w:spacing w:val="0"/>
          <w:sz w:val="20"/>
        </w:rPr>
        <w:t>co-founded Boxer</w:t>
      </w:r>
    </w:p>
    <w:p>
      <w:pPr>
        <w:pStyle w:val="TextBody"/>
        <w:spacing w:before="240" w:after="0"/>
        <w:jc w:val="left"/>
        <w:rPr>
          <w:rFonts w:ascii="Times New Roman" w:hAnsi="Times New Roman"/>
          <w:sz w:val="20"/>
        </w:rPr>
      </w:pPr>
      <w:r>
        <w:rPr>
          <w:rFonts w:ascii="Times New Roman" w:hAnsi="Times New Roman"/>
          <w:sz w:val="20"/>
        </w:rPr>
        <w:t xml:space="preserve">Capital in 2005 and, prior to being appointed Chief Executive Officer in 2012, served as Portfolio Manager. Prior to the Business Combination, Mr. Davis was the Chairman and Chief Executive Officer of BCTG Acquisition Corp., our predecessor company. He has also served as Executive Chairman of CiVi Biopharma Holdings, Inc. since 2016, as a member of the board of directors of Odonate Therapeutics, Inc. (NASDAQ: ODT) since December 2016; as a member of the board of directors of Mirati Therapeutics, Inc. (NASDAQ: MRTX) since December 2018 and as a member of the board of directors of iTeos Therapeutics, Inc. (NASDAQ: ITOS) since 2020. From 2000 to 2004, Mr. Davis worked in the Global Healthcare Investment Banking and Private Equity Groups at UBS Warburg, LLC. Mr. Davis holds an M.A. in biotechnology from Columbia University and a B.B.A. degree in finance from Emory University. We believe that Mr. Davis’s experience serving as a director of multiple biotechnology companies and his knowledge of funds specializing in the area of life sciences makes him qualified to serve as a member of our board of directors. </w:t>
      </w:r>
    </w:p>
    <w:p>
      <w:pPr>
        <w:pStyle w:val="TextBody"/>
        <w:spacing w:before="240" w:after="0"/>
        <w:jc w:val="left"/>
        <w:rPr>
          <w:rFonts w:ascii="Times New Roman" w:hAnsi="Times New Roman"/>
          <w:b/>
          <w:spacing w:val="0"/>
          <w:sz w:val="20"/>
        </w:rPr>
      </w:pPr>
      <w:r>
        <w:rPr>
          <w:rFonts w:ascii="Times New Roman" w:hAnsi="Times New Roman"/>
          <w:b/>
          <w:spacing w:val="0"/>
          <w:sz w:val="20"/>
        </w:rPr>
        <w:t>Reid M. Huber, Ph.D.,</w:t>
      </w:r>
    </w:p>
    <w:p>
      <w:pPr>
        <w:pStyle w:val="TextBody"/>
        <w:spacing w:before="240" w:after="0"/>
        <w:jc w:val="left"/>
        <w:rPr/>
      </w:pPr>
      <w:r>
        <w:rPr/>
        <w:t> </w:t>
      </w:r>
      <w:r>
        <w:rPr>
          <w:rFonts w:ascii="Times New Roman" w:hAnsi="Times New Roman"/>
          <w:sz w:val="20"/>
        </w:rPr>
        <w:t xml:space="preserve">has served as a member of our board of directors since July 2019. Dr. Huber has served as a Partner at Third Rock Ventures since December 2018. From April 2014 to December 2018, 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(NASDAQ: BLCM) since October 2014 and also currently serves on the board of MOMA Therapeutics, Asher Bio, Insitro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The American Cancer Society Dr. Huber received his Ph.D. in molecular genetics from the Washington University School of Medicine and held </w:t>
      </w:r>
    </w:p>
    <w:p>
      <w:pPr>
        <w:pStyle w:val="TextBody"/>
        <w:spacing w:before="0" w:after="0"/>
        <w:jc w:val="left"/>
        <w:rPr>
          <w:rFonts w:ascii="Times New Roman" w:hAnsi="Times New Roman"/>
          <w:spacing w:val="0"/>
          <w:sz w:val="20"/>
        </w:rPr>
      </w:pPr>
      <w:r>
        <w:rPr>
          <w:rFonts w:ascii="Times New Roman" w:hAnsi="Times New Roman"/>
          <w:spacing w:val="0"/>
          <w:sz w:val="20"/>
        </w:rPr>
        <w:t>pre-</w:t>
      </w:r>
    </w:p>
    <w:p>
      <w:pPr>
        <w:pStyle w:val="TextBody"/>
        <w:spacing w:before="0" w:after="0"/>
        <w:jc w:val="left"/>
        <w:rPr>
          <w:rFonts w:ascii="Times New Roman" w:hAnsi="Times New Roman"/>
          <w:sz w:val="20"/>
        </w:rPr>
      </w:pPr>
      <w:r>
        <w:rPr>
          <w:rFonts w:ascii="Times New Roman" w:hAnsi="Times New Roman"/>
          <w:sz w:val="20"/>
        </w:rPr>
        <w:t xml:space="preserve">and post-doctoral fellowships at the National Institutes of Health. We believe that Dr. Huber’s extensive background in the pharmaceutical industry and senior management experience qualify him to serve on our board of directors. </w:t>
      </w:r>
    </w:p>
    <w:p>
      <w:pPr>
        <w:pStyle w:val="TextBody"/>
        <w:spacing w:before="240" w:after="0"/>
        <w:jc w:val="left"/>
        <w:rPr>
          <w:rFonts w:ascii="Times New Roman" w:hAnsi="Times New Roman"/>
          <w:b/>
          <w:spacing w:val="0"/>
          <w:sz w:val="20"/>
        </w:rPr>
      </w:pPr>
      <w:r>
        <w:rPr>
          <w:rFonts w:ascii="Times New Roman" w:hAnsi="Times New Roman"/>
          <w:b/>
          <w:spacing w:val="0"/>
          <w:sz w:val="20"/>
        </w:rPr>
        <w:t>Malte Peters, M.D.,</w:t>
      </w:r>
    </w:p>
    <w:p>
      <w:pPr>
        <w:pStyle w:val="TextBody"/>
        <w:spacing w:before="240" w:after="0"/>
        <w:jc w:val="left"/>
        <w:rPr/>
      </w:pPr>
      <w:r>
        <w:rPr/>
        <w:t> </w:t>
      </w:r>
      <w:r>
        <w:rPr>
          <w:rFonts w:ascii="Times New Roman" w:hAnsi="Times New Roman"/>
          <w:sz w:val="20"/>
        </w:rPr>
        <w:t xml:space="preserve">has served on our board of directors since September 2018. Since March 2020, Dr. Peters has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 </w:t>
      </w:r>
    </w:p>
    <w:p>
      <w:pPr>
        <w:pStyle w:val="TextBody"/>
        <w:spacing w:before="240" w:after="0"/>
        <w:jc w:val="left"/>
        <w:rPr>
          <w:rFonts w:ascii="Times New Roman" w:hAnsi="Times New Roman"/>
          <w:b/>
          <w:spacing w:val="0"/>
          <w:sz w:val="20"/>
        </w:rPr>
      </w:pPr>
      <w:r>
        <w:rPr>
          <w:rFonts w:ascii="Times New Roman" w:hAnsi="Times New Roman"/>
          <w:b/>
          <w:spacing w:val="0"/>
          <w:sz w:val="20"/>
        </w:rPr>
        <w:t>Mace Rothenberg, M.D.</w:t>
      </w:r>
    </w:p>
    <w:p>
      <w:pPr>
        <w:pStyle w:val="TextBody"/>
        <w:spacing w:before="240" w:after="0"/>
        <w:jc w:val="left"/>
        <w:rPr>
          <w:rFonts w:ascii="Times New Roman" w:hAnsi="Times New Roman"/>
          <w:sz w:val="20"/>
        </w:rPr>
      </w:pPr>
      <w:r>
        <w:rPr>
          <w:rFonts w:ascii="Times New Roman" w:hAnsi="Times New Roman"/>
          <w:sz w:val="20"/>
        </w:rPr>
        <w:t xml:space="preserve">, has served on our board of directors since March 2021. Dr. Rothenberg was previously at Pfizer, Inc., a pharmaceutical 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Family Relationships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are no family relationships among any of our directors or executive officers.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Our Board of Directors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board of directors is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Lesley Calhoun and Reid Huber currently serve as our Class I directors, Malte Peters and Mace Rothenberg currently serve as our Class II directors and Alexis Borisy, Aaron Davis and Barbara Weber currently serve as our Class III directors.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certificate of incorporation and bylaws provide that the number of directors shall be fixed solely and exclusively by a resolution adopted from time to time by our board of directors.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division of our board of directors into staggered classes may delay or prevent stockholder efforts to effect a change of our management or a change in our control.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Director Independence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Dr.Weber, qualifies as an independent director under the rules of Nasdaq and the SEC.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Committees of the Board of Directors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board of directors has established three standing committees: an audit committee, a compensation committee and a nominating and corporate governance committee, each of which operates pursuant to a written charter adopted by our board of directors. The current members of our audit committee are Lesley Calhoun, Mace Rothenberg and Alexis Borisy, and Lesley Calhoun serves as the chairperson of the audit committee. The current members of our compensation committee are Malte Peters, Mace Rothenberg and Alexis Borisy, and Malte Peters is the chairperson of the compensation committee. The current members of our nominating and corporate governance committee are Reid Huber, Aaron Davis, and Lesley Calhoun, and Reid Huber is the chairperson of the nominating and corporate governance committee.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The audit committee currently consists of Lesley Calhoun, Mace Rothenberg and Alexis Borisy. Our board has determined that each member of our audit committee is independent under Nasdaq listing standards and </w:t>
      </w:r>
    </w:p>
    <w:p>
      <w:pPr>
        <w:pStyle w:val="TextBody"/>
        <w:spacing w:before="120" w:after="0"/>
        <w:jc w:val="left"/>
        <w:rPr>
          <w:rFonts w:ascii="Times New Roman" w:hAnsi="Times New Roman"/>
          <w:spacing w:val="0"/>
          <w:sz w:val="20"/>
        </w:rPr>
      </w:pPr>
      <w:r>
        <w:rPr>
          <w:rFonts w:ascii="Times New Roman" w:hAnsi="Times New Roman"/>
          <w:spacing w:val="0"/>
          <w:sz w:val="20"/>
        </w:rPr>
        <w:t>Rule 10A-3(b)(1)</w:t>
      </w:r>
    </w:p>
    <w:p>
      <w:pPr>
        <w:pStyle w:val="TextBody"/>
        <w:spacing w:before="120" w:after="0"/>
        <w:jc w:val="left"/>
        <w:rPr>
          <w:rFonts w:ascii="Times New Roman" w:hAnsi="Times New Roman"/>
          <w:sz w:val="20"/>
        </w:rPr>
      </w:pPr>
      <w:r>
        <w:rPr>
          <w:rFonts w:ascii="Times New Roman" w:hAnsi="Times New Roman"/>
          <w:sz w:val="20"/>
        </w:rPr>
        <w:t xml:space="preserve">under the Exchange Act. The chairperson of the audit committee is Lesley Calhoun. Our board has determined that Lesley Calhoun is an “audit committee financial expert” within the meaning of SEC regulations. Our board has also determined that each member of the audit committee has the requisite financial expertise required under the applicable requirements of Nasdaq. In arriving at this determination, our board has examined each audit committee member’s scope of experience and the nature of their employment in the corporate finance sector.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primary purpose of our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 </w:t>
      </w:r>
    </w:p>
    <w:p>
      <w:pPr>
        <w:pStyle w:val="TextBody"/>
        <w:spacing w:before="0" w:after="0"/>
        <w:jc w:val="left"/>
        <w:rPr>
          <w:spacing w:val="0"/>
        </w:rPr>
      </w:pPr>
      <w:r>
        <w:rPr>
          <w:spacing w:val="0"/>
        </w:rPr>
        <w:t> </w:t>
      </w:r>
    </w:p>
    <w:tbl>
      <w:tblPr>
        <w:tblW w:w="7945" w:type="dxa"/>
        <w:jc w:val="left"/>
        <w:tblInd w:w="0" w:type="dxa"/>
        <w:tblCellMar>
          <w:top w:w="0" w:type="dxa"/>
          <w:left w:w="0" w:type="dxa"/>
          <w:bottom w:w="0" w:type="dxa"/>
          <w:right w:w="0" w:type="dxa"/>
        </w:tblCellMar>
      </w:tblPr>
      <w:tblGrid>
        <w:gridCol w:w="75"/>
        <w:gridCol w:w="110"/>
        <w:gridCol w:w="60"/>
        <w:gridCol w:w="7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helping our board of directors oversee corporate accounting and financial reporting processes;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managing the selection, engagement and qualifications of a qualified firm to serve as the independent registered public accounting firm to audit our financial statements; </w:t>
            </w:r>
          </w:p>
        </w:tc>
      </w:tr>
    </w:tbl>
    <w:p>
      <w:pPr>
        <w:pStyle w:val="TextBody"/>
        <w:spacing w:before="0" w:after="0"/>
        <w:jc w:val="left"/>
        <w:rPr>
          <w:spacing w:val="0"/>
        </w:rPr>
      </w:pPr>
      <w:r>
        <w:rPr>
          <w:spacing w:val="0"/>
        </w:rPr>
        <w:t> </w:t>
      </w:r>
    </w:p>
    <w:tbl>
      <w:tblPr>
        <w:tblW w:w="8995" w:type="dxa"/>
        <w:jc w:val="left"/>
        <w:tblInd w:w="0" w:type="dxa"/>
        <w:tblCellMar>
          <w:top w:w="0" w:type="dxa"/>
          <w:left w:w="0" w:type="dxa"/>
          <w:bottom w:w="0" w:type="dxa"/>
          <w:right w:w="0" w:type="dxa"/>
        </w:tblCellMar>
      </w:tblPr>
      <w:tblGrid>
        <w:gridCol w:w="75"/>
        <w:gridCol w:w="110"/>
        <w:gridCol w:w="60"/>
        <w:gridCol w:w="8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helping to ensure the independence and performance of the independent registered public accounting firm;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w:t>
            </w:r>
          </w:p>
          <w:p>
            <w:pPr>
              <w:pStyle w:val="TableContents"/>
              <w:spacing w:before="0" w:after="0"/>
              <w:jc w:val="left"/>
              <w:rPr>
                <w:rFonts w:ascii="Times New Roman" w:hAnsi="Times New Roman"/>
                <w:spacing w:val="0"/>
                <w:sz w:val="20"/>
              </w:rPr>
            </w:pPr>
            <w:r>
              <w:rPr>
                <w:rFonts w:ascii="Times New Roman" w:hAnsi="Times New Roman"/>
                <w:spacing w:val="0"/>
                <w:sz w:val="20"/>
              </w:rPr>
              <w:t>year-end operating</w:t>
            </w:r>
          </w:p>
          <w:p>
            <w:pPr>
              <w:pStyle w:val="TableContents"/>
              <w:spacing w:before="0" w:after="0"/>
              <w:jc w:val="left"/>
              <w:rPr>
                <w:rFonts w:ascii="Times New Roman" w:hAnsi="Times New Roman"/>
                <w:sz w:val="20"/>
              </w:rPr>
            </w:pPr>
            <w:r>
              <w:rPr>
                <w:rFonts w:ascii="Times New Roman" w:hAnsi="Times New Roman"/>
                <w:sz w:val="20"/>
              </w:rPr>
              <w:t xml:space="preserve">results; </w:t>
            </w:r>
          </w:p>
        </w:tc>
      </w:tr>
    </w:tbl>
    <w:p>
      <w:pPr>
        <w:pStyle w:val="TextBody"/>
        <w:spacing w:before="0" w:after="0"/>
        <w:jc w:val="left"/>
        <w:rPr>
          <w:spacing w:val="0"/>
        </w:rPr>
      </w:pPr>
      <w:r>
        <w:rPr>
          <w:spacing w:val="0"/>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developing procedures for employees to submit concerns anonymously about questionable accounting or audit matters; </w:t>
            </w:r>
          </w:p>
        </w:tc>
      </w:tr>
    </w:tbl>
    <w:p>
      <w:pPr>
        <w:pStyle w:val="TextBody"/>
        <w:spacing w:before="0" w:after="0"/>
        <w:jc w:val="left"/>
        <w:rPr>
          <w:spacing w:val="0"/>
        </w:rPr>
      </w:pPr>
      <w:r>
        <w:rPr>
          <w:spacing w:val="0"/>
        </w:rPr>
        <w:t> </w:t>
      </w:r>
    </w:p>
    <w:tbl>
      <w:tblPr>
        <w:tblW w:w="6715" w:type="dxa"/>
        <w:jc w:val="left"/>
        <w:tblInd w:w="0" w:type="dxa"/>
        <w:tblCellMar>
          <w:top w:w="0" w:type="dxa"/>
          <w:left w:w="0" w:type="dxa"/>
          <w:bottom w:w="0" w:type="dxa"/>
          <w:right w:w="0" w:type="dxa"/>
        </w:tblCellMar>
      </w:tblPr>
      <w:tblGrid>
        <w:gridCol w:w="75"/>
        <w:gridCol w:w="110"/>
        <w:gridCol w:w="60"/>
        <w:gridCol w:w="6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policies on financial risk assessment and financial risk management; </w:t>
            </w:r>
          </w:p>
        </w:tc>
      </w:tr>
    </w:tbl>
    <w:p>
      <w:pPr>
        <w:pStyle w:val="TextBody"/>
        <w:spacing w:before="0" w:after="0"/>
        <w:jc w:val="left"/>
        <w:rPr>
          <w:spacing w:val="0"/>
        </w:rPr>
      </w:pPr>
      <w:r>
        <w:rPr>
          <w:spacing w:val="0"/>
        </w:rPr>
        <w:t> </w:t>
      </w:r>
    </w:p>
    <w:tbl>
      <w:tblPr>
        <w:tblW w:w="3280" w:type="dxa"/>
        <w:jc w:val="left"/>
        <w:tblInd w:w="0" w:type="dxa"/>
        <w:tblCellMar>
          <w:top w:w="0" w:type="dxa"/>
          <w:left w:w="0" w:type="dxa"/>
          <w:bottom w:w="0" w:type="dxa"/>
          <w:right w:w="0" w:type="dxa"/>
        </w:tblCellMar>
      </w:tblPr>
      <w:tblGrid>
        <w:gridCol w:w="75"/>
        <w:gridCol w:w="110"/>
        <w:gridCol w:w="60"/>
        <w:gridCol w:w="30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related party transactions;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obtaining and reviewing a report by the independent registered public accounting firm at least annually, that describes our internal quality-control procedures, any material issues with such procedures, and any steps taken to deal with such issues when required by applicable law; and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159 </w:t>
      </w:r>
    </w:p>
    <w:p>
      <w:pPr>
        <w:pStyle w:val="HorizontalLine"/>
        <w:rPr/>
      </w:pPr>
      <w:r>
        <w:rPr/>
      </w:r>
    </w:p>
    <w:p>
      <w:pPr>
        <w:pStyle w:val="TextBody"/>
        <w:spacing w:before="0" w:after="0"/>
        <w:rPr/>
      </w:pPr>
      <w:hyperlink w:anchor="toc">
        <w:r>
          <w:rPr>
            <w:rStyle w:val="InternetLink"/>
            <w:b/>
            <w:sz w:val="20"/>
          </w:rPr>
          <w:t>Table of Contents</w:t>
        </w:r>
      </w:hyperlink>
    </w:p>
    <w:tbl>
      <w:tblPr>
        <w:tblW w:w="6010" w:type="dxa"/>
        <w:jc w:val="left"/>
        <w:tblInd w:w="0" w:type="dxa"/>
        <w:tblCellMar>
          <w:top w:w="0" w:type="dxa"/>
          <w:left w:w="0" w:type="dxa"/>
          <w:bottom w:w="0" w:type="dxa"/>
          <w:right w:w="0" w:type="dxa"/>
        </w:tblCellMar>
      </w:tblPr>
      <w:tblGrid>
        <w:gridCol w:w="75"/>
        <w:gridCol w:w="110"/>
        <w:gridCol w:w="60"/>
        <w:gridCol w:w="5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(or, as permitted, </w:t>
            </w:r>
          </w:p>
          <w:p>
            <w:pPr>
              <w:pStyle w:val="TableContents"/>
              <w:spacing w:before="0" w:after="0"/>
              <w:jc w:val="left"/>
              <w:rPr>
                <w:rFonts w:ascii="Times New Roman" w:hAnsi="Times New Roman"/>
                <w:spacing w:val="0"/>
                <w:sz w:val="20"/>
              </w:rPr>
            </w:pPr>
            <w:r>
              <w:rPr>
                <w:rFonts w:ascii="Times New Roman" w:hAnsi="Times New Roman"/>
                <w:spacing w:val="0"/>
                <w:sz w:val="20"/>
              </w:rPr>
              <w:t>pre-approving)</w:t>
            </w:r>
          </w:p>
          <w:p>
            <w:pPr>
              <w:pStyle w:val="TableContents"/>
              <w:spacing w:before="0" w:after="0"/>
              <w:jc w:val="left"/>
              <w:rPr>
                <w:rFonts w:ascii="Times New Roman" w:hAnsi="Times New Roman"/>
                <w:sz w:val="20"/>
              </w:rPr>
            </w:pPr>
            <w:r>
              <w:rPr>
                <w:rFonts w:ascii="Times New Roman" w:hAnsi="Times New Roman"/>
                <w:sz w:val="20"/>
              </w:rPr>
              <w:t xml:space="preserve">all audit and all permissible </w:t>
            </w:r>
          </w:p>
          <w:p>
            <w:pPr>
              <w:pStyle w:val="TableContents"/>
              <w:spacing w:before="0" w:after="0"/>
              <w:jc w:val="left"/>
              <w:rPr>
                <w:rFonts w:ascii="Times New Roman" w:hAnsi="Times New Roman"/>
                <w:spacing w:val="0"/>
                <w:sz w:val="20"/>
              </w:rPr>
            </w:pPr>
            <w:r>
              <w:rPr>
                <w:rFonts w:ascii="Times New Roman" w:hAnsi="Times New Roman"/>
                <w:spacing w:val="0"/>
                <w:sz w:val="20"/>
              </w:rPr>
              <w:t>non-audit service</w:t>
            </w:r>
          </w:p>
          <w:p>
            <w:pPr>
              <w:pStyle w:val="TableContents"/>
              <w:spacing w:before="0" w:after="0"/>
              <w:jc w:val="left"/>
              <w:rPr>
                <w:rFonts w:ascii="Times New Roman" w:hAnsi="Times New Roman"/>
                <w:sz w:val="20"/>
              </w:rPr>
            </w:pPr>
            <w:r>
              <w:rPr>
                <w:rFonts w:ascii="Times New Roman" w:hAnsi="Times New Roman"/>
                <w:sz w:val="20"/>
              </w:rPr>
              <w:t xml:space="preserve">to be performed by the independent registered public accounting firm.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currently consists of Malte Peters, Mace Rothenberg and Alexis Borisy. Our board has determined each member of our compensation committee is a </w:t>
      </w:r>
    </w:p>
    <w:p>
      <w:pPr>
        <w:pStyle w:val="TextBody"/>
        <w:spacing w:before="120" w:after="0"/>
        <w:jc w:val="left"/>
        <w:rPr>
          <w:spacing w:val="0"/>
        </w:rPr>
      </w:pPr>
      <w:r>
        <w:rPr>
          <w:spacing w:val="0"/>
        </w:rPr>
        <w:t>“</w:t>
      </w:r>
      <w:r>
        <w:rPr>
          <w:rFonts w:ascii="Times New Roman" w:hAnsi="Times New Roman"/>
          <w:spacing w:val="0"/>
          <w:sz w:val="20"/>
        </w:rPr>
        <w:t>non-employee director”</w:t>
      </w:r>
    </w:p>
    <w:p>
      <w:pPr>
        <w:pStyle w:val="TextBody"/>
        <w:spacing w:before="120" w:after="0"/>
        <w:jc w:val="left"/>
        <w:rPr>
          <w:rFonts w:ascii="Times New Roman" w:hAnsi="Times New Roman"/>
          <w:sz w:val="20"/>
        </w:rPr>
      </w:pPr>
      <w:r>
        <w:rPr>
          <w:rFonts w:ascii="Times New Roman" w:hAnsi="Times New Roman"/>
          <w:sz w:val="20"/>
        </w:rPr>
        <w:t xml:space="preserve">as defined in </w:t>
      </w:r>
    </w:p>
    <w:p>
      <w:pPr>
        <w:pStyle w:val="TextBody"/>
        <w:spacing w:before="120" w:after="0"/>
        <w:jc w:val="left"/>
        <w:rPr>
          <w:rFonts w:ascii="Times New Roman" w:hAnsi="Times New Roman"/>
          <w:spacing w:val="0"/>
          <w:sz w:val="20"/>
        </w:rPr>
      </w:pPr>
      <w:r>
        <w:rPr>
          <w:rFonts w:ascii="Times New Roman" w:hAnsi="Times New Roman"/>
          <w:spacing w:val="0"/>
          <w:sz w:val="20"/>
        </w:rPr>
        <w:t>Rule 16b-3</w:t>
      </w:r>
    </w:p>
    <w:p>
      <w:pPr>
        <w:pStyle w:val="TextBody"/>
        <w:spacing w:before="120" w:after="0"/>
        <w:jc w:val="left"/>
        <w:rPr>
          <w:rFonts w:ascii="Times New Roman" w:hAnsi="Times New Roman"/>
          <w:sz w:val="20"/>
        </w:rPr>
      </w:pPr>
      <w:r>
        <w:rPr>
          <w:rFonts w:ascii="Times New Roman" w:hAnsi="Times New Roman"/>
          <w:sz w:val="20"/>
        </w:rPr>
        <w:t xml:space="preserve">promulgated under the Exchange Act and an “outside director” as that term is defined in Section 162(m) of the Code.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Specific responsibilities of our compensation committee include: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and approving, or recommending that our board approve, the compensation of our executive officers and senior management; </w:t>
            </w:r>
          </w:p>
        </w:tc>
      </w:tr>
    </w:tbl>
    <w:p>
      <w:pPr>
        <w:pStyle w:val="TextBody"/>
        <w:spacing w:before="0" w:after="0"/>
        <w:jc w:val="left"/>
        <w:rPr>
          <w:spacing w:val="0"/>
        </w:rPr>
      </w:pPr>
      <w:r>
        <w:rPr>
          <w:spacing w:val="0"/>
        </w:rPr>
        <w:t> </w:t>
      </w:r>
    </w:p>
    <w:tbl>
      <w:tblPr>
        <w:tblW w:w="6595" w:type="dxa"/>
        <w:jc w:val="left"/>
        <w:tblInd w:w="0" w:type="dxa"/>
        <w:tblCellMar>
          <w:top w:w="0" w:type="dxa"/>
          <w:left w:w="0" w:type="dxa"/>
          <w:bottom w:w="0" w:type="dxa"/>
          <w:right w:w="0" w:type="dxa"/>
        </w:tblCellMar>
      </w:tblPr>
      <w:tblGrid>
        <w:gridCol w:w="75"/>
        <w:gridCol w:w="110"/>
        <w:gridCol w:w="60"/>
        <w:gridCol w:w="6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and recommending to our board the compensation of our directors;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and approving, or recommending that our board approve, the terms of compensatory arrangements with our executive officers; </w:t>
            </w:r>
          </w:p>
        </w:tc>
      </w:tr>
    </w:tbl>
    <w:p>
      <w:pPr>
        <w:pStyle w:val="TextBody"/>
        <w:spacing w:before="0" w:after="0"/>
        <w:jc w:val="left"/>
        <w:rPr>
          <w:spacing w:val="0"/>
        </w:rPr>
      </w:pPr>
      <w:r>
        <w:rPr>
          <w:spacing w:val="0"/>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administering our stock and equity incentive plans;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selecting independent compensation consultants and assessing whether there are any conflicts of interest with any of the committee’s compensation advisors;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approving, amending and terminating, or recommending that our board approve, amend or terminate, incentive compensation and equity plans, severance agreements, </w:t>
            </w:r>
          </w:p>
          <w:p>
            <w:pPr>
              <w:pStyle w:val="TableContents"/>
              <w:spacing w:before="0" w:after="0"/>
              <w:jc w:val="left"/>
              <w:rPr>
                <w:rFonts w:ascii="Times New Roman" w:hAnsi="Times New Roman"/>
                <w:spacing w:val="0"/>
                <w:sz w:val="20"/>
              </w:rPr>
            </w:pPr>
            <w:r>
              <w:rPr>
                <w:rFonts w:ascii="Times New Roman" w:hAnsi="Times New Roman"/>
                <w:spacing w:val="0"/>
                <w:sz w:val="20"/>
              </w:rPr>
              <w:t>change-of-control</w:t>
            </w:r>
          </w:p>
          <w:p>
            <w:pPr>
              <w:pStyle w:val="TableContents"/>
              <w:spacing w:before="0" w:after="0"/>
              <w:jc w:val="left"/>
              <w:rPr>
                <w:rFonts w:ascii="Times New Roman" w:hAnsi="Times New Roman"/>
                <w:sz w:val="20"/>
              </w:rPr>
            </w:pPr>
            <w:r>
              <w:rPr>
                <w:rFonts w:ascii="Times New Roman" w:hAnsi="Times New Roman"/>
                <w:sz w:val="20"/>
              </w:rPr>
              <w:t xml:space="preserve">protections and any other compensatory arrangements for our executive officers and other senior management, as appropriate; </w:t>
            </w:r>
          </w:p>
        </w:tc>
      </w:tr>
    </w:tbl>
    <w:p>
      <w:pPr>
        <w:pStyle w:val="TextBody"/>
        <w:spacing w:before="0" w:after="0"/>
        <w:jc w:val="left"/>
        <w:rPr>
          <w:spacing w:val="0"/>
        </w:rPr>
      </w:pPr>
      <w:r>
        <w:rPr>
          <w:spacing w:val="0"/>
        </w:rPr>
        <w:t> </w:t>
      </w:r>
    </w:p>
    <w:tbl>
      <w:tblPr>
        <w:tblW w:w="8800" w:type="dxa"/>
        <w:jc w:val="left"/>
        <w:tblInd w:w="0" w:type="dxa"/>
        <w:tblCellMar>
          <w:top w:w="0" w:type="dxa"/>
          <w:left w:w="0" w:type="dxa"/>
          <w:bottom w:w="0" w:type="dxa"/>
          <w:right w:w="0" w:type="dxa"/>
        </w:tblCellMar>
      </w:tblPr>
      <w:tblGrid>
        <w:gridCol w:w="75"/>
        <w:gridCol w:w="110"/>
        <w:gridCol w:w="60"/>
        <w:gridCol w:w="8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and establishing general policies relating to compensation and benefits of our employees; and </w:t>
            </w:r>
          </w:p>
        </w:tc>
      </w:tr>
    </w:tbl>
    <w:p>
      <w:pPr>
        <w:pStyle w:val="TextBody"/>
        <w:spacing w:before="0" w:after="0"/>
        <w:jc w:val="left"/>
        <w:rPr>
          <w:spacing w:val="0"/>
        </w:rPr>
      </w:pPr>
      <w:r>
        <w:rPr>
          <w:spacing w:val="0"/>
        </w:rPr>
        <w:t> </w:t>
      </w:r>
    </w:p>
    <w:tbl>
      <w:tblPr>
        <w:tblW w:w="4270" w:type="dxa"/>
        <w:jc w:val="left"/>
        <w:tblInd w:w="0" w:type="dxa"/>
        <w:tblCellMar>
          <w:top w:w="0" w:type="dxa"/>
          <w:left w:w="0" w:type="dxa"/>
          <w:bottom w:w="0" w:type="dxa"/>
          <w:right w:w="0" w:type="dxa"/>
        </w:tblCellMar>
      </w:tblPr>
      <w:tblGrid>
        <w:gridCol w:w="75"/>
        <w:gridCol w:w="110"/>
        <w:gridCol w:w="60"/>
        <w:gridCol w:w="4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our overall compensation philosophy.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Nominating and Corporate Governance Committee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nominating and corporate governance committee currently consists of Reid Huber, Aaron Davis, and Lesley Calhoun. Our board has determined each member is independent under Nasdaq listing standards. The chairperson of the nominating and corporate governance committee is Reid Huber.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Specific responsibilities of our nominating and corporate governance committee include: </w:t>
      </w:r>
    </w:p>
    <w:p>
      <w:pPr>
        <w:pStyle w:val="TextBody"/>
        <w:spacing w:before="0" w:after="0"/>
        <w:jc w:val="left"/>
        <w:rPr>
          <w:spacing w:val="0"/>
        </w:rPr>
      </w:pPr>
      <w:r>
        <w:rPr>
          <w:spacing w:val="0"/>
        </w:rPr>
        <w:t> </w:t>
      </w:r>
    </w:p>
    <w:tbl>
      <w:tblPr>
        <w:tblW w:w="9670" w:type="dxa"/>
        <w:jc w:val="left"/>
        <w:tblInd w:w="0" w:type="dxa"/>
        <w:tblCellMar>
          <w:top w:w="0" w:type="dxa"/>
          <w:left w:w="0" w:type="dxa"/>
          <w:bottom w:w="0" w:type="dxa"/>
          <w:right w:w="0" w:type="dxa"/>
        </w:tblCellMar>
      </w:tblPr>
      <w:tblGrid>
        <w:gridCol w:w="75"/>
        <w:gridCol w:w="110"/>
        <w:gridCol w:w="60"/>
        <w:gridCol w:w="9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identifying, evaluating and selecting, or recommending that our board approve, nominees for election to our board; </w:t>
            </w:r>
          </w:p>
        </w:tc>
      </w:tr>
    </w:tbl>
    <w:p>
      <w:pPr>
        <w:pStyle w:val="TextBody"/>
        <w:spacing w:before="0" w:after="0"/>
        <w:jc w:val="left"/>
        <w:rPr>
          <w:spacing w:val="0"/>
        </w:rPr>
      </w:pPr>
      <w:r>
        <w:rPr>
          <w:spacing w:val="0"/>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evaluating the performance of our board and of individual directors; </w:t>
            </w:r>
          </w:p>
        </w:tc>
      </w:tr>
    </w:tbl>
    <w:p>
      <w:pPr>
        <w:pStyle w:val="TextBody"/>
        <w:spacing w:before="0" w:after="0"/>
        <w:jc w:val="left"/>
        <w:rPr>
          <w:spacing w:val="0"/>
        </w:rPr>
      </w:pPr>
      <w:r>
        <w:rPr>
          <w:spacing w:val="0"/>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evaluating the adequacy of our corporate governance practices and reporting; </w:t>
            </w:r>
          </w:p>
        </w:tc>
      </w:tr>
    </w:tbl>
    <w:p>
      <w:pPr>
        <w:pStyle w:val="TextBody"/>
        <w:spacing w:before="0" w:after="0"/>
        <w:jc w:val="left"/>
        <w:rPr>
          <w:spacing w:val="0"/>
        </w:rPr>
      </w:pPr>
      <w:r>
        <w:rPr>
          <w:spacing w:val="0"/>
        </w:rPr>
        <w:t> </w:t>
      </w:r>
    </w:p>
    <w:tbl>
      <w:tblPr>
        <w:tblW w:w="4015" w:type="dxa"/>
        <w:jc w:val="left"/>
        <w:tblInd w:w="0" w:type="dxa"/>
        <w:tblCellMar>
          <w:top w:w="0" w:type="dxa"/>
          <w:left w:w="0" w:type="dxa"/>
          <w:bottom w:w="0" w:type="dxa"/>
          <w:right w:w="0" w:type="dxa"/>
        </w:tblCellMar>
      </w:tblPr>
      <w:tblGrid>
        <w:gridCol w:w="75"/>
        <w:gridCol w:w="110"/>
        <w:gridCol w:w="60"/>
        <w:gridCol w:w="3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reviewing management succession plans; and </w:t>
            </w:r>
          </w:p>
        </w:tc>
      </w:tr>
    </w:tbl>
    <w:p>
      <w:pPr>
        <w:pStyle w:val="TextBody"/>
        <w:spacing w:before="0" w:after="0"/>
        <w:jc w:val="left"/>
        <w:rPr>
          <w:spacing w:val="0"/>
        </w:rPr>
      </w:pPr>
      <w:r>
        <w:rPr>
          <w:spacing w:val="0"/>
        </w:rPr>
        <w:t> </w:t>
      </w:r>
    </w:p>
    <w:tbl>
      <w:tblPr>
        <w:tblW w:w="9325" w:type="dxa"/>
        <w:jc w:val="left"/>
        <w:tblInd w:w="0" w:type="dxa"/>
        <w:tblCellMar>
          <w:top w:w="0" w:type="dxa"/>
          <w:left w:w="0" w:type="dxa"/>
          <w:bottom w:w="0" w:type="dxa"/>
          <w:right w:w="0" w:type="dxa"/>
        </w:tblCellMar>
      </w:tblPr>
      <w:tblGrid>
        <w:gridCol w:w="75"/>
        <w:gridCol w:w="110"/>
        <w:gridCol w:w="60"/>
        <w:gridCol w:w="9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developing and making recommendations to our board regarding corporate governance guidelines and matters.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Role of Our Board of Directors in Risk Oversight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Code of Ethics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adopted a Code of Conduct that applies to all of our employees, officers and directors, including those officers responsible for financial reporting. The Code of Conduct is available on our website at https://www.tangotx.com. Information contained on or accessible through such website is not a part of this prospectus, and the inclusion of the website address in this prospectus is an inactive textual reference only. We intend to disclose any amendments to the Code of Conduct, or any waivers of its requirements, on our website to the extent required by the applicable rules and exchange requirements.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EXECUTIVE COMPENSATION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Executive Compensation Overview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shows the total compensation awarded to, earned by, or paid to during the year ended December 31, 2020 to (1) our principal executive officer, (2) our two next most highly compensated executive officers who earned more than $100,000 during the fiscal year ended December 31, 2020 and were serving as executive officers as of such date.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named executive officers for 2020 who appear in the Summary Compensation Table are: </w:t>
      </w:r>
    </w:p>
    <w:p>
      <w:pPr>
        <w:pStyle w:val="TextBody"/>
        <w:spacing w:before="0" w:after="0"/>
        <w:jc w:val="left"/>
        <w:rPr>
          <w:spacing w:val="0"/>
        </w:rPr>
      </w:pPr>
      <w:r>
        <w:rPr>
          <w:spacing w:val="0"/>
        </w:rPr>
        <w:t> </w:t>
      </w:r>
    </w:p>
    <w:tbl>
      <w:tblPr>
        <w:tblW w:w="5485" w:type="dxa"/>
        <w:jc w:val="left"/>
        <w:tblInd w:w="0" w:type="dxa"/>
        <w:tblCellMar>
          <w:top w:w="0" w:type="dxa"/>
          <w:left w:w="0" w:type="dxa"/>
          <w:bottom w:w="0" w:type="dxa"/>
          <w:right w:w="0" w:type="dxa"/>
        </w:tblCellMar>
      </w:tblPr>
      <w:tblGrid>
        <w:gridCol w:w="75"/>
        <w:gridCol w:w="110"/>
        <w:gridCol w:w="60"/>
        <w:gridCol w:w="5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Barbara Weber, M.D., our President and Chief Executive Officer </w:t>
            </w:r>
          </w:p>
        </w:tc>
      </w:tr>
    </w:tbl>
    <w:p>
      <w:pPr>
        <w:pStyle w:val="TextBody"/>
        <w:spacing w:before="0" w:after="0"/>
        <w:jc w:val="left"/>
        <w:rPr>
          <w:spacing w:val="0"/>
        </w:rPr>
      </w:pPr>
      <w:r>
        <w:rPr>
          <w:spacing w:val="0"/>
        </w:rPr>
        <w:t> </w:t>
      </w:r>
    </w:p>
    <w:tbl>
      <w:tblPr>
        <w:tblW w:w="4495" w:type="dxa"/>
        <w:jc w:val="left"/>
        <w:tblInd w:w="0" w:type="dxa"/>
        <w:tblCellMar>
          <w:top w:w="0" w:type="dxa"/>
          <w:left w:w="0" w:type="dxa"/>
          <w:bottom w:w="0" w:type="dxa"/>
          <w:right w:w="0" w:type="dxa"/>
        </w:tblCellMar>
      </w:tblPr>
      <w:tblGrid>
        <w:gridCol w:w="75"/>
        <w:gridCol w:w="110"/>
        <w:gridCol w:w="60"/>
        <w:gridCol w:w="4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Daniella Beckman, our Chief Financial Officer; and </w:t>
            </w:r>
          </w:p>
        </w:tc>
      </w:tr>
    </w:tbl>
    <w:p>
      <w:pPr>
        <w:pStyle w:val="TextBody"/>
        <w:spacing w:before="0" w:after="0"/>
        <w:jc w:val="left"/>
        <w:rPr>
          <w:spacing w:val="0"/>
        </w:rPr>
      </w:pPr>
      <w:r>
        <w:rPr>
          <w:spacing w:val="0"/>
        </w:rPr>
        <w:t> </w:t>
      </w:r>
    </w:p>
    <w:tbl>
      <w:tblPr>
        <w:tblW w:w="4105" w:type="dxa"/>
        <w:jc w:val="left"/>
        <w:tblInd w:w="0" w:type="dxa"/>
        <w:tblCellMar>
          <w:top w:w="0" w:type="dxa"/>
          <w:left w:w="0" w:type="dxa"/>
          <w:bottom w:w="0" w:type="dxa"/>
          <w:right w:w="0" w:type="dxa"/>
        </w:tblCellMar>
      </w:tblPr>
      <w:tblGrid>
        <w:gridCol w:w="75"/>
        <w:gridCol w:w="110"/>
        <w:gridCol w:w="60"/>
        <w:gridCol w:w="38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Alan Huang, Ph.D., our Chief Scientific Officer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2020 Summary Compensation Table </w:t>
      </w:r>
    </w:p>
    <w:p>
      <w:pPr>
        <w:pStyle w:val="TextBody"/>
        <w:spacing w:before="0" w:after="0"/>
        <w:jc w:val="left"/>
        <w:rPr>
          <w:spacing w:val="0"/>
        </w:rPr>
      </w:pPr>
      <w:r>
        <w:rPr>
          <w:spacing w:val="0"/>
        </w:rPr>
        <w:t> </w:t>
      </w:r>
    </w:p>
    <w:tbl>
      <w:tblPr>
        <w:tblW w:w="12215" w:type="dxa"/>
        <w:jc w:val="left"/>
        <w:tblInd w:w="0" w:type="dxa"/>
        <w:tblCellMar>
          <w:top w:w="0" w:type="dxa"/>
          <w:left w:w="0" w:type="dxa"/>
          <w:bottom w:w="0" w:type="dxa"/>
          <w:right w:w="0" w:type="dxa"/>
        </w:tblCellMar>
      </w:tblPr>
      <w:tblGrid>
        <w:gridCol w:w="1235"/>
        <w:gridCol w:w="60"/>
        <w:gridCol w:w="60"/>
        <w:gridCol w:w="500"/>
        <w:gridCol w:w="60"/>
        <w:gridCol w:w="60"/>
        <w:gridCol w:w="140"/>
        <w:gridCol w:w="800"/>
        <w:gridCol w:w="215"/>
        <w:gridCol w:w="60"/>
        <w:gridCol w:w="90"/>
        <w:gridCol w:w="575"/>
        <w:gridCol w:w="60"/>
        <w:gridCol w:w="60"/>
        <w:gridCol w:w="113"/>
        <w:gridCol w:w="717"/>
        <w:gridCol w:w="60"/>
        <w:gridCol w:w="60"/>
        <w:gridCol w:w="140"/>
        <w:gridCol w:w="800"/>
        <w:gridCol w:w="215"/>
        <w:gridCol w:w="60"/>
        <w:gridCol w:w="233"/>
        <w:gridCol w:w="1332"/>
        <w:gridCol w:w="60"/>
        <w:gridCol w:w="60"/>
        <w:gridCol w:w="203"/>
        <w:gridCol w:w="1287"/>
        <w:gridCol w:w="60"/>
        <w:gridCol w:w="60"/>
        <w:gridCol w:w="254"/>
        <w:gridCol w:w="1236"/>
        <w:gridCol w:w="215"/>
        <w:gridCol w:w="60"/>
        <w:gridCol w:w="140"/>
        <w:gridCol w:w="800"/>
        <w:gridCol w:w="75"/>
      </w:tblGrid>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35" w:type="dxa"/>
            <w:tcBorders/>
            <w:shd w:fill="auto" w:val="clear"/>
            <w:vAlign w:val="center"/>
          </w:tcPr>
          <w:p>
            <w:pPr>
              <w:pStyle w:val="TableContents"/>
              <w:spacing w:before="0" w:after="0"/>
              <w:rPr>
                <w:rFonts w:ascii="Times New Roman" w:hAnsi="Times New Roman"/>
                <w:b/>
                <w:spacing w:val="0"/>
                <w:sz w:val="14"/>
                <w:bdr w:val="single" w:sz="8" w:space="1" w:color="000000"/>
              </w:rPr>
            </w:pPr>
            <w:r>
              <w:rPr>
                <w:rFonts w:ascii="Times New Roman" w:hAnsi="Times New Roman"/>
                <w:b/>
                <w:spacing w:val="0"/>
                <w:sz w:val="14"/>
                <w:bdr w:val="single" w:sz="8" w:space="1" w:color="000000"/>
              </w:rPr>
              <w:t>Name and Principal Position</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0"/>
              <w:jc w:val="center"/>
              <w:rPr>
                <w:b/>
                <w:spacing w:val="0"/>
              </w:rPr>
            </w:pPr>
            <w:r>
              <w:rPr>
                <w:b/>
                <w:spacing w:val="0"/>
              </w:rPr>
              <w:t>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Salary(1)</w:t>
              <w:b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0"/>
              <w:jc w:val="center"/>
              <w:rPr>
                <w:b/>
                <w:spacing w:val="0"/>
              </w:rPr>
            </w:pPr>
            <w:r>
              <w:rPr>
                <w:b/>
                <w:spacing w:val="0"/>
              </w:rPr>
              <w:t>Bonus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0"/>
              <w:jc w:val="center"/>
              <w:rPr>
                <w:b/>
                <w:spacing w:val="0"/>
              </w:rPr>
            </w:pPr>
            <w:r>
              <w:rPr>
                <w:b/>
                <w:spacing w:val="0"/>
              </w:rPr>
              <w:t>Stock</w:t>
              <w:br/>
              <w:t>Awards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Option</w:t>
              <w:br/>
              <w:t>Awards(3)</w:t>
              <w:b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0"/>
              <w:jc w:val="center"/>
              <w:rPr>
                <w:b/>
                <w:spacing w:val="0"/>
              </w:rPr>
            </w:pPr>
            <w:r>
              <w:rPr>
                <w:b/>
                <w:spacing w:val="0"/>
              </w:rPr>
              <w:t>Non-Equity</w:t>
            </w:r>
          </w:p>
          <w:p>
            <w:pPr>
              <w:pStyle w:val="TableContents"/>
              <w:spacing w:before="0" w:after="0"/>
              <w:jc w:val="center"/>
              <w:rPr>
                <w:b/>
                <w:spacing w:val="0"/>
              </w:rPr>
            </w:pPr>
            <w:r>
              <w:rPr>
                <w:b/>
                <w:spacing w:val="0"/>
              </w:rPr>
              <w:br/>
              <w:t>Incentive Plan</w:t>
              <w:br/>
              <w:t>Compensation(6)</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Nonqualified</w:t>
              <w:br/>
              <w:t>Deferred</w:t>
              <w:br/>
              <w:t>Compensation</w:t>
              <w:br/>
              <w:t>Earnings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All Other</w:t>
              <w:br/>
              <w:t>Compensation</w:t>
              <w:b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Total</w:t>
              <w:br/>
              <w:t>($)</w:t>
            </w:r>
          </w:p>
        </w:tc>
        <w:tc>
          <w:tcPr>
            <w:tcW w:w="7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Barbara Weber, M.D.(5)</w:t>
            </w:r>
          </w:p>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President, Chief Executive Officer and Chairperson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491,617</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227,622</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w:t>
            </w:r>
          </w:p>
        </w:tc>
        <w:tc>
          <w:tcPr>
            <w:tcW w:w="1332" w:type="dxa"/>
            <w:tcBorders/>
            <w:shd w:fill="CCEEFF" w:val="clear"/>
            <w:vAlign w:val="center"/>
          </w:tcPr>
          <w:p>
            <w:pPr>
              <w:pStyle w:val="TableContents"/>
              <w:spacing w:before="0" w:after="283"/>
              <w:jc w:val="right"/>
              <w:rPr/>
            </w:pPr>
            <w:r>
              <w:rPr/>
              <w:t>226,194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w:t>
            </w:r>
          </w:p>
        </w:tc>
        <w:tc>
          <w:tcPr>
            <w:tcW w:w="1236" w:type="dxa"/>
            <w:tcBorders/>
            <w:shd w:fill="CCEEFF" w:val="clear"/>
            <w:vAlign w:val="center"/>
          </w:tcPr>
          <w:p>
            <w:pPr>
              <w:pStyle w:val="TableContents"/>
              <w:spacing w:before="0" w:after="283"/>
              <w:jc w:val="right"/>
              <w:rPr/>
            </w:pPr>
            <w:r>
              <w:rPr/>
              <w:t>12,788</w:t>
            </w:r>
          </w:p>
        </w:tc>
        <w:tc>
          <w:tcPr>
            <w:tcW w:w="215"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958,221</w:t>
            </w:r>
          </w:p>
        </w:tc>
        <w:tc>
          <w:tcPr>
            <w:tcW w:w="75" w:type="dxa"/>
            <w:tcBorders/>
            <w:shd w:fill="CCEEFF"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Daniella Beckman</w:t>
            </w:r>
          </w:p>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Chief Financial 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323,447</w:t>
            </w:r>
          </w:p>
        </w:tc>
        <w:tc>
          <w:tcPr>
            <w:tcW w:w="215"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368,323</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w:t>
            </w:r>
          </w:p>
        </w:tc>
        <w:tc>
          <w:tcPr>
            <w:tcW w:w="1332" w:type="dxa"/>
            <w:tcBorders/>
            <w:shd w:fill="auto" w:val="clear"/>
            <w:vAlign w:val="center"/>
          </w:tcPr>
          <w:p>
            <w:pPr>
              <w:pStyle w:val="TableContents"/>
              <w:spacing w:before="0" w:after="283"/>
              <w:jc w:val="right"/>
              <w:rPr/>
            </w:pPr>
            <w:r>
              <w:rPr/>
              <w:t>131,828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w:t>
            </w:r>
          </w:p>
        </w:tc>
        <w:tc>
          <w:tcPr>
            <w:tcW w:w="1236" w:type="dxa"/>
            <w:tcBorders/>
            <w:shd w:fill="auto" w:val="clear"/>
            <w:vAlign w:val="center"/>
          </w:tcPr>
          <w:p>
            <w:pPr>
              <w:pStyle w:val="TableContents"/>
              <w:spacing w:before="0" w:after="283"/>
              <w:jc w:val="right"/>
              <w:rPr/>
            </w:pPr>
            <w:r>
              <w:rPr/>
              <w:t>10,776</w:t>
            </w:r>
          </w:p>
        </w:tc>
        <w:tc>
          <w:tcPr>
            <w:tcW w:w="215"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834,374</w:t>
            </w:r>
          </w:p>
        </w:tc>
        <w:tc>
          <w:tcPr>
            <w:tcW w:w="75" w:type="dxa"/>
            <w:tcBorders/>
            <w:shd w:fill="auto" w:val="clear"/>
            <w:vAlign w:val="center"/>
          </w:tcPr>
          <w:p>
            <w:pPr>
              <w:pStyle w:val="TableContents"/>
              <w:spacing w:before="0" w:after="283"/>
              <w:rPr/>
            </w:pPr>
            <w:r>
              <w:rPr/>
              <w:t> </w:t>
            </w:r>
          </w:p>
        </w:tc>
      </w:tr>
      <w:tr>
        <w:trPr/>
        <w:tc>
          <w:tcPr>
            <w:tcW w:w="123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Alan Huang, Ph.D.</w:t>
            </w:r>
          </w:p>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Chief Scientific Officer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373,806</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70,566</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w:t>
            </w:r>
          </w:p>
        </w:tc>
        <w:tc>
          <w:tcPr>
            <w:tcW w:w="1332" w:type="dxa"/>
            <w:tcBorders/>
            <w:shd w:fill="CCEEFF" w:val="clear"/>
            <w:vAlign w:val="center"/>
          </w:tcPr>
          <w:p>
            <w:pPr>
              <w:pStyle w:val="TableContents"/>
              <w:spacing w:before="0" w:after="283"/>
              <w:jc w:val="right"/>
              <w:rPr/>
            </w:pPr>
            <w:r>
              <w:rPr/>
              <w:t>135,769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w:t>
            </w:r>
          </w:p>
        </w:tc>
        <w:tc>
          <w:tcPr>
            <w:tcW w:w="1236" w:type="dxa"/>
            <w:tcBorders/>
            <w:shd w:fill="CCEEFF" w:val="clear"/>
            <w:vAlign w:val="center"/>
          </w:tcPr>
          <w:p>
            <w:pPr>
              <w:pStyle w:val="TableContents"/>
              <w:spacing w:before="0" w:after="283"/>
              <w:jc w:val="right"/>
              <w:rPr/>
            </w:pPr>
            <w:r>
              <w:rPr/>
              <w:t>9,376</w:t>
            </w:r>
          </w:p>
        </w:tc>
        <w:tc>
          <w:tcPr>
            <w:tcW w:w="215" w:type="dxa"/>
            <w:tcBorders/>
            <w:shd w:fill="CCEEFF" w:val="clear"/>
            <w:vAlign w:val="center"/>
          </w:tcPr>
          <w:p>
            <w:pPr>
              <w:pStyle w:val="TableContents"/>
              <w:spacing w:before="0" w:after="283"/>
              <w:rPr/>
            </w:pPr>
            <w:r>
              <w:rPr/>
              <w:t>(9)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589,517</w:t>
            </w:r>
          </w:p>
        </w:tc>
        <w:tc>
          <w:tcPr>
            <w:tcW w:w="75" w:type="dxa"/>
            <w:tcBorders/>
            <w:shd w:fill="CCEEFF"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(1)</w:t>
            </w:r>
          </w:p>
        </w:tc>
        <w:tc>
          <w:tcPr>
            <w:tcW w:w="99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Salary amount represents actual amounts paid during 2020. See “— Narrative to the summary Compensation Table — Annual Base Salary” below. </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jc w:val="left"/>
              <w:rPr/>
            </w:pPr>
            <w:r>
              <w:rPr/>
              <w:t>(2)</w:t>
            </w:r>
          </w:p>
        </w:tc>
        <w:tc>
          <w:tcPr>
            <w:tcW w:w="995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Mrs.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 </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(3)</w:t>
            </w:r>
          </w:p>
        </w:tc>
        <w:tc>
          <w:tcPr>
            <w:tcW w:w="99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accordance with SEC rules, this column reflects the aggregate grant date fair value of the option awards granted during fiscal year 2020 computed in accordance with ASC 718 for share-based compensation transactions. These amounts do not reflect the actual economic value that will be realized by the named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162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executive officer upon the vesting of the share options, the exercise of the share options or the sale of the common shares underlying such share options. </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jc w:val="left"/>
              <w:rPr/>
            </w:pPr>
            <w:r>
              <w:rPr/>
              <w:t>(4)</w:t>
            </w:r>
          </w:p>
        </w:tc>
        <w:tc>
          <w:tcPr>
            <w:tcW w:w="991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amounts reflected include an increase to Mrs. Beckman’s stock options to reflect her appointment full-time status, effective on July 1, 2020. </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(5)</w:t>
            </w:r>
          </w:p>
        </w:tc>
        <w:tc>
          <w:tcPr>
            <w:tcW w:w="99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Dr. Weber also serves as a member of our board of directors but does not receive any additional compensation for her service as a director. </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jc w:val="left"/>
              <w:rPr/>
            </w:pPr>
            <w:r>
              <w:rPr/>
              <w:t>(6)</w:t>
            </w:r>
          </w:p>
        </w:tc>
        <w:tc>
          <w:tcPr>
            <w:tcW w:w="990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performance-based cash bonuses awarded to our named executive officers. See </w:t>
            </w:r>
          </w:p>
          <w:p>
            <w:pPr>
              <w:pStyle w:val="TableContents"/>
              <w:spacing w:before="0" w:after="0"/>
              <w:jc w:val="left"/>
              <w:rPr>
                <w:spacing w:val="0"/>
              </w:rPr>
            </w:pPr>
            <w:r>
              <w:rPr>
                <w:spacing w:val="0"/>
              </w:rPr>
              <w:t>“— </w:t>
            </w:r>
            <w:r>
              <w:rPr>
                <w:rFonts w:ascii="Times New Roman" w:hAnsi="Times New Roman"/>
                <w:spacing w:val="0"/>
                <w:sz w:val="20"/>
              </w:rPr>
              <w:t>Non-equity incentive</w:t>
            </w:r>
          </w:p>
          <w:p>
            <w:pPr>
              <w:pStyle w:val="TableContents"/>
              <w:spacing w:before="0" w:after="0"/>
              <w:jc w:val="left"/>
              <w:rPr>
                <w:rFonts w:ascii="Times New Roman" w:hAnsi="Times New Roman"/>
                <w:sz w:val="20"/>
              </w:rPr>
            </w:pPr>
            <w:r>
              <w:rPr>
                <w:rFonts w:ascii="Times New Roman" w:hAnsi="Times New Roman"/>
                <w:sz w:val="20"/>
              </w:rPr>
              <w:t xml:space="preserve">plan compensation” below for a description of the material terms of the program pursuant to which this compensation was awarded.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(7)</w:t>
            </w:r>
          </w:p>
        </w:tc>
        <w:tc>
          <w:tcPr>
            <w:tcW w:w="993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amounts reported reflect $4,320 of commuter benefits, $2,865 of health benefits and life &amp; disability insurance and $5,603 of expenses for phone services and home office expenses that our company paid for on behalf of Dr. Weber.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(8)</w:t>
            </w:r>
          </w:p>
        </w:tc>
        <w:tc>
          <w:tcPr>
            <w:tcW w:w="993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amounts reported reflect $4,320 of commuter benefits, $1,684 for life &amp; disability premiums and $4,772 of expenses for phone services and home office expenses that our company paid for on behalf of Mrs. Beckman. </w:t>
            </w:r>
          </w:p>
        </w:tc>
      </w:tr>
    </w:tbl>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pPr>
            <w:r>
              <w:rPr/>
              <w:t>(9)</w:t>
            </w:r>
          </w:p>
        </w:tc>
        <w:tc>
          <w:tcPr>
            <w:tcW w:w="993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amounts reported reflect $4,320 of commuter benefits, $1,684 for life &amp; disability premiums and $3,372 of expenses for phone services and home office expenses that our company paid for on behalf of Mr. Huang.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Narrative Disclosures to the Summary Compensation Table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board of directors reviews compensation annually for all employees, including our named executives. In setting executive base salaries and bonuses and granting equity incentive awards, we consider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Base Salaries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w:t>
      </w:r>
    </w:p>
    <w:p>
      <w:pPr>
        <w:pStyle w:val="TextBody"/>
        <w:spacing w:before="0" w:after="0"/>
        <w:jc w:val="left"/>
        <w:rPr>
          <w:spacing w:val="0"/>
        </w:rPr>
      </w:pPr>
      <w:r>
        <w:rPr>
          <w:spacing w:val="0"/>
        </w:rPr>
        <w:t> </w:t>
      </w:r>
    </w:p>
    <w:tbl>
      <w:tblPr>
        <w:tblW w:w="4215" w:type="dxa"/>
        <w:jc w:val="left"/>
        <w:tblInd w:w="0" w:type="dxa"/>
        <w:tblCellMar>
          <w:top w:w="0" w:type="dxa"/>
          <w:left w:w="0" w:type="dxa"/>
          <w:bottom w:w="0" w:type="dxa"/>
          <w:right w:w="0" w:type="dxa"/>
        </w:tblCellMar>
      </w:tblPr>
      <w:tblGrid>
        <w:gridCol w:w="1760"/>
        <w:gridCol w:w="120"/>
        <w:gridCol w:w="154"/>
        <w:gridCol w:w="886"/>
        <w:gridCol w:w="60"/>
        <w:gridCol w:w="120"/>
        <w:gridCol w:w="154"/>
        <w:gridCol w:w="886"/>
        <w:gridCol w:w="7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2020 Base</w:t>
              <w:br/>
              <w:t>Salary</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2021 Base</w:t>
              <w:br/>
              <w:t>Salary</w:t>
              <w:br/>
              <w:t>($)</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Barbara Weber, M.D.</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6" w:type="dxa"/>
            <w:tcBorders/>
            <w:shd w:fill="CCEEFF" w:val="clear"/>
            <w:vAlign w:val="center"/>
          </w:tcPr>
          <w:p>
            <w:pPr>
              <w:pStyle w:val="TableContents"/>
              <w:spacing w:before="0" w:after="283"/>
              <w:jc w:val="right"/>
              <w:rPr/>
            </w:pPr>
            <w:r>
              <w:rPr/>
              <w:t>491,617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6" w:type="dxa"/>
            <w:tcBorders/>
            <w:shd w:fill="CCEEFF" w:val="clear"/>
            <w:vAlign w:val="center"/>
          </w:tcPr>
          <w:p>
            <w:pPr>
              <w:pStyle w:val="TableContents"/>
              <w:spacing w:before="0" w:after="283"/>
              <w:jc w:val="right"/>
              <w:rPr/>
            </w:pPr>
            <w:r>
              <w:rPr/>
              <w:t>526,000</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Daniella Beckman(1)</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886" w:type="dxa"/>
            <w:tcBorders/>
            <w:shd w:fill="auto" w:val="clear"/>
            <w:vAlign w:val="center"/>
          </w:tcPr>
          <w:p>
            <w:pPr>
              <w:pStyle w:val="TableContents"/>
              <w:spacing w:before="0" w:after="283"/>
              <w:jc w:val="right"/>
              <w:rPr/>
            </w:pPr>
            <w:r>
              <w:rPr/>
              <w:t>360,000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w:t>
            </w:r>
          </w:p>
        </w:tc>
        <w:tc>
          <w:tcPr>
            <w:tcW w:w="886" w:type="dxa"/>
            <w:tcBorders/>
            <w:shd w:fill="auto" w:val="clear"/>
            <w:vAlign w:val="center"/>
          </w:tcPr>
          <w:p>
            <w:pPr>
              <w:pStyle w:val="TableContents"/>
              <w:spacing w:before="0" w:after="283"/>
              <w:jc w:val="right"/>
              <w:rPr/>
            </w:pPr>
            <w:r>
              <w:rPr/>
              <w:t>390,000</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Alan Huang, Ph.D.</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6" w:type="dxa"/>
            <w:tcBorders/>
            <w:shd w:fill="CCEEFF" w:val="clear"/>
            <w:vAlign w:val="center"/>
          </w:tcPr>
          <w:p>
            <w:pPr>
              <w:pStyle w:val="TableContents"/>
              <w:spacing w:before="0" w:after="283"/>
              <w:jc w:val="right"/>
              <w:rPr/>
            </w:pPr>
            <w:r>
              <w:rPr/>
              <w:t>373,806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886" w:type="dxa"/>
            <w:tcBorders/>
            <w:shd w:fill="CCEEFF" w:val="clear"/>
            <w:vAlign w:val="center"/>
          </w:tcPr>
          <w:p>
            <w:pPr>
              <w:pStyle w:val="TableContents"/>
              <w:spacing w:before="0" w:after="283"/>
              <w:jc w:val="right"/>
              <w:rPr/>
            </w:pPr>
            <w:r>
              <w:rPr/>
              <w:t>411,000</w:t>
            </w:r>
          </w:p>
        </w:tc>
        <w:tc>
          <w:tcPr>
            <w:tcW w:w="75" w:type="dxa"/>
            <w:tcBorders/>
            <w:shd w:fill="CCEEFF"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pPr>
            <w:r>
              <w:rPr/>
              <w:t>(1)</w:t>
            </w:r>
          </w:p>
        </w:tc>
        <w:tc>
          <w:tcPr>
            <w:tcW w:w="991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Mrs. Beckman transitioned to full-time employment on July 1, 2020 and her salary was adjusted to reflect her employment status with our company. </w:t>
            </w:r>
          </w:p>
        </w:tc>
      </w:tr>
    </w:tbl>
    <w:tbl>
      <w:tblPr>
        <w:tblW w:w="4585" w:type="dxa"/>
        <w:jc w:val="left"/>
        <w:tblInd w:w="0" w:type="dxa"/>
        <w:tblCellMar>
          <w:top w:w="0" w:type="dxa"/>
          <w:left w:w="0" w:type="dxa"/>
          <w:bottom w:w="0" w:type="dxa"/>
          <w:right w:w="0" w:type="dxa"/>
        </w:tblCellMar>
      </w:tblPr>
      <w:tblGrid>
        <w:gridCol w:w="305"/>
        <w:gridCol w:w="4280"/>
      </w:tblGrid>
      <w:tr>
        <w:trPr/>
        <w:tc>
          <w:tcPr>
            <w:tcW w:w="305" w:type="dxa"/>
            <w:tcBorders/>
            <w:shd w:fill="auto" w:val="clear"/>
            <w:vAlign w:val="center"/>
          </w:tcPr>
          <w:p>
            <w:pPr>
              <w:pStyle w:val="TableContents"/>
              <w:spacing w:before="0" w:after="283"/>
              <w:jc w:val="left"/>
              <w:rPr/>
            </w:pPr>
            <w:r>
              <w:rPr/>
              <w:t>(2)</w:t>
            </w:r>
          </w:p>
        </w:tc>
        <w:tc>
          <w:tcPr>
            <w:tcW w:w="42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2021 Base Salary is effective as of August 10, 2021.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Non-Equity</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Incentive Plan Compensation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bonus program is intended to recognize and reward associates for achieving established objectives that are linked to the company’s growth and success, thereby allowing you to share in our performance based on corporate and individual accomplishments. Early in 2020, our Board of Directors determined a number of company performance goals for fiscal 2020 pertaining to (i) Early-stage target discovery efforts of 30% (ii) Drug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discovery efforts, including the development efforts for our </w:t>
      </w:r>
    </w:p>
    <w:p>
      <w:pPr>
        <w:pStyle w:val="TextBody"/>
        <w:spacing w:before="0" w:after="0"/>
        <w:jc w:val="left"/>
        <w:rPr>
          <w:rFonts w:ascii="Times New Roman" w:hAnsi="Times New Roman"/>
          <w:spacing w:val="0"/>
          <w:sz w:val="20"/>
        </w:rPr>
      </w:pPr>
      <w:r>
        <w:rPr>
          <w:rFonts w:ascii="Times New Roman" w:hAnsi="Times New Roman"/>
          <w:spacing w:val="0"/>
          <w:sz w:val="20"/>
        </w:rPr>
        <w:t>TNG-908 program</w:t>
      </w:r>
    </w:p>
    <w:p>
      <w:pPr>
        <w:pStyle w:val="TextBody"/>
        <w:spacing w:before="0" w:after="0"/>
        <w:jc w:val="left"/>
        <w:rPr>
          <w:rFonts w:ascii="Times New Roman" w:hAnsi="Times New Roman"/>
          <w:sz w:val="20"/>
        </w:rPr>
      </w:pPr>
      <w:r>
        <w:rPr>
          <w:rFonts w:ascii="Times New Roman" w:hAnsi="Times New Roman"/>
          <w:sz w:val="20"/>
        </w:rPr>
        <w:t xml:space="preserve">of 55% and (iii) Corporate Strategy and organizational objectives of 15%. </w:t>
      </w:r>
    </w:p>
    <w:p>
      <w:pPr>
        <w:pStyle w:val="TextBody"/>
        <w:spacing w:before="0" w:after="0"/>
        <w:jc w:val="left"/>
        <w:rPr>
          <w:spacing w:val="0"/>
        </w:rPr>
      </w:pPr>
      <w:r>
        <w:rPr>
          <w:spacing w:val="0"/>
        </w:rPr>
        <w:t> </w:t>
      </w:r>
    </w:p>
    <w:tbl>
      <w:tblPr>
        <w:tblW w:w="4795" w:type="dxa"/>
        <w:jc w:val="left"/>
        <w:tblInd w:w="0" w:type="dxa"/>
        <w:tblCellMar>
          <w:top w:w="0" w:type="dxa"/>
          <w:left w:w="0" w:type="dxa"/>
          <w:bottom w:w="0" w:type="dxa"/>
          <w:right w:w="0" w:type="dxa"/>
        </w:tblCellMar>
      </w:tblPr>
      <w:tblGrid>
        <w:gridCol w:w="1730"/>
        <w:gridCol w:w="120"/>
        <w:gridCol w:w="217"/>
        <w:gridCol w:w="943"/>
        <w:gridCol w:w="275"/>
        <w:gridCol w:w="60"/>
        <w:gridCol w:w="217"/>
        <w:gridCol w:w="943"/>
        <w:gridCol w:w="290"/>
      </w:tblGrid>
      <w:tr>
        <w:trPr/>
        <w:tc>
          <w:tcPr>
            <w:tcW w:w="1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2020</w:t>
              <w:br/>
              <w:t>Bonus</w:t>
              <w:br/>
              <w:t>Target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2021</w:t>
              <w:br/>
              <w:t>Bonus</w:t>
              <w:br/>
              <w:t>Target (%)</w:t>
            </w:r>
          </w:p>
        </w:tc>
        <w:tc>
          <w:tcPr>
            <w:tcW w:w="290" w:type="dxa"/>
            <w:tcBorders/>
            <w:shd w:fill="auto" w:val="clear"/>
            <w:vAlign w:val="center"/>
          </w:tcPr>
          <w:p>
            <w:pPr>
              <w:pStyle w:val="TableContents"/>
              <w:spacing w:before="0" w:after="283"/>
              <w:rPr/>
            </w:pPr>
            <w:r>
              <w:rPr/>
              <w:t> </w:t>
            </w:r>
          </w:p>
        </w:tc>
      </w:tr>
      <w:tr>
        <w:trPr/>
        <w:tc>
          <w:tcPr>
            <w:tcW w:w="17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Barbara Weber, M.D.</w:t>
            </w:r>
          </w:p>
        </w:tc>
        <w:tc>
          <w:tcPr>
            <w:tcW w:w="12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40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50</w:t>
            </w:r>
          </w:p>
        </w:tc>
        <w:tc>
          <w:tcPr>
            <w:tcW w:w="290" w:type="dxa"/>
            <w:tcBorders/>
            <w:shd w:fill="CCEEFF" w:val="clear"/>
            <w:vAlign w:val="center"/>
          </w:tcPr>
          <w:p>
            <w:pPr>
              <w:pStyle w:val="TableContents"/>
              <w:spacing w:before="0" w:after="283"/>
              <w:rPr/>
            </w:pPr>
            <w:r>
              <w:rPr/>
              <w:t>% </w:t>
            </w:r>
          </w:p>
        </w:tc>
      </w:tr>
      <w:tr>
        <w:trPr/>
        <w:tc>
          <w:tcPr>
            <w:tcW w:w="17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Daniella Beckman</w:t>
            </w:r>
          </w:p>
        </w:tc>
        <w:tc>
          <w:tcPr>
            <w:tcW w:w="12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35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40</w:t>
            </w:r>
          </w:p>
        </w:tc>
        <w:tc>
          <w:tcPr>
            <w:tcW w:w="290" w:type="dxa"/>
            <w:tcBorders/>
            <w:shd w:fill="auto" w:val="clear"/>
            <w:vAlign w:val="center"/>
          </w:tcPr>
          <w:p>
            <w:pPr>
              <w:pStyle w:val="TableContents"/>
              <w:spacing w:before="0" w:after="283"/>
              <w:rPr/>
            </w:pPr>
            <w:r>
              <w:rPr/>
              <w:t>% </w:t>
            </w:r>
          </w:p>
        </w:tc>
      </w:tr>
      <w:tr>
        <w:trPr/>
        <w:tc>
          <w:tcPr>
            <w:tcW w:w="17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Alan Huang, Ph.D.</w:t>
            </w:r>
          </w:p>
        </w:tc>
        <w:tc>
          <w:tcPr>
            <w:tcW w:w="12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35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40</w:t>
            </w:r>
          </w:p>
        </w:tc>
        <w:tc>
          <w:tcPr>
            <w:tcW w:w="290" w:type="dxa"/>
            <w:tcBorders/>
            <w:shd w:fill="CCEEFF"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4735" w:type="dxa"/>
        <w:jc w:val="left"/>
        <w:tblInd w:w="0" w:type="dxa"/>
        <w:tblCellMar>
          <w:top w:w="0" w:type="dxa"/>
          <w:left w:w="0" w:type="dxa"/>
          <w:bottom w:w="0" w:type="dxa"/>
          <w:right w:w="0" w:type="dxa"/>
        </w:tblCellMar>
      </w:tblPr>
      <w:tblGrid>
        <w:gridCol w:w="305"/>
        <w:gridCol w:w="4430"/>
      </w:tblGrid>
      <w:tr>
        <w:trPr/>
        <w:tc>
          <w:tcPr>
            <w:tcW w:w="305" w:type="dxa"/>
            <w:tcBorders/>
            <w:shd w:fill="auto" w:val="clear"/>
            <w:vAlign w:val="center"/>
          </w:tcPr>
          <w:p>
            <w:pPr>
              <w:pStyle w:val="TableContents"/>
              <w:spacing w:before="0" w:after="283"/>
              <w:jc w:val="left"/>
              <w:rPr/>
            </w:pPr>
            <w:r>
              <w:rPr/>
              <w:t>(1)</w:t>
            </w:r>
          </w:p>
        </w:tc>
        <w:tc>
          <w:tcPr>
            <w:tcW w:w="44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2021 Bonus Target is effective as of August 10, 2021.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Dr. Weber, Ms. Beckman and Mr. Huang all earned bonuses as set forth in the 2020 Summary Compensation Table. Theses bonuses were based on specified company and individual performance metrics which were approved by the board of directors.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Incentive Compensation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equity-based incentive awards granted to our named executive officers are designed to align our interested and those of our stockholders with those of our employees and consultants, including our executive officers.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may also construct alternative vesting schedules as it determines are appropriate to motivate particular employees. All options are granted with an exercise price that is no less than the fair market value of our common shares on the date of such grant of such award. </w:t>
      </w:r>
    </w:p>
    <w:p>
      <w:pPr>
        <w:pStyle w:val="TextBody"/>
        <w:spacing w:before="240" w:after="0"/>
        <w:jc w:val="left"/>
        <w:rPr>
          <w:rFonts w:ascii="Times New Roman" w:hAnsi="Times New Roman"/>
          <w:sz w:val="20"/>
        </w:rPr>
      </w:pPr>
      <w:r>
        <w:rPr>
          <w:rFonts w:ascii="Times New Roman" w:hAnsi="Times New Roman"/>
          <w:sz w:val="20"/>
        </w:rPr>
        <w:t>Prior to the Business Combination, we have granted all share options pursuant to our Tango Therapeutics, Inc. 2017 Stock Option and Grant Plan. The terms of our equity plans are described below under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Equity Incentive Plans.</w:t>
      </w:r>
    </w:p>
    <w:p>
      <w:pPr>
        <w:pStyle w:val="TextBody"/>
        <w:spacing w:before="240" w:after="0"/>
        <w:jc w:val="left"/>
        <w:rPr/>
      </w:pPr>
      <w:r>
        <w:rPr/>
        <w:t xml:space="preserv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Executive Compensation Arrangements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initially entered into an offer letter with each of the named executive officers in connection with such officer’s employment with us, which set forth the terms and conditions of this officer’s employment, including base salary, target annual bonus opportunity, initial equity awards and standard employee benefit plan participation. Effective upon the Closing, we entered into an employment agreements with each of Dr. Weber, Ms. Beckman and Dr. Huang that replaced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employment agreements with our named executive officers will require the named executive officers to execute a separation agreement containing a general release of claims in favor of us to receive any severance payments and benefits. The material terms of the employment agreements with Dr. Weber, Ms. Beckman and Dr. Huang are summarized below.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Barbara Weber, M.D. </w:t>
      </w:r>
    </w:p>
    <w:p>
      <w:pPr>
        <w:pStyle w:val="TextBody"/>
        <w:spacing w:before="120" w:after="0"/>
        <w:jc w:val="left"/>
        <w:rPr>
          <w:rFonts w:ascii="Times New Roman" w:hAnsi="Times New Roman"/>
          <w:sz w:val="20"/>
        </w:rPr>
      </w:pPr>
      <w:r>
        <w:rPr>
          <w:rFonts w:ascii="Times New Roman" w:hAnsi="Times New Roman"/>
          <w:sz w:val="20"/>
        </w:rPr>
        <w:t xml:space="preserve">Effective upon the closing of the Business Combination, we entered into a new employment agreement with Dr. Weber. Under Dr. Weber’s employment agreement, or the Weber Employment Agreement, Dr. Weber will serve as our Chief Executive Officer on an </w:t>
      </w:r>
    </w:p>
    <w:p>
      <w:pPr>
        <w:pStyle w:val="TextBody"/>
        <w:spacing w:before="120" w:after="0"/>
        <w:jc w:val="left"/>
        <w:rPr>
          <w:rFonts w:ascii="Times New Roman" w:hAnsi="Times New Roman"/>
          <w:spacing w:val="0"/>
          <w:sz w:val="20"/>
        </w:rPr>
      </w:pPr>
      <w:r>
        <w:rPr>
          <w:rFonts w:ascii="Times New Roman" w:hAnsi="Times New Roman"/>
          <w:spacing w:val="0"/>
          <w:sz w:val="20"/>
        </w:rPr>
        <w:t>at-will basis.</w:t>
      </w:r>
    </w:p>
    <w:p>
      <w:pPr>
        <w:pStyle w:val="TextBody"/>
        <w:spacing w:before="120" w:after="0"/>
        <w:jc w:val="left"/>
        <w:rPr>
          <w:rFonts w:ascii="Times New Roman" w:hAnsi="Times New Roman"/>
          <w:sz w:val="20"/>
        </w:rPr>
      </w:pPr>
      <w:r>
        <w:rPr>
          <w:rFonts w:ascii="Times New Roman" w:hAnsi="Times New Roman"/>
          <w:sz w:val="20"/>
        </w:rPr>
        <w:t xml:space="preserve">Dr. Weber’s base salary is $526,000, which is subject to periodic review and adjustment, and she will be eligible to earn an annual bonus with a target amount equal to 50% of her base salary. Dr. Weber is eligible to participate in the employee benefit plans available to our employees, subject to the terms of those plans.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twelve (12) months following termination, (ii) she will be entitled to receive a prorated portion of her target annual cash incentive compensation for the year of termination, payable over the twelve (12) months following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twelve (12) months following termination, (B) Dr. Weber’s eligibility for group medical plan benefits under any other employer’s group medical plan or (C) the end of Dr. Weber’s COBRA health continuation period, and (iv) acceleration by 12 months of the unvested portion of all stock options and other stock-based awards subject solely to time-based vesting held by Dr. Weber.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lieu of the payments and benefits described in the preceding sentence, in the event that Dr. Weber’s employment is terminated by us without cause or Dr. Weber resigns for good reason on or within twelve (12) months following a “change in control” (as defined in the Weber Employment Agreement), subject to the execution and effectiveness of a separation agreement, including a general release of claims in our favor, (i) she will be entitled to receive a lump sum in cash equal to 1.5 times Dr. Weber’s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eighteen (18) months following termination, (B) Dr. Weber’s eligibility for group medical plan benefits under any other employer’s group medical plan or (C) the end of Dr. Weber’s COBRA health continuation period, and (iv) 100% of all stock options and other stock-based awards subject solely to time-based vesting held by Dr. Weber shall be accelerated.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Daniella Beckman </w:t>
      </w:r>
    </w:p>
    <w:p>
      <w:pPr>
        <w:pStyle w:val="TextBody"/>
        <w:spacing w:before="120" w:after="0"/>
        <w:jc w:val="left"/>
        <w:rPr>
          <w:rFonts w:ascii="Times New Roman" w:hAnsi="Times New Roman"/>
          <w:sz w:val="20"/>
        </w:rPr>
      </w:pPr>
      <w:r>
        <w:rPr>
          <w:rFonts w:ascii="Times New Roman" w:hAnsi="Times New Roman"/>
          <w:sz w:val="20"/>
        </w:rPr>
        <w:t xml:space="preserve">Effective upon the closing of the Business Combination, we entered into a new employment agreement with Ms. Beckman. Under Ms. Beckman’s employment agreement, or the Beckman Employment Agreement, Ms. Beckman will serve as our Chief Financial Officer on an </w:t>
      </w:r>
    </w:p>
    <w:p>
      <w:pPr>
        <w:pStyle w:val="TextBody"/>
        <w:spacing w:before="120" w:after="0"/>
        <w:jc w:val="left"/>
        <w:rPr>
          <w:rFonts w:ascii="Times New Roman" w:hAnsi="Times New Roman"/>
          <w:spacing w:val="0"/>
          <w:sz w:val="20"/>
        </w:rPr>
      </w:pPr>
      <w:r>
        <w:rPr>
          <w:rFonts w:ascii="Times New Roman" w:hAnsi="Times New Roman"/>
          <w:spacing w:val="0"/>
          <w:sz w:val="20"/>
        </w:rPr>
        <w:t>at-will basis.</w:t>
      </w:r>
    </w:p>
    <w:p>
      <w:pPr>
        <w:pStyle w:val="TextBody"/>
        <w:spacing w:before="120" w:after="0"/>
        <w:jc w:val="left"/>
        <w:rPr>
          <w:rFonts w:ascii="Times New Roman" w:hAnsi="Times New Roman"/>
          <w:sz w:val="20"/>
        </w:rPr>
      </w:pPr>
      <w:r>
        <w:rPr>
          <w:rFonts w:ascii="Times New Roman" w:hAnsi="Times New Roman"/>
          <w:sz w:val="20"/>
        </w:rPr>
        <w:t xml:space="preserve">Ms. Beckman’s base salary is $390,000, which is subject to periodic review and adjustment, and she will be eligible to earn an annual bonus with a target amount equal to 40% of her base salary. Ms. Beckman is eligible to participate in the employee benefit plans available to our employees, subject to the terms of those plans.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twelve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lieu of the payments and benefits described in the preceding sentence, in the event that Ms. Beckman’s employment is terminated by us without cause or Ms. Beckman resigns for good reason on or within twelve (12) months following a “change in control” (as defined in the Beckman Employment Agreement), subject to the execution and effectiveness of a separation agreement, including a general release of claims in our favor, (i) she will be entitled to receive a lump sum in cash equal to 1.0 times Ms. Beckman’s then-current annual base salary (or Ms. Beckman’s annual base salary in effect immediately prior to the change in control, if higher), (ii) she will be entitled to receive a lump sum in cash equal to Ms. Beckman’s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 and (iv) 100% of all stock options and other stock-based awards subject solely to time-based vesting held by Ms. Beckman shall be accelerated.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Alan Huang, Ph.D. </w:t>
      </w:r>
    </w:p>
    <w:p>
      <w:pPr>
        <w:pStyle w:val="TextBody"/>
        <w:spacing w:before="120" w:after="0"/>
        <w:jc w:val="left"/>
        <w:rPr>
          <w:rFonts w:ascii="Times New Roman" w:hAnsi="Times New Roman"/>
          <w:sz w:val="20"/>
        </w:rPr>
      </w:pPr>
      <w:r>
        <w:rPr>
          <w:rFonts w:ascii="Times New Roman" w:hAnsi="Times New Roman"/>
          <w:sz w:val="20"/>
        </w:rPr>
        <w:t xml:space="preserve">Effective upon the closing of the Business Combination, we entered into a new employment agreement with Dr. Huang. Under Dr. Huang’s employment agreement, or the Huang Employment Agreement, Dr. Huang will serve as our Chief Scientific Officer on an </w:t>
      </w:r>
    </w:p>
    <w:p>
      <w:pPr>
        <w:pStyle w:val="TextBody"/>
        <w:spacing w:before="120" w:after="0"/>
        <w:jc w:val="left"/>
        <w:rPr>
          <w:rFonts w:ascii="Times New Roman" w:hAnsi="Times New Roman"/>
          <w:spacing w:val="0"/>
          <w:sz w:val="20"/>
        </w:rPr>
      </w:pPr>
      <w:r>
        <w:rPr>
          <w:rFonts w:ascii="Times New Roman" w:hAnsi="Times New Roman"/>
          <w:spacing w:val="0"/>
          <w:sz w:val="20"/>
        </w:rPr>
        <w:t>at-will basis.</w:t>
      </w:r>
    </w:p>
    <w:p>
      <w:pPr>
        <w:pStyle w:val="TextBody"/>
        <w:spacing w:before="120" w:after="0"/>
        <w:jc w:val="left"/>
        <w:rPr>
          <w:rFonts w:ascii="Times New Roman" w:hAnsi="Times New Roman"/>
          <w:sz w:val="20"/>
        </w:rPr>
      </w:pPr>
      <w:r>
        <w:rPr>
          <w:rFonts w:ascii="Times New Roman" w:hAnsi="Times New Roman"/>
          <w:sz w:val="20"/>
        </w:rPr>
        <w:t xml:space="preserve">Dr. Huang’s base salary is $411,000, which is subject to periodic review and adjustment, and he will be eligible to earn an annual bonus with a target amount equal to 40% of his base salary. Dr. Huang is eligible to participate in the employee benefit plans available to our employees, subject to the terms of those plans.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 for twelve (12) months following termination, and (ii)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lieu of the payments and benefits described in the preceding sentence, in the event that Dr. Huang’s employment is terminated by us without cause or Dr. Huang resigns for good reason on or within twelve (12) months following a “change in control” (as defined in the Huang Employment Agreement), subject to the execution and effectiveness of a separation agreement, including a general release of claims in our favor, (i) he will be entitled to receive a lump sum in cash equal to 1.0 times Dr. Huang’s then-current annual base salary (or Dr. Huang’s annual base salary in effect immediately prior to the change in control, if higher), (ii) he will be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entitled to receive a lump sum in cash equal to Dr. Huang’s target annual cash incentive compensation for the year of termination, (iii)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 and (iv) 100% of all stock options and other stock-based awards subject solely to time-based vesting held by Dr. Huang shall be accelerated. </w:t>
      </w:r>
    </w:p>
    <w:p>
      <w:pPr>
        <w:pStyle w:val="TextBody"/>
        <w:spacing w:before="360" w:after="0"/>
        <w:jc w:val="left"/>
        <w:rPr>
          <w:rFonts w:ascii="Times New Roman" w:hAnsi="Times New Roman"/>
          <w:b/>
          <w:sz w:val="20"/>
        </w:rPr>
      </w:pPr>
      <w:r>
        <w:rPr>
          <w:rFonts w:ascii="Times New Roman" w:hAnsi="Times New Roman"/>
          <w:b/>
          <w:sz w:val="20"/>
        </w:rPr>
        <w:t xml:space="preserve">Outstanding Equity Awards at 2020 Fiscal </w:t>
      </w:r>
    </w:p>
    <w:p>
      <w:pPr>
        <w:pStyle w:val="TextBody"/>
        <w:spacing w:before="360" w:after="0"/>
        <w:jc w:val="left"/>
        <w:rPr>
          <w:rFonts w:ascii="Times New Roman" w:hAnsi="Times New Roman"/>
          <w:b/>
          <w:spacing w:val="0"/>
          <w:sz w:val="20"/>
        </w:rPr>
      </w:pPr>
      <w:r>
        <w:rPr>
          <w:rFonts w:ascii="Times New Roman" w:hAnsi="Times New Roman"/>
          <w:b/>
          <w:spacing w:val="0"/>
          <w:sz w:val="20"/>
        </w:rPr>
        <w:t>Year-End</w:t>
      </w:r>
    </w:p>
    <w:p>
      <w:pPr>
        <w:pStyle w:val="TextBody"/>
        <w:spacing w:before="0" w:after="0"/>
        <w:jc w:val="left"/>
        <w:rPr>
          <w:spacing w:val="0"/>
        </w:rPr>
      </w:pPr>
      <w:r>
        <w:rPr>
          <w:spacing w:val="0"/>
        </w:rPr>
        <w:t> </w:t>
      </w:r>
    </w:p>
    <w:tbl>
      <w:tblPr>
        <w:tblW w:w="15880" w:type="dxa"/>
        <w:jc w:val="left"/>
        <w:tblInd w:w="0" w:type="dxa"/>
        <w:tblCellMar>
          <w:top w:w="0" w:type="dxa"/>
          <w:left w:w="0" w:type="dxa"/>
          <w:bottom w:w="0" w:type="dxa"/>
          <w:right w:w="0" w:type="dxa"/>
        </w:tblCellMar>
      </w:tblPr>
      <w:tblGrid>
        <w:gridCol w:w="1520"/>
        <w:gridCol w:w="60"/>
        <w:gridCol w:w="60"/>
        <w:gridCol w:w="575"/>
        <w:gridCol w:w="60"/>
        <w:gridCol w:w="60"/>
        <w:gridCol w:w="178"/>
        <w:gridCol w:w="1492"/>
        <w:gridCol w:w="60"/>
        <w:gridCol w:w="60"/>
        <w:gridCol w:w="88"/>
        <w:gridCol w:w="1177"/>
        <w:gridCol w:w="60"/>
        <w:gridCol w:w="60"/>
        <w:gridCol w:w="110"/>
        <w:gridCol w:w="1470"/>
        <w:gridCol w:w="215"/>
        <w:gridCol w:w="60"/>
        <w:gridCol w:w="172"/>
        <w:gridCol w:w="1093"/>
        <w:gridCol w:w="60"/>
        <w:gridCol w:w="60"/>
        <w:gridCol w:w="211"/>
        <w:gridCol w:w="664"/>
        <w:gridCol w:w="60"/>
        <w:gridCol w:w="60"/>
        <w:gridCol w:w="60"/>
        <w:gridCol w:w="1055"/>
        <w:gridCol w:w="60"/>
        <w:gridCol w:w="60"/>
        <w:gridCol w:w="69"/>
        <w:gridCol w:w="926"/>
        <w:gridCol w:w="215"/>
        <w:gridCol w:w="60"/>
        <w:gridCol w:w="170"/>
        <w:gridCol w:w="975"/>
        <w:gridCol w:w="60"/>
        <w:gridCol w:w="60"/>
        <w:gridCol w:w="154"/>
        <w:gridCol w:w="976"/>
        <w:gridCol w:w="60"/>
        <w:gridCol w:w="60"/>
        <w:gridCol w:w="141"/>
        <w:gridCol w:w="899"/>
        <w:gridCol w:w="75"/>
      </w:tblGrid>
      <w:tr>
        <w:trPr/>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25" w:type="dxa"/>
            <w:gridSpan w:val="6"/>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35" w:type="dxa"/>
            <w:gridSpan w:val="18"/>
            <w:tcBorders/>
            <w:shd w:fill="auto" w:val="clear"/>
            <w:vAlign w:val="center"/>
          </w:tcPr>
          <w:p>
            <w:pPr>
              <w:pStyle w:val="TableContents"/>
              <w:spacing w:before="0" w:after="0"/>
              <w:jc w:val="center"/>
              <w:rPr>
                <w:b/>
                <w:spacing w:val="0"/>
              </w:rPr>
            </w:pPr>
            <w:r>
              <w:rPr>
                <w:b/>
                <w:spacing w:val="0"/>
              </w:rPr>
              <w:t>Option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825" w:type="dxa"/>
            <w:gridSpan w:val="14"/>
            <w:tcBorders/>
            <w:shd w:fill="auto" w:val="clear"/>
            <w:vAlign w:val="center"/>
          </w:tcPr>
          <w:p>
            <w:pPr>
              <w:pStyle w:val="TableContents"/>
              <w:spacing w:before="0" w:after="0"/>
              <w:jc w:val="center"/>
              <w:rPr>
                <w:b/>
                <w:spacing w:val="0"/>
              </w:rPr>
            </w:pPr>
            <w:r>
              <w:rPr>
                <w:b/>
                <w:spacing w:val="0"/>
              </w:rPr>
              <w:t>Stock Awards</w:t>
            </w:r>
          </w:p>
        </w:tc>
        <w:tc>
          <w:tcPr>
            <w:tcW w:w="75" w:type="dxa"/>
            <w:tcBorders/>
            <w:shd w:fill="auto" w:val="clear"/>
            <w:vAlign w:val="center"/>
          </w:tcPr>
          <w:p>
            <w:pPr>
              <w:pStyle w:val="TableContents"/>
              <w:spacing w:before="0" w:after="283"/>
              <w:rPr/>
            </w:pPr>
            <w:r>
              <w:rPr/>
              <w:t> </w:t>
            </w:r>
          </w:p>
        </w:tc>
      </w:tr>
      <w:tr>
        <w:trPr/>
        <w:tc>
          <w:tcPr>
            <w:tcW w:w="1520" w:type="dxa"/>
            <w:tcBorders/>
            <w:shd w:fill="auto" w:val="clear"/>
            <w:vAlign w:val="center"/>
          </w:tcPr>
          <w:p>
            <w:pPr>
              <w:pStyle w:val="TableContents"/>
              <w:spacing w:before="0" w:after="0"/>
              <w:rPr>
                <w:rFonts w:ascii="Times New Roman" w:hAnsi="Times New Roman"/>
                <w:b/>
                <w:spacing w:val="0"/>
                <w:sz w:val="14"/>
                <w:bdr w:val="single" w:sz="8" w:space="1" w:color="000000"/>
              </w:rPr>
            </w:pPr>
            <w:r>
              <w:rPr>
                <w:rFonts w:ascii="Times New Roman" w:hAnsi="Times New Roman"/>
                <w:b/>
                <w:spacing w:val="0"/>
                <w:sz w:val="14"/>
                <w:bdr w:val="single" w:sz="8" w:space="1" w:color="000000"/>
              </w:rPr>
              <w:t>Name and Principal</w:t>
              <w:br/>
              <w:t>Position</w:t>
            </w:r>
          </w:p>
        </w:tc>
        <w:tc>
          <w:tcPr>
            <w:tcW w:w="60" w:type="dxa"/>
            <w:tcBorders/>
            <w:shd w:fill="auto" w:val="clear"/>
            <w:vAlign w:val="center"/>
          </w:tcPr>
          <w:p>
            <w:pPr>
              <w:pStyle w:val="TableContents"/>
              <w:spacing w:before="0" w:after="283"/>
              <w:rPr/>
            </w:pPr>
            <w:r>
              <w:rPr/>
              <w:t> </w:t>
            </w:r>
          </w:p>
        </w:tc>
        <w:tc>
          <w:tcPr>
            <w:tcW w:w="635" w:type="dxa"/>
            <w:gridSpan w:val="2"/>
            <w:tcBorders/>
            <w:shd w:fill="auto" w:val="clear"/>
            <w:vAlign w:val="center"/>
          </w:tcPr>
          <w:p>
            <w:pPr>
              <w:pStyle w:val="TableContents"/>
              <w:spacing w:before="0" w:after="0"/>
              <w:jc w:val="center"/>
              <w:rPr>
                <w:b/>
                <w:spacing w:val="0"/>
              </w:rPr>
            </w:pPr>
            <w:r>
              <w:rPr>
                <w:b/>
                <w:spacing w:val="0"/>
              </w:rPr>
              <w:t>Grant</w:t>
              <w:br/>
              <w:t>Date(1)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0" w:type="dxa"/>
            <w:gridSpan w:val="2"/>
            <w:tcBorders/>
            <w:shd w:fill="auto" w:val="clear"/>
            <w:vAlign w:val="center"/>
          </w:tcPr>
          <w:p>
            <w:pPr>
              <w:pStyle w:val="TableContents"/>
              <w:spacing w:before="0" w:after="0"/>
              <w:jc w:val="center"/>
              <w:rPr>
                <w:b/>
                <w:spacing w:val="0"/>
              </w:rPr>
            </w:pPr>
            <w:r>
              <w:rPr>
                <w:b/>
                <w:spacing w:val="0"/>
              </w:rPr>
              <w:t>Vesting</w:t>
              <w:br/>
              <w:t>Commencement</w:t>
              <w:br/>
              <w:t>Date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0"/>
              <w:jc w:val="center"/>
              <w:rPr>
                <w:b/>
                <w:spacing w:val="0"/>
              </w:rPr>
            </w:pPr>
            <w:r>
              <w:rPr>
                <w:b/>
                <w:spacing w:val="0"/>
              </w:rPr>
              <w:t>Number of</w:t>
              <w:br/>
              <w:t>Securities</w:t>
              <w:br/>
              <w:t>Underlying</w:t>
              <w:br/>
              <w:t>Unexercised</w:t>
              <w:br/>
              <w:t>Options (#)</w:t>
              <w:br/>
              <w:t>(Exercisable)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shd w:fill="auto" w:val="clear"/>
            <w:vAlign w:val="center"/>
          </w:tcPr>
          <w:p>
            <w:pPr>
              <w:pStyle w:val="TableContents"/>
              <w:spacing w:before="0" w:after="0"/>
              <w:jc w:val="center"/>
              <w:rPr>
                <w:b/>
                <w:spacing w:val="0"/>
              </w:rPr>
            </w:pPr>
            <w:r>
              <w:rPr>
                <w:b/>
                <w:spacing w:val="0"/>
              </w:rPr>
              <w:t>Number of</w:t>
              <w:br/>
              <w:t>Securities</w:t>
              <w:br/>
              <w:t>Underlying</w:t>
              <w:br/>
              <w:t>Unexercised</w:t>
              <w:br/>
              <w:t>Options (#)</w:t>
              <w:br/>
              <w:t>(UnExercisable)</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0"/>
              <w:jc w:val="center"/>
              <w:rPr>
                <w:b/>
                <w:spacing w:val="0"/>
              </w:rPr>
            </w:pPr>
            <w:r>
              <w:rPr>
                <w:b/>
                <w:spacing w:val="0"/>
              </w:rPr>
              <w:t>Equity</w:t>
              <w:br/>
              <w:t>Incentive</w:t>
              <w:br/>
              <w:t>Plan</w:t>
              <w:br/>
              <w:t>Awards:</w:t>
              <w:br/>
              <w:t>Number of</w:t>
              <w:br/>
              <w:t>Securities</w:t>
              <w:br/>
              <w:t>Underlying</w:t>
              <w:br/>
              <w:t>Unexercised</w:t>
              <w:br/>
              <w:t>Unearned</w:t>
              <w:br/>
              <w:t>Options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0"/>
              <w:jc w:val="center"/>
              <w:rPr>
                <w:b/>
                <w:spacing w:val="0"/>
              </w:rPr>
            </w:pPr>
            <w:r>
              <w:rPr>
                <w:b/>
                <w:spacing w:val="0"/>
              </w:rPr>
              <w:t>Option</w:t>
              <w:br/>
              <w:t>Exercise</w:t>
              <w:br/>
              <w:t>Price(2)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0"/>
              <w:jc w:val="center"/>
              <w:rPr>
                <w:b/>
                <w:spacing w:val="0"/>
              </w:rPr>
            </w:pPr>
            <w:r>
              <w:rPr>
                <w:b/>
                <w:spacing w:val="0"/>
              </w:rPr>
              <w:t>Option</w:t>
              <w:br/>
              <w:t>Expiration</w:t>
              <w:br/>
              <w:t>Date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0"/>
              <w:jc w:val="center"/>
              <w:rPr>
                <w:b/>
                <w:spacing w:val="0"/>
              </w:rPr>
            </w:pPr>
            <w:r>
              <w:rPr>
                <w:b/>
                <w:spacing w:val="0"/>
              </w:rPr>
              <w:t>Number</w:t>
              <w:br/>
              <w:t>of</w:t>
              <w:br/>
              <w:t>Shares or</w:t>
              <w:br/>
              <w:t>Units of</w:t>
              <w:br/>
              <w:t>Stock</w:t>
              <w:br/>
              <w:t>That</w:t>
              <w:br/>
              <w:t>Have Not</w:t>
              <w:br/>
              <w:t>Vested</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0"/>
              <w:jc w:val="center"/>
              <w:rPr>
                <w:b/>
                <w:spacing w:val="0"/>
              </w:rPr>
            </w:pPr>
            <w:r>
              <w:rPr>
                <w:b/>
                <w:spacing w:val="0"/>
              </w:rPr>
              <w:t>Market</w:t>
              <w:br/>
              <w:t>Value</w:t>
              <w:br/>
              <w:t>of</w:t>
              <w:br/>
              <w:t>Shares or</w:t>
              <w:br/>
              <w:t>Units of</w:t>
              <w:br/>
              <w:t>Stock That</w:t>
              <w:br/>
              <w:t>Have Not</w:t>
              <w:br/>
              <w:t>Vested</w:t>
              <w:br/>
              <w:t>($)(5)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Equity</w:t>
              <w:br/>
              <w:t>Incentive</w:t>
              <w:br/>
              <w:t>Plan</w:t>
              <w:br/>
              <w:t>Awards:</w:t>
              <w:br/>
              <w:t>Number of</w:t>
              <w:br/>
              <w:t>Unearned</w:t>
              <w:br/>
              <w:t>Shares,</w:t>
              <w:br/>
              <w:t>Units or</w:t>
              <w:br/>
              <w:t>Other</w:t>
              <w:br/>
              <w:t>Rights</w:t>
              <w:br/>
              <w:t>That Have</w:t>
              <w:br/>
              <w:t>Not</w:t>
              <w:br/>
              <w:t>Vested</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b/>
                <w:spacing w:val="0"/>
              </w:rPr>
            </w:pPr>
            <w:r>
              <w:rPr>
                <w:b/>
                <w:spacing w:val="0"/>
              </w:rPr>
              <w:t>Equity</w:t>
              <w:br/>
              <w:t>Incentive</w:t>
              <w:br/>
              <w:t>Plan</w:t>
              <w:br/>
              <w:t>Awards:</w:t>
              <w:br/>
              <w:t>Market</w:t>
              <w:br/>
              <w:t>or</w:t>
              <w:br/>
              <w:t>Payout</w:t>
              <w:br/>
              <w:t>Value Of</w:t>
              <w:br/>
              <w:t>Unearned</w:t>
              <w:br/>
              <w:t>Shares,</w:t>
              <w:br/>
              <w:t>Units or</w:t>
              <w:br/>
              <w:t>Other</w:t>
              <w:br/>
              <w:t>Rights</w:t>
              <w:br/>
              <w:t>That</w:t>
              <w:br/>
              <w:t>Have Not</w:t>
              <w:br/>
              <w:t>Vested</w:t>
              <w:br/>
              <w:t>($)</w:t>
            </w:r>
          </w:p>
        </w:tc>
        <w:tc>
          <w:tcPr>
            <w:tcW w:w="75" w:type="dxa"/>
            <w:tcBorders/>
            <w:shd w:fill="auto" w:val="clear"/>
            <w:vAlign w:val="center"/>
          </w:tcPr>
          <w:p>
            <w:pPr>
              <w:pStyle w:val="TableContents"/>
              <w:spacing w:before="0" w:after="283"/>
              <w:rPr/>
            </w:pPr>
            <w:r>
              <w:rPr/>
              <w:t> </w:t>
            </w:r>
          </w:p>
        </w:tc>
      </w:tr>
      <w:tr>
        <w:trPr/>
        <w:tc>
          <w:tcPr>
            <w:tcW w:w="1520" w:type="dxa"/>
            <w:vMerge w:val="restart"/>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 xml:space="preserve">Barbara Weber, M.D. </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President,</w:t>
            </w:r>
          </w:p>
          <w:p>
            <w:pPr>
              <w:pStyle w:val="TableContents"/>
              <w:spacing w:before="0" w:after="0"/>
              <w:rPr/>
            </w:pPr>
            <w:r>
              <w:rPr/>
              <w:t> </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Chief</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Executive</w:t>
            </w:r>
          </w:p>
          <w:p>
            <w:pPr>
              <w:pStyle w:val="TableContents"/>
              <w:spacing w:before="0" w:after="0"/>
              <w:rPr>
                <w:caps w:val="false"/>
                <w:smallCaps w:val="false"/>
                <w:spacing w:val="0"/>
              </w:rPr>
            </w:pPr>
            <w:r>
              <w:rPr>
                <w:caps w:val="false"/>
                <w:smallCaps w:val="false"/>
                <w:spacing w:val="0"/>
              </w:rPr>
              <w:t> </w:t>
            </w:r>
            <w:r>
              <w:rPr>
                <w:rFonts w:ascii="Times New Roman" w:hAnsi="Times New Roman"/>
                <w:i/>
                <w:caps w:val="false"/>
                <w:smallCaps w:val="false"/>
                <w:spacing w:val="0"/>
                <w:sz w:val="16"/>
              </w:rPr>
              <w:t xml:space="preserve">Officer </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and</w:t>
            </w:r>
          </w:p>
          <w:p>
            <w:pPr>
              <w:pStyle w:val="TableContents"/>
              <w:spacing w:before="0" w:after="0"/>
              <w:rPr>
                <w:caps w:val="false"/>
                <w:smallCaps w:val="false"/>
                <w:spacing w:val="0"/>
              </w:rPr>
            </w:pPr>
            <w:r>
              <w:rPr>
                <w:caps w:val="false"/>
                <w:smallCaps w:val="false"/>
                <w:spacing w:val="0"/>
              </w:rPr>
              <w:t> </w:t>
            </w:r>
            <w:r>
              <w:rPr>
                <w:rFonts w:ascii="Times New Roman" w:hAnsi="Times New Roman"/>
                <w:i/>
                <w:caps w:val="false"/>
                <w:smallCaps w:val="false"/>
                <w:spacing w:val="0"/>
                <w:sz w:val="16"/>
              </w:rPr>
              <w:t>Chairperson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7/30/2017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6/13/2017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66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403,208</w:t>
            </w:r>
          </w:p>
        </w:tc>
        <w:tc>
          <w:tcPr>
            <w:tcW w:w="215"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jc w:val="right"/>
              <w:rPr/>
            </w:pPr>
            <w:r>
              <w:rPr/>
              <w:t>479,818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20" w:type="dxa"/>
            <w:vMerge w:val="continue"/>
            <w:tcBorders/>
            <w:shd w:fill="CCEEFF" w:val="clear"/>
            <w:vAlign w:val="center"/>
          </w:tcPr>
          <w:p>
            <w:pPr>
              <w:pStyle w:val="Normal"/>
              <w:rPr/>
            </w:pPr>
            <w:r>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1/24/2019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1/1/2019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309,125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336,007</w:t>
            </w:r>
          </w:p>
        </w:tc>
        <w:tc>
          <w:tcPr>
            <w:tcW w:w="215"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664" w:type="dxa"/>
            <w:tcBorders/>
            <w:shd w:fill="CCEEFF" w:val="clear"/>
            <w:vAlign w:val="center"/>
          </w:tcPr>
          <w:p>
            <w:pPr>
              <w:pStyle w:val="TableContents"/>
              <w:spacing w:before="0" w:after="283"/>
              <w:jc w:val="right"/>
              <w:rPr/>
            </w:pPr>
            <w:r>
              <w:rPr/>
              <w:t>0.52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1/24/2029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9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20" w:type="dxa"/>
            <w:vMerge w:val="continue"/>
            <w:tcBorders/>
            <w:shd w:fill="CCEEFF" w:val="clear"/>
            <w:vAlign w:val="center"/>
          </w:tcPr>
          <w:p>
            <w:pPr>
              <w:pStyle w:val="Normal"/>
              <w:rPr/>
            </w:pPr>
            <w:r>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1/30/2020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1/1/2020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645,132</w:t>
            </w:r>
          </w:p>
        </w:tc>
        <w:tc>
          <w:tcPr>
            <w:tcW w:w="215"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664" w:type="dxa"/>
            <w:tcBorders/>
            <w:shd w:fill="CCEEFF" w:val="clear"/>
            <w:vAlign w:val="center"/>
          </w:tcPr>
          <w:p>
            <w:pPr>
              <w:pStyle w:val="TableContents"/>
              <w:spacing w:before="0" w:after="283"/>
              <w:jc w:val="right"/>
              <w:rPr/>
            </w:pPr>
            <w:r>
              <w:rPr/>
              <w:t>0.56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1/30/2030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9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20" w:type="dxa"/>
            <w:vMerge w:val="restart"/>
            <w:tcBorders/>
            <w:shd w:fill="auto" w:val="clear"/>
            <w:vAlign w:val="center"/>
          </w:tcPr>
          <w:p>
            <w:pPr>
              <w:pStyle w:val="TableContents"/>
              <w:spacing w:before="0" w:after="0"/>
              <w:rPr>
                <w:rFonts w:ascii="Times New Roman" w:hAnsi="Times New Roman"/>
                <w:sz w:val="16"/>
              </w:rPr>
            </w:pPr>
            <w:r>
              <w:rPr>
                <w:rFonts w:ascii="Times New Roman" w:hAnsi="Times New Roman"/>
                <w:sz w:val="16"/>
              </w:rPr>
              <w:t xml:space="preserve">Daniella Beckman </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Chief</w:t>
            </w:r>
          </w:p>
          <w:p>
            <w:pPr>
              <w:pStyle w:val="TableContents"/>
              <w:spacing w:before="0" w:after="0"/>
              <w:rPr>
                <w:caps w:val="false"/>
                <w:smallCaps w:val="false"/>
                <w:spacing w:val="0"/>
              </w:rPr>
            </w:pPr>
            <w:r>
              <w:rPr>
                <w:caps w:val="false"/>
                <w:smallCaps w:val="false"/>
                <w:spacing w:val="0"/>
              </w:rPr>
              <w:t> </w:t>
            </w:r>
            <w:r>
              <w:rPr>
                <w:rFonts w:ascii="Times New Roman" w:hAnsi="Times New Roman"/>
                <w:i/>
                <w:caps w:val="false"/>
                <w:smallCaps w:val="false"/>
                <w:spacing w:val="0"/>
                <w:sz w:val="16"/>
              </w:rPr>
              <w:t xml:space="preserve">Financial </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10/18/2019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9/10/2019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152,187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jc w:val="right"/>
              <w:rPr/>
            </w:pPr>
            <w:r>
              <w:rPr/>
              <w:t>334,813</w:t>
            </w:r>
          </w:p>
        </w:tc>
        <w:tc>
          <w:tcPr>
            <w:tcW w:w="215"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w:t>
            </w:r>
          </w:p>
        </w:tc>
        <w:tc>
          <w:tcPr>
            <w:tcW w:w="664" w:type="dxa"/>
            <w:tcBorders/>
            <w:shd w:fill="auto" w:val="clear"/>
            <w:vAlign w:val="center"/>
          </w:tcPr>
          <w:p>
            <w:pPr>
              <w:pStyle w:val="TableContents"/>
              <w:spacing w:before="0" w:after="283"/>
              <w:jc w:val="right"/>
              <w:rPr/>
            </w:pPr>
            <w:r>
              <w:rPr/>
              <w:t>0.52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10/18/2029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7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52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1/30/2020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11/1/2019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44,010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jc w:val="right"/>
              <w:rPr/>
            </w:pPr>
            <w:r>
              <w:rPr/>
              <w:t>118,490</w:t>
            </w:r>
          </w:p>
        </w:tc>
        <w:tc>
          <w:tcPr>
            <w:tcW w:w="215"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w:t>
            </w:r>
          </w:p>
        </w:tc>
        <w:tc>
          <w:tcPr>
            <w:tcW w:w="664" w:type="dxa"/>
            <w:tcBorders/>
            <w:shd w:fill="auto" w:val="clear"/>
            <w:vAlign w:val="center"/>
          </w:tcPr>
          <w:p>
            <w:pPr>
              <w:pStyle w:val="TableContents"/>
              <w:spacing w:before="0" w:after="283"/>
              <w:jc w:val="right"/>
              <w:rPr/>
            </w:pPr>
            <w:r>
              <w:rPr/>
              <w:t>0.56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1/30/2020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7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52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10/1/2020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7/1/2020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20,885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470" w:type="dxa"/>
            <w:tcBorders/>
            <w:shd w:fill="auto" w:val="clear"/>
            <w:vAlign w:val="center"/>
          </w:tcPr>
          <w:p>
            <w:pPr>
              <w:pStyle w:val="TableContents"/>
              <w:spacing w:before="0" w:after="283"/>
              <w:jc w:val="right"/>
              <w:rPr/>
            </w:pPr>
            <w:r>
              <w:rPr/>
              <w:t>179,615</w:t>
            </w:r>
          </w:p>
        </w:tc>
        <w:tc>
          <w:tcPr>
            <w:tcW w:w="215"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w:t>
            </w:r>
          </w:p>
        </w:tc>
        <w:tc>
          <w:tcPr>
            <w:tcW w:w="664" w:type="dxa"/>
            <w:tcBorders/>
            <w:shd w:fill="auto" w:val="clear"/>
            <w:vAlign w:val="center"/>
          </w:tcPr>
          <w:p>
            <w:pPr>
              <w:pStyle w:val="TableContents"/>
              <w:spacing w:before="0" w:after="283"/>
              <w:jc w:val="right"/>
              <w:rPr/>
            </w:pPr>
            <w:r>
              <w:rPr/>
              <w:t>1.09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10/1/2030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97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899"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520" w:type="dxa"/>
            <w:vMerge w:val="restart"/>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 xml:space="preserve">Alan Huang, Ph.D. </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Chief</w:t>
            </w:r>
          </w:p>
          <w:p>
            <w:pPr>
              <w:pStyle w:val="TableContents"/>
              <w:spacing w:before="0" w:after="0"/>
              <w:rPr>
                <w:caps w:val="false"/>
                <w:smallCaps w:val="false"/>
                <w:spacing w:val="0"/>
              </w:rPr>
            </w:pPr>
            <w:r>
              <w:rPr>
                <w:caps w:val="false"/>
                <w:smallCaps w:val="false"/>
                <w:spacing w:val="0"/>
              </w:rPr>
              <w:t> </w:t>
            </w:r>
            <w:r>
              <w:rPr>
                <w:rFonts w:ascii="Times New Roman" w:hAnsi="Times New Roman"/>
                <w:i/>
                <w:caps w:val="false"/>
                <w:smallCaps w:val="false"/>
                <w:spacing w:val="0"/>
                <w:sz w:val="16"/>
              </w:rPr>
              <w:t xml:space="preserve">Scientific </w:t>
            </w:r>
          </w:p>
          <w:p>
            <w:pPr>
              <w:pStyle w:val="TableContents"/>
              <w:spacing w:before="0" w:after="0"/>
              <w:rPr>
                <w:rFonts w:ascii="Times New Roman" w:hAnsi="Times New Roman"/>
                <w:i/>
                <w:caps w:val="false"/>
                <w:smallCaps w:val="false"/>
                <w:spacing w:val="0"/>
                <w:sz w:val="16"/>
              </w:rPr>
            </w:pPr>
            <w:r>
              <w:rPr>
                <w:rFonts w:ascii="Times New Roman" w:hAnsi="Times New Roman"/>
                <w:i/>
                <w:caps w:val="false"/>
                <w:smallCaps w:val="false"/>
                <w:spacing w:val="0"/>
                <w:sz w:val="16"/>
              </w:rPr>
              <w:t>Officer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3/16/2017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3/16/2017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 </w:t>
            </w:r>
          </w:p>
        </w:tc>
        <w:tc>
          <w:tcPr>
            <w:tcW w:w="66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18,750</w:t>
            </w:r>
          </w:p>
        </w:tc>
        <w:tc>
          <w:tcPr>
            <w:tcW w:w="215"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jc w:val="right"/>
              <w:rPr/>
            </w:pPr>
            <w:r>
              <w:rPr/>
              <w:t>22,313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20" w:type="dxa"/>
            <w:vMerge w:val="continue"/>
            <w:tcBorders/>
            <w:shd w:fill="CCEEFF" w:val="clear"/>
            <w:vAlign w:val="center"/>
          </w:tcPr>
          <w:p>
            <w:pPr>
              <w:pStyle w:val="Normal"/>
              <w:rPr/>
            </w:pPr>
            <w:r>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4/12/2018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1/1/2018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182,291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67,709</w:t>
            </w:r>
          </w:p>
        </w:tc>
        <w:tc>
          <w:tcPr>
            <w:tcW w:w="215"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664" w:type="dxa"/>
            <w:tcBorders/>
            <w:shd w:fill="CCEEFF" w:val="clear"/>
            <w:vAlign w:val="center"/>
          </w:tcPr>
          <w:p>
            <w:pPr>
              <w:pStyle w:val="TableContents"/>
              <w:spacing w:before="0" w:after="283"/>
              <w:jc w:val="right"/>
              <w:rPr/>
            </w:pPr>
            <w:r>
              <w:rPr/>
              <w:t>0.47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4/11/2028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9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20" w:type="dxa"/>
            <w:vMerge w:val="continue"/>
            <w:tcBorders/>
            <w:shd w:fill="CCEEFF" w:val="clear"/>
            <w:vAlign w:val="center"/>
          </w:tcPr>
          <w:p>
            <w:pPr>
              <w:pStyle w:val="Normal"/>
              <w:rPr/>
            </w:pPr>
            <w:r>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4/12/2018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4/1/2018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216,666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108,334</w:t>
            </w:r>
          </w:p>
        </w:tc>
        <w:tc>
          <w:tcPr>
            <w:tcW w:w="215"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664" w:type="dxa"/>
            <w:tcBorders/>
            <w:shd w:fill="CCEEFF" w:val="clear"/>
            <w:vAlign w:val="center"/>
          </w:tcPr>
          <w:p>
            <w:pPr>
              <w:pStyle w:val="TableContents"/>
              <w:spacing w:before="0" w:after="283"/>
              <w:jc w:val="right"/>
              <w:rPr/>
            </w:pPr>
            <w:r>
              <w:rPr/>
              <w:t>0.47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4/11/2028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9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20" w:type="dxa"/>
            <w:vMerge w:val="continue"/>
            <w:tcBorders/>
            <w:shd w:fill="CCEEFF" w:val="clear"/>
            <w:vAlign w:val="center"/>
          </w:tcPr>
          <w:p>
            <w:pPr>
              <w:pStyle w:val="Normal"/>
              <w:rPr/>
            </w:pPr>
            <w:r>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1/24/2019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1/1/2019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95,833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104,167</w:t>
            </w:r>
          </w:p>
        </w:tc>
        <w:tc>
          <w:tcPr>
            <w:tcW w:w="215"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664" w:type="dxa"/>
            <w:tcBorders/>
            <w:shd w:fill="CCEEFF" w:val="clear"/>
            <w:vAlign w:val="center"/>
          </w:tcPr>
          <w:p>
            <w:pPr>
              <w:pStyle w:val="TableContents"/>
              <w:spacing w:before="0" w:after="283"/>
              <w:jc w:val="right"/>
              <w:rPr/>
            </w:pPr>
            <w:r>
              <w:rPr/>
              <w:t>0.52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1/24/2029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9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20" w:type="dxa"/>
            <w:vMerge w:val="continue"/>
            <w:tcBorders/>
            <w:shd w:fill="CCEEFF" w:val="clear"/>
            <w:vAlign w:val="center"/>
          </w:tcPr>
          <w:p>
            <w:pPr>
              <w:pStyle w:val="Normal"/>
              <w:rPr/>
            </w:pPr>
            <w:r>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1/30/2020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1/1/2020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470" w:type="dxa"/>
            <w:tcBorders/>
            <w:shd w:fill="CCEEFF" w:val="clear"/>
            <w:vAlign w:val="center"/>
          </w:tcPr>
          <w:p>
            <w:pPr>
              <w:pStyle w:val="TableContents"/>
              <w:spacing w:before="0" w:after="283"/>
              <w:jc w:val="right"/>
              <w:rPr/>
            </w:pPr>
            <w:r>
              <w:rPr/>
              <w:t>200,000</w:t>
            </w:r>
          </w:p>
        </w:tc>
        <w:tc>
          <w:tcPr>
            <w:tcW w:w="215"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1" w:type="dxa"/>
            <w:tcBorders/>
            <w:shd w:fill="CCEEFF" w:val="clear"/>
            <w:vAlign w:val="center"/>
          </w:tcPr>
          <w:p>
            <w:pPr>
              <w:pStyle w:val="TableContents"/>
              <w:spacing w:before="0" w:after="283"/>
              <w:rPr/>
            </w:pPr>
            <w:r>
              <w:rPr/>
              <w:t>$</w:t>
            </w:r>
          </w:p>
        </w:tc>
        <w:tc>
          <w:tcPr>
            <w:tcW w:w="664" w:type="dxa"/>
            <w:tcBorders/>
            <w:shd w:fill="CCEEFF" w:val="clear"/>
            <w:vAlign w:val="center"/>
          </w:tcPr>
          <w:p>
            <w:pPr>
              <w:pStyle w:val="TableContents"/>
              <w:spacing w:before="0" w:after="283"/>
              <w:jc w:val="right"/>
              <w:rPr/>
            </w:pPr>
            <w:r>
              <w:rPr/>
              <w:t>0.56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1/30/2030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9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97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lineRule="atLeast" w:line="160" w:before="0" w:after="40"/>
        <w:jc w:val="left"/>
        <w:rPr>
          <w:spacing w:val="0"/>
        </w:rPr>
      </w:pPr>
      <w:r>
        <w:rPr>
          <w:spacing w:val="0"/>
        </w:rPr>
        <w:t> </w:t>
      </w:r>
    </w:p>
    <w:tbl>
      <w:tblPr>
        <w:tblW w:w="7525" w:type="dxa"/>
        <w:jc w:val="left"/>
        <w:tblInd w:w="0" w:type="dxa"/>
        <w:tblCellMar>
          <w:top w:w="0" w:type="dxa"/>
          <w:left w:w="0" w:type="dxa"/>
          <w:bottom w:w="0" w:type="dxa"/>
          <w:right w:w="0" w:type="dxa"/>
        </w:tblCellMar>
      </w:tblPr>
      <w:tblGrid>
        <w:gridCol w:w="305"/>
        <w:gridCol w:w="7220"/>
      </w:tblGrid>
      <w:tr>
        <w:trPr/>
        <w:tc>
          <w:tcPr>
            <w:tcW w:w="305" w:type="dxa"/>
            <w:tcBorders/>
            <w:shd w:fill="auto" w:val="clear"/>
            <w:vAlign w:val="center"/>
          </w:tcPr>
          <w:p>
            <w:pPr>
              <w:pStyle w:val="TableContents"/>
              <w:spacing w:before="0" w:after="283"/>
              <w:jc w:val="left"/>
              <w:rPr/>
            </w:pPr>
            <w:r>
              <w:rPr/>
              <w:t>(1)</w:t>
            </w:r>
          </w:p>
        </w:tc>
        <w:tc>
          <w:tcPr>
            <w:tcW w:w="72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All of the awards in this table were granted under the 2017 Stock Option and Grant Plan.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(2)</w:t>
            </w:r>
          </w:p>
        </w:tc>
        <w:tc>
          <w:tcPr>
            <w:tcW w:w="994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All of the option awards listed in the table were granted with an exercise price per share that is no less than the fair market value of our common shares on the date of grant of such award. The fair market value has been determined by independent valuation experts and determined in good faith by our board of directors.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These shares represent the unvested amount of restricted stock awards granted in July 2017. The total award grant was 3,225,660 and vested 25% after the first anniversary and monthly over the next 36 months. These shares are subject to Dr. Weber’s continued employment in the company and the unvested amount is subject to the company’s repurchase if no longer employed. </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(4)</w:t>
            </w:r>
          </w:p>
        </w:tc>
        <w:tc>
          <w:tcPr>
            <w:tcW w:w="993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There was no public market value for our common stock as of December 31, 2020. Market value as of December 31, 2020 was determined as $1.19/share, as determined by an independent valuation. </w:t>
            </w:r>
          </w:p>
        </w:tc>
      </w:tr>
    </w:tbl>
    <w:tbl>
      <w:tblPr>
        <w:tblW w:w="9460" w:type="dxa"/>
        <w:jc w:val="left"/>
        <w:tblInd w:w="0" w:type="dxa"/>
        <w:tblCellMar>
          <w:top w:w="0" w:type="dxa"/>
          <w:left w:w="0" w:type="dxa"/>
          <w:bottom w:w="0" w:type="dxa"/>
          <w:right w:w="0" w:type="dxa"/>
        </w:tblCellMar>
      </w:tblPr>
      <w:tblGrid>
        <w:gridCol w:w="305"/>
        <w:gridCol w:w="9155"/>
      </w:tblGrid>
      <w:tr>
        <w:trPr/>
        <w:tc>
          <w:tcPr>
            <w:tcW w:w="305" w:type="dxa"/>
            <w:tcBorders/>
            <w:shd w:fill="auto" w:val="clear"/>
            <w:vAlign w:val="center"/>
          </w:tcPr>
          <w:p>
            <w:pPr>
              <w:pStyle w:val="TableContents"/>
              <w:spacing w:before="0" w:after="283"/>
              <w:jc w:val="left"/>
              <w:rPr/>
            </w:pPr>
            <w:r>
              <w:rPr/>
              <w:t>(5)</w:t>
            </w:r>
          </w:p>
        </w:tc>
        <w:tc>
          <w:tcPr>
            <w:tcW w:w="91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25% vesting after 1</w:t>
            </w:r>
          </w:p>
          <w:p>
            <w:pPr>
              <w:pStyle w:val="TableContents"/>
              <w:spacing w:before="0" w:after="0"/>
              <w:jc w:val="left"/>
              <w:rPr>
                <w:rFonts w:ascii="Times New Roman" w:hAnsi="Times New Roman"/>
                <w:spacing w:val="0"/>
                <w:sz w:val="14"/>
              </w:rPr>
            </w:pPr>
            <w:r>
              <w:rPr>
                <w:rFonts w:ascii="Times New Roman" w:hAnsi="Times New Roman"/>
                <w:spacing w:val="0"/>
                <w:sz w:val="14"/>
              </w:rPr>
              <w:t>st</w:t>
            </w:r>
          </w:p>
          <w:p>
            <w:pPr>
              <w:pStyle w:val="TableContents"/>
              <w:spacing w:before="0" w:after="0"/>
              <w:jc w:val="left"/>
              <w:rPr>
                <w:spacing w:val="0"/>
              </w:rPr>
            </w:pPr>
            <w:r>
              <w:rPr>
                <w:spacing w:val="0"/>
              </w:rPr>
              <w:t> </w:t>
            </w:r>
            <w:r>
              <w:rPr>
                <w:rFonts w:ascii="Times New Roman" w:hAnsi="Times New Roman"/>
                <w:spacing w:val="0"/>
                <w:sz w:val="20"/>
              </w:rPr>
              <w:t xml:space="preserve">anniversary and monthly vesting thereafter for 36 months assuming continuing employment with the company. </w:t>
            </w:r>
          </w:p>
        </w:tc>
      </w:tr>
    </w:tbl>
    <w:tbl>
      <w:tblPr>
        <w:tblW w:w="7225" w:type="dxa"/>
        <w:jc w:val="left"/>
        <w:tblInd w:w="0" w:type="dxa"/>
        <w:tblCellMar>
          <w:top w:w="0" w:type="dxa"/>
          <w:left w:w="0" w:type="dxa"/>
          <w:bottom w:w="0" w:type="dxa"/>
          <w:right w:w="0" w:type="dxa"/>
        </w:tblCellMar>
      </w:tblPr>
      <w:tblGrid>
        <w:gridCol w:w="305"/>
        <w:gridCol w:w="6920"/>
      </w:tblGrid>
      <w:tr>
        <w:trPr/>
        <w:tc>
          <w:tcPr>
            <w:tcW w:w="305" w:type="dxa"/>
            <w:tcBorders/>
            <w:shd w:fill="auto" w:val="clear"/>
            <w:vAlign w:val="center"/>
          </w:tcPr>
          <w:p>
            <w:pPr>
              <w:pStyle w:val="TableContents"/>
              <w:spacing w:before="0" w:after="283"/>
              <w:jc w:val="left"/>
              <w:rPr/>
            </w:pPr>
            <w:r>
              <w:rPr/>
              <w:t>(6)</w:t>
            </w:r>
          </w:p>
        </w:tc>
        <w:tc>
          <w:tcPr>
            <w:tcW w:w="69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Monthly vesting for 48 months assuming continued employment with our company. </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jc w:val="left"/>
              <w:rPr/>
            </w:pPr>
            <w:r>
              <w:rPr/>
              <w:t>(7)</w:t>
            </w:r>
          </w:p>
        </w:tc>
        <w:tc>
          <w:tcPr>
            <w:tcW w:w="991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Shares represent Mrs. Beckman’s transition to full-time status and are vested over 48 months assuming continued employment with our company.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Other Elements of Compensation; Perquisites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Health and Welfare Plans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Retirement Plan </w:t>
      </w:r>
    </w:p>
    <w:p>
      <w:pPr>
        <w:pStyle w:val="TextBody"/>
        <w:spacing w:before="120" w:after="0"/>
        <w:jc w:val="left"/>
        <w:rPr>
          <w:rFonts w:ascii="Times New Roman" w:hAnsi="Times New Roman"/>
          <w:sz w:val="20"/>
        </w:rPr>
      </w:pPr>
      <w:r>
        <w:rPr>
          <w:rFonts w:ascii="Times New Roman" w:hAnsi="Times New Roman"/>
          <w:sz w:val="20"/>
        </w:rPr>
        <w:t xml:space="preserve">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w:t>
      </w:r>
    </w:p>
    <w:p>
      <w:pPr>
        <w:pStyle w:val="TextBody"/>
        <w:spacing w:before="120" w:after="0"/>
        <w:jc w:val="left"/>
        <w:rPr>
          <w:rFonts w:ascii="Times New Roman" w:hAnsi="Times New Roman"/>
          <w:spacing w:val="0"/>
          <w:sz w:val="20"/>
        </w:rPr>
      </w:pPr>
      <w:r>
        <w:rPr>
          <w:rFonts w:ascii="Times New Roman" w:hAnsi="Times New Roman"/>
          <w:spacing w:val="0"/>
          <w:sz w:val="20"/>
        </w:rPr>
        <w:t>pre-tax and</w:t>
      </w:r>
    </w:p>
    <w:p>
      <w:pPr>
        <w:pStyle w:val="TextBody"/>
        <w:spacing w:before="120" w:after="0"/>
        <w:jc w:val="left"/>
        <w:rPr>
          <w:rFonts w:ascii="Times New Roman" w:hAnsi="Times New Roman"/>
          <w:sz w:val="20"/>
        </w:rPr>
      </w:pPr>
      <w:r>
        <w:rPr>
          <w:rFonts w:ascii="Times New Roman" w:hAnsi="Times New Roman"/>
          <w:sz w:val="20"/>
        </w:rPr>
        <w:t xml:space="preserve">certain </w:t>
      </w:r>
    </w:p>
    <w:p>
      <w:pPr>
        <w:pStyle w:val="TextBody"/>
        <w:spacing w:before="120" w:after="0"/>
        <w:jc w:val="left"/>
        <w:rPr>
          <w:rFonts w:ascii="Times New Roman" w:hAnsi="Times New Roman"/>
          <w:spacing w:val="0"/>
          <w:sz w:val="20"/>
        </w:rPr>
      </w:pPr>
      <w:r>
        <w:rPr>
          <w:rFonts w:ascii="Times New Roman" w:hAnsi="Times New Roman"/>
          <w:spacing w:val="0"/>
          <w:sz w:val="20"/>
        </w:rPr>
        <w:t>after-tax (Roth)</w:t>
      </w:r>
    </w:p>
    <w:p>
      <w:pPr>
        <w:pStyle w:val="TextBody"/>
        <w:spacing w:before="120" w:after="0"/>
        <w:jc w:val="left"/>
        <w:rPr>
          <w:rFonts w:ascii="Times New Roman" w:hAnsi="Times New Roman"/>
          <w:sz w:val="20"/>
        </w:rPr>
      </w:pPr>
      <w:r>
        <w:rPr>
          <w:rFonts w:ascii="Times New Roman" w:hAnsi="Times New Roman"/>
          <w:sz w:val="20"/>
        </w:rPr>
        <w:t xml:space="preserve">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Equity Plans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Tango Therapeutics, Inc. 2021 Stock Option and Incentive Plan </w:t>
      </w:r>
    </w:p>
    <w:p>
      <w:pPr>
        <w:pStyle w:val="TextBody"/>
        <w:spacing w:before="120" w:after="0"/>
        <w:jc w:val="left"/>
        <w:rPr>
          <w:rFonts w:ascii="Times New Roman" w:hAnsi="Times New Roman"/>
          <w:sz w:val="20"/>
        </w:rPr>
      </w:pPr>
      <w:r>
        <w:rPr>
          <w:rFonts w:ascii="Times New Roman" w:hAnsi="Times New Roman"/>
          <w:sz w:val="20"/>
        </w:rPr>
        <w:t xml:space="preserve">The Tango Therapeutics, Inc. 2021 Stock Option and Incentive Plan (the “2021 Plan”) became effective upon the Closing and replaced the 2017 Stock Option and Grant Plan. The 2021 Plan allows us to make equity and equity-based incentive awards to officers, employees, </w:t>
      </w:r>
    </w:p>
    <w:p>
      <w:pPr>
        <w:pStyle w:val="TextBody"/>
        <w:spacing w:before="120" w:after="0"/>
        <w:jc w:val="left"/>
        <w:rPr>
          <w:rFonts w:ascii="Times New Roman" w:hAnsi="Times New Roman"/>
          <w:spacing w:val="0"/>
          <w:sz w:val="20"/>
        </w:rPr>
      </w:pPr>
      <w:r>
        <w:rPr>
          <w:rFonts w:ascii="Times New Roman" w:hAnsi="Times New Roman"/>
          <w:spacing w:val="0"/>
          <w:sz w:val="20"/>
        </w:rPr>
        <w:t>non-employee</w:t>
      </w:r>
    </w:p>
    <w:p>
      <w:pPr>
        <w:pStyle w:val="TextBody"/>
        <w:spacing w:before="120" w:after="0"/>
        <w:jc w:val="left"/>
        <w:rPr>
          <w:rFonts w:ascii="Times New Roman" w:hAnsi="Times New Roman"/>
          <w:sz w:val="20"/>
        </w:rPr>
      </w:pPr>
      <w:r>
        <w:rPr>
          <w:rFonts w:ascii="Times New Roman" w:hAnsi="Times New Roman"/>
          <w:sz w:val="20"/>
        </w:rPr>
        <w:t xml:space="preserve">directors and consultants. The Board anticipates that providing such persons with a direct stake in our company will assure a closer alignment of the interests of such individuals with those of Tango and its stockholders, thereby stimulating their efforts on our behalf and strengthening their desire to remain with us.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initially reserved 9,498,725 shares of Common Stock for the issuance of awards under the 2021 Plan (the “Initial Limit”). The 2021 Plan provides that the number of shares reserved and available for issuance under the 2021 Plan will automatically increase each January 1, beginning on January 1, 2022, by 5.0% of the outstanding number of shares of Common Stock on the immediately preceding December 31, or such lesser amount as determined by the Board (the “Annual Increase”). This limit is subject to adjustment in the event of a reorganization, recapitalization, reclassification, stock split, stock dividend, reverse stock split or other similar change in Tango’s capitalization. The maximum aggregate number of shares of Common Stock that may be issued upon exercise of incentive stock options under the 2021 Plan shall not exceed the Initial Limit cumulatively increased on January 1, 2022 and on each January 1 thereafter by the lesser of the Annual Increase or 4,749,362 shares of Common Stock. </w:t>
      </w:r>
    </w:p>
    <w:p>
      <w:pPr>
        <w:pStyle w:val="TextBody"/>
        <w:spacing w:before="240" w:after="0"/>
        <w:jc w:val="left"/>
        <w:rPr>
          <w:rFonts w:ascii="Times New Roman" w:hAnsi="Times New Roman"/>
          <w:sz w:val="20"/>
        </w:rPr>
      </w:pPr>
      <w:r>
        <w:rPr>
          <w:rFonts w:ascii="Times New Roman" w:hAnsi="Times New Roman"/>
          <w:sz w:val="20"/>
        </w:rPr>
        <w:t>A more complete summary of the terms of the 2021 Plan is set forth in the Proxy Statement/Prospectus in the section titled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Proposal 6</w:t>
      </w:r>
    </w:p>
    <w:p>
      <w:pPr>
        <w:pStyle w:val="TextBody"/>
        <w:spacing w:before="240" w:after="0"/>
        <w:jc w:val="left"/>
        <w:rPr>
          <w:caps w:val="false"/>
          <w:smallCaps w:val="false"/>
          <w:spacing w:val="0"/>
        </w:rPr>
      </w:pPr>
      <w:r>
        <w:rPr>
          <w:caps w:val="false"/>
          <w:smallCaps w:val="false"/>
          <w:spacing w:val="0"/>
        </w:rPr>
        <w:t>—</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The Equity Incentive Plan Proposal</w:t>
      </w:r>
    </w:p>
    <w:p>
      <w:pPr>
        <w:pStyle w:val="TextBody"/>
        <w:spacing w:before="240" w:after="0"/>
        <w:jc w:val="left"/>
        <w:rPr/>
      </w:pPr>
      <w:r>
        <w:rPr/>
        <w:t>”</w:t>
      </w:r>
      <w:r>
        <w:rPr>
          <w:rFonts w:ascii="Times New Roman" w:hAnsi="Times New Roman"/>
          <w:sz w:val="20"/>
        </w:rPr>
        <w:t xml:space="preserve">. That summary and the foregoing description of the 2021 Plan does not purport to be complete and is qualified in its entirety by reference to the text of the 2021 Plan, which is attached as Exhibit 10.6 hereto and incorporated herein by reference.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Tango Therapeutics, Inc. Employee Stock Purchase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the Special Meeting, BCTG stockholders considered and approved the Tango Therapeutics, Inc. 2021 Employee Stock Purchase Plan (the “ESPP”). An aggregate of 949,873 shares is reserved and available for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issuance under the ESPP. The ESPP provides that the number of shares reserved and available for issuance under the plan will automatically increase each January 1, beginning on January 1, 2022, by (i) 1.0% of the outstanding number of shares of Common Stock on the immediately preceding December 31, or (ii) 949,873 shares of Common Stock or (iii) such number of shares of Tango’s Common Stock as determined by the administrator. If our capital structure changes because of a stock dividend, stock split or similar event, the number of shares that can be issued under the ESPP will be appropriately adjusted.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shares we issue under the 2021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the 2021 Plan will be added back to the shares of Common Stock available for issuance under the 2021 Plan. The maximum aggregate number of shares of Common Stock that may be issued in the form of incentive stock options under the 2021 Plan shall not exceed the Initial Limit. Based upon a price per share of $10.00, the maximum aggregate market value of the Common Stock that could potentially be issued under the 2021 Plan as of the Closing is $94,987,250.00. </w:t>
      </w:r>
    </w:p>
    <w:p>
      <w:pPr>
        <w:pStyle w:val="TextBody"/>
        <w:spacing w:before="240" w:after="0"/>
        <w:jc w:val="left"/>
        <w:rPr>
          <w:rFonts w:ascii="Times New Roman" w:hAnsi="Times New Roman"/>
          <w:sz w:val="20"/>
        </w:rPr>
      </w:pPr>
      <w:r>
        <w:rPr>
          <w:rFonts w:ascii="Times New Roman" w:hAnsi="Times New Roman"/>
          <w:sz w:val="20"/>
        </w:rPr>
        <w:t xml:space="preserve">The grant date fair value of all awards made under the 2021 Plan and all other cash compensation paid by us to any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w:t>
      </w:r>
    </w:p>
    <w:p>
      <w:pPr>
        <w:pStyle w:val="TextBody"/>
        <w:spacing w:before="240" w:after="0"/>
        <w:jc w:val="left"/>
        <w:rPr>
          <w:rFonts w:ascii="Times New Roman" w:hAnsi="Times New Roman"/>
          <w:sz w:val="20"/>
        </w:rPr>
      </w:pPr>
      <w:r>
        <w:rPr>
          <w:rFonts w:ascii="Times New Roman" w:hAnsi="Times New Roman"/>
          <w:sz w:val="20"/>
        </w:rPr>
        <w:t xml:space="preserve">for services as a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w:t>
      </w:r>
    </w:p>
    <w:p>
      <w:pPr>
        <w:pStyle w:val="TextBody"/>
        <w:spacing w:before="240" w:after="0"/>
        <w:jc w:val="left"/>
        <w:rPr>
          <w:rFonts w:ascii="Times New Roman" w:hAnsi="Times New Roman"/>
          <w:sz w:val="20"/>
        </w:rPr>
      </w:pPr>
      <w:r>
        <w:rPr>
          <w:rFonts w:ascii="Times New Roman" w:hAnsi="Times New Roman"/>
          <w:sz w:val="20"/>
        </w:rPr>
        <w:t xml:space="preserve">in any calendar year shall not exceed $750,000; provided, however, that such amount shall be $1,000,000 for the calendar year in which the applicable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w:t>
      </w:r>
    </w:p>
    <w:p>
      <w:pPr>
        <w:pStyle w:val="TextBody"/>
        <w:spacing w:before="240" w:after="0"/>
        <w:jc w:val="left"/>
        <w:rPr>
          <w:rFonts w:ascii="Times New Roman" w:hAnsi="Times New Roman"/>
          <w:sz w:val="20"/>
        </w:rPr>
      </w:pPr>
      <w:r>
        <w:rPr>
          <w:rFonts w:ascii="Times New Roman" w:hAnsi="Times New Roman"/>
          <w:sz w:val="20"/>
        </w:rPr>
        <w:t xml:space="preserve">is initially elected or appointed to the board.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2021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2021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 </w:t>
      </w:r>
    </w:p>
    <w:p>
      <w:pPr>
        <w:pStyle w:val="TextBody"/>
        <w:spacing w:before="240" w:after="0"/>
        <w:jc w:val="left"/>
        <w:rPr>
          <w:rFonts w:ascii="Times New Roman" w:hAnsi="Times New Roman"/>
          <w:sz w:val="20"/>
        </w:rPr>
      </w:pPr>
      <w:r>
        <w:rPr>
          <w:rFonts w:ascii="Times New Roman" w:hAnsi="Times New Roman"/>
          <w:sz w:val="20"/>
        </w:rPr>
        <w:t xml:space="preserve">Persons eligible to participate in the 2021 Plan will be those full or part-time officers, employees,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directors,</w:t>
      </w:r>
    </w:p>
    <w:p>
      <w:pPr>
        <w:pStyle w:val="TextBody"/>
        <w:spacing w:before="240" w:after="0"/>
        <w:jc w:val="left"/>
        <w:rPr>
          <w:rFonts w:ascii="Times New Roman" w:hAnsi="Times New Roman"/>
          <w:sz w:val="20"/>
        </w:rPr>
      </w:pPr>
      <w:r>
        <w:rPr>
          <w:rFonts w:ascii="Times New Roman" w:hAnsi="Times New Roman"/>
          <w:sz w:val="20"/>
        </w:rPr>
        <w:t xml:space="preserve">and consultants of Tango as selected from time to time by our compensation committee in its discretion. As of August 31, 2021, approximately 122 individuals will be eligible to participate in the 2021 Plan, which includes approximately 3 officers, 83 employees who are not officers, 6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directors,</w:t>
      </w:r>
    </w:p>
    <w:p>
      <w:pPr>
        <w:pStyle w:val="TextBody"/>
        <w:spacing w:before="240" w:after="0"/>
        <w:jc w:val="left"/>
        <w:rPr>
          <w:rFonts w:ascii="Times New Roman" w:hAnsi="Times New Roman"/>
          <w:sz w:val="20"/>
        </w:rPr>
      </w:pPr>
      <w:r>
        <w:rPr>
          <w:rFonts w:ascii="Times New Roman" w:hAnsi="Times New Roman"/>
          <w:sz w:val="20"/>
        </w:rPr>
        <w:t xml:space="preserve">and 30 consultants. </w:t>
      </w:r>
    </w:p>
    <w:p>
      <w:pPr>
        <w:pStyle w:val="TextBody"/>
        <w:spacing w:before="240" w:after="0"/>
        <w:jc w:val="left"/>
        <w:rPr>
          <w:rFonts w:ascii="Times New Roman" w:hAnsi="Times New Roman"/>
          <w:sz w:val="20"/>
        </w:rPr>
      </w:pPr>
      <w:r>
        <w:rPr>
          <w:rFonts w:ascii="Times New Roman" w:hAnsi="Times New Roman"/>
          <w:sz w:val="20"/>
        </w:rPr>
        <w:t xml:space="preserve">The 2021 Plan permits the granting of both options to purchase Common Stock intended to qualify as incentive stock options under Section 422 of the Code and options that do not so qualify. Options granted under the 2021 Plan will be </w:t>
      </w:r>
    </w:p>
    <w:p>
      <w:pPr>
        <w:pStyle w:val="TextBody"/>
        <w:spacing w:before="240" w:after="0"/>
        <w:jc w:val="left"/>
        <w:rPr>
          <w:rFonts w:ascii="Times New Roman" w:hAnsi="Times New Roman"/>
          <w:spacing w:val="0"/>
          <w:sz w:val="20"/>
        </w:rPr>
      </w:pPr>
      <w:r>
        <w:rPr>
          <w:rFonts w:ascii="Times New Roman" w:hAnsi="Times New Roman"/>
          <w:spacing w:val="0"/>
          <w:sz w:val="20"/>
        </w:rPr>
        <w:t>non-qualified options</w:t>
      </w:r>
    </w:p>
    <w:p>
      <w:pPr>
        <w:pStyle w:val="TextBody"/>
        <w:spacing w:before="240" w:after="0"/>
        <w:jc w:val="left"/>
        <w:rPr>
          <w:rFonts w:ascii="Times New Roman" w:hAnsi="Times New Roman"/>
          <w:sz w:val="20"/>
        </w:rPr>
      </w:pPr>
      <w:r>
        <w:rPr>
          <w:rFonts w:ascii="Times New Roman" w:hAnsi="Times New Roman"/>
          <w:sz w:val="20"/>
        </w:rPr>
        <w:t xml:space="preserve">if they do not qualify as incentive stock options or exceed the annual limit on incentive stock options. Incentive stock options may only be granted to employees of Tango and its subsidiaries. </w:t>
      </w:r>
    </w:p>
    <w:p>
      <w:pPr>
        <w:pStyle w:val="TextBody"/>
        <w:spacing w:before="240" w:after="0"/>
        <w:jc w:val="left"/>
        <w:rPr>
          <w:rFonts w:ascii="Times New Roman" w:hAnsi="Times New Roman"/>
          <w:spacing w:val="0"/>
          <w:sz w:val="20"/>
        </w:rPr>
      </w:pPr>
      <w:r>
        <w:rPr>
          <w:rFonts w:ascii="Times New Roman" w:hAnsi="Times New Roman"/>
          <w:spacing w:val="0"/>
          <w:sz w:val="20"/>
        </w:rPr>
        <w:t>Non-qualified options</w:t>
      </w:r>
    </w:p>
    <w:p>
      <w:pPr>
        <w:pStyle w:val="TextBody"/>
        <w:spacing w:before="240" w:after="0"/>
        <w:jc w:val="left"/>
        <w:rPr>
          <w:rFonts w:ascii="Times New Roman" w:hAnsi="Times New Roman"/>
          <w:sz w:val="20"/>
        </w:rPr>
      </w:pPr>
      <w:r>
        <w:rPr>
          <w:rFonts w:ascii="Times New Roman" w:hAnsi="Times New Roman"/>
          <w:sz w:val="20"/>
        </w:rPr>
        <w:t xml:space="preserve">may be granted to any persons eligible to awards under the 2021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or, in the case of an incentive stock option granted to a ten percent stockholder, may not exceed five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Upon exercise of options, the option exercise price may be paid in cash, by certified or bank check or other instrument acceptable to the administrator or by delivery (or attestation to the ownership) of shares of Common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 that are beneficially owned by the optionee free of restrictions or were purchased in the open market. Subject to applicable law, the exercise price may also be delivered by a broker pursuant to irrevocable instructions to the broker from the optionee. In addition, </w:t>
      </w:r>
    </w:p>
    <w:p>
      <w:pPr>
        <w:pStyle w:val="TextBody"/>
        <w:spacing w:before="0" w:after="0"/>
        <w:jc w:val="left"/>
        <w:rPr>
          <w:rFonts w:ascii="Times New Roman" w:hAnsi="Times New Roman"/>
          <w:spacing w:val="0"/>
          <w:sz w:val="20"/>
        </w:rPr>
      </w:pPr>
      <w:r>
        <w:rPr>
          <w:rFonts w:ascii="Times New Roman" w:hAnsi="Times New Roman"/>
          <w:spacing w:val="0"/>
          <w:sz w:val="20"/>
        </w:rPr>
        <w:t>non-qualified options</w:t>
      </w:r>
    </w:p>
    <w:p>
      <w:pPr>
        <w:pStyle w:val="TextBody"/>
        <w:spacing w:before="0" w:after="0"/>
        <w:jc w:val="left"/>
        <w:rPr>
          <w:rFonts w:ascii="Times New Roman" w:hAnsi="Times New Roman"/>
          <w:sz w:val="20"/>
        </w:rPr>
      </w:pPr>
      <w:r>
        <w:rPr>
          <w:rFonts w:ascii="Times New Roman" w:hAnsi="Times New Roman"/>
          <w:sz w:val="20"/>
        </w:rPr>
        <w:t xml:space="preserve">may be exercised using a “net exercise” arrangement that reduces the number of shares issued to the optionee by the largest whole number of shares with fair market value that does not exceed the aggregate exercise price.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administrator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the administrator and may not exceed ten years from the date of grant. The administrator will determine at what time or times each stock appreciation right may be exercised.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administrator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The administrator may also grant shares of Common Stock that are free from any restrictions under the 2021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administrator may grant cash-based awards under the 2021 Plan to participants, subject to the achievement of certain performance goals.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2021 Plan provides that upon the effectiveness of a “sale event,” as defined in the 2021 Plan, an acquirer or successor entity may assume, continue or substitute outstanding awards under the 2021 Plan. To the extent that awards granted under the 2021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Tango may make or provide for payment, in cash or in kind, to participants holding options and stock appreciation rights equal to the difference between the per share consideration payable in the sale event and the exercise price of the all such outstanding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Tango shall also have the option to make or provide for a payment, in cash or in kind, to grantees holding other awards in an amount equal to the per share consideration payable in such sale event multiplied by the number of vested shares under such award.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board of directors may amend or discontinue the 2021 Plan and our compensation committee may amend or cancel outstanding awards for purposes of satisfying changes in law or any other lawful purpose, but no such action may materially and adversely affect rights under an award without the holder’s consent. Certain amendments to the 2021 Plan require the approval of our stockholders.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No awards may be granted under the 2021 Plan after the date that is ten years from the effective date of the 2021 Plan. No awards under the 2021 Plan have been made prior to the date hereof.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connection with the Merger, on August 10, 2021, Tango entered into indemnification agreements with each of its directors and executive officers. Each indemnification agreement provides for indemnification and advancements by Tango of certain expenses and costs relating to claims, suits or proceedings arising from each individual’s service to Tango as an officer or director, as applicable, to the maximum extent permitted by applicable law.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foregoing description of the indemnification agreements is qualified in its entirety by the full text of the forms of indemnification agreement, which are attached hereto as Exhibits 10.11 and 10.12 and incorporated herein by reference.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Tango maintains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w:t>
      </w:r>
    </w:p>
    <w:p>
      <w:pPr>
        <w:pStyle w:val="TextBody"/>
        <w:spacing w:before="120" w:after="0"/>
        <w:jc w:val="left"/>
        <w:rPr>
          <w:rFonts w:ascii="Times New Roman" w:hAnsi="Times New Roman"/>
          <w:spacing w:val="0"/>
          <w:sz w:val="20"/>
        </w:rPr>
      </w:pPr>
      <w:r>
        <w:rPr>
          <w:rFonts w:ascii="Times New Roman" w:hAnsi="Times New Roman"/>
          <w:spacing w:val="0"/>
          <w:sz w:val="20"/>
        </w:rPr>
        <w:t>pre-tax and</w:t>
      </w:r>
    </w:p>
    <w:p>
      <w:pPr>
        <w:pStyle w:val="TextBody"/>
        <w:spacing w:before="120" w:after="0"/>
        <w:jc w:val="left"/>
        <w:rPr>
          <w:rFonts w:ascii="Times New Roman" w:hAnsi="Times New Roman"/>
          <w:sz w:val="20"/>
        </w:rPr>
      </w:pPr>
      <w:r>
        <w:rPr>
          <w:rFonts w:ascii="Times New Roman" w:hAnsi="Times New Roman"/>
          <w:sz w:val="20"/>
        </w:rPr>
        <w:t xml:space="preserve">certain </w:t>
      </w:r>
    </w:p>
    <w:p>
      <w:pPr>
        <w:pStyle w:val="TextBody"/>
        <w:spacing w:before="120" w:after="0"/>
        <w:jc w:val="left"/>
        <w:rPr>
          <w:rFonts w:ascii="Times New Roman" w:hAnsi="Times New Roman"/>
          <w:spacing w:val="0"/>
          <w:sz w:val="20"/>
        </w:rPr>
      </w:pPr>
      <w:r>
        <w:rPr>
          <w:rFonts w:ascii="Times New Roman" w:hAnsi="Times New Roman"/>
          <w:spacing w:val="0"/>
          <w:sz w:val="20"/>
        </w:rPr>
        <w:t>after-tax (Roth)</w:t>
      </w:r>
    </w:p>
    <w:p>
      <w:pPr>
        <w:pStyle w:val="TextBody"/>
        <w:spacing w:before="120" w:after="0"/>
        <w:jc w:val="left"/>
        <w:rPr>
          <w:rFonts w:ascii="Times New Roman" w:hAnsi="Times New Roman"/>
          <w:sz w:val="20"/>
        </w:rPr>
      </w:pPr>
      <w:r>
        <w:rPr>
          <w:rFonts w:ascii="Times New Roman" w:hAnsi="Times New Roman"/>
          <w:sz w:val="20"/>
        </w:rPr>
        <w:t xml:space="preserve">salary deferral contributions to the plan from their eligible earnings up to the statutorily prescribed annual limit under the Code. Participants who are 50 years of age or older may contribute additional amounts based on the statutory limits for </w:t>
      </w:r>
    </w:p>
    <w:p>
      <w:pPr>
        <w:pStyle w:val="TextBody"/>
        <w:spacing w:before="120" w:after="0"/>
        <w:jc w:val="left"/>
        <w:rPr>
          <w:rFonts w:ascii="Times New Roman" w:hAnsi="Times New Roman"/>
          <w:spacing w:val="0"/>
          <w:sz w:val="20"/>
        </w:rPr>
      </w:pPr>
      <w:r>
        <w:rPr>
          <w:rFonts w:ascii="Times New Roman" w:hAnsi="Times New Roman"/>
          <w:spacing w:val="0"/>
          <w:sz w:val="20"/>
        </w:rPr>
        <w:t>catch-up contributions.</w:t>
      </w:r>
    </w:p>
    <w:p>
      <w:pPr>
        <w:pStyle w:val="TextBody"/>
        <w:spacing w:before="120" w:after="0"/>
        <w:jc w:val="left"/>
        <w:rPr>
          <w:rFonts w:ascii="Times New Roman" w:hAnsi="Times New Roman"/>
          <w:sz w:val="20"/>
        </w:rPr>
      </w:pPr>
      <w:r>
        <w:rPr>
          <w:rFonts w:ascii="Times New Roman" w:hAnsi="Times New Roman"/>
          <w:sz w:val="20"/>
        </w:rPr>
        <w:t xml:space="preserve">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DIRECTOR COMPENSATION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rPr>
      </w:pPr>
      <w:r>
        <w:rPr>
          <w:rFonts w:ascii="Times New Roman" w:hAnsi="Times New Roman"/>
          <w:sz w:val="20"/>
        </w:rPr>
        <w:t xml:space="preserve">Effective upon the Closing, we adopted a compensation program for our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directors</w:t>
      </w:r>
    </w:p>
    <w:p>
      <w:pPr>
        <w:pStyle w:val="TextBody"/>
        <w:spacing w:before="240" w:after="0"/>
        <w:jc w:val="left"/>
        <w:rPr>
          <w:rFonts w:ascii="Times New Roman" w:hAnsi="Times New Roman"/>
          <w:sz w:val="20"/>
        </w:rPr>
      </w:pPr>
      <w:r>
        <w:rPr>
          <w:rFonts w:ascii="Times New Roman" w:hAnsi="Times New Roman"/>
          <w:sz w:val="20"/>
        </w:rPr>
        <w:t xml:space="preserve">under which each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w:t>
      </w:r>
    </w:p>
    <w:p>
      <w:pPr>
        <w:pStyle w:val="TextBody"/>
        <w:spacing w:before="240" w:after="0"/>
        <w:jc w:val="left"/>
        <w:rPr>
          <w:rFonts w:ascii="Times New Roman" w:hAnsi="Times New Roman"/>
          <w:sz w:val="20"/>
        </w:rPr>
      </w:pPr>
      <w:r>
        <w:rPr>
          <w:rFonts w:ascii="Times New Roman" w:hAnsi="Times New Roman"/>
          <w:sz w:val="20"/>
        </w:rPr>
        <w:t xml:space="preserve">will receive the following amounts for their services on our board of directors.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option to purchase 80,000 shares of our common stock upon the director’s initial election or appointment to our board of directors that occurs after the Closing.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annual option to purchase 40,000 shares of our common stock on the date of the annual meeting for such year. Directors who were elected in the 12 months preceding the annual grant are </w:t>
            </w:r>
          </w:p>
          <w:p>
            <w:pPr>
              <w:pStyle w:val="TableContents"/>
              <w:spacing w:before="0" w:after="0"/>
              <w:jc w:val="left"/>
              <w:rPr>
                <w:rFonts w:ascii="Times New Roman" w:hAnsi="Times New Roman"/>
                <w:spacing w:val="0"/>
                <w:sz w:val="20"/>
              </w:rPr>
            </w:pPr>
            <w:r>
              <w:rPr>
                <w:rFonts w:ascii="Times New Roman" w:hAnsi="Times New Roman"/>
                <w:spacing w:val="0"/>
                <w:sz w:val="20"/>
              </w:rPr>
              <w:t>pro-rated on</w:t>
            </w:r>
          </w:p>
          <w:p>
            <w:pPr>
              <w:pStyle w:val="TableContents"/>
              <w:spacing w:before="0" w:after="0"/>
              <w:jc w:val="left"/>
              <w:rPr>
                <w:rFonts w:ascii="Times New Roman" w:hAnsi="Times New Roman"/>
                <w:sz w:val="20"/>
              </w:rPr>
            </w:pPr>
            <w:r>
              <w:rPr>
                <w:rFonts w:ascii="Times New Roman" w:hAnsi="Times New Roman"/>
                <w:sz w:val="20"/>
              </w:rPr>
              <w:t xml:space="preserve">a monthly basis for time in service. </w:t>
            </w:r>
          </w:p>
        </w:tc>
      </w:tr>
    </w:tbl>
    <w:p>
      <w:pPr>
        <w:pStyle w:val="TextBody"/>
        <w:spacing w:before="0" w:after="0"/>
        <w:jc w:val="left"/>
        <w:rPr>
          <w:spacing w:val="0"/>
        </w:rPr>
      </w:pPr>
      <w:r>
        <w:rPr>
          <w:spacing w:val="0"/>
        </w:rPr>
        <w:t> </w:t>
      </w:r>
    </w:p>
    <w:tbl>
      <w:tblPr>
        <w:tblW w:w="3400" w:type="dxa"/>
        <w:jc w:val="left"/>
        <w:tblInd w:w="0" w:type="dxa"/>
        <w:tblCellMar>
          <w:top w:w="0" w:type="dxa"/>
          <w:left w:w="0" w:type="dxa"/>
          <w:bottom w:w="0" w:type="dxa"/>
          <w:right w:w="0" w:type="dxa"/>
        </w:tblCellMar>
      </w:tblPr>
      <w:tblGrid>
        <w:gridCol w:w="75"/>
        <w:gridCol w:w="110"/>
        <w:gridCol w:w="60"/>
        <w:gridCol w:w="3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annual director fee of $40,000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If the director serves on a committee of our board of directors or in the other capacities stated below, an additional annual fee as follows: </w:t>
            </w:r>
          </w:p>
        </w:tc>
      </w:tr>
    </w:tbl>
    <w:p>
      <w:pPr>
        <w:pStyle w:val="TextBody"/>
        <w:spacing w:before="0" w:after="0"/>
        <w:jc w:val="left"/>
        <w:rPr>
          <w:spacing w:val="0"/>
        </w:rPr>
      </w:pPr>
      <w:r>
        <w:rPr>
          <w:spacing w:val="0"/>
        </w:rPr>
        <w:t> </w:t>
      </w:r>
    </w:p>
    <w:tbl>
      <w:tblPr>
        <w:tblW w:w="2515" w:type="dxa"/>
        <w:jc w:val="left"/>
        <w:tblInd w:w="0" w:type="dxa"/>
        <w:tblCellMar>
          <w:top w:w="0" w:type="dxa"/>
          <w:left w:w="0" w:type="dxa"/>
          <w:bottom w:w="0" w:type="dxa"/>
          <w:right w:w="0" w:type="dxa"/>
        </w:tblCellMar>
      </w:tblPr>
      <w:tblGrid>
        <w:gridCol w:w="75"/>
        <w:gridCol w:w="110"/>
        <w:gridCol w:w="60"/>
        <w:gridCol w:w="2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Non-executive chairperson,</w:t>
            </w:r>
          </w:p>
          <w:p>
            <w:pPr>
              <w:pStyle w:val="TableContents"/>
              <w:spacing w:before="0" w:after="0"/>
              <w:jc w:val="left"/>
              <w:rPr>
                <w:rFonts w:ascii="Times New Roman" w:hAnsi="Times New Roman"/>
                <w:sz w:val="20"/>
              </w:rPr>
            </w:pPr>
            <w:r>
              <w:rPr>
                <w:rFonts w:ascii="Times New Roman" w:hAnsi="Times New Roman"/>
                <w:sz w:val="20"/>
              </w:rPr>
              <w:t xml:space="preserve">$30,000 </w:t>
            </w:r>
          </w:p>
        </w:tc>
      </w:tr>
    </w:tbl>
    <w:p>
      <w:pPr>
        <w:pStyle w:val="TextBody"/>
        <w:spacing w:before="0" w:after="0"/>
        <w:jc w:val="left"/>
        <w:rPr>
          <w:spacing w:val="0"/>
        </w:rPr>
      </w:pPr>
      <w:r>
        <w:rPr>
          <w:spacing w:val="0"/>
        </w:rPr>
        <w:t> </w:t>
      </w:r>
    </w:p>
    <w:tbl>
      <w:tblPr>
        <w:tblW w:w="3235" w:type="dxa"/>
        <w:jc w:val="left"/>
        <w:tblInd w:w="0" w:type="dxa"/>
        <w:tblCellMar>
          <w:top w:w="0" w:type="dxa"/>
          <w:left w:w="0" w:type="dxa"/>
          <w:bottom w:w="0" w:type="dxa"/>
          <w:right w:w="0" w:type="dxa"/>
        </w:tblCellMar>
      </w:tblPr>
      <w:tblGrid>
        <w:gridCol w:w="75"/>
        <w:gridCol w:w="110"/>
        <w:gridCol w:w="60"/>
        <w:gridCol w:w="2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Lead independent director, $15,000 </w:t>
            </w:r>
          </w:p>
        </w:tc>
      </w:tr>
    </w:tbl>
    <w:p>
      <w:pPr>
        <w:pStyle w:val="TextBody"/>
        <w:spacing w:before="0" w:after="0"/>
        <w:jc w:val="left"/>
        <w:rPr>
          <w:spacing w:val="0"/>
        </w:rPr>
      </w:pPr>
      <w:r>
        <w:rPr>
          <w:spacing w:val="0"/>
        </w:rPr>
        <w:t> </w:t>
      </w:r>
    </w:p>
    <w:tbl>
      <w:tblPr>
        <w:tblW w:w="3445" w:type="dxa"/>
        <w:jc w:val="left"/>
        <w:tblInd w:w="0" w:type="dxa"/>
        <w:tblCellMar>
          <w:top w:w="0" w:type="dxa"/>
          <w:left w:w="0" w:type="dxa"/>
          <w:bottom w:w="0" w:type="dxa"/>
          <w:right w:w="0" w:type="dxa"/>
        </w:tblCellMar>
      </w:tblPr>
      <w:tblGrid>
        <w:gridCol w:w="75"/>
        <w:gridCol w:w="110"/>
        <w:gridCol w:w="60"/>
        <w:gridCol w:w="3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Audit committee chairperson, $15,000 </w:t>
            </w:r>
          </w:p>
        </w:tc>
      </w:tr>
    </w:tbl>
    <w:p>
      <w:pPr>
        <w:pStyle w:val="TextBody"/>
        <w:spacing w:before="0" w:after="0"/>
        <w:jc w:val="left"/>
        <w:rPr>
          <w:spacing w:val="0"/>
        </w:rPr>
      </w:pPr>
      <w:r>
        <w:rPr>
          <w:spacing w:val="0"/>
        </w:rPr>
        <w:t> </w:t>
      </w:r>
    </w:p>
    <w:tbl>
      <w:tblPr>
        <w:tblW w:w="3040" w:type="dxa"/>
        <w:jc w:val="left"/>
        <w:tblInd w:w="0" w:type="dxa"/>
        <w:tblCellMar>
          <w:top w:w="0" w:type="dxa"/>
          <w:left w:w="0" w:type="dxa"/>
          <w:bottom w:w="0" w:type="dxa"/>
          <w:right w:w="0" w:type="dxa"/>
        </w:tblCellMar>
      </w:tblPr>
      <w:tblGrid>
        <w:gridCol w:w="75"/>
        <w:gridCol w:w="110"/>
        <w:gridCol w:w="60"/>
        <w:gridCol w:w="2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Audit committee member, $7,500 </w:t>
            </w:r>
          </w:p>
        </w:tc>
      </w:tr>
    </w:tbl>
    <w:p>
      <w:pPr>
        <w:pStyle w:val="TextBody"/>
        <w:spacing w:before="0" w:after="0"/>
        <w:jc w:val="left"/>
        <w:rPr>
          <w:spacing w:val="0"/>
        </w:rPr>
      </w:pPr>
      <w:r>
        <w:rPr>
          <w:spacing w:val="0"/>
        </w:rPr>
        <w:t> </w:t>
      </w:r>
    </w:p>
    <w:tbl>
      <w:tblPr>
        <w:tblW w:w="4165" w:type="dxa"/>
        <w:jc w:val="left"/>
        <w:tblInd w:w="0" w:type="dxa"/>
        <w:tblCellMar>
          <w:top w:w="0" w:type="dxa"/>
          <w:left w:w="0" w:type="dxa"/>
          <w:bottom w:w="0" w:type="dxa"/>
          <w:right w:w="0" w:type="dxa"/>
        </w:tblCellMar>
      </w:tblPr>
      <w:tblGrid>
        <w:gridCol w:w="75"/>
        <w:gridCol w:w="110"/>
        <w:gridCol w:w="60"/>
        <w:gridCol w:w="3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Compensation committee chairperson, $10,000 </w:t>
            </w:r>
          </w:p>
        </w:tc>
      </w:tr>
    </w:tbl>
    <w:p>
      <w:pPr>
        <w:pStyle w:val="TextBody"/>
        <w:spacing w:before="0" w:after="0"/>
        <w:jc w:val="left"/>
        <w:rPr>
          <w:spacing w:val="0"/>
        </w:rPr>
      </w:pPr>
      <w:r>
        <w:rPr>
          <w:spacing w:val="0"/>
        </w:rPr>
        <w:t> </w:t>
      </w:r>
    </w:p>
    <w:tbl>
      <w:tblPr>
        <w:tblW w:w="3760" w:type="dxa"/>
        <w:jc w:val="left"/>
        <w:tblInd w:w="0" w:type="dxa"/>
        <w:tblCellMar>
          <w:top w:w="0" w:type="dxa"/>
          <w:left w:w="0" w:type="dxa"/>
          <w:bottom w:w="0" w:type="dxa"/>
          <w:right w:w="0" w:type="dxa"/>
        </w:tblCellMar>
      </w:tblPr>
      <w:tblGrid>
        <w:gridCol w:w="75"/>
        <w:gridCol w:w="110"/>
        <w:gridCol w:w="60"/>
        <w:gridCol w:w="3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Compensation committee member, $5,000 </w:t>
            </w:r>
          </w:p>
        </w:tc>
      </w:tr>
    </w:tbl>
    <w:p>
      <w:pPr>
        <w:pStyle w:val="TextBody"/>
        <w:spacing w:before="0" w:after="0"/>
        <w:jc w:val="left"/>
        <w:rPr>
          <w:spacing w:val="0"/>
        </w:rPr>
      </w:pPr>
      <w:r>
        <w:rPr>
          <w:spacing w:val="0"/>
        </w:rPr>
        <w:t> </w:t>
      </w:r>
    </w:p>
    <w:tbl>
      <w:tblPr>
        <w:tblW w:w="5185" w:type="dxa"/>
        <w:jc w:val="left"/>
        <w:tblInd w:w="0" w:type="dxa"/>
        <w:tblCellMar>
          <w:top w:w="0" w:type="dxa"/>
          <w:left w:w="0" w:type="dxa"/>
          <w:bottom w:w="0" w:type="dxa"/>
          <w:right w:w="0" w:type="dxa"/>
        </w:tblCellMar>
      </w:tblPr>
      <w:tblGrid>
        <w:gridCol w:w="75"/>
        <w:gridCol w:w="110"/>
        <w:gridCol w:w="60"/>
        <w:gridCol w:w="4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Nomination and governance committee chairperson, $8,000 </w:t>
            </w:r>
          </w:p>
        </w:tc>
      </w:tr>
    </w:tbl>
    <w:p>
      <w:pPr>
        <w:pStyle w:val="TextBody"/>
        <w:spacing w:before="0" w:after="0"/>
        <w:jc w:val="left"/>
        <w:rPr>
          <w:spacing w:val="0"/>
        </w:rPr>
      </w:pPr>
      <w:r>
        <w:rPr>
          <w:spacing w:val="0"/>
        </w:rPr>
        <w:t> </w:t>
      </w:r>
    </w:p>
    <w:tbl>
      <w:tblPr>
        <w:tblW w:w="4885" w:type="dxa"/>
        <w:jc w:val="left"/>
        <w:tblInd w:w="0" w:type="dxa"/>
        <w:tblCellMar>
          <w:top w:w="0" w:type="dxa"/>
          <w:left w:w="0" w:type="dxa"/>
          <w:bottom w:w="0" w:type="dxa"/>
          <w:right w:w="0" w:type="dxa"/>
        </w:tblCellMar>
      </w:tblPr>
      <w:tblGrid>
        <w:gridCol w:w="75"/>
        <w:gridCol w:w="110"/>
        <w:gridCol w:w="60"/>
        <w:gridCol w:w="4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Nomination and governance committee member, $4,000 </w:t>
            </w:r>
          </w:p>
        </w:tc>
      </w:tr>
    </w:tbl>
    <w:p>
      <w:pPr>
        <w:pStyle w:val="TextBody"/>
        <w:spacing w:before="240" w:after="0"/>
        <w:jc w:val="left"/>
        <w:rPr>
          <w:rFonts w:ascii="Times New Roman" w:hAnsi="Times New Roman"/>
          <w:sz w:val="20"/>
        </w:rPr>
      </w:pPr>
      <w:r>
        <w:rPr>
          <w:rFonts w:ascii="Times New Roman" w:hAnsi="Times New Roman"/>
          <w:sz w:val="20"/>
        </w:rPr>
        <w:t xml:space="preserve">Options granted to our </w:t>
      </w:r>
    </w:p>
    <w:p>
      <w:pPr>
        <w:pStyle w:val="TextBody"/>
        <w:spacing w:before="240" w:after="0"/>
        <w:jc w:val="left"/>
        <w:rPr>
          <w:rFonts w:ascii="Times New Roman" w:hAnsi="Times New Roman"/>
          <w:spacing w:val="0"/>
          <w:sz w:val="20"/>
        </w:rPr>
      </w:pPr>
      <w:r>
        <w:rPr>
          <w:rFonts w:ascii="Times New Roman" w:hAnsi="Times New Roman"/>
          <w:spacing w:val="0"/>
          <w:sz w:val="20"/>
        </w:rPr>
        <w:t>non-employee directors</w:t>
      </w:r>
    </w:p>
    <w:p>
      <w:pPr>
        <w:pStyle w:val="TextBody"/>
        <w:spacing w:before="240" w:after="0"/>
        <w:jc w:val="left"/>
        <w:rPr>
          <w:rFonts w:ascii="Times New Roman" w:hAnsi="Times New Roman"/>
          <w:sz w:val="20"/>
        </w:rPr>
      </w:pPr>
      <w:r>
        <w:rPr>
          <w:rFonts w:ascii="Times New Roman" w:hAnsi="Times New Roman"/>
          <w:sz w:val="20"/>
        </w:rPr>
        <w:t xml:space="preserve">under the program will have an exercise price equal to the fair market value of our common stock on the date of grant and will expire not later than ten years after the date of grant. The options granted upon a director’s initial election or appointment will vest in 48 substantially equal monthly installments following the date of grant. In addition, all unvested options will vest in full upon the occurrence of a change in control.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2020 Director Compensation Table </w:t>
      </w:r>
    </w:p>
    <w:p>
      <w:pPr>
        <w:pStyle w:val="TextBody"/>
        <w:spacing w:before="0" w:after="0"/>
        <w:jc w:val="left"/>
        <w:rPr>
          <w:spacing w:val="0"/>
        </w:rPr>
      </w:pPr>
      <w:r>
        <w:rPr>
          <w:spacing w:val="0"/>
        </w:rPr>
        <w:t> </w:t>
      </w:r>
    </w:p>
    <w:tbl>
      <w:tblPr>
        <w:tblW w:w="10610" w:type="dxa"/>
        <w:jc w:val="left"/>
        <w:tblInd w:w="0" w:type="dxa"/>
        <w:tblCellMar>
          <w:top w:w="0" w:type="dxa"/>
          <w:left w:w="0" w:type="dxa"/>
          <w:bottom w:w="0" w:type="dxa"/>
          <w:right w:w="0" w:type="dxa"/>
        </w:tblCellMar>
      </w:tblPr>
      <w:tblGrid>
        <w:gridCol w:w="575"/>
        <w:gridCol w:w="120"/>
        <w:gridCol w:w="60"/>
        <w:gridCol w:w="500"/>
        <w:gridCol w:w="60"/>
        <w:gridCol w:w="120"/>
        <w:gridCol w:w="182"/>
        <w:gridCol w:w="888"/>
        <w:gridCol w:w="60"/>
        <w:gridCol w:w="120"/>
        <w:gridCol w:w="113"/>
        <w:gridCol w:w="717"/>
        <w:gridCol w:w="60"/>
        <w:gridCol w:w="60"/>
        <w:gridCol w:w="113"/>
        <w:gridCol w:w="717"/>
        <w:gridCol w:w="60"/>
        <w:gridCol w:w="60"/>
        <w:gridCol w:w="203"/>
        <w:gridCol w:w="1287"/>
        <w:gridCol w:w="60"/>
        <w:gridCol w:w="60"/>
        <w:gridCol w:w="203"/>
        <w:gridCol w:w="1287"/>
        <w:gridCol w:w="60"/>
        <w:gridCol w:w="60"/>
        <w:gridCol w:w="203"/>
        <w:gridCol w:w="1287"/>
        <w:gridCol w:w="60"/>
        <w:gridCol w:w="120"/>
        <w:gridCol w:w="140"/>
        <w:gridCol w:w="920"/>
        <w:gridCol w:w="75"/>
      </w:tblGrid>
      <w:tr>
        <w:trPr/>
        <w:tc>
          <w:tcPr>
            <w:tcW w:w="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w:t>
            </w:r>
          </w:p>
        </w:tc>
        <w:tc>
          <w:tcPr>
            <w:tcW w:w="12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0"/>
              <w:jc w:val="center"/>
              <w:rPr>
                <w:b/>
                <w:spacing w:val="0"/>
              </w:rPr>
            </w:pPr>
            <w:r>
              <w:rPr>
                <w:b/>
                <w:spacing w:val="0"/>
              </w:rP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0"/>
              <w:jc w:val="center"/>
              <w:rPr>
                <w:b/>
                <w:spacing w:val="0"/>
              </w:rPr>
            </w:pPr>
            <w:r>
              <w:rPr>
                <w:b/>
                <w:spacing w:val="0"/>
              </w:rPr>
              <w:t>Fees</w:t>
              <w:br/>
              <w:t>Earned or</w:t>
            </w:r>
          </w:p>
          <w:p>
            <w:pPr>
              <w:pStyle w:val="TableContents"/>
              <w:spacing w:before="0" w:after="0"/>
              <w:jc w:val="center"/>
              <w:rPr>
                <w:b/>
                <w:spacing w:val="0"/>
              </w:rPr>
            </w:pPr>
            <w:r>
              <w:rPr>
                <w:b/>
                <w:spacing w:val="0"/>
              </w:rPr>
              <w:t>Paid-in</w:t>
            </w:r>
          </w:p>
          <w:p>
            <w:pPr>
              <w:pStyle w:val="TableContents"/>
              <w:spacing w:before="0" w:after="0"/>
              <w:jc w:val="center"/>
              <w:rPr>
                <w:b/>
                <w:spacing w:val="0"/>
              </w:rPr>
            </w:pPr>
            <w:r>
              <w:rPr>
                <w:b/>
                <w:spacing w:val="0"/>
              </w:rPr>
              <w:br/>
              <w:t>Cash</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0"/>
              <w:jc w:val="center"/>
              <w:rPr>
                <w:b/>
                <w:spacing w:val="0"/>
              </w:rPr>
            </w:pPr>
            <w:r>
              <w:rPr>
                <w:b/>
                <w:spacing w:val="0"/>
              </w:rPr>
              <w:t>Stock</w:t>
              <w:br/>
              <w:t>Awards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0"/>
              <w:jc w:val="center"/>
              <w:rPr>
                <w:b/>
                <w:spacing w:val="0"/>
              </w:rPr>
            </w:pPr>
            <w:r>
              <w:rPr>
                <w:b/>
                <w:spacing w:val="0"/>
              </w:rPr>
              <w:t>Option</w:t>
              <w:br/>
              <w:t>Awards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Non-Equity</w:t>
            </w:r>
          </w:p>
          <w:p>
            <w:pPr>
              <w:pStyle w:val="TableContents"/>
              <w:spacing w:before="0" w:after="0"/>
              <w:jc w:val="center"/>
              <w:rPr>
                <w:b/>
                <w:spacing w:val="0"/>
              </w:rPr>
            </w:pPr>
            <w:r>
              <w:rPr>
                <w:b/>
                <w:spacing w:val="0"/>
              </w:rPr>
              <w:br/>
              <w:t>Incentive Plan</w:t>
              <w:br/>
              <w:t>Compensation</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Nonqualified</w:t>
              <w:br/>
              <w:t>Deferred</w:t>
              <w:br/>
              <w:t>Compensation</w:t>
              <w:br/>
              <w:t>Earnings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0"/>
              <w:jc w:val="center"/>
              <w:rPr>
                <w:b/>
                <w:spacing w:val="0"/>
              </w:rPr>
            </w:pPr>
            <w:r>
              <w:rPr>
                <w:b/>
                <w:spacing w:val="0"/>
              </w:rPr>
              <w:t>All Other</w:t>
              <w:br/>
              <w:t>Compensation</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0" w:type="dxa"/>
            <w:gridSpan w:val="2"/>
            <w:tcBorders/>
            <w:shd w:fill="auto" w:val="clear"/>
            <w:vAlign w:val="center"/>
          </w:tcPr>
          <w:p>
            <w:pPr>
              <w:pStyle w:val="TableContents"/>
              <w:spacing w:before="0" w:after="0"/>
              <w:jc w:val="center"/>
              <w:rPr>
                <w:b/>
                <w:spacing w:val="0"/>
              </w:rPr>
            </w:pPr>
            <w:r>
              <w:rPr>
                <w:b/>
                <w:spacing w:val="0"/>
              </w:rPr>
              <w:t>Total</w:t>
              <w:br/>
              <w:t>($)</w:t>
            </w:r>
          </w:p>
        </w:tc>
        <w:tc>
          <w:tcPr>
            <w:tcW w:w="75" w:type="dxa"/>
            <w:tcBorders/>
            <w:shd w:fill="auto" w:val="clear"/>
            <w:vAlign w:val="center"/>
          </w:tcPr>
          <w:p>
            <w:pPr>
              <w:pStyle w:val="TableContents"/>
              <w:spacing w:before="0" w:after="283"/>
              <w:rPr/>
            </w:pPr>
            <w:r>
              <w:rPr/>
              <w:t> </w:t>
            </w:r>
          </w:p>
        </w:tc>
      </w:tr>
      <w:tr>
        <w:trPr/>
        <w:tc>
          <w:tcPr>
            <w:tcW w:w="5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Aaron Davis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8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Alexis Borisy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w:t>
            </w:r>
          </w:p>
        </w:tc>
        <w:tc>
          <w:tcPr>
            <w:tcW w:w="888" w:type="dxa"/>
            <w:tcBorders/>
            <w:shd w:fill="auto" w:val="clear"/>
            <w:vAlign w:val="center"/>
          </w:tcPr>
          <w:p>
            <w:pPr>
              <w:pStyle w:val="TableContents"/>
              <w:spacing w:before="0" w:after="283"/>
              <w:jc w:val="right"/>
              <w:rPr/>
            </w:pPr>
            <w:r>
              <w:rPr/>
              <w:t>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25,000</w:t>
            </w:r>
          </w:p>
        </w:tc>
        <w:tc>
          <w:tcPr>
            <w:tcW w:w="75" w:type="dxa"/>
            <w:tcBorders/>
            <w:shd w:fill="auto" w:val="clear"/>
            <w:vAlign w:val="center"/>
          </w:tcPr>
          <w:p>
            <w:pPr>
              <w:pStyle w:val="TableContents"/>
              <w:spacing w:before="0" w:after="283"/>
              <w:rPr/>
            </w:pPr>
            <w:r>
              <w:rPr/>
              <w:t> </w:t>
            </w:r>
          </w:p>
        </w:tc>
      </w:tr>
      <w:tr>
        <w:trPr/>
        <w:tc>
          <w:tcPr>
            <w:tcW w:w="5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Cary Pfeffer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8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0</w:t>
            </w:r>
          </w:p>
        </w:tc>
        <w:tc>
          <w:tcPr>
            <w:tcW w:w="75" w:type="dxa"/>
            <w:tcBorders/>
            <w:shd w:fill="CCEEFF"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Malte Peters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w:t>
            </w:r>
          </w:p>
        </w:tc>
        <w:tc>
          <w:tcPr>
            <w:tcW w:w="888" w:type="dxa"/>
            <w:tcBorders/>
            <w:shd w:fill="auto" w:val="clear"/>
            <w:vAlign w:val="center"/>
          </w:tcPr>
          <w:p>
            <w:pPr>
              <w:pStyle w:val="TableContents"/>
              <w:spacing w:before="0" w:after="283"/>
              <w:jc w:val="right"/>
              <w:rPr/>
            </w:pPr>
            <w:r>
              <w:rPr/>
              <w:t>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    </w:t>
            </w:r>
            <w:r>
              <w:rPr/>
              <w:t>25,000</w:t>
            </w:r>
          </w:p>
        </w:tc>
        <w:tc>
          <w:tcPr>
            <w:tcW w:w="75" w:type="dxa"/>
            <w:tcBorders/>
            <w:shd w:fill="auto" w:val="clear"/>
            <w:vAlign w:val="center"/>
          </w:tcPr>
          <w:p>
            <w:pPr>
              <w:pStyle w:val="TableContents"/>
              <w:spacing w:before="0" w:after="283"/>
              <w:rPr/>
            </w:pPr>
            <w:r>
              <w:rPr/>
              <w:t> </w:t>
            </w:r>
          </w:p>
        </w:tc>
      </w:tr>
      <w:tr>
        <w:trPr/>
        <w:tc>
          <w:tcPr>
            <w:tcW w:w="5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Mike Pellini</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888"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25,000</w:t>
            </w:r>
          </w:p>
        </w:tc>
        <w:tc>
          <w:tcPr>
            <w:tcW w:w="75" w:type="dxa"/>
            <w:tcBorders/>
            <w:shd w:fill="CCEEFF" w:val="clear"/>
            <w:vAlign w:val="center"/>
          </w:tcPr>
          <w:p>
            <w:pPr>
              <w:pStyle w:val="TableContents"/>
              <w:spacing w:before="0" w:after="283"/>
              <w:rPr/>
            </w:pPr>
            <w:r>
              <w:rPr/>
              <w:t> </w:t>
            </w:r>
          </w:p>
        </w:tc>
      </w:tr>
      <w:tr>
        <w:trPr/>
        <w:tc>
          <w:tcPr>
            <w:tcW w:w="5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Reid Huber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8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table below shows the aggregate numbers of option awards (exercisable and unexercisable) held as of December 31, 2020 by each </w:t>
      </w:r>
    </w:p>
    <w:p>
      <w:pPr>
        <w:pStyle w:val="TextBody"/>
        <w:spacing w:before="0" w:after="0"/>
        <w:jc w:val="left"/>
        <w:rPr>
          <w:rFonts w:ascii="Times New Roman" w:hAnsi="Times New Roman"/>
          <w:spacing w:val="0"/>
          <w:sz w:val="20"/>
        </w:rPr>
      </w:pPr>
      <w:r>
        <w:rPr>
          <w:rFonts w:ascii="Times New Roman" w:hAnsi="Times New Roman"/>
          <w:spacing w:val="0"/>
          <w:sz w:val="20"/>
        </w:rPr>
        <w:t>non-employee director</w:t>
      </w:r>
    </w:p>
    <w:p>
      <w:pPr>
        <w:pStyle w:val="TextBody"/>
        <w:spacing w:before="0" w:after="0"/>
        <w:jc w:val="left"/>
        <w:rPr>
          <w:rFonts w:ascii="Times New Roman" w:hAnsi="Times New Roman"/>
          <w:sz w:val="20"/>
        </w:rPr>
      </w:pPr>
      <w:r>
        <w:rPr>
          <w:rFonts w:ascii="Times New Roman" w:hAnsi="Times New Roman"/>
          <w:sz w:val="20"/>
        </w:rPr>
        <w:t xml:space="preserve">who was serving as of December 31, 2020.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1145"/>
        <w:gridCol w:w="120"/>
        <w:gridCol w:w="92"/>
        <w:gridCol w:w="1233"/>
        <w:gridCol w:w="75"/>
      </w:tblGrid>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w:t>
            </w:r>
          </w:p>
        </w:tc>
        <w:tc>
          <w:tcPr>
            <w:tcW w:w="12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0"/>
              <w:jc w:val="center"/>
              <w:rPr>
                <w:b/>
                <w:spacing w:val="0"/>
              </w:rPr>
            </w:pPr>
            <w:r>
              <w:rPr>
                <w:b/>
                <w:spacing w:val="0"/>
              </w:rPr>
              <w:t>Options</w:t>
              <w:br/>
              <w:t>outstanding</w:t>
              <w:br/>
              <w:t>at 2020 fiscal</w:t>
              <w:br/>
              <w:t>year end</w:t>
            </w:r>
          </w:p>
        </w:tc>
        <w:tc>
          <w:tcPr>
            <w:tcW w:w="75" w:type="dxa"/>
            <w:tcBorders/>
            <w:shd w:fill="auto" w:val="clear"/>
            <w:vAlign w:val="center"/>
          </w:tcPr>
          <w:p>
            <w:pPr>
              <w:pStyle w:val="TableContents"/>
              <w:spacing w:before="0" w:after="283"/>
              <w:rPr/>
            </w:pPr>
            <w:r>
              <w:rPr/>
              <w:t> </w:t>
            </w:r>
          </w:p>
        </w:tc>
      </w:tr>
      <w:tr>
        <w:trPr/>
        <w:tc>
          <w:tcPr>
            <w:tcW w:w="11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Aaron Davis</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233"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Alexis Borisy</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jc w:val="right"/>
              <w:rPr/>
            </w:pPr>
            <w:r>
              <w:rPr/>
              <w:t>387,000</w:t>
            </w:r>
          </w:p>
        </w:tc>
        <w:tc>
          <w:tcPr>
            <w:tcW w:w="75" w:type="dxa"/>
            <w:tcBorders/>
            <w:shd w:fill="auto" w:val="clear"/>
            <w:vAlign w:val="center"/>
          </w:tcPr>
          <w:p>
            <w:pPr>
              <w:pStyle w:val="TableContents"/>
              <w:spacing w:before="0" w:after="283"/>
              <w:rPr/>
            </w:pPr>
            <w:r>
              <w:rPr/>
              <w:t> </w:t>
            </w:r>
          </w:p>
        </w:tc>
      </w:tr>
      <w:tr>
        <w:trPr/>
        <w:tc>
          <w:tcPr>
            <w:tcW w:w="11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Cary Pfeffer</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233"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Reid Huber</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1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Malte Peters</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233" w:type="dxa"/>
            <w:tcBorders/>
            <w:shd w:fill="CCEEFF" w:val="clear"/>
            <w:vAlign w:val="center"/>
          </w:tcPr>
          <w:p>
            <w:pPr>
              <w:pStyle w:val="TableContents"/>
              <w:spacing w:before="0" w:after="283"/>
              <w:jc w:val="right"/>
              <w:rPr/>
            </w:pPr>
            <w:r>
              <w:rPr/>
              <w:t>350,000</w:t>
            </w:r>
          </w:p>
        </w:tc>
        <w:tc>
          <w:tcPr>
            <w:tcW w:w="75" w:type="dxa"/>
            <w:tcBorders/>
            <w:shd w:fill="CCEEFF"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Mike Pellini</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jc w:val="right"/>
              <w:rPr/>
            </w:pPr>
            <w:r>
              <w:rPr/>
              <w:t>215,000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173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DESCRIPTION OF CAPITAL STOCK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summary of certain provisions of Tango’s securities does not purport to be complete and is subject to the Second Amended and Restated Certificate of Incorporation (the “Certificate of Incorporation” or “Charter”), the Amened and Restate Bylaws (the “Bylaws”) and the provisions of applicable law. Copies of the Certificate of Incorporation and the Bylaws are attached to this prospectus as Exhibits 3.1 and 3.2, respectively.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Authorized and Outstanding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Charter authorizes the issuance of 210,000,000 shares, consisting of 200,000,000 shares of Common Stock, $0.001 par value per share, and 10,000,000 shares of preferred stock, $0.001 par value, all of which shares of preferred stock will be undesignated. As of September 8, 2021, there were 87,474,258 shares of Common Stock outstanding and no shares of preferred stock outstanding.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Charter provides the following with respect to the rights, powers, preferences and privileges of the Common Stock.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Power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Except as otherwise required by law or as otherwise provided in any certificate of designation for any series of preferred stock, the holders of Common Stock possess all voting power for the election of Tango’s directors and all other matters requiring stockholder action. Holders of Common Stock are entitled to one vote per share on matters to be voted on by stockholders.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Holders of Common Stock will be entitled to receive such dividends, if any, as may be declared from time to time by Tango’s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Dissolution and Winding Up </w:t>
      </w:r>
    </w:p>
    <w:p>
      <w:pPr>
        <w:pStyle w:val="TextBody"/>
        <w:spacing w:before="120" w:after="0"/>
        <w:jc w:val="left"/>
        <w:rPr>
          <w:rFonts w:ascii="Times New Roman" w:hAnsi="Times New Roman"/>
          <w:sz w:val="20"/>
        </w:rPr>
      </w:pPr>
      <w:r>
        <w:rPr>
          <w:rFonts w:ascii="Times New Roman" w:hAnsi="Times New Roman"/>
          <w:sz w:val="20"/>
        </w:rPr>
        <w:t xml:space="preserve">In the event of Tango’s voluntary or involuntary liquidation, dissolution, distribution of assets or </w:t>
      </w:r>
    </w:p>
    <w:p>
      <w:pPr>
        <w:pStyle w:val="TextBody"/>
        <w:spacing w:before="120" w:after="0"/>
        <w:jc w:val="left"/>
        <w:rPr>
          <w:rFonts w:ascii="Times New Roman" w:hAnsi="Times New Roman"/>
          <w:spacing w:val="0"/>
          <w:sz w:val="20"/>
        </w:rPr>
      </w:pPr>
      <w:r>
        <w:rPr>
          <w:rFonts w:ascii="Times New Roman" w:hAnsi="Times New Roman"/>
          <w:spacing w:val="0"/>
          <w:sz w:val="20"/>
        </w:rPr>
        <w:t>winding-up,</w:t>
      </w:r>
    </w:p>
    <w:p>
      <w:pPr>
        <w:pStyle w:val="TextBody"/>
        <w:spacing w:before="120" w:after="0"/>
        <w:jc w:val="left"/>
        <w:rPr>
          <w:rFonts w:ascii="Times New Roman" w:hAnsi="Times New Roman"/>
          <w:sz w:val="20"/>
        </w:rPr>
      </w:pPr>
      <w:r>
        <w:rPr>
          <w:rFonts w:ascii="Times New Roman" w:hAnsi="Times New Roman"/>
          <w:sz w:val="20"/>
        </w:rPr>
        <w:t xml:space="preserve">the holders of the Common Stock will be entitled to receive an equal amount per share of all of Tango’s assets of whatever kind available for distribution to stockholders, after the rights of the holders of the preferred stock have been satisfied.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Preemptive or Other Rights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are no sinking fund provisions applicable to the Common Stock.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Certain of our stockholders, or Holders, hold registration rights pursuant to the Amended and Restated Registration and Stockholder Rights Agreement. Stockholders holding a </w:t>
      </w:r>
    </w:p>
    <w:p>
      <w:pPr>
        <w:pStyle w:val="TextBody"/>
        <w:spacing w:before="120" w:after="0"/>
        <w:jc w:val="left"/>
        <w:rPr>
          <w:rFonts w:ascii="Times New Roman" w:hAnsi="Times New Roman"/>
          <w:spacing w:val="0"/>
          <w:sz w:val="20"/>
        </w:rPr>
      </w:pPr>
      <w:r>
        <w:rPr>
          <w:rFonts w:ascii="Times New Roman" w:hAnsi="Times New Roman"/>
          <w:spacing w:val="0"/>
          <w:sz w:val="20"/>
        </w:rPr>
        <w:t>majority-in-interest of</w:t>
      </w:r>
    </w:p>
    <w:p>
      <w:pPr>
        <w:pStyle w:val="TextBody"/>
        <w:spacing w:before="120" w:after="0"/>
        <w:jc w:val="left"/>
        <w:rPr>
          <w:rFonts w:ascii="Times New Roman" w:hAnsi="Times New Roman"/>
          <w:sz w:val="20"/>
        </w:rPr>
      </w:pPr>
      <w:r>
        <w:rPr>
          <w:rFonts w:ascii="Times New Roman" w:hAnsi="Times New Roman"/>
          <w:sz w:val="20"/>
        </w:rPr>
        <w:t xml:space="preserve">such registrable securities are entitled to make a written demand for registration under the Securities Act of all or part of their registrable securities.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particular, the Amended and Restated Registration and Stockholder Rights Agreement provides for the following registration rights: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Shelf registration/demand registration rights</w:t>
            </w:r>
          </w:p>
          <w:p>
            <w:pPr>
              <w:pStyle w:val="TableContents"/>
              <w:spacing w:before="0" w:after="0"/>
              <w:jc w:val="left"/>
              <w:rPr>
                <w:rFonts w:ascii="Times New Roman" w:hAnsi="Times New Roman"/>
                <w:sz w:val="20"/>
              </w:rPr>
            </w:pPr>
            <w:r>
              <w:rPr>
                <w:rFonts w:ascii="Times New Roman" w:hAnsi="Times New Roman"/>
                <w:sz w:val="20"/>
              </w:rPr>
              <w:t xml:space="preserve">.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Tango is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Tango is not required to effect more than one underwritten shelf takedown in any </w:t>
            </w:r>
          </w:p>
          <w:p>
            <w:pPr>
              <w:pStyle w:val="TableContents"/>
              <w:spacing w:before="0" w:after="0"/>
              <w:jc w:val="left"/>
              <w:rPr>
                <w:rFonts w:ascii="Times New Roman" w:hAnsi="Times New Roman"/>
                <w:spacing w:val="0"/>
                <w:sz w:val="20"/>
              </w:rPr>
            </w:pPr>
            <w:r>
              <w:rPr>
                <w:rFonts w:ascii="Times New Roman" w:hAnsi="Times New Roman"/>
                <w:spacing w:val="0"/>
                <w:sz w:val="20"/>
              </w:rPr>
              <w:t>six-month</w:t>
            </w:r>
          </w:p>
          <w:p>
            <w:pPr>
              <w:pStyle w:val="TableContents"/>
              <w:spacing w:before="0" w:after="0"/>
              <w:jc w:val="left"/>
              <w:rPr>
                <w:rFonts w:ascii="Times New Roman" w:hAnsi="Times New Roman"/>
                <w:sz w:val="20"/>
              </w:rPr>
            </w:pPr>
            <w:r>
              <w:rPr>
                <w:rFonts w:ascii="Times New Roman" w:hAnsi="Times New Roman"/>
                <w:sz w:val="20"/>
              </w:rPr>
              <w:t xml:space="preserve">period.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Piggyback registration rights</w:t>
            </w:r>
          </w:p>
          <w:p>
            <w:pPr>
              <w:pStyle w:val="TableContents"/>
              <w:spacing w:before="0" w:after="0"/>
              <w:jc w:val="left"/>
              <w:rPr>
                <w:rFonts w:ascii="Times New Roman" w:hAnsi="Times New Roman"/>
                <w:sz w:val="20"/>
              </w:rPr>
            </w:pPr>
            <w:r>
              <w:rPr>
                <w:rFonts w:ascii="Times New Roman" w:hAnsi="Times New Roman"/>
                <w:sz w:val="20"/>
              </w:rPr>
              <w:t xml:space="preserve">. Subject to exceptions for certain offerings and registration statements, if at any time, Tango proposes to file a registration statement under the Securities Act of 1933, as amended (the “Securities Act”), in connection with an offering of its equity securities or securities or other obligations exercisable or exchangeable for, or convertible into, its equity securities, either for its own account or for the account of stockholders of Tango, the Holders are entitled to include their Registrable Securities in such registration statement.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Expenses and indemnification</w:t>
            </w:r>
          </w:p>
          <w:p>
            <w:pPr>
              <w:pStyle w:val="TableContents"/>
              <w:spacing w:before="0" w:after="0"/>
              <w:jc w:val="left"/>
              <w:rPr>
                <w:rFonts w:ascii="Times New Roman" w:hAnsi="Times New Roman"/>
                <w:sz w:val="20"/>
              </w:rPr>
            </w:pPr>
            <w:r>
              <w:rPr>
                <w:rFonts w:ascii="Times New Roman" w:hAnsi="Times New Roman"/>
                <w:sz w:val="20"/>
              </w:rPr>
              <w:t xml:space="preserve">. The fees, costs and expenses of registrations pursuant to the registration rights granted to the Holders under the Amended and Restated Registration and Stockholder Rights Agreement will be borne by Tango,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Tango is obligated to indemnify holders of Registrable Securities in the event of material misstatements or omissions in the registration statement attributable to Tango, and holders of Registrable Securities are obligated to indemnify Tango for material misstatements or omissions attributable to them.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Securities of Tango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Amended and Restated Registration and Stockholder Rights Agreement shall terminate on the earlier of (i) the 10th anniversary of the date of the agreement and (ii) with respect to any Holder, on the date that such Holder no longer holds any Registrable Securities.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foregoing description of the Amended and Restated Registration and Stockholder Rights Agreement does not purport to be complete and is qualified in its entirety by the full text of the Amended and Restated Registration and Stockholder Rights Agreement, a copy of which is attached hereto as Exhibit 10.3 and is incorporated herein by reference.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Anti-Takeover Provisions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Proposed Charter and Amended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By-laws</w:t>
      </w:r>
    </w:p>
    <w:p>
      <w:pPr>
        <w:pStyle w:val="TextBody"/>
        <w:spacing w:before="120" w:after="0"/>
        <w:jc w:val="left"/>
        <w:rPr>
          <w:rFonts w:ascii="Times New Roman" w:hAnsi="Times New Roman"/>
          <w:sz w:val="20"/>
        </w:rPr>
      </w:pPr>
      <w:r>
        <w:rPr>
          <w:rFonts w:ascii="Times New Roman" w:hAnsi="Times New Roman"/>
          <w:sz w:val="20"/>
        </w:rPr>
        <w:t xml:space="preserve">Among other things, the Charter and Amended </w:t>
      </w:r>
    </w:p>
    <w:p>
      <w:pPr>
        <w:pStyle w:val="TextBody"/>
        <w:spacing w:before="120" w:after="0"/>
        <w:jc w:val="left"/>
        <w:rPr>
          <w:rFonts w:ascii="Times New Roman" w:hAnsi="Times New Roman"/>
          <w:spacing w:val="0"/>
          <w:sz w:val="20"/>
        </w:rPr>
      </w:pPr>
      <w:r>
        <w:rPr>
          <w:rFonts w:ascii="Times New Roman" w:hAnsi="Times New Roman"/>
          <w:spacing w:val="0"/>
          <w:sz w:val="20"/>
        </w:rPr>
        <w:t>By-laws:</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permit Tango’s board of directors to issue up to 10,000,000 shares of preferred stock, with any rights, preferences and privileges as they may designate, including the right to approve an acquisition or other change of control; </w:t>
            </w:r>
          </w:p>
        </w:tc>
      </w:tr>
    </w:tbl>
    <w:p>
      <w:pPr>
        <w:pStyle w:val="TextBody"/>
        <w:spacing w:before="0" w:after="0"/>
        <w:jc w:val="left"/>
        <w:rPr>
          <w:spacing w:val="0"/>
        </w:rPr>
      </w:pPr>
      <w:r>
        <w:rPr>
          <w:spacing w:val="0"/>
        </w:rPr>
        <w:t> </w:t>
      </w:r>
    </w:p>
    <w:tbl>
      <w:tblPr>
        <w:tblW w:w="9505" w:type="dxa"/>
        <w:jc w:val="left"/>
        <w:tblInd w:w="0" w:type="dxa"/>
        <w:tblCellMar>
          <w:top w:w="0" w:type="dxa"/>
          <w:left w:w="0" w:type="dxa"/>
          <w:bottom w:w="0" w:type="dxa"/>
          <w:right w:w="0" w:type="dxa"/>
        </w:tblCellMar>
      </w:tblPr>
      <w:tblGrid>
        <w:gridCol w:w="75"/>
        <w:gridCol w:w="110"/>
        <w:gridCol w:w="60"/>
        <w:gridCol w:w="9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provide that the authorized number of directors may be changed only by resolution of Tango’s board of directors;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175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provide that, subject to the rights of any series of preferred stock to elect directors, directors may be removed only with cause by the holders of at least 66 2/3% of all of our then-outstanding shares of the capital stock entitled to vote generally at an election of directors;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provide that Special Meetings of Tango’s stockholders may be called Tango’s board of directors pursuant to a resolution adopted by a majority of the total number of authorized directors;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provide that Tango’s board of directors will be divided into three classes of directors, with the classes to be as nearly equal as possible, and with the directors serving three-year terms, therefore making it more difficult for stockholders to change the composition of our board of directors;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not provide for cumulative voting rights, therefore allowing the holders of a majority of the shares of common stock entitled to vote in any election of directors to elect all of the directors standing for election, if they should so choose.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combination of these provisions will make it more difficult for the existing stockholders to replace Tango’s board of directors as well as for another party to obtain control of Tango’s by replacing Tango’s board of directors. Because Tango’s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Tango’s board of directors to issue preferred stock with voting or other rights or preferences that could impede the success of any attempt to change our control.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These provisions are intended to enhance the likelihood of continued stability in the composition of Tango’s board of directors and its policies and to discourage coercive takeover practices and inadequate takeover bids. These provisions are also designed to reduce Tango’s vulnerability to hostile takeovers and to discourage certain tactics that may be used in proxy fights. However, such provisions could have the effect of discouraging others from making tender offers for Tango’s shares and may have the effect of delaying changes in our control or management. As a consequence, these provisions may also inhibit fluctuations in the market price of our stock.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Delaware Anti-Takeover Law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Tango has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Limitations on Liability and Indemnification of Officers and Directors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Certificate of Incorporation limits the liability of the directors of Tango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Tango or any of its subsidiaries or was serving at Tango’s request in an official capacity for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ten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Exclusive Jurisdiction of Certain Actions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Bylaws require, to the fullest extent permitted by law, unless Tango consents in writing to the selection of an alternative forum, that derivative actions brought in the name of Tango,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Tango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Tango by providing increased consistency in the application of Delaware law in the types of lawsuits to which it applies, the provision may have the effect of discouraging lawsuits against our directors and officers.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the Bylaws require that, unless Tango consents in writing to the selection of an alternative forum, the United States District Court for the District of Massachusetts shall be the sole and exclusive forum for resolving any action asserting a claim arising under the Securities Act. Tango has chosen the United States District Court for the District of Massachusetts as the exclusive forum for such Securities Act causes of action because Tango’s principal executive offices are located in Cambridge, Massachusetts.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Lock-Up Restrictions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Certain of our stockholders holding 46,646,053 shares of our common stock are subject to restrictions on transfer until February 7, 2022.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Listing of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Common Stock is listed on the Nasdaq Capital Market under the symbol “TNGX”.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Transfer Agent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transfer agent for our Common Stock is Computershare Trust Company, N.A.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177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SECURITY OWNERSHIP OF CERTAIN BENEFICIAL OWNERS AND MANAGEMENT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sets forth information regarding the beneficial ownership of Common Stock by: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each person known by us to be the beneficial owner of more than 5% of Tango’s outstanding Common Stock immediately following the consummation of the Transactions; </w:t>
            </w:r>
          </w:p>
        </w:tc>
      </w:tr>
    </w:tbl>
    <w:p>
      <w:pPr>
        <w:pStyle w:val="TextBody"/>
        <w:spacing w:before="0" w:after="0"/>
        <w:jc w:val="left"/>
        <w:rPr>
          <w:spacing w:val="0"/>
        </w:rPr>
      </w:pPr>
      <w:r>
        <w:rPr>
          <w:spacing w:val="0"/>
        </w:rPr>
        <w:t> </w:t>
      </w:r>
    </w:p>
    <w:tbl>
      <w:tblPr>
        <w:tblW w:w="4600" w:type="dxa"/>
        <w:jc w:val="left"/>
        <w:tblInd w:w="0" w:type="dxa"/>
        <w:tblCellMar>
          <w:top w:w="0" w:type="dxa"/>
          <w:left w:w="0" w:type="dxa"/>
          <w:bottom w:w="0" w:type="dxa"/>
          <w:right w:w="0" w:type="dxa"/>
        </w:tblCellMar>
      </w:tblPr>
      <w:tblGrid>
        <w:gridCol w:w="75"/>
        <w:gridCol w:w="110"/>
        <w:gridCol w:w="60"/>
        <w:gridCol w:w="4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each of Tango’s executive officers and directors; and </w:t>
            </w:r>
          </w:p>
        </w:tc>
      </w:tr>
    </w:tbl>
    <w:p>
      <w:pPr>
        <w:pStyle w:val="TextBody"/>
        <w:spacing w:before="0" w:after="0"/>
        <w:jc w:val="left"/>
        <w:rPr>
          <w:spacing w:val="0"/>
        </w:rPr>
      </w:pPr>
      <w:r>
        <w:rPr>
          <w:spacing w:val="0"/>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all of Tango’s executive officers and directors as a group after the consummation of the Transactions.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August 31, 2021. Shares subject to warrants or options that are currently exercisable or exercisable within 60 days of August 31, 2021 or subject to restricted stock units that vest within 60 days of August 31, 2021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100 Binney St, Suite 700, Cambridge, MA 02142. The percentage of beneficial ownership is calculated based on 87,474,258 shares of Common Stock outstanding as of August 31, 2021. </w:t>
      </w:r>
    </w:p>
    <w:p>
      <w:pPr>
        <w:pStyle w:val="TextBody"/>
        <w:spacing w:before="0" w:after="0"/>
        <w:jc w:val="left"/>
        <w:rPr>
          <w:spacing w:val="0"/>
        </w:rPr>
      </w:pPr>
      <w:r>
        <w:rPr>
          <w:spacing w:val="0"/>
        </w:rPr>
        <w:t> </w:t>
      </w:r>
    </w:p>
    <w:tbl>
      <w:tblPr>
        <w:tblW w:w="7605" w:type="dxa"/>
        <w:jc w:val="left"/>
        <w:tblInd w:w="0" w:type="dxa"/>
        <w:tblCellMar>
          <w:top w:w="0" w:type="dxa"/>
          <w:left w:w="0" w:type="dxa"/>
          <w:bottom w:w="0" w:type="dxa"/>
          <w:right w:w="0" w:type="dxa"/>
        </w:tblCellMar>
      </w:tblPr>
      <w:tblGrid>
        <w:gridCol w:w="5330"/>
        <w:gridCol w:w="120"/>
        <w:gridCol w:w="60"/>
        <w:gridCol w:w="1100"/>
        <w:gridCol w:w="60"/>
        <w:gridCol w:w="120"/>
        <w:gridCol w:w="88"/>
        <w:gridCol w:w="652"/>
        <w:gridCol w:w="75"/>
      </w:tblGrid>
      <w:tr>
        <w:trPr/>
        <w:tc>
          <w:tcPr>
            <w:tcW w:w="5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3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 and Address of Beneficial Owner</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Number of</w:t>
              <w:br/>
              <w:t>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0"/>
              <w:jc w:val="center"/>
              <w:rPr>
                <w:spacing w:val="0"/>
              </w:rPr>
            </w:pPr>
            <w:r>
              <w:rPr>
                <w:spacing w:val="0"/>
              </w:rPr>
              <w:t>    </w:t>
            </w:r>
            <w:r>
              <w:rPr>
                <w:b/>
                <w:spacing w:val="0"/>
              </w:rPr>
              <w:t>%    </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Barbara Weber, M.D.(1).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1,614,150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1.8</w:t>
            </w:r>
          </w:p>
        </w:tc>
        <w:tc>
          <w:tcPr>
            <w:tcW w:w="75"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Daniella Beckman(2)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197,756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Alexis Borisy(3)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73,947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Lesley Calhoun(4)</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12,384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Aaron Davis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Alan Huang, Ph.D.(5)</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397,045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Reid Huber Ph.D.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Malte Peters, M.D.(6)</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89,171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Mace Rothenberg, M.D.(7)</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12,384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All Directors and Executive Officers as a group (nine individuals)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2,396,837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2.7</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Five Percent Holders: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sz w:val="4"/>
                <w:szCs w:val="4"/>
              </w:rPr>
            </w:pPr>
            <w:r>
              <w:rPr>
                <w:sz w:val="4"/>
                <w:szCs w:val="4"/>
              </w:rPr>
            </w:r>
          </w:p>
        </w:tc>
        <w:tc>
          <w:tcPr>
            <w:tcW w:w="65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Funds affiliated with Boxer Capital, LLC(8)</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6,973,166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8.0</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Holdings, LLC(9)</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6,988,450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8.0</w:t>
            </w:r>
          </w:p>
        </w:tc>
        <w:tc>
          <w:tcPr>
            <w:tcW w:w="75"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Casdin Partners Master Fund, L.P.(10)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5,487,910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6.3</w:t>
            </w:r>
          </w:p>
        </w:tc>
        <w:tc>
          <w:tcPr>
            <w:tcW w:w="75" w:type="dxa"/>
            <w:tcBorders/>
            <w:shd w:fill="auto" w:val="clear"/>
            <w:vAlign w:val="center"/>
          </w:tcPr>
          <w:p>
            <w:pPr>
              <w:pStyle w:val="TableContents"/>
              <w:spacing w:before="0" w:after="283"/>
              <w:rPr/>
            </w:pPr>
            <w:r>
              <w:rPr/>
              <w:t> </w:t>
            </w:r>
          </w:p>
        </w:tc>
      </w:tr>
      <w:tr>
        <w:trPr/>
        <w:tc>
          <w:tcPr>
            <w:tcW w:w="5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Gilead Sciences, Inc.(11)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4,854,443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2" w:type="dxa"/>
            <w:tcBorders/>
            <w:shd w:fill="CCEEFF" w:val="clear"/>
            <w:vAlign w:val="center"/>
          </w:tcPr>
          <w:p>
            <w:pPr>
              <w:pStyle w:val="TableContents"/>
              <w:spacing w:before="0" w:after="283"/>
              <w:jc w:val="right"/>
              <w:rPr/>
            </w:pPr>
            <w:r>
              <w:rPr/>
              <w:t>5.5</w:t>
            </w:r>
          </w:p>
        </w:tc>
        <w:tc>
          <w:tcPr>
            <w:tcW w:w="75" w:type="dxa"/>
            <w:tcBorders/>
            <w:shd w:fill="CCEEFF" w:val="clear"/>
            <w:vAlign w:val="center"/>
          </w:tcPr>
          <w:p>
            <w:pPr>
              <w:pStyle w:val="TableContents"/>
              <w:spacing w:before="0" w:after="283"/>
              <w:rPr/>
            </w:pPr>
            <w:r>
              <w:rPr/>
              <w:t> </w:t>
            </w:r>
          </w:p>
        </w:tc>
      </w:tr>
      <w:tr>
        <w:trPr/>
        <w:tc>
          <w:tcPr>
            <w:tcW w:w="5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Third Rock Ventures IV, L.P.(12)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19,363,975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jc w:val="right"/>
              <w:rPr/>
            </w:pPr>
            <w:r>
              <w:rPr/>
              <w:t>22.1</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2035" w:type="dxa"/>
        <w:jc w:val="left"/>
        <w:tblInd w:w="0" w:type="dxa"/>
        <w:tblCellMar>
          <w:top w:w="0" w:type="dxa"/>
          <w:left w:w="0" w:type="dxa"/>
          <w:bottom w:w="0" w:type="dxa"/>
          <w:right w:w="0" w:type="dxa"/>
        </w:tblCellMar>
      </w:tblPr>
      <w:tblGrid>
        <w:gridCol w:w="155"/>
        <w:gridCol w:w="1880"/>
      </w:tblGrid>
      <w:tr>
        <w:trPr/>
        <w:tc>
          <w:tcPr>
            <w:tcW w:w="155" w:type="dxa"/>
            <w:tcBorders/>
            <w:shd w:fill="auto" w:val="clear"/>
            <w:vAlign w:val="center"/>
          </w:tcPr>
          <w:p>
            <w:pPr>
              <w:pStyle w:val="TableContents"/>
              <w:spacing w:before="0" w:after="283"/>
              <w:jc w:val="left"/>
              <w:rPr/>
            </w:pPr>
            <w:r>
              <w:rPr/>
              <w:t>*</w:t>
            </w:r>
          </w:p>
        </w:tc>
        <w:tc>
          <w:tcPr>
            <w:tcW w:w="18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Less than one percent. </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(1)</w:t>
            </w:r>
          </w:p>
        </w:tc>
        <w:tc>
          <w:tcPr>
            <w:tcW w:w="991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1,367,592 shares of Common Stock and options to purchase 246,558 shares of Common Stock exercisable within 60 days of August 31, 2021. </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pPr>
            <w:r>
              <w:rPr/>
              <w:t>(2)</w:t>
            </w:r>
          </w:p>
        </w:tc>
        <w:tc>
          <w:tcPr>
            <w:tcW w:w="991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63,867 shares of Common Stock and options to purchase 133,889 shares of Common Stock exercisable within 60 days of August 31, 2021. </w:t>
            </w:r>
          </w:p>
        </w:tc>
      </w:tr>
    </w:tbl>
    <w:tbl>
      <w:tblPr>
        <w:tblW w:w="9235" w:type="dxa"/>
        <w:jc w:val="left"/>
        <w:tblInd w:w="0" w:type="dxa"/>
        <w:tblCellMar>
          <w:top w:w="0" w:type="dxa"/>
          <w:left w:w="0" w:type="dxa"/>
          <w:bottom w:w="0" w:type="dxa"/>
          <w:right w:w="0" w:type="dxa"/>
        </w:tblCellMar>
      </w:tblPr>
      <w:tblGrid>
        <w:gridCol w:w="305"/>
        <w:gridCol w:w="8930"/>
      </w:tblGrid>
      <w:tr>
        <w:trPr/>
        <w:tc>
          <w:tcPr>
            <w:tcW w:w="305" w:type="dxa"/>
            <w:tcBorders/>
            <w:shd w:fill="auto" w:val="clear"/>
            <w:vAlign w:val="center"/>
          </w:tcPr>
          <w:p>
            <w:pPr>
              <w:pStyle w:val="TableContents"/>
              <w:spacing w:before="0" w:after="283"/>
              <w:jc w:val="left"/>
              <w:rPr/>
            </w:pPr>
            <w:r>
              <w:rPr/>
              <w:t>(3)</w:t>
            </w:r>
          </w:p>
        </w:tc>
        <w:tc>
          <w:tcPr>
            <w:tcW w:w="89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options to purchase 73,947 shares of Common Stock exercisable within 60 days of August 31, 2021.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178 </w:t>
      </w:r>
    </w:p>
    <w:p>
      <w:pPr>
        <w:pStyle w:val="HorizontalLine"/>
        <w:rPr/>
      </w:pPr>
      <w:r>
        <w:rPr/>
      </w:r>
    </w:p>
    <w:p>
      <w:pPr>
        <w:pStyle w:val="TextBody"/>
        <w:spacing w:before="0" w:after="0"/>
        <w:rPr/>
      </w:pPr>
      <w:hyperlink w:anchor="toc">
        <w:r>
          <w:rPr>
            <w:rStyle w:val="InternetLink"/>
            <w:b/>
            <w:sz w:val="20"/>
          </w:rPr>
          <w:t>Table of Contents</w:t>
        </w:r>
      </w:hyperlink>
    </w:p>
    <w:tbl>
      <w:tblPr>
        <w:tblW w:w="9445" w:type="dxa"/>
        <w:jc w:val="left"/>
        <w:tblInd w:w="0" w:type="dxa"/>
        <w:tblCellMar>
          <w:top w:w="0" w:type="dxa"/>
          <w:left w:w="0" w:type="dxa"/>
          <w:bottom w:w="0" w:type="dxa"/>
          <w:right w:w="0" w:type="dxa"/>
        </w:tblCellMar>
      </w:tblPr>
      <w:tblGrid>
        <w:gridCol w:w="305"/>
        <w:gridCol w:w="9140"/>
      </w:tblGrid>
      <w:tr>
        <w:trPr/>
        <w:tc>
          <w:tcPr>
            <w:tcW w:w="305" w:type="dxa"/>
            <w:tcBorders/>
            <w:shd w:fill="auto" w:val="clear"/>
            <w:vAlign w:val="center"/>
          </w:tcPr>
          <w:p>
            <w:pPr>
              <w:pStyle w:val="TableContents"/>
              <w:spacing w:before="0" w:after="283"/>
              <w:jc w:val="left"/>
              <w:rPr/>
            </w:pPr>
            <w:r>
              <w:rPr/>
              <w:t>(4)</w:t>
            </w:r>
          </w:p>
        </w:tc>
        <w:tc>
          <w:tcPr>
            <w:tcW w:w="91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options to purchase 12,384 shares of Common Stock exercisable within 60 days of August 31, 2021. </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(5)</w:t>
            </w:r>
          </w:p>
        </w:tc>
        <w:tc>
          <w:tcPr>
            <w:tcW w:w="991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144,380 shares of Common Stock and options to purchase 252,665 shares of Common Stock exercisable within 60 days of August 31, 2021. </w:t>
            </w:r>
          </w:p>
        </w:tc>
      </w:tr>
    </w:tbl>
    <w:tbl>
      <w:tblPr>
        <w:tblW w:w="9445" w:type="dxa"/>
        <w:jc w:val="left"/>
        <w:tblInd w:w="0" w:type="dxa"/>
        <w:tblCellMar>
          <w:top w:w="0" w:type="dxa"/>
          <w:left w:w="0" w:type="dxa"/>
          <w:bottom w:w="0" w:type="dxa"/>
          <w:right w:w="0" w:type="dxa"/>
        </w:tblCellMar>
      </w:tblPr>
      <w:tblGrid>
        <w:gridCol w:w="305"/>
        <w:gridCol w:w="9140"/>
      </w:tblGrid>
      <w:tr>
        <w:trPr/>
        <w:tc>
          <w:tcPr>
            <w:tcW w:w="305" w:type="dxa"/>
            <w:tcBorders/>
            <w:shd w:fill="auto" w:val="clear"/>
            <w:vAlign w:val="center"/>
          </w:tcPr>
          <w:p>
            <w:pPr>
              <w:pStyle w:val="TableContents"/>
              <w:spacing w:before="0" w:after="283"/>
              <w:jc w:val="left"/>
              <w:rPr/>
            </w:pPr>
            <w:r>
              <w:rPr/>
              <w:t>(6)</w:t>
            </w:r>
          </w:p>
        </w:tc>
        <w:tc>
          <w:tcPr>
            <w:tcW w:w="91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options to purchase 89,171 shares of Common Stock exercisable within 60 days of August 31, 2021. </w:t>
            </w:r>
          </w:p>
        </w:tc>
      </w:tr>
    </w:tbl>
    <w:tbl>
      <w:tblPr>
        <w:tblW w:w="9445" w:type="dxa"/>
        <w:jc w:val="left"/>
        <w:tblInd w:w="0" w:type="dxa"/>
        <w:tblCellMar>
          <w:top w:w="0" w:type="dxa"/>
          <w:left w:w="0" w:type="dxa"/>
          <w:bottom w:w="0" w:type="dxa"/>
          <w:right w:w="0" w:type="dxa"/>
        </w:tblCellMar>
      </w:tblPr>
      <w:tblGrid>
        <w:gridCol w:w="305"/>
        <w:gridCol w:w="9140"/>
      </w:tblGrid>
      <w:tr>
        <w:trPr/>
        <w:tc>
          <w:tcPr>
            <w:tcW w:w="305" w:type="dxa"/>
            <w:tcBorders/>
            <w:shd w:fill="auto" w:val="clear"/>
            <w:vAlign w:val="center"/>
          </w:tcPr>
          <w:p>
            <w:pPr>
              <w:pStyle w:val="TableContents"/>
              <w:spacing w:before="0" w:after="283"/>
              <w:jc w:val="left"/>
              <w:rPr/>
            </w:pPr>
            <w:r>
              <w:rPr/>
              <w:t>(7)</w:t>
            </w:r>
          </w:p>
        </w:tc>
        <w:tc>
          <w:tcPr>
            <w:tcW w:w="91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options to purchase 12,384 shares of Common Stock exercisable within 60 days of August 31, 2021. </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(8)</w:t>
            </w:r>
          </w:p>
        </w:tc>
        <w:tc>
          <w:tcPr>
            <w:tcW w:w="996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with respect to Boxer Capital, LLC, or Boxer Capital, 6,871,642 shares issued as Merger Consideration, and (ii) with respect to MVA Investors, LLC, or MVA, 101,524 shares issued as Merger Consideration. Boxer Capital, Boxer Asset Management Inc., or Boxer Management, and Joseph Lewis share voting and dispositive power over the shares held by Boxer Capital, and Aaron Davis has sole voting and dispositive power over the shares owned by MVA. Each of the individuals and entities listed above expressly disclaims beneficial interest of the shares listed above except to the extent of any pecuniary interest therein. The principal business address of Boxer Capital, MVA and Aaron Davis is: 12860 El Camino Real, Suite 300, San Diego, CA 92130. The principal business address of Boxer Management and Joe Lewis is: c/o Cay House </w:t>
            </w:r>
          </w:p>
          <w:p>
            <w:pPr>
              <w:pStyle w:val="TableContents"/>
              <w:spacing w:before="0" w:after="0"/>
              <w:jc w:val="left"/>
              <w:rPr>
                <w:rFonts w:ascii="Times New Roman" w:hAnsi="Times New Roman"/>
                <w:spacing w:val="0"/>
                <w:sz w:val="20"/>
              </w:rPr>
            </w:pPr>
            <w:r>
              <w:rPr>
                <w:rFonts w:ascii="Times New Roman" w:hAnsi="Times New Roman"/>
                <w:spacing w:val="0"/>
                <w:sz w:val="20"/>
              </w:rPr>
              <w:t>P.O. Box N-7776</w:t>
            </w:r>
          </w:p>
          <w:p>
            <w:pPr>
              <w:pStyle w:val="TableContents"/>
              <w:spacing w:before="0" w:after="0"/>
              <w:jc w:val="left"/>
              <w:rPr>
                <w:rFonts w:ascii="Times New Roman" w:hAnsi="Times New Roman"/>
                <w:sz w:val="20"/>
              </w:rPr>
            </w:pPr>
            <w:r>
              <w:rPr>
                <w:rFonts w:ascii="Times New Roman" w:hAnsi="Times New Roman"/>
                <w:sz w:val="20"/>
              </w:rPr>
              <w:t xml:space="preserve">E.P. Taylor Drive Lyford Cay, New Providence, Bahamas.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(9)</w:t>
            </w:r>
          </w:p>
        </w:tc>
        <w:tc>
          <w:tcPr>
            <w:tcW w:w="996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board consisting of Aaron Davis, Christopher Fuglesang and Andrew Ellis makes voting and dispositive decisions with respect to securities owned by BCTG Holdings, LLC. Each of Aaron Davis, Christopher Fuglesang and Andrew Ellis disclaims any pecuniary interest in BCTG Holdings, LLC except to the extent of his beneficial interest in the securities owned by BCTG Holdings, LLC. Holdings presented includes 4,488,450 shares held prior to the Merger and 2,500,000 shares issued in the PIPE Financing. The principal business address of BCTG Holdings, LLC is: 12860 El Camino Real, Suite 300, San Diego, CA 92130. </w:t>
            </w:r>
          </w:p>
        </w:tc>
      </w:tr>
    </w:tbl>
    <w:tbl>
      <w:tblPr>
        <w:tblW w:w="10205" w:type="dxa"/>
        <w:jc w:val="left"/>
        <w:tblInd w:w="0" w:type="dxa"/>
        <w:tblCellMar>
          <w:top w:w="0" w:type="dxa"/>
          <w:left w:w="0" w:type="dxa"/>
          <w:bottom w:w="0" w:type="dxa"/>
          <w:right w:w="0" w:type="dxa"/>
        </w:tblCellMar>
      </w:tblPr>
      <w:tblGrid>
        <w:gridCol w:w="364"/>
        <w:gridCol w:w="9841"/>
      </w:tblGrid>
      <w:tr>
        <w:trPr/>
        <w:tc>
          <w:tcPr>
            <w:tcW w:w="364" w:type="dxa"/>
            <w:tcBorders/>
            <w:shd w:fill="auto" w:val="clear"/>
            <w:vAlign w:val="center"/>
          </w:tcPr>
          <w:p>
            <w:pPr>
              <w:pStyle w:val="TableContents"/>
              <w:spacing w:before="0" w:after="283"/>
              <w:jc w:val="left"/>
              <w:rPr/>
            </w:pPr>
            <w:r>
              <w:rPr/>
              <w:t>(10)</w:t>
            </w:r>
          </w:p>
        </w:tc>
        <w:tc>
          <w:tcPr>
            <w:tcW w:w="984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3,987,910 shares issued as Merger Consideration and 1,500,000 shares issued in the PIPE Financing. The general partner of Casdin Partners Master Fund, L.P. is Casdin Partners GP, LLC, or Casdin Partners GP. Casdin Capital, LLC is the investment manager of Casdin Master Fund, L.P. Eli Casdin is the managing member of Casdin Capital, LLC and makes the sole voting and investment decisions with respect to shares held by Casdin Master Fund, L.P. The address of Casdin Capital, LLC is 1350 Avenue of the Americas, Suite 2405, New York, NY 10019. </w:t>
            </w:r>
          </w:p>
        </w:tc>
      </w:tr>
    </w:tbl>
    <w:tbl>
      <w:tblPr>
        <w:tblW w:w="9565" w:type="dxa"/>
        <w:jc w:val="left"/>
        <w:tblInd w:w="0" w:type="dxa"/>
        <w:tblCellMar>
          <w:top w:w="0" w:type="dxa"/>
          <w:left w:w="0" w:type="dxa"/>
          <w:bottom w:w="0" w:type="dxa"/>
          <w:right w:w="0" w:type="dxa"/>
        </w:tblCellMar>
      </w:tblPr>
      <w:tblGrid>
        <w:gridCol w:w="425"/>
        <w:gridCol w:w="9140"/>
      </w:tblGrid>
      <w:tr>
        <w:trPr/>
        <w:tc>
          <w:tcPr>
            <w:tcW w:w="425" w:type="dxa"/>
            <w:tcBorders/>
            <w:shd w:fill="auto" w:val="clear"/>
            <w:vAlign w:val="center"/>
          </w:tcPr>
          <w:p>
            <w:pPr>
              <w:pStyle w:val="TableContents"/>
              <w:spacing w:before="0" w:after="283"/>
              <w:jc w:val="left"/>
              <w:rPr/>
            </w:pPr>
            <w:r>
              <w:rPr/>
              <w:t>(11)</w:t>
            </w:r>
          </w:p>
        </w:tc>
        <w:tc>
          <w:tcPr>
            <w:tcW w:w="91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3,604,443 shares issued as Merger Consideration and 1,250,000 shares issued in the PIPE Financing. </w:t>
            </w:r>
          </w:p>
        </w:tc>
      </w:tr>
    </w:tbl>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(12)</w:t>
            </w:r>
          </w:p>
        </w:tc>
        <w:tc>
          <w:tcPr>
            <w:tcW w:w="984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19,363,975 shares issued as Merger Consideration. 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Huber is a partner at Third Rock Ventures, LLC, and a member of our board of directors. The address for each of Third Rock Ventures IV, L.P. is 29 Newbury Street, Suite 401, Boston, MA 02116.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179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SELLING SECURITYHOLDERS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This prospectus relates to the resale by the Selling Securityholders from time to time of up to an aggregate of 68,175,412 shares of common stock, consisting of up to an aggregate of 18,610,000 shares of our common stock that were issued to the PIPE Investors in the PIPE Financing and up 49,565,412 shares of common stock issued to certain former shareholders of Tango Therapeutics Sub, Inc. at the closing of the Business Combination.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87,474,258 shares of common stock outstanding as of August 31,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cannot advise you as to whether the Selling Securityholders will in fact sell any or all of such common.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w:t>
      </w:r>
    </w:p>
    <w:p>
      <w:pPr>
        <w:pStyle w:val="TextBody"/>
        <w:spacing w:before="240" w:after="0"/>
        <w:jc w:val="left"/>
        <w:rPr>
          <w:rFonts w:ascii="Times New Roman" w:hAnsi="Times New Roman"/>
          <w:sz w:val="20"/>
        </w:rPr>
      </w:pPr>
      <w:r>
        <w:rPr>
          <w:rFonts w:ascii="Times New Roman" w:hAnsi="Times New Roman"/>
          <w:sz w:val="20"/>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Plan of Distribution</w:t>
      </w:r>
    </w:p>
    <w:p>
      <w:pPr>
        <w:pStyle w:val="TextBody"/>
        <w:spacing w:before="240" w:after="0"/>
        <w:jc w:val="left"/>
        <w:rPr>
          <w:rFonts w:ascii="Times New Roman" w:hAnsi="Times New Roman"/>
          <w:sz w:val="20"/>
        </w:rPr>
      </w:pPr>
      <w:r>
        <w:rPr>
          <w:rFonts w:ascii="Times New Roman" w:hAnsi="Times New Roman"/>
          <w:sz w:val="20"/>
        </w:rPr>
        <w:t xml:space="preserve">.” Unless otherwise noted, the business address of each of those listed in the table below is 100 Binney St., Suite 700, Cambridge, MA 02142. </w:t>
      </w:r>
    </w:p>
    <w:p>
      <w:pPr>
        <w:pStyle w:val="TextBody"/>
        <w:spacing w:before="0" w:after="0"/>
        <w:jc w:val="left"/>
        <w:rPr>
          <w:spacing w:val="0"/>
        </w:rPr>
      </w:pPr>
      <w:r>
        <w:rPr>
          <w:spacing w:val="0"/>
        </w:rPr>
        <w:t> </w:t>
      </w:r>
    </w:p>
    <w:tbl>
      <w:tblPr>
        <w:tblW w:w="9540" w:type="dxa"/>
        <w:jc w:val="left"/>
        <w:tblInd w:w="0" w:type="dxa"/>
        <w:tblCellMar>
          <w:top w:w="0" w:type="dxa"/>
          <w:left w:w="0" w:type="dxa"/>
          <w:bottom w:w="0" w:type="dxa"/>
          <w:right w:w="0" w:type="dxa"/>
        </w:tblCellMar>
      </w:tblPr>
      <w:tblGrid>
        <w:gridCol w:w="4280"/>
        <w:gridCol w:w="60"/>
        <w:gridCol w:w="65"/>
        <w:gridCol w:w="1065"/>
        <w:gridCol w:w="60"/>
        <w:gridCol w:w="60"/>
        <w:gridCol w:w="65"/>
        <w:gridCol w:w="1065"/>
        <w:gridCol w:w="60"/>
        <w:gridCol w:w="60"/>
        <w:gridCol w:w="78"/>
        <w:gridCol w:w="1052"/>
        <w:gridCol w:w="75"/>
        <w:gridCol w:w="75"/>
        <w:gridCol w:w="135"/>
        <w:gridCol w:w="995"/>
        <w:gridCol w:w="290"/>
      </w:tblGrid>
      <w:tr>
        <w:trPr/>
        <w:tc>
          <w:tcPr>
            <w:tcW w:w="42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0" w:type="dxa"/>
            <w:gridSpan w:val="6"/>
            <w:tcBorders/>
            <w:shd w:fill="auto" w:val="clear"/>
            <w:vAlign w:val="center"/>
          </w:tcPr>
          <w:p>
            <w:pPr>
              <w:pStyle w:val="TableContents"/>
              <w:spacing w:before="0" w:after="0"/>
              <w:jc w:val="center"/>
              <w:rPr>
                <w:b/>
                <w:spacing w:val="0"/>
              </w:rPr>
            </w:pPr>
            <w:r>
              <w:rPr>
                <w:b/>
                <w:spacing w:val="0"/>
              </w:rPr>
              <w:t>Before the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0" w:type="dxa"/>
            <w:gridSpan w:val="6"/>
            <w:tcBorders/>
            <w:shd w:fill="auto" w:val="clear"/>
            <w:vAlign w:val="center"/>
          </w:tcPr>
          <w:p>
            <w:pPr>
              <w:pStyle w:val="TableContents"/>
              <w:spacing w:before="0" w:after="0"/>
              <w:jc w:val="center"/>
              <w:rPr>
                <w:b/>
                <w:spacing w:val="0"/>
              </w:rPr>
            </w:pPr>
            <w:r>
              <w:rPr>
                <w:b/>
                <w:spacing w:val="0"/>
              </w:rPr>
              <w:t>After the Offering</w:t>
            </w:r>
          </w:p>
        </w:tc>
        <w:tc>
          <w:tcPr>
            <w:tcW w:w="290" w:type="dxa"/>
            <w:tcBorders/>
            <w:shd w:fill="auto" w:val="clear"/>
            <w:vAlign w:val="center"/>
          </w:tcPr>
          <w:p>
            <w:pPr>
              <w:pStyle w:val="TableContents"/>
              <w:spacing w:before="0" w:after="283"/>
              <w:rPr/>
            </w:pPr>
            <w:r>
              <w:rPr/>
              <w:t> </w:t>
            </w:r>
          </w:p>
        </w:tc>
      </w:tr>
      <w:tr>
        <w:trPr/>
        <w:tc>
          <w:tcPr>
            <w:tcW w:w="4280"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 of Selling Securityholder</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Number of</w:t>
              <w:br/>
              <w:t>Shares of</w:t>
              <w:br/>
              <w:t>Common Stock</w:t>
              <w:br/>
              <w:t>Beneficially</w:t>
              <w:br/>
              <w:t>Owned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Number of</w:t>
              <w:br/>
              <w:t>Shares of</w:t>
              <w:br/>
              <w:t>Common Stock</w:t>
              <w:br/>
              <w:t>Being Offered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Number of</w:t>
              <w:br/>
              <w:t>Shares of</w:t>
              <w:br/>
              <w:t>Common Stock</w:t>
              <w:br/>
              <w:t>Beneficially</w:t>
              <w:br/>
              <w:t>Owned</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Percentage of</w:t>
              <w:br/>
              <w:t>Outstanding</w:t>
              <w:br/>
              <w:t>Shares of</w:t>
              <w:br/>
              <w:t>Common Stock</w:t>
            </w:r>
          </w:p>
        </w:tc>
        <w:tc>
          <w:tcPr>
            <w:tcW w:w="290" w:type="dxa"/>
            <w:tcBorders/>
            <w:shd w:fill="auto" w:val="clear"/>
            <w:vAlign w:val="center"/>
          </w:tcPr>
          <w:p>
            <w:pPr>
              <w:pStyle w:val="TableContents"/>
              <w:spacing w:before="0" w:after="283"/>
              <w:rPr/>
            </w:pPr>
            <w:r>
              <w:rPr/>
              <w:t> </w:t>
            </w:r>
          </w:p>
        </w:tc>
      </w:tr>
      <w:tr>
        <w:trPr/>
        <w:tc>
          <w:tcPr>
            <w:tcW w:w="42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Alan Huang(1)*</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388,552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135,887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252,665</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0.29</w:t>
            </w:r>
          </w:p>
        </w:tc>
        <w:tc>
          <w:tcPr>
            <w:tcW w:w="290" w:type="dxa"/>
            <w:tcBorders/>
            <w:shd w:fill="CCEEFF" w:val="clear"/>
            <w:vAlign w:val="center"/>
          </w:tcPr>
          <w:p>
            <w:pPr>
              <w:pStyle w:val="TableContents"/>
              <w:spacing w:before="0" w:after="283"/>
              <w:rPr/>
            </w:pPr>
            <w:r>
              <w:rPr/>
              <w:t>% </w:t>
            </w:r>
          </w:p>
        </w:tc>
      </w:tr>
      <w:tr>
        <w:trPr/>
        <w:tc>
          <w:tcPr>
            <w:tcW w:w="42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Alyeska Master Fund, L.P.(2)</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635,471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435,471</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0.50</w:t>
            </w:r>
          </w:p>
        </w:tc>
        <w:tc>
          <w:tcPr>
            <w:tcW w:w="290" w:type="dxa"/>
            <w:tcBorders/>
            <w:shd w:fill="auto" w:val="clear"/>
            <w:vAlign w:val="center"/>
          </w:tcPr>
          <w:p>
            <w:pPr>
              <w:pStyle w:val="TableContents"/>
              <w:spacing w:before="0" w:after="283"/>
              <w:rPr/>
            </w:pPr>
            <w:r>
              <w:rPr/>
              <w:t>% </w:t>
            </w:r>
          </w:p>
        </w:tc>
      </w:tr>
      <w:tr>
        <w:trPr/>
        <w:tc>
          <w:tcPr>
            <w:tcW w:w="42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Avoro Life Sciences Fund LC(3)</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1,550,000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750,000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800,000</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0.91</w:t>
            </w:r>
          </w:p>
        </w:tc>
        <w:tc>
          <w:tcPr>
            <w:tcW w:w="290" w:type="dxa"/>
            <w:tcBorders/>
            <w:shd w:fill="CCEEFF" w:val="clear"/>
            <w:vAlign w:val="center"/>
          </w:tcPr>
          <w:p>
            <w:pPr>
              <w:pStyle w:val="TableContents"/>
              <w:spacing w:before="0" w:after="283"/>
              <w:rPr/>
            </w:pPr>
            <w:r>
              <w:rPr/>
              <w:t>% </w:t>
            </w:r>
          </w:p>
        </w:tc>
      </w:tr>
      <w:tr>
        <w:trPr/>
        <w:tc>
          <w:tcPr>
            <w:tcW w:w="42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Entities affiliated with Bain Capital Life Sciences(4)</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1,921,790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921,790</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1.05</w:t>
            </w:r>
          </w:p>
        </w:tc>
        <w:tc>
          <w:tcPr>
            <w:tcW w:w="290" w:type="dxa"/>
            <w:tcBorders/>
            <w:shd w:fill="auto" w:val="clear"/>
            <w:vAlign w:val="center"/>
          </w:tcPr>
          <w:p>
            <w:pPr>
              <w:pStyle w:val="TableContents"/>
              <w:spacing w:before="0" w:after="283"/>
              <w:rPr/>
            </w:pPr>
            <w:r>
              <w:rPr/>
              <w:t>% </w:t>
            </w:r>
          </w:p>
        </w:tc>
      </w:tr>
      <w:tr>
        <w:trPr/>
        <w:tc>
          <w:tcPr>
            <w:tcW w:w="42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Entities Affiliated with Baker Bros. Advisors LP(5)</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750,000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750,000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42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Barbara Weber(6)*</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1,614,150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1,367,592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246,558</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0.28</w:t>
            </w:r>
          </w:p>
        </w:tc>
        <w:tc>
          <w:tcPr>
            <w:tcW w:w="290" w:type="dxa"/>
            <w:tcBorders/>
            <w:shd w:fill="auto" w:val="clear"/>
            <w:vAlign w:val="center"/>
          </w:tcPr>
          <w:p>
            <w:pPr>
              <w:pStyle w:val="TableContents"/>
              <w:spacing w:before="0" w:after="283"/>
              <w:rPr/>
            </w:pPr>
            <w:r>
              <w:rPr/>
              <w:t>% </w:t>
            </w:r>
          </w:p>
        </w:tc>
      </w:tr>
      <w:tr>
        <w:trPr/>
        <w:tc>
          <w:tcPr>
            <w:tcW w:w="42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BCTG Holdings, LLC(7)</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6,988,450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6,988,450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42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Benjamin Cravatt(8)</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17,400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17,400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180 </w:t>
      </w:r>
    </w:p>
    <w:p>
      <w:pPr>
        <w:pStyle w:val="HorizontalLine"/>
        <w:rPr/>
      </w:pPr>
      <w:r>
        <w:rPr/>
      </w:r>
    </w:p>
    <w:p>
      <w:pPr>
        <w:pStyle w:val="TextBody"/>
        <w:spacing w:before="0" w:after="0"/>
        <w:ind w:left="0" w:right="0" w:hanging="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4879"/>
        <w:gridCol w:w="60"/>
        <w:gridCol w:w="60"/>
        <w:gridCol w:w="1100"/>
        <w:gridCol w:w="60"/>
        <w:gridCol w:w="60"/>
        <w:gridCol w:w="60"/>
        <w:gridCol w:w="1100"/>
        <w:gridCol w:w="60"/>
        <w:gridCol w:w="60"/>
        <w:gridCol w:w="66"/>
        <w:gridCol w:w="1088"/>
        <w:gridCol w:w="65"/>
        <w:gridCol w:w="65"/>
        <w:gridCol w:w="135"/>
        <w:gridCol w:w="995"/>
        <w:gridCol w:w="292"/>
      </w:tblGrid>
      <w:tr>
        <w:trPr/>
        <w:tc>
          <w:tcPr>
            <w:tcW w:w="48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48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40" w:type="dxa"/>
            <w:gridSpan w:val="6"/>
            <w:tcBorders/>
            <w:shd w:fill="auto" w:val="clear"/>
            <w:vAlign w:val="center"/>
          </w:tcPr>
          <w:p>
            <w:pPr>
              <w:pStyle w:val="TableContents"/>
              <w:spacing w:before="0" w:after="0"/>
              <w:jc w:val="center"/>
              <w:rPr>
                <w:b/>
                <w:spacing w:val="0"/>
              </w:rPr>
            </w:pPr>
            <w:r>
              <w:rPr>
                <w:b/>
                <w:spacing w:val="0"/>
              </w:rPr>
              <w:t>Before the Offering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4" w:type="dxa"/>
            <w:gridSpan w:val="6"/>
            <w:tcBorders/>
            <w:shd w:fill="auto" w:val="clear"/>
            <w:vAlign w:val="center"/>
          </w:tcPr>
          <w:p>
            <w:pPr>
              <w:pStyle w:val="TableContents"/>
              <w:spacing w:before="0" w:after="0"/>
              <w:jc w:val="center"/>
              <w:rPr>
                <w:b/>
                <w:spacing w:val="0"/>
              </w:rPr>
            </w:pPr>
            <w:r>
              <w:rPr>
                <w:b/>
                <w:spacing w:val="0"/>
              </w:rPr>
              <w:t>After the Offering</w:t>
            </w:r>
          </w:p>
        </w:tc>
        <w:tc>
          <w:tcPr>
            <w:tcW w:w="292" w:type="dxa"/>
            <w:tcBorders/>
            <w:shd w:fill="auto"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jc w:val="center"/>
              <w:rPr>
                <w:b/>
                <w:spacing w:val="0"/>
                <w:sz w:val="16"/>
                <w:bdr w:val="single" w:sz="8" w:space="1" w:color="000000"/>
              </w:rPr>
            </w:pPr>
            <w:r>
              <w:rPr>
                <w:b/>
                <w:spacing w:val="0"/>
                <w:sz w:val="16"/>
                <w:bdr w:val="single" w:sz="8" w:space="1" w:color="000000"/>
              </w:rPr>
              <w:t>Name of Selling Securityholder</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sz w:val="16"/>
                <w:bdr w:val="single" w:sz="8" w:space="1" w:color="000000"/>
              </w:rPr>
            </w:pPr>
            <w:r>
              <w:rPr>
                <w:b/>
                <w:spacing w:val="0"/>
                <w:sz w:val="16"/>
                <w:bdr w:val="single" w:sz="8" w:space="1" w:color="000000"/>
              </w:rPr>
              <w:t>Number of</w:t>
              <w:br/>
              <w:t>Shares of</w:t>
              <w:br/>
              <w:t>Common Stock</w:t>
              <w:br/>
              <w:t>Beneficially</w:t>
              <w:br/>
              <w:t>Owned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sz w:val="16"/>
                <w:bdr w:val="single" w:sz="8" w:space="1" w:color="000000"/>
              </w:rPr>
            </w:pPr>
            <w:r>
              <w:rPr>
                <w:b/>
                <w:spacing w:val="0"/>
                <w:sz w:val="16"/>
                <w:bdr w:val="single" w:sz="8" w:space="1" w:color="000000"/>
              </w:rPr>
              <w:t>Number of</w:t>
              <w:br/>
              <w:t>Shares of</w:t>
              <w:br/>
              <w:t>Common Stock</w:t>
              <w:br/>
              <w:t>Being Offered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54" w:type="dxa"/>
            <w:gridSpan w:val="2"/>
            <w:tcBorders/>
            <w:shd w:fill="auto" w:val="clear"/>
            <w:vAlign w:val="center"/>
          </w:tcPr>
          <w:p>
            <w:pPr>
              <w:pStyle w:val="TableContents"/>
              <w:spacing w:before="0" w:after="0"/>
              <w:jc w:val="center"/>
              <w:rPr>
                <w:b/>
                <w:spacing w:val="0"/>
                <w:sz w:val="16"/>
                <w:bdr w:val="single" w:sz="8" w:space="1" w:color="000000"/>
              </w:rPr>
            </w:pPr>
            <w:r>
              <w:rPr>
                <w:b/>
                <w:spacing w:val="0"/>
                <w:sz w:val="16"/>
                <w:bdr w:val="single" w:sz="8" w:space="1" w:color="000000"/>
              </w:rPr>
              <w:t>Number of</w:t>
              <w:br/>
              <w:t>Shares of</w:t>
              <w:br/>
              <w:t>Common Stock</w:t>
              <w:br/>
              <w:t>Beneficially</w:t>
              <w:br/>
              <w:t>Owned</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sz w:val="16"/>
                <w:bdr w:val="single" w:sz="8" w:space="1" w:color="000000"/>
              </w:rPr>
            </w:pPr>
            <w:r>
              <w:rPr>
                <w:b/>
                <w:spacing w:val="0"/>
                <w:sz w:val="16"/>
                <w:bdr w:val="single" w:sz="8" w:space="1" w:color="000000"/>
              </w:rPr>
              <w:t>Percentage of</w:t>
              <w:br/>
              <w:t>Outstanding</w:t>
              <w:br/>
              <w:t>Shares of</w:t>
              <w:br/>
              <w:t>Common Stock</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BlackRock, Inc.(9)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Entities affiliated with Boxer</w:t>
              <w:br/>
              <w:t>Capital(10)*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6,973,166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6,973,166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Casdin Partners Master Fund, L.P.(11)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3,987,910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3,987,910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Charles M. Baum(12)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Citadel CEMF Investments Ltd.(13)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Entities affiliated with Cormorant(14)*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4,099,184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4,099,184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Daniella Beckman(15)*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194,325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63,867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130,458</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0.15</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Entities Affiliated with EcoR1 Capital, LLC(16)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Entities Affiliated with Farallon Partners, L.L.C(17).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452,700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452,700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Entities Affiliated with FMR LLC(18)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Fifth Avenue Private Equity 15 LLC(19)*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708,384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708,384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Foresite Capital Fund V, L.P.(20)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Harvard Management Private Equity Corporation(21)*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708,385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708,385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Entities affiliated with Hillhouse Capital Management, Ltd.(22)*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4,373,982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4,373,982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Gilead Sciences, Inc.(23)*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4,854,443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4,854,443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Jamie G. Christensen(24)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Janus Henderson Biotech Innovation Master Fund Limited(25)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Jeffrey H. Hager(26)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Logos Global Master Fund, LP(27)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Mike Varney Advisors(28)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Entities Affiliated with Nantahala Capital Management, LLC(29)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NexTx Insights, LLC(30)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Entities Affiliated with The Pellini Family Trust(31)*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172,872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160,982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11,890</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0.01</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Peter Olson(32)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PH Investments, LLC(33)*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442,739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442,739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Entities Affiliated with Portland Investment(34)*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354,192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354,192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RA Capital Healthcare Fund, L.P.(35)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2,250,000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1,250,000</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1.43</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Richard Heyman(36)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Samsara BioCapital, L.P.(37)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SCubed Capital, LLC(38)*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531,288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531,288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Sheila Gujrathi(39)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Sobrato Capital(40)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354,486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354,486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Southpoint Master Fund, LP(41)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3,000,000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2,000,000</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2.3</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Third Rock Ventures IV, L.P.(42)*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19,363,975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19,363,975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r>
        <w:trPr/>
        <w:tc>
          <w:tcPr>
            <w:tcW w:w="4879" w:type="dxa"/>
            <w:tcBorders/>
            <w:shd w:fill="CCEEFF" w:val="clear"/>
            <w:vAlign w:val="center"/>
          </w:tcPr>
          <w:p>
            <w:pPr>
              <w:pStyle w:val="TableContents"/>
              <w:spacing w:before="0" w:after="0"/>
              <w:rPr>
                <w:spacing w:val="0"/>
                <w:sz w:val="20"/>
              </w:rPr>
            </w:pPr>
            <w:r>
              <w:rPr>
                <w:spacing w:val="0"/>
                <w:sz w:val="20"/>
              </w:rPr>
              <w:t>Troy Wilson(43)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088" w:type="dxa"/>
            <w:tcBorders/>
            <w:shd w:fill="CCEEFF" w:val="clear"/>
            <w:vAlign w:val="center"/>
          </w:tcPr>
          <w:p>
            <w:pPr>
              <w:pStyle w:val="TableContents"/>
              <w:spacing w:before="0" w:after="283"/>
              <w:jc w:val="right"/>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292" w:type="dxa"/>
            <w:tcBorders/>
            <w:shd w:fill="CCEEFF" w:val="clear"/>
            <w:vAlign w:val="center"/>
          </w:tcPr>
          <w:p>
            <w:pPr>
              <w:pStyle w:val="TableContents"/>
              <w:spacing w:before="0" w:after="283"/>
              <w:rPr/>
            </w:pPr>
            <w:r>
              <w:rPr/>
              <w:t> </w:t>
            </w:r>
          </w:p>
        </w:tc>
      </w:tr>
      <w:tr>
        <w:trPr/>
        <w:tc>
          <w:tcPr>
            <w:tcW w:w="4879" w:type="dxa"/>
            <w:tcBorders/>
            <w:shd w:fill="auto" w:val="clear"/>
            <w:vAlign w:val="center"/>
          </w:tcPr>
          <w:p>
            <w:pPr>
              <w:pStyle w:val="TableContents"/>
              <w:spacing w:before="0" w:after="0"/>
              <w:rPr>
                <w:spacing w:val="0"/>
                <w:sz w:val="20"/>
              </w:rPr>
            </w:pPr>
            <w:r>
              <w:rPr>
                <w:spacing w:val="0"/>
                <w:sz w:val="20"/>
              </w:rPr>
              <w:t>Woodline Partners LP(44)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88" w:type="dxa"/>
            <w:tcBorders/>
            <w:shd w:fill="auto" w:val="clear"/>
            <w:vAlign w:val="center"/>
          </w:tcPr>
          <w:p>
            <w:pPr>
              <w:pStyle w:val="TableContents"/>
              <w:spacing w:before="0" w:after="283"/>
              <w:jc w:val="right"/>
              <w:rPr/>
            </w:pPr>
            <w:r>
              <w:rPr/>
              <w:t>—  </w:t>
            </w:r>
          </w:p>
        </w:tc>
        <w:tc>
          <w:tcPr>
            <w:tcW w:w="65"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w:t>
            </w:r>
          </w:p>
        </w:tc>
        <w:tc>
          <w:tcPr>
            <w:tcW w:w="292"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9025" w:type="dxa"/>
        <w:jc w:val="left"/>
        <w:tblInd w:w="0" w:type="dxa"/>
        <w:tblCellMar>
          <w:top w:w="0" w:type="dxa"/>
          <w:left w:w="0" w:type="dxa"/>
          <w:bottom w:w="0" w:type="dxa"/>
          <w:right w:w="0" w:type="dxa"/>
        </w:tblCellMar>
      </w:tblPr>
      <w:tblGrid>
        <w:gridCol w:w="155"/>
        <w:gridCol w:w="8870"/>
      </w:tblGrid>
      <w:tr>
        <w:trPr/>
        <w:tc>
          <w:tcPr>
            <w:tcW w:w="155" w:type="dxa"/>
            <w:tcBorders/>
            <w:shd w:fill="auto" w:val="clear"/>
            <w:vAlign w:val="center"/>
          </w:tcPr>
          <w:p>
            <w:pPr>
              <w:pStyle w:val="TableContents"/>
              <w:spacing w:before="0" w:after="283"/>
              <w:jc w:val="left"/>
              <w:rPr/>
            </w:pPr>
            <w:r>
              <w:rPr/>
              <w:t>*</w:t>
            </w:r>
          </w:p>
        </w:tc>
        <w:tc>
          <w:tcPr>
            <w:tcW w:w="88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These shares are subject to a contractual lockup for 180 days following the Closing Date as described under “</w:t>
            </w:r>
          </w:p>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Certain Relationships and Related Person Transactions</w:t>
            </w:r>
          </w:p>
          <w:p>
            <w:pPr>
              <w:pStyle w:val="TableContents"/>
              <w:spacing w:before="0" w:after="0"/>
              <w:jc w:val="left"/>
              <w:rPr>
                <w:rFonts w:ascii="Times New Roman" w:hAnsi="Times New Roman"/>
                <w:sz w:val="20"/>
              </w:rPr>
            </w:pPr>
            <w:r>
              <w:rPr>
                <w:rFonts w:ascii="Times New Roman" w:hAnsi="Times New Roman"/>
                <w:sz w:val="20"/>
              </w:rPr>
              <w:t xml:space="preserv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181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(1)</w:t>
            </w:r>
          </w:p>
        </w:tc>
        <w:tc>
          <w:tcPr>
            <w:tcW w:w="993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144,380 shares of Common Stock and options to purchase 252,665 shares of Common Stock exercisable within 60 days of August 31, 2021. Dr. Huang is the Chief Scientific Officer of Tango.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(2)</w:t>
            </w:r>
          </w:p>
        </w:tc>
        <w:tc>
          <w:tcPr>
            <w:tcW w:w="996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(3)</w:t>
            </w:r>
          </w:p>
        </w:tc>
        <w:tc>
          <w:tcPr>
            <w:tcW w:w="993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Behzad Aghazadeh serves as the portfolio manager and Managing Partner of Avoro Life Sciences Fund LLC. The address of Avoro Life Sciences Fund LLC and Behzad Aghazadeh is 110 Greene Street, Suite 800 NY, NY 10012. </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(4)</w:t>
            </w:r>
          </w:p>
        </w:tc>
        <w:tc>
          <w:tcPr>
            <w:tcW w:w="996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shares reported under “Number of Shares of Common Stock Beneficially Owned” prior to the Offering, consist of (i) the following shares of Common Stock purchased in the PIPE Financing: (a) 1,713,138 shares of Common Stock and 208,652 shares of Common Stock purchased by Bain Capital Life Sciences Fund II, L.P. (“BCLS II”) and BCIP Life Sciences Associates, LP, respectively (“BCIPLS” and, together with BCLS II, the “Bain Capital Life Science Entities”). The shares reported under “Number of Shares of Common Stock Being Offered” consist of 891,428 shares held by BCLS II and 108,572 shares held by BCIPLS. Bain Capital Life Science Investors, LLC (“BCLSI”), whose managers are Jeffrey Schwartz and Adam Koppel, is the manager of the general partner of BCLS II and governs the investment strategy and decision-making process with respect to investments held by BCIPLS. As a result, each of BCLSI, Mr. Schwartz and Dr. Koppel may be deemed to share voting and dispositive power with respect to the shares of Common Stock held by the Bain Capital Life Sciences Entities. The address of the Bain Capital Life Sciences Entities is c/o Bain Capital Life Sciences, LP, 200 Clarendon Street, Boston, MA 02116. </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(5)</w:t>
            </w:r>
          </w:p>
        </w:tc>
        <w:tc>
          <w:tcPr>
            <w:tcW w:w="996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(i) 55,202 shares of Common Stock held directly by 667, L.P. (“667”) and (ii) 694,798 shares of Common Stock held directly by Baker Brothers Life Sciences, L.P. (“Life Sciences”, and together with 667, the “BBA Funds”). Baker Bros. Advisors LP (“BBA”) is the investment adviser to the BBA Funds and has the sole voting and investment power with respect to the securities held by the BBA Funds and thus may be deemed to beneficially own such securities. Baker Bros. Advisors (GP) LLC (“BBA GP”) is the sole general partner of BBA and thus may be deemed to beneficially own the securities held by the BBA Funds. The principals of BBA GP are Julian C. Baker and Felix J. Baker, who may be deemed to beneficially own the securities held by the BBA Funds. The business address of BBA, BBA GP, Julian C. Baker and Felix J. Baker is 860 Washington Street, 3rd Floor, New York, NY 10014. The BBA Funds’ respective general partners relinquished to BBA all discretion and authority with respect to the investment and voting power over securities held by the BBA Funds, and thus BBA has complete and unlimited discretion and authority with respect to the BBA Funds’ investments and voting power over investments. Therefore, the BBA Funds should not be deemed to be beneficial owners of the securities directly held by them. </w:t>
            </w:r>
          </w:p>
        </w:tc>
      </w:tr>
    </w:tbl>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(6)</w:t>
            </w:r>
          </w:p>
        </w:tc>
        <w:tc>
          <w:tcPr>
            <w:tcW w:w="99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1,367,592 shares of Common Stock and options to purchase 246,558 shares of Common Stock exercisable within 60 days of August 31, 2021. Dr. Weber is a director and the Chief Executive Officer of Tango.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(7)</w:t>
            </w:r>
          </w:p>
        </w:tc>
        <w:tc>
          <w:tcPr>
            <w:tcW w:w="995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board consisting of Aaron Davis, Christopher Fuglesang and Andrew Ellis makes voting and dispositive decisions with respect to the securities owned by BCTG Holdings, LLC. Each individual above disclaims beneficial ownership over the shares owned by BCTG Holdings LLC except to the extent of their pecuniary interest therein. The address of BCTG Holdings, LLC is 12860 El Camino Real, Ste 300 San Diego, CA 92130. </w:t>
            </w:r>
          </w:p>
        </w:tc>
      </w:tr>
    </w:tbl>
    <w:tbl>
      <w:tblPr>
        <w:tblW w:w="7345" w:type="dxa"/>
        <w:jc w:val="left"/>
        <w:tblInd w:w="0" w:type="dxa"/>
        <w:tblCellMar>
          <w:top w:w="0" w:type="dxa"/>
          <w:left w:w="0" w:type="dxa"/>
          <w:bottom w:w="0" w:type="dxa"/>
          <w:right w:w="0" w:type="dxa"/>
        </w:tblCellMar>
      </w:tblPr>
      <w:tblGrid>
        <w:gridCol w:w="305"/>
        <w:gridCol w:w="7040"/>
      </w:tblGrid>
      <w:tr>
        <w:trPr/>
        <w:tc>
          <w:tcPr>
            <w:tcW w:w="305" w:type="dxa"/>
            <w:tcBorders/>
            <w:shd w:fill="auto" w:val="clear"/>
            <w:vAlign w:val="center"/>
          </w:tcPr>
          <w:p>
            <w:pPr>
              <w:pStyle w:val="TableContents"/>
              <w:spacing w:before="0" w:after="283"/>
              <w:jc w:val="left"/>
              <w:rPr/>
            </w:pPr>
            <w:r>
              <w:rPr/>
              <w:t>(8)</w:t>
            </w:r>
          </w:p>
        </w:tc>
        <w:tc>
          <w:tcPr>
            <w:tcW w:w="70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Benjamin Cravatt, Ph.D. is 5751 Chelsea Avenue, La Jolla, CA 92037.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(9)</w:t>
            </w:r>
          </w:p>
        </w:tc>
        <w:tc>
          <w:tcPr>
            <w:tcW w:w="996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registered holder of the referenced shares to be registered is the following fund under management by a subsidiary of BlackRock, Inc.: BlackRock Health Sciences Trust II. BlackRock, Inc. is the ultimate parent holding company of such subsidiary. On behalf of such subsidiary, the applicable portfolio managers, as managing directors (or in other capacities) of such entities, and/or the applicable investment committee members of such fund, have voting and investment power over the shares held by the fund which is the registered holder of the referenced shares. Such portfolio managers and/or investment committee members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182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expressly disclaim beneficial ownership of all shares held by such fund. The address of such fund and such portfolio managers is 60 State Street 19th/20th Floor, Boston, MA 02109. Shares shown include only the securities being registered for resale and may not incorporate all shares deemed to be beneficially held by the registered holder or BlackRock, Inc.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(10)</w:t>
            </w:r>
          </w:p>
        </w:tc>
        <w:tc>
          <w:tcPr>
            <w:tcW w:w="98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(i) 6,871,642 shares of Common Stock held by Boxer Capital, LLC and (ii) 101,524 shares of Common Stock held by MVA Investors, LLC. Boxer Asset Management, Inc. and Joseph Lewis hold shared voting and dispositive power over the shares held by Boxer Capital, LLC. Each individual and entity above disclaims beneficial ownership over the shares owned by Boxer Capital except to the extent of its or their pecuniary interest therein. Aaron I. Davis is the Chief Executive Officer of MVA Investors, LLC. Mr. Davis disclaims beneficial ownership over the shares owned by MVA Investors, LLC except to the extent of his pecuniary interest therein. Mr. Davis is a member of our board of directors. The address is 12860 El Camino Real, Suite 300, San Diego, CA 92130. </w:t>
            </w:r>
          </w:p>
        </w:tc>
      </w:tr>
    </w:tbl>
    <w:tbl>
      <w:tblPr>
        <w:tblW w:w="10205" w:type="dxa"/>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283"/>
              <w:jc w:val="left"/>
              <w:rPr/>
            </w:pPr>
            <w:r>
              <w:rPr/>
              <w:t>(11)</w:t>
            </w:r>
          </w:p>
        </w:tc>
        <w:tc>
          <w:tcPr>
            <w:tcW w:w="984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shares reflected as beneficially owned by Casdin Partners Master Fund, LP in the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address of each of Casdin Partners Master Fund, L.P., Casdin Capital, LLC, Casdin Partners GP, LLC and Eli Casdin is 1350 Avenue of the Americas, Suite 2600 New York, NY 10019. </w:t>
            </w:r>
          </w:p>
        </w:tc>
      </w:tr>
    </w:tbl>
    <w:tbl>
      <w:tblPr>
        <w:tblW w:w="10205" w:type="dxa"/>
        <w:jc w:val="left"/>
        <w:tblInd w:w="0" w:type="dxa"/>
        <w:tblCellMar>
          <w:top w:w="0" w:type="dxa"/>
          <w:left w:w="0" w:type="dxa"/>
          <w:bottom w:w="0" w:type="dxa"/>
          <w:right w:w="0" w:type="dxa"/>
        </w:tblCellMar>
      </w:tblPr>
      <w:tblGrid>
        <w:gridCol w:w="399"/>
        <w:gridCol w:w="9806"/>
      </w:tblGrid>
      <w:tr>
        <w:trPr/>
        <w:tc>
          <w:tcPr>
            <w:tcW w:w="399" w:type="dxa"/>
            <w:tcBorders/>
            <w:shd w:fill="auto" w:val="clear"/>
            <w:vAlign w:val="center"/>
          </w:tcPr>
          <w:p>
            <w:pPr>
              <w:pStyle w:val="TableContents"/>
              <w:spacing w:before="0" w:after="283"/>
              <w:jc w:val="left"/>
              <w:rPr/>
            </w:pPr>
            <w:r>
              <w:rPr/>
              <w:t>(12)</w:t>
            </w:r>
          </w:p>
        </w:tc>
        <w:tc>
          <w:tcPr>
            <w:tcW w:w="980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Dr. Baum is 6960 The Preserve Way, San Diego, CA 92130. Dr. Baum was previously a director of BCTG Acquisition Corp. prior to the Business Combination. </w:t>
            </w:r>
          </w:p>
        </w:tc>
      </w:tr>
    </w:tbl>
    <w:tbl>
      <w:tblPr>
        <w:tblW w:w="10205" w:type="dxa"/>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283"/>
              <w:jc w:val="left"/>
              <w:rPr/>
            </w:pPr>
            <w:r>
              <w:rPr/>
              <w:t>(13)</w:t>
            </w:r>
          </w:p>
        </w:tc>
        <w:tc>
          <w:tcPr>
            <w:tcW w:w="984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shares are directly held by Citadel CEMF Investments Ltd. (“Citadel CEMF”). Citadel Advisors LLC (“Citadel Advisors”) is the portfolio manager of Citadel CEMF. Citadel Advisors Holdings LP (“CAH”) is the sole member of Citadel Advisors. Citadel GP LLC (“CGP”) is the general partner of CAH. Kenneth Griffin owns a controlling interest in CGP. Mr. Griffin, as the owner of a controlling interest in CGP, may be deemed to have shared power to vote and/or shared power to dispose of the securities held by Citadel CEMF. This disclosure shall not be construed as an admission that Mr. Griffin or any of the Citadel related entities listed above is the beneficial owner of any securities of the Company other than the securities actually owned by such person (if any). The address of Citadel CEMF is c/o Citadel Advisors LLC, 601 Lexington Avenue, New York, NY 10022. </w:t>
            </w:r>
          </w:p>
        </w:tc>
      </w:tr>
    </w:tbl>
    <w:tbl>
      <w:tblPr>
        <w:tblW w:w="10205" w:type="dxa"/>
        <w:jc w:val="left"/>
        <w:tblInd w:w="0" w:type="dxa"/>
        <w:tblCellMar>
          <w:top w:w="0" w:type="dxa"/>
          <w:left w:w="0" w:type="dxa"/>
          <w:bottom w:w="0" w:type="dxa"/>
          <w:right w:w="0" w:type="dxa"/>
        </w:tblCellMar>
      </w:tblPr>
      <w:tblGrid>
        <w:gridCol w:w="359"/>
        <w:gridCol w:w="9846"/>
      </w:tblGrid>
      <w:tr>
        <w:trPr/>
        <w:tc>
          <w:tcPr>
            <w:tcW w:w="359" w:type="dxa"/>
            <w:tcBorders/>
            <w:shd w:fill="auto" w:val="clear"/>
            <w:vAlign w:val="center"/>
          </w:tcPr>
          <w:p>
            <w:pPr>
              <w:pStyle w:val="TableContents"/>
              <w:spacing w:before="0" w:after="283"/>
              <w:jc w:val="left"/>
              <w:rPr/>
            </w:pPr>
            <w:r>
              <w:rPr/>
              <w:t>(14)</w:t>
            </w:r>
          </w:p>
        </w:tc>
        <w:tc>
          <w:tcPr>
            <w:tcW w:w="984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(i) 31,341 shares held by CRMA SPV LP (“CRMA”), (ii) 590,894 shares held by Cormorant Global Healthcare Master Fund LP (“Cormorant Master Fund”), (iii) 10,000 shares purchase by Cormorant Master Fund in the PIPE Financing and (iv) 2,476,949 held by Cormorant Private Healthcare Fund II, LP (“Cormorant Private Fund”). Bihua Chen serves as the portfolio manager of each of CRMA, Cormorant Master Fund and Cormorant Private Fund and is the natural person who exercises voting and dispositive power over the shares. Ms. Chen disclaims any beneficial ownership of the securities held by CRMA, Cormorant Master Fund and Cormorant Private Fund other than to the extent of any pecuniary interest she may have therein, directly or indirectly. The address is c/o Cormorant Asset Management, LP, 200 Clarendon Street, 52nd Floor, Boston, MA 02116. </w:t>
            </w:r>
          </w:p>
        </w:tc>
      </w:tr>
    </w:tbl>
    <w:tbl>
      <w:tblPr>
        <w:tblW w:w="10205" w:type="dxa"/>
        <w:jc w:val="left"/>
        <w:tblInd w:w="0" w:type="dxa"/>
        <w:tblCellMar>
          <w:top w:w="0" w:type="dxa"/>
          <w:left w:w="0" w:type="dxa"/>
          <w:bottom w:w="0" w:type="dxa"/>
          <w:right w:w="0" w:type="dxa"/>
        </w:tblCellMar>
      </w:tblPr>
      <w:tblGrid>
        <w:gridCol w:w="391"/>
        <w:gridCol w:w="9814"/>
      </w:tblGrid>
      <w:tr>
        <w:trPr/>
        <w:tc>
          <w:tcPr>
            <w:tcW w:w="391" w:type="dxa"/>
            <w:tcBorders/>
            <w:shd w:fill="auto" w:val="clear"/>
            <w:vAlign w:val="center"/>
          </w:tcPr>
          <w:p>
            <w:pPr>
              <w:pStyle w:val="TableContents"/>
              <w:spacing w:before="0" w:after="283"/>
              <w:jc w:val="left"/>
              <w:rPr/>
            </w:pPr>
            <w:r>
              <w:rPr/>
              <w:t>(15)</w:t>
            </w:r>
          </w:p>
        </w:tc>
        <w:tc>
          <w:tcPr>
            <w:tcW w:w="981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63,867 shares of Common Stock and options to purchase 133,889 shares of Common Stock exercisable within 60 days of August 31, 2021. Ms. Beckman is the Chief Financial Officer of Tango. </w:t>
            </w:r>
          </w:p>
        </w:tc>
      </w:tr>
    </w:tbl>
    <w:tbl>
      <w:tblPr>
        <w:tblW w:w="10205" w:type="dxa"/>
        <w:jc w:val="left"/>
        <w:tblInd w:w="0" w:type="dxa"/>
        <w:tblCellMar>
          <w:top w:w="0" w:type="dxa"/>
          <w:left w:w="0" w:type="dxa"/>
          <w:bottom w:w="0" w:type="dxa"/>
          <w:right w:w="0" w:type="dxa"/>
        </w:tblCellMar>
      </w:tblPr>
      <w:tblGrid>
        <w:gridCol w:w="368"/>
        <w:gridCol w:w="9837"/>
      </w:tblGrid>
      <w:tr>
        <w:trPr/>
        <w:tc>
          <w:tcPr>
            <w:tcW w:w="368" w:type="dxa"/>
            <w:tcBorders/>
            <w:shd w:fill="auto" w:val="clear"/>
            <w:vAlign w:val="center"/>
          </w:tcPr>
          <w:p>
            <w:pPr>
              <w:pStyle w:val="TableContents"/>
              <w:spacing w:before="0" w:after="283"/>
              <w:jc w:val="left"/>
              <w:rPr/>
            </w:pPr>
            <w:r>
              <w:rPr/>
              <w:t>(16)</w:t>
            </w:r>
          </w:p>
        </w:tc>
        <w:tc>
          <w:tcPr>
            <w:tcW w:w="983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57,743 shares held by EcoR1 Capital Fund, L.P. and 442,257 shares held by EcoR1 Capital Fund Qualified, L.P. (together with EcoR1 Capital Fund, L.P, the “EcoR1 Funds”). Oleg Nodelman directly or indirectly controls the EcoR1 Funds and as a result may be deemed to have voting and dispositive power over the securities held directly by the EcoR1 Funds. The address for the EcoR1 Funds is 357 Tehama Street, Suite 3, San Francisco, CA 94103. </w:t>
            </w:r>
          </w:p>
        </w:tc>
      </w:tr>
    </w:tbl>
    <w:tbl>
      <w:tblPr>
        <w:tblW w:w="10205" w:type="dxa"/>
        <w:jc w:val="left"/>
        <w:tblInd w:w="0" w:type="dxa"/>
        <w:tblCellMar>
          <w:top w:w="0" w:type="dxa"/>
          <w:left w:w="0" w:type="dxa"/>
          <w:bottom w:w="0" w:type="dxa"/>
          <w:right w:w="0" w:type="dxa"/>
        </w:tblCellMar>
      </w:tblPr>
      <w:tblGrid>
        <w:gridCol w:w="370"/>
        <w:gridCol w:w="9835"/>
      </w:tblGrid>
      <w:tr>
        <w:trPr/>
        <w:tc>
          <w:tcPr>
            <w:tcW w:w="370" w:type="dxa"/>
            <w:tcBorders/>
            <w:shd w:fill="auto" w:val="clear"/>
            <w:vAlign w:val="center"/>
          </w:tcPr>
          <w:p>
            <w:pPr>
              <w:pStyle w:val="TableContents"/>
              <w:spacing w:before="0" w:after="283"/>
              <w:jc w:val="left"/>
              <w:rPr/>
            </w:pPr>
            <w:r>
              <w:rPr/>
              <w:t>(17)</w:t>
            </w:r>
          </w:p>
        </w:tc>
        <w:tc>
          <w:tcPr>
            <w:tcW w:w="98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5,000 shares purchased by Farallon Capital (AM) Investors, L.P., 23,700 shares purchased by Farallon Capital F5 Master I, L.P., 15,900 shares purchased by Farallon Capital Institutional Partners II, L.P., 95,000, shares purchased by Farallon Capital Institutional Partners III, L.P., 82,400 shares purchased by Farallon Capital Institutional Partners, L.P., 113,300 shares purchased by Farallon Capital Offshore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183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Investors II, L.P., 39,000 shares purchased by Farallon Capital Partners, L.P. and 11,200 shares purchased by Four Crossings Institutional Partners V, L.P (collectively, the “FPLLC Entities”). Farallon Partners, L.L.C. (“FPLLC”), as the general partner of each of the FPLLC Entities and may be deemed to beneficially own such shares held by each of the FPLLC Entities. Farallon F5 (GP), L.L.C. (“F5MI GP”), as the general partner of Farallon Capital F5 Master I, L.P. (“F5MI”), may be deemed to beneficially own such shares held by F5MI. Farallon Institutional (GP) V, L.L.C. (“FCIP V GP”), as the general partner of Four Crossings Institutional Partners V, L.P. (“FCIP V”), may be deemed to beneficially own such shares held by FCIP V. Each of Philip D. Dreyfuss, Michael B. Fisch, Richard B. Fried, Nicolas Giauque, David T. Kim, Michael G. Linn, Rajiv A. Patel, Thomas G. Roberts, Jr., William Seybold, Andrew J. M. Spokes, John R. Warren and Mark C. Wehrly (collectively, the “Farallon Managing Members”), as a (i) managing member or senior managing member, as the case may be, of FPLLC or (ii) manager or senior manager, as the case may be, of F5MI GP and FCIP V GP, in each case with the power to exercise investment discretion, may be deemed to beneficially own such shares held by the FP LLC Entities, F5MI or FCIP V. Each of FPLLC, F5MI GP, FCIP V GP and the Farallon Managing Members disclaims beneficial ownership of any such shares. The address of each of the entities and individuals referenced in this footnote is c/o Farallon Capital Management, L.L.C., One Maritime Plaza, Suite 2100, San Francisco, CA 94111. </w:t>
            </w:r>
          </w:p>
        </w:tc>
      </w:tr>
    </w:tbl>
    <w:tbl>
      <w:tblPr>
        <w:tblW w:w="10205" w:type="dxa"/>
        <w:jc w:val="left"/>
        <w:tblInd w:w="0" w:type="dxa"/>
        <w:tblCellMar>
          <w:top w:w="0" w:type="dxa"/>
          <w:left w:w="0" w:type="dxa"/>
          <w:bottom w:w="0" w:type="dxa"/>
          <w:right w:w="0" w:type="dxa"/>
        </w:tblCellMar>
      </w:tblPr>
      <w:tblGrid>
        <w:gridCol w:w="353"/>
        <w:gridCol w:w="9852"/>
      </w:tblGrid>
      <w:tr>
        <w:trPr/>
        <w:tc>
          <w:tcPr>
            <w:tcW w:w="353" w:type="dxa"/>
            <w:tcBorders/>
            <w:shd w:fill="auto" w:val="clear"/>
            <w:vAlign w:val="center"/>
          </w:tcPr>
          <w:p>
            <w:pPr>
              <w:pStyle w:val="TableContents"/>
              <w:spacing w:before="0" w:after="283"/>
              <w:jc w:val="left"/>
              <w:rPr/>
            </w:pPr>
            <w:r>
              <w:rPr/>
              <w:t>(18)</w:t>
            </w:r>
          </w:p>
        </w:tc>
        <w:tc>
          <w:tcPr>
            <w:tcW w:w="985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215,400 share purchased by Fidelity Advisor Series VII: Fidelity Advisor Biotechnology Fund, 1,200 by Fidelity Capital Trust: Fidelity Flex Small Cap Fund—Small Cap Growth Subportfolio, 1,059,748 by Fidelity Growth Company Commingled Pool, 1,006,711 by Fidelity Mt. Vernon Street Trust: Fidelity Growth Company Fund, 210,485 by Fidelity Mt. Vernon Street Trust: Fidelity Growth Company K6 Fund, 223,056 by Fidelity Mt. Vernon Street Trust: Fidelity Series Growth Company Fund, 499,400 by Fidelity Securities Fund: Fidelity Small Cap Growth Fund, 113,500 by Fidelity Securities Fund: Fidelity Small Cap Growth K6 Fund and 670,500 by Fidelity Select Portfolios: Biotechnology Portfolio.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w:t>
            </w:r>
          </w:p>
        </w:tc>
      </w:tr>
    </w:tbl>
    <w:tbl>
      <w:tblPr>
        <w:tblW w:w="10205" w:type="dxa"/>
        <w:jc w:val="left"/>
        <w:tblInd w:w="0" w:type="dxa"/>
        <w:tblCellMar>
          <w:top w:w="0" w:type="dxa"/>
          <w:left w:w="0" w:type="dxa"/>
          <w:bottom w:w="0" w:type="dxa"/>
          <w:right w:w="0" w:type="dxa"/>
        </w:tblCellMar>
      </w:tblPr>
      <w:tblGrid>
        <w:gridCol w:w="357"/>
        <w:gridCol w:w="9848"/>
      </w:tblGrid>
      <w:tr>
        <w:trPr/>
        <w:tc>
          <w:tcPr>
            <w:tcW w:w="357" w:type="dxa"/>
            <w:tcBorders/>
            <w:shd w:fill="auto" w:val="clear"/>
            <w:vAlign w:val="center"/>
          </w:tcPr>
          <w:p>
            <w:pPr>
              <w:pStyle w:val="TableContents"/>
              <w:spacing w:before="0" w:after="283"/>
              <w:jc w:val="left"/>
              <w:rPr/>
            </w:pPr>
            <w:r>
              <w:rPr/>
              <w:t>(19)</w:t>
            </w:r>
          </w:p>
        </w:tc>
        <w:tc>
          <w:tcPr>
            <w:tcW w:w="984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Bessemer Trust Company, N.A. (“BTNA”), as the sole Advisor to Fifth Avenue Private Equity 15 LLC (“PE 15”), has the power to dispose of the securities held by PE 15. BTNA’s principal office is located at 1271 Avenue of the Americas, New York, NY 10020. BTNA’s decisions regarding such securities will be made by a consensus of its five private equity team professionals (the “PE Team”). PE 15’s Board of Managers (the “Board”), which consists of five individuals, has power to vote the securities reported in Item 1(a) on behalf of PE 15. The power to vote the securities cannot be exercised by less than a majority of a quorum of the Board members consisting of at least three of the members.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Accordingly, neither the individuals comprising the PE Team nor the individuals comprising the Board have been listed here. </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jc w:val="left"/>
              <w:rPr/>
            </w:pPr>
            <w:r>
              <w:rPr/>
              <w:t>(20)</w:t>
            </w:r>
          </w:p>
        </w:tc>
        <w:tc>
          <w:tcPr>
            <w:tcW w:w="983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shares are owned directly by Foresite Capital Fund V, L.P. (“Fund V”). Foresite Capital Management V, LLC (“FCM V”) is the general partner of Fund V and may be deemed to have sole voting and dispositive power over these shares. James Tananbaum (“Mr. Tananbaum”) is the sole managing member of FCM V and may be deemed to have sole voting and dispositive power over these shares. Each Reporting Person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184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disclaims the existence of a “group.” Each of FCM V and Mr. Tananbaum disclaims beneficial ownership of these shares except to the extent of any pecuniary interest therein, and the filing of this report is not an admission that FCM V or Mr. Tananbaum is the beneficial owner of these shares for purposes of Section 16 or any other purpose. The address for Fund V is 900 Larkspur Landing Circle, Suite 150 Larkspur, CA 94930. </w:t>
            </w:r>
          </w:p>
        </w:tc>
      </w:tr>
    </w:tbl>
    <w:tbl>
      <w:tblPr>
        <w:tblW w:w="10205" w:type="dxa"/>
        <w:jc w:val="left"/>
        <w:tblInd w:w="0" w:type="dxa"/>
        <w:tblCellMar>
          <w:top w:w="0" w:type="dxa"/>
          <w:left w:w="0" w:type="dxa"/>
          <w:bottom w:w="0" w:type="dxa"/>
          <w:right w:w="0" w:type="dxa"/>
        </w:tblCellMar>
      </w:tblPr>
      <w:tblGrid>
        <w:gridCol w:w="364"/>
        <w:gridCol w:w="9841"/>
      </w:tblGrid>
      <w:tr>
        <w:trPr/>
        <w:tc>
          <w:tcPr>
            <w:tcW w:w="364" w:type="dxa"/>
            <w:tcBorders/>
            <w:shd w:fill="auto" w:val="clear"/>
            <w:vAlign w:val="center"/>
          </w:tcPr>
          <w:p>
            <w:pPr>
              <w:pStyle w:val="TableContents"/>
              <w:spacing w:before="0" w:after="283"/>
              <w:jc w:val="left"/>
              <w:rPr/>
            </w:pPr>
            <w:r>
              <w:rPr/>
              <w:t>(21)</w:t>
            </w:r>
          </w:p>
        </w:tc>
        <w:tc>
          <w:tcPr>
            <w:tcW w:w="984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Harvard Management Private Equity Corporation is a wholly-owned subsidiary of President and Fellows of Harvard College (Harvard), a Massachusetts corporation. Harvard has delegated investment authority over the securities being registered for resale to Harvard Management Company Inc. Narv Narvekar, Chief Executive Officer of Harvard Management Company Inc., located at 600 Atlantic Ave, Boston, MA 02210, may be deemed to have voting and investment power over the securities held by Harvard Management Private Equity Corporation. </w:t>
            </w:r>
          </w:p>
        </w:tc>
      </w:tr>
    </w:tbl>
    <w:tbl>
      <w:tblPr>
        <w:tblW w:w="10205" w:type="dxa"/>
        <w:jc w:val="left"/>
        <w:tblInd w:w="0" w:type="dxa"/>
        <w:tblCellMar>
          <w:top w:w="0" w:type="dxa"/>
          <w:left w:w="0" w:type="dxa"/>
          <w:bottom w:w="0" w:type="dxa"/>
          <w:right w:w="0" w:type="dxa"/>
        </w:tblCellMar>
      </w:tblPr>
      <w:tblGrid>
        <w:gridCol w:w="357"/>
        <w:gridCol w:w="9848"/>
      </w:tblGrid>
      <w:tr>
        <w:trPr/>
        <w:tc>
          <w:tcPr>
            <w:tcW w:w="357" w:type="dxa"/>
            <w:tcBorders/>
            <w:shd w:fill="auto" w:val="clear"/>
            <w:vAlign w:val="center"/>
          </w:tcPr>
          <w:p>
            <w:pPr>
              <w:pStyle w:val="TableContents"/>
              <w:spacing w:before="0" w:after="283"/>
              <w:jc w:val="left"/>
              <w:rPr/>
            </w:pPr>
            <w:r>
              <w:rPr/>
              <w:t>(22)</w:t>
            </w:r>
          </w:p>
        </w:tc>
        <w:tc>
          <w:tcPr>
            <w:tcW w:w="984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(i) 16,100 shares of Common Stock purchased in the PIPE Financing by YHG Investment, L.P. (“YHG”), (ii) 483,900 shares of Common Stock purchased in the PIPE Financing by HHLR Fund, L.P. (“HHLR Fund”) and (iii) 3,873,982 shares of Common Stock held by HH AUT-IV Holdings Limited (“HH AUT”). Each of YHG and HHLR Fund is a Cayman Islands exempted limited partnership. HHLR Advisors, Ltd., an exempted Cayman Islands company, acts as the sole general partner of YHG and acts as the sole management company of HHLR Fund, and is deemed to be the beneficial owner of, and to control the voting power of, the shares held by YHG and HHLR Fund. HH AUT is an exempted company with limited liability registered in the Cayman Islands. HH AUT is ultimately managed and controlled by Hillhouse Investment Management, Ltd. Only shares held by HH AUT are subject to a contractual lockup for 180 days following the Closing Date. The registered address of HH AUT shall be at 89 Nexus Way, Camana Bay, P.O. Box 31106, Grand Cayman, KY1-1205, Cayman Islands. </w:t>
            </w:r>
          </w:p>
        </w:tc>
      </w:tr>
    </w:tbl>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(23)</w:t>
            </w:r>
          </w:p>
        </w:tc>
        <w:tc>
          <w:tcPr>
            <w:tcW w:w="981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Represents 3,604,443 shares issued as Merger Consideration and 1,250,000 shares issued in the PIPE Investment. The address for Gilead Sciences, Inc. is 333 Lakeside Drive, Foster City, California 94404. </w:t>
            </w:r>
          </w:p>
        </w:tc>
      </w:tr>
    </w:tbl>
    <w:tbl>
      <w:tblPr>
        <w:tblW w:w="10205" w:type="dxa"/>
        <w:jc w:val="left"/>
        <w:tblInd w:w="0" w:type="dxa"/>
        <w:tblCellMar>
          <w:top w:w="0" w:type="dxa"/>
          <w:left w:w="0" w:type="dxa"/>
          <w:bottom w:w="0" w:type="dxa"/>
          <w:right w:w="0" w:type="dxa"/>
        </w:tblCellMar>
      </w:tblPr>
      <w:tblGrid>
        <w:gridCol w:w="397"/>
        <w:gridCol w:w="9808"/>
      </w:tblGrid>
      <w:tr>
        <w:trPr/>
        <w:tc>
          <w:tcPr>
            <w:tcW w:w="397" w:type="dxa"/>
            <w:tcBorders/>
            <w:shd w:fill="auto" w:val="clear"/>
            <w:vAlign w:val="center"/>
          </w:tcPr>
          <w:p>
            <w:pPr>
              <w:pStyle w:val="TableContents"/>
              <w:spacing w:before="0" w:after="283"/>
              <w:jc w:val="left"/>
              <w:rPr/>
            </w:pPr>
            <w:r>
              <w:rPr/>
              <w:t>(24)</w:t>
            </w:r>
          </w:p>
        </w:tc>
        <w:tc>
          <w:tcPr>
            <w:tcW w:w="980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Dr. Christensen is 12780 Via Vieve, San Diego, CA 92130. Dr. Christensen was previously a director of BCTG Acquisition Corp. prior to the Business Combination. </w:t>
            </w:r>
          </w:p>
        </w:tc>
      </w:tr>
    </w:tbl>
    <w:tbl>
      <w:tblPr>
        <w:tblW w:w="10205" w:type="dxa"/>
        <w:jc w:val="left"/>
        <w:tblInd w:w="0" w:type="dxa"/>
        <w:tblCellMar>
          <w:top w:w="0" w:type="dxa"/>
          <w:left w:w="0" w:type="dxa"/>
          <w:bottom w:w="0" w:type="dxa"/>
          <w:right w:w="0" w:type="dxa"/>
        </w:tblCellMar>
      </w:tblPr>
      <w:tblGrid>
        <w:gridCol w:w="370"/>
        <w:gridCol w:w="9835"/>
      </w:tblGrid>
      <w:tr>
        <w:trPr/>
        <w:tc>
          <w:tcPr>
            <w:tcW w:w="370" w:type="dxa"/>
            <w:tcBorders/>
            <w:shd w:fill="auto" w:val="clear"/>
            <w:vAlign w:val="center"/>
          </w:tcPr>
          <w:p>
            <w:pPr>
              <w:pStyle w:val="TableContents"/>
              <w:spacing w:before="0" w:after="283"/>
              <w:jc w:val="left"/>
              <w:rPr/>
            </w:pPr>
            <w:r>
              <w:rPr/>
              <w:t>(25)</w:t>
            </w:r>
          </w:p>
        </w:tc>
        <w:tc>
          <w:tcPr>
            <w:tcW w:w="98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shares are held by Janus Henderson Biotech Innovation Master Fund Limited (“Janus”). Each of Andy Acker and Dan Lyons, acting as portfolio managers as delegated by Janus Capital Management LLC, who acts as investment adviser to Janus has the ability to make decisions with respect to the voting and disposition of the shares held by Janus. The address for Janus is 151 Detroit Street, Denver, CO 80206. </w:t>
            </w:r>
          </w:p>
        </w:tc>
      </w:tr>
    </w:tbl>
    <w:tbl>
      <w:tblPr>
        <w:tblW w:w="6655" w:type="dxa"/>
        <w:jc w:val="left"/>
        <w:tblInd w:w="0" w:type="dxa"/>
        <w:tblCellMar>
          <w:top w:w="0" w:type="dxa"/>
          <w:left w:w="0" w:type="dxa"/>
          <w:bottom w:w="0" w:type="dxa"/>
          <w:right w:w="0" w:type="dxa"/>
        </w:tblCellMar>
      </w:tblPr>
      <w:tblGrid>
        <w:gridCol w:w="425"/>
        <w:gridCol w:w="6230"/>
      </w:tblGrid>
      <w:tr>
        <w:trPr/>
        <w:tc>
          <w:tcPr>
            <w:tcW w:w="425" w:type="dxa"/>
            <w:tcBorders/>
            <w:shd w:fill="auto" w:val="clear"/>
            <w:vAlign w:val="center"/>
          </w:tcPr>
          <w:p>
            <w:pPr>
              <w:pStyle w:val="TableContents"/>
              <w:spacing w:before="0" w:after="283"/>
              <w:jc w:val="left"/>
              <w:rPr/>
            </w:pPr>
            <w:r>
              <w:rPr/>
              <w:t>(26)</w:t>
            </w:r>
          </w:p>
        </w:tc>
        <w:tc>
          <w:tcPr>
            <w:tcW w:w="62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Mr. Hager is 133381 Benchley Road, San Diego, CA 92130. </w:t>
            </w:r>
          </w:p>
        </w:tc>
      </w:tr>
    </w:tbl>
    <w:tbl>
      <w:tblPr>
        <w:tblW w:w="10205" w:type="dxa"/>
        <w:jc w:val="left"/>
        <w:tblInd w:w="0" w:type="dxa"/>
        <w:tblCellMar>
          <w:top w:w="0" w:type="dxa"/>
          <w:left w:w="0" w:type="dxa"/>
          <w:bottom w:w="0" w:type="dxa"/>
          <w:right w:w="0" w:type="dxa"/>
        </w:tblCellMar>
      </w:tblPr>
      <w:tblGrid>
        <w:gridCol w:w="381"/>
        <w:gridCol w:w="9824"/>
      </w:tblGrid>
      <w:tr>
        <w:trPr/>
        <w:tc>
          <w:tcPr>
            <w:tcW w:w="381" w:type="dxa"/>
            <w:tcBorders/>
            <w:shd w:fill="auto" w:val="clear"/>
            <w:vAlign w:val="center"/>
          </w:tcPr>
          <w:p>
            <w:pPr>
              <w:pStyle w:val="TableContents"/>
              <w:spacing w:before="0" w:after="283"/>
              <w:jc w:val="left"/>
              <w:rPr/>
            </w:pPr>
            <w:r>
              <w:rPr/>
              <w:t>(27)</w:t>
            </w:r>
          </w:p>
        </w:tc>
        <w:tc>
          <w:tcPr>
            <w:tcW w:w="982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Arsani William is the managing partner &amp;CIO who exercises voting and dispositive power over the shares held by Logos Global Master Fund, LP . The address for each of Logos Global Master Fund, LP and Mr. William is 1 Letterman Dr., Ste D-700, San Francisco, CA 94129. </w:t>
            </w:r>
          </w:p>
        </w:tc>
      </w:tr>
    </w:tbl>
    <w:tbl>
      <w:tblPr>
        <w:tblW w:w="7690" w:type="dxa"/>
        <w:jc w:val="left"/>
        <w:tblInd w:w="0" w:type="dxa"/>
        <w:tblCellMar>
          <w:top w:w="0" w:type="dxa"/>
          <w:left w:w="0" w:type="dxa"/>
          <w:bottom w:w="0" w:type="dxa"/>
          <w:right w:w="0" w:type="dxa"/>
        </w:tblCellMar>
      </w:tblPr>
      <w:tblGrid>
        <w:gridCol w:w="425"/>
        <w:gridCol w:w="7265"/>
      </w:tblGrid>
      <w:tr>
        <w:trPr/>
        <w:tc>
          <w:tcPr>
            <w:tcW w:w="425" w:type="dxa"/>
            <w:tcBorders/>
            <w:shd w:fill="auto" w:val="clear"/>
            <w:vAlign w:val="center"/>
          </w:tcPr>
          <w:p>
            <w:pPr>
              <w:pStyle w:val="TableContents"/>
              <w:spacing w:before="0" w:after="283"/>
              <w:jc w:val="left"/>
              <w:rPr/>
            </w:pPr>
            <w:r>
              <w:rPr/>
              <w:t>(28)</w:t>
            </w:r>
          </w:p>
        </w:tc>
        <w:tc>
          <w:tcPr>
            <w:tcW w:w="72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Mike Varney Advisors is 709 N Granados Ave, Solana Beach, CA 92075. </w:t>
            </w:r>
          </w:p>
        </w:tc>
      </w:tr>
    </w:tbl>
    <w:tbl>
      <w:tblPr>
        <w:tblW w:w="10205" w:type="dxa"/>
        <w:jc w:val="left"/>
        <w:tblInd w:w="0" w:type="dxa"/>
        <w:tblCellMar>
          <w:top w:w="0" w:type="dxa"/>
          <w:left w:w="0" w:type="dxa"/>
          <w:bottom w:w="0" w:type="dxa"/>
          <w:right w:w="0" w:type="dxa"/>
        </w:tblCellMar>
      </w:tblPr>
      <w:tblGrid>
        <w:gridCol w:w="356"/>
        <w:gridCol w:w="9849"/>
      </w:tblGrid>
      <w:tr>
        <w:trPr/>
        <w:tc>
          <w:tcPr>
            <w:tcW w:w="356" w:type="dxa"/>
            <w:tcBorders/>
            <w:shd w:fill="auto" w:val="clear"/>
            <w:vAlign w:val="center"/>
          </w:tcPr>
          <w:p>
            <w:pPr>
              <w:pStyle w:val="TableContents"/>
              <w:spacing w:before="0" w:after="283"/>
              <w:jc w:val="left"/>
              <w:rPr/>
            </w:pPr>
            <w:r>
              <w:rPr/>
              <w:t>(29)</w:t>
            </w:r>
          </w:p>
        </w:tc>
        <w:tc>
          <w:tcPr>
            <w:tcW w:w="984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16,677 shares purchased by Nantahala Capital Partners II Limited Partnership, 6,162 shares purchased by Nantahala Capital Partners Limited Partnership, 35,686 shares purchased by Nantahala Capital Partners SI, LP, 18,376 shares purchased by NCP QR LP, 7,346 shares purchased by NCP RFM LP and 1,206 shares purchased by Silver Creek CS SAV, L.L.C. (collectively, the “Nantahala Entities”). Nantahala Capital Management, LLC is a Registered Investment Adviser and has been delegated the legal power to vote and/or direct the disposition of such securities on behalf of the Nantahala Entities as a General Partner or Investment Manager and would be considered the beneficial owner of such securities. The above shall not be deemed to be an admission by the record owners or the Nantahala Entities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Nantahala Entities. The address for the Nantahala Entities is 1301 5th Avenue, 40th Floor, Seattle, WA 98101. </w:t>
            </w:r>
          </w:p>
        </w:tc>
      </w:tr>
    </w:tbl>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jc w:val="left"/>
              <w:rPr/>
            </w:pPr>
            <w:r>
              <w:rPr/>
              <w:t>(30)</w:t>
            </w:r>
          </w:p>
        </w:tc>
        <w:tc>
          <w:tcPr>
            <w:tcW w:w="98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Steven L. Bender has the power to vote or dispose of the shares held by NexTx Insights, LLC. The address of NexTx Insights, LLC is 1759 Oceanside Blvd, Ste C, #1267, Oceanside CA, 92054. </w:t>
            </w:r>
          </w:p>
        </w:tc>
      </w:tr>
    </w:tbl>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(31)</w:t>
            </w:r>
          </w:p>
        </w:tc>
        <w:tc>
          <w:tcPr>
            <w:tcW w:w="981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(i) 73,039 shares of Common Stock held directly by Michael Pellini, (ii) 20,000 shares of Common Stock purchased in the PIPE Financing by Dr. Pellini, (iii) options to purchase 11,890 shares of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185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Common Stock exercisable within 60 days of August 31, 2021. and (iv) 67,943 shares held directly by The Pellini Family Trust, of which Dr. Pellini is the trustee and has voting and investment control with respect to these shares. The address for each of Dr. Pellini and The Pellini Family Trust is 33841 Niguel Shores Drive, Dana Point, CA 92629. </w:t>
            </w:r>
          </w:p>
        </w:tc>
      </w:tr>
    </w:tbl>
    <w:tbl>
      <w:tblPr>
        <w:tblW w:w="6205" w:type="dxa"/>
        <w:jc w:val="left"/>
        <w:tblInd w:w="0" w:type="dxa"/>
        <w:tblCellMar>
          <w:top w:w="0" w:type="dxa"/>
          <w:left w:w="0" w:type="dxa"/>
          <w:bottom w:w="0" w:type="dxa"/>
          <w:right w:w="0" w:type="dxa"/>
        </w:tblCellMar>
      </w:tblPr>
      <w:tblGrid>
        <w:gridCol w:w="425"/>
        <w:gridCol w:w="5780"/>
      </w:tblGrid>
      <w:tr>
        <w:trPr/>
        <w:tc>
          <w:tcPr>
            <w:tcW w:w="425" w:type="dxa"/>
            <w:tcBorders/>
            <w:shd w:fill="auto" w:val="clear"/>
            <w:vAlign w:val="center"/>
          </w:tcPr>
          <w:p>
            <w:pPr>
              <w:pStyle w:val="TableContents"/>
              <w:spacing w:before="0" w:after="283"/>
              <w:jc w:val="left"/>
              <w:rPr/>
            </w:pPr>
            <w:r>
              <w:rPr/>
              <w:t>(32)</w:t>
            </w:r>
          </w:p>
        </w:tc>
        <w:tc>
          <w:tcPr>
            <w:tcW w:w="57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Peter Olson is 4763 Robbins St, San Diego, CA 92122. </w:t>
            </w:r>
          </w:p>
        </w:tc>
      </w:tr>
    </w:tbl>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(33)</w:t>
            </w:r>
          </w:p>
        </w:tc>
        <w:tc>
          <w:tcPr>
            <w:tcW w:w="98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PH Investments LLC managed by managing members Amos B. Hostetter, Jr. and Barbara W. Hostetter and managing directors Melinda E. Barber, Benjamin A. Gomez and John W. Vander Vort, The address for PH Investments LLC is Pilot House, Lewis Wharf, Boston MA 02110. </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jc w:val="left"/>
              <w:rPr/>
            </w:pPr>
            <w:r>
              <w:rPr/>
              <w:t>(34)</w:t>
            </w:r>
          </w:p>
        </w:tc>
        <w:tc>
          <w:tcPr>
            <w:tcW w:w="983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Consists of 159,386 shares owned by Portland Investment – EP, LLC (“Portland EP”) and 194,806 shares owned by Portland Investment – PIA, LLC (“Portland PIA”). William Kane, the Corporate Director of each of Portland EP and Portland PIA has the power to vote or dispose of the shares held by Portland EP and Portland PIA. The address for each of Mr. Kane, Portland EP and Portland PIA is 101 Merrimac St Suite 800, Boston Ma 02114. </w:t>
            </w:r>
          </w:p>
        </w:tc>
      </w:tr>
    </w:tbl>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(35)</w:t>
            </w:r>
          </w:p>
        </w:tc>
        <w:tc>
          <w:tcPr>
            <w:tcW w:w="984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RA Capital Management, L.P. is the investment manager for RA Capital Healthcare Fund, L.P.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 The address of the persons and entities listed above is 200 Berkeley Street, 18th Floor, Boston, Massachusetts 02116. </w:t>
            </w:r>
          </w:p>
        </w:tc>
      </w:tr>
    </w:tbl>
    <w:tbl>
      <w:tblPr>
        <w:tblW w:w="8605" w:type="dxa"/>
        <w:jc w:val="left"/>
        <w:tblInd w:w="0" w:type="dxa"/>
        <w:tblCellMar>
          <w:top w:w="0" w:type="dxa"/>
          <w:left w:w="0" w:type="dxa"/>
          <w:bottom w:w="0" w:type="dxa"/>
          <w:right w:w="0" w:type="dxa"/>
        </w:tblCellMar>
      </w:tblPr>
      <w:tblGrid>
        <w:gridCol w:w="425"/>
        <w:gridCol w:w="8180"/>
      </w:tblGrid>
      <w:tr>
        <w:trPr/>
        <w:tc>
          <w:tcPr>
            <w:tcW w:w="425" w:type="dxa"/>
            <w:tcBorders/>
            <w:shd w:fill="auto" w:val="clear"/>
            <w:vAlign w:val="center"/>
          </w:tcPr>
          <w:p>
            <w:pPr>
              <w:pStyle w:val="TableContents"/>
              <w:spacing w:before="0" w:after="283"/>
              <w:jc w:val="left"/>
              <w:rPr/>
            </w:pPr>
            <w:r>
              <w:rPr/>
              <w:t>(36)</w:t>
            </w:r>
          </w:p>
        </w:tc>
        <w:tc>
          <w:tcPr>
            <w:tcW w:w="81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Dr. Heyman was previously a director of BCTG Acquisition Corp. prior to the Business Combination</w:t>
            </w:r>
          </w:p>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 </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jc w:val="left"/>
              <w:rPr/>
            </w:pPr>
            <w:r>
              <w:rPr/>
              <w:t>(37)</w:t>
            </w:r>
          </w:p>
        </w:tc>
        <w:tc>
          <w:tcPr>
            <w:tcW w:w="983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shares are registered and held by Samsara BioCapital, L.P. Dr. Srinivas Akkaraju, MD, PhD is the reporting person and the managing member of Samsara BioCapital GP, LLC, the general partner of Samsara BioCapital, L.P. The reporting person disclaims beneficial ownership of this securities except to the extent of the reporting person’s pecuniary interest therein. The address is 628 Middlefield Road, Palo Alto, CA 94301. </w:t>
            </w:r>
          </w:p>
        </w:tc>
      </w:tr>
    </w:tbl>
    <w:tbl>
      <w:tblPr>
        <w:tblW w:w="10205" w:type="dxa"/>
        <w:jc w:val="left"/>
        <w:tblInd w:w="0" w:type="dxa"/>
        <w:tblCellMar>
          <w:top w:w="0" w:type="dxa"/>
          <w:left w:w="0" w:type="dxa"/>
          <w:bottom w:w="0" w:type="dxa"/>
          <w:right w:w="0" w:type="dxa"/>
        </w:tblCellMar>
      </w:tblPr>
      <w:tblGrid>
        <w:gridCol w:w="387"/>
        <w:gridCol w:w="9818"/>
      </w:tblGrid>
      <w:tr>
        <w:trPr/>
        <w:tc>
          <w:tcPr>
            <w:tcW w:w="387" w:type="dxa"/>
            <w:tcBorders/>
            <w:shd w:fill="auto" w:val="clear"/>
            <w:vAlign w:val="center"/>
          </w:tcPr>
          <w:p>
            <w:pPr>
              <w:pStyle w:val="TableContents"/>
              <w:spacing w:before="0" w:after="283"/>
              <w:jc w:val="left"/>
              <w:rPr/>
            </w:pPr>
            <w:r>
              <w:rPr/>
              <w:t>(38)</w:t>
            </w:r>
          </w:p>
        </w:tc>
        <w:tc>
          <w:tcPr>
            <w:tcW w:w="981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Mark Stevens, as Managing Partner, has the power to vote or dispose of the shares held by SCubed Capital, LLC. The address for each of SCubed Capital, LLC and Mr. Stevens is Apres Ski Way #701, Steamboat Springs, CO 80487. </w:t>
            </w:r>
          </w:p>
        </w:tc>
      </w:tr>
    </w:tbl>
    <w:tbl>
      <w:tblPr>
        <w:tblW w:w="5770" w:type="dxa"/>
        <w:jc w:val="left"/>
        <w:tblInd w:w="0" w:type="dxa"/>
        <w:tblCellMar>
          <w:top w:w="0" w:type="dxa"/>
          <w:left w:w="0" w:type="dxa"/>
          <w:bottom w:w="0" w:type="dxa"/>
          <w:right w:w="0" w:type="dxa"/>
        </w:tblCellMar>
      </w:tblPr>
      <w:tblGrid>
        <w:gridCol w:w="425"/>
        <w:gridCol w:w="5345"/>
      </w:tblGrid>
      <w:tr>
        <w:trPr/>
        <w:tc>
          <w:tcPr>
            <w:tcW w:w="425" w:type="dxa"/>
            <w:tcBorders/>
            <w:shd w:fill="auto" w:val="clear"/>
            <w:vAlign w:val="center"/>
          </w:tcPr>
          <w:p>
            <w:pPr>
              <w:pStyle w:val="TableContents"/>
              <w:spacing w:before="0" w:after="283"/>
              <w:jc w:val="left"/>
              <w:rPr/>
            </w:pPr>
            <w:r>
              <w:rPr/>
              <w:t>(39)</w:t>
            </w:r>
          </w:p>
        </w:tc>
        <w:tc>
          <w:tcPr>
            <w:tcW w:w="53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Dr. Gujrathi is 1395 Rancho Santa Fe, CA 92067. </w:t>
            </w:r>
          </w:p>
        </w:tc>
      </w:tr>
    </w:tbl>
    <w:tbl>
      <w:tblPr>
        <w:tblW w:w="10205" w:type="dxa"/>
        <w:jc w:val="left"/>
        <w:tblInd w:w="0" w:type="dxa"/>
        <w:tblCellMar>
          <w:top w:w="0" w:type="dxa"/>
          <w:left w:w="0" w:type="dxa"/>
          <w:bottom w:w="0" w:type="dxa"/>
          <w:right w:w="0" w:type="dxa"/>
        </w:tblCellMar>
      </w:tblPr>
      <w:tblGrid>
        <w:gridCol w:w="400"/>
        <w:gridCol w:w="9805"/>
      </w:tblGrid>
      <w:tr>
        <w:trPr/>
        <w:tc>
          <w:tcPr>
            <w:tcW w:w="400" w:type="dxa"/>
            <w:tcBorders/>
            <w:shd w:fill="auto" w:val="clear"/>
            <w:vAlign w:val="center"/>
          </w:tcPr>
          <w:p>
            <w:pPr>
              <w:pStyle w:val="TableContents"/>
              <w:spacing w:before="0" w:after="283"/>
              <w:jc w:val="left"/>
              <w:rPr/>
            </w:pPr>
            <w:r>
              <w:rPr/>
              <w:t>(40)</w:t>
            </w:r>
          </w:p>
        </w:tc>
        <w:tc>
          <w:tcPr>
            <w:tcW w:w="98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Sobrato Capital, a DBA of Sobrato Family Holdings, LLC, a California limited liability company is 599 Castro Street, Suite 400, Mountain View, CA 94041. </w:t>
            </w:r>
          </w:p>
        </w:tc>
      </w:tr>
    </w:tbl>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(41)</w:t>
            </w:r>
          </w:p>
        </w:tc>
        <w:tc>
          <w:tcPr>
            <w:tcW w:w="984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managing member of both Southpoint Capital Advisors LLC and Southpoint GP, LLC. Each of the Reporting Persons disclaims beneficial ownership of the shares reported herein. The address for Southpoint Master Fund, LP is 1114 Avenue of the Americas, 22nd Floor, New York, NY 10036. </w:t>
            </w:r>
          </w:p>
        </w:tc>
      </w:tr>
    </w:tbl>
    <w:tbl>
      <w:tblPr>
        <w:tblW w:w="10205" w:type="dxa"/>
        <w:jc w:val="left"/>
        <w:tblInd w:w="0" w:type="dxa"/>
        <w:tblCellMar>
          <w:top w:w="0" w:type="dxa"/>
          <w:left w:w="0" w:type="dxa"/>
          <w:bottom w:w="0" w:type="dxa"/>
          <w:right w:w="0" w:type="dxa"/>
        </w:tblCellMar>
      </w:tblPr>
      <w:tblGrid>
        <w:gridCol w:w="364"/>
        <w:gridCol w:w="9841"/>
      </w:tblGrid>
      <w:tr>
        <w:trPr/>
        <w:tc>
          <w:tcPr>
            <w:tcW w:w="364" w:type="dxa"/>
            <w:tcBorders/>
            <w:shd w:fill="auto" w:val="clear"/>
            <w:vAlign w:val="center"/>
          </w:tcPr>
          <w:p>
            <w:pPr>
              <w:pStyle w:val="TableContents"/>
              <w:spacing w:before="0" w:after="283"/>
              <w:jc w:val="left"/>
              <w:rPr/>
            </w:pPr>
            <w:r>
              <w:rPr/>
              <w:t>(42)</w:t>
            </w:r>
          </w:p>
        </w:tc>
        <w:tc>
          <w:tcPr>
            <w:tcW w:w="984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Reid Huber is a partner at Third Rock Ventures, LLC, and a member of our board of directors. The address of Third Rock Ventures IV, L.P. is 29 Newbury Street, 3</w:t>
            </w:r>
          </w:p>
          <w:p>
            <w:pPr>
              <w:pStyle w:val="TableContents"/>
              <w:spacing w:before="0" w:after="0"/>
              <w:jc w:val="left"/>
              <w:rPr>
                <w:rFonts w:ascii="Times New Roman" w:hAnsi="Times New Roman"/>
                <w:spacing w:val="0"/>
                <w:sz w:val="14"/>
              </w:rPr>
            </w:pPr>
            <w:r>
              <w:rPr>
                <w:rFonts w:ascii="Times New Roman" w:hAnsi="Times New Roman"/>
                <w:spacing w:val="0"/>
                <w:sz w:val="14"/>
              </w:rPr>
              <w:t>rd</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Floor, Boston MA 02116. </w:t>
            </w:r>
          </w:p>
        </w:tc>
      </w:tr>
    </w:tbl>
    <w:tbl>
      <w:tblPr>
        <w:tblW w:w="6970" w:type="dxa"/>
        <w:jc w:val="left"/>
        <w:tblInd w:w="0" w:type="dxa"/>
        <w:tblCellMar>
          <w:top w:w="0" w:type="dxa"/>
          <w:left w:w="0" w:type="dxa"/>
          <w:bottom w:w="0" w:type="dxa"/>
          <w:right w:w="0" w:type="dxa"/>
        </w:tblCellMar>
      </w:tblPr>
      <w:tblGrid>
        <w:gridCol w:w="425"/>
        <w:gridCol w:w="6545"/>
      </w:tblGrid>
      <w:tr>
        <w:trPr/>
        <w:tc>
          <w:tcPr>
            <w:tcW w:w="425" w:type="dxa"/>
            <w:tcBorders/>
            <w:shd w:fill="auto" w:val="clear"/>
            <w:vAlign w:val="center"/>
          </w:tcPr>
          <w:p>
            <w:pPr>
              <w:pStyle w:val="TableContents"/>
              <w:spacing w:before="0" w:after="283"/>
              <w:jc w:val="left"/>
              <w:rPr/>
            </w:pPr>
            <w:r>
              <w:rPr/>
              <w:t>(43)</w:t>
            </w:r>
          </w:p>
        </w:tc>
        <w:tc>
          <w:tcPr>
            <w:tcW w:w="65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address for Mr. Wilson is 5 Ponderosa Ln., Rolling Hills Estates, CA 90274. </w:t>
            </w:r>
          </w:p>
        </w:tc>
      </w:tr>
    </w:tbl>
    <w:tbl>
      <w:tblPr>
        <w:tblW w:w="10205" w:type="dxa"/>
        <w:jc w:val="left"/>
        <w:tblInd w:w="0" w:type="dxa"/>
        <w:tblCellMar>
          <w:top w:w="0" w:type="dxa"/>
          <w:left w:w="0" w:type="dxa"/>
          <w:bottom w:w="0" w:type="dxa"/>
          <w:right w:w="0" w:type="dxa"/>
        </w:tblCellMar>
      </w:tblPr>
      <w:tblGrid>
        <w:gridCol w:w="374"/>
        <w:gridCol w:w="9831"/>
      </w:tblGrid>
      <w:tr>
        <w:trPr/>
        <w:tc>
          <w:tcPr>
            <w:tcW w:w="374" w:type="dxa"/>
            <w:tcBorders/>
            <w:shd w:fill="auto" w:val="clear"/>
            <w:vAlign w:val="center"/>
          </w:tcPr>
          <w:p>
            <w:pPr>
              <w:pStyle w:val="TableContents"/>
              <w:spacing w:before="0" w:after="283"/>
              <w:jc w:val="left"/>
              <w:rPr/>
            </w:pPr>
            <w:r>
              <w:rPr/>
              <w:t>(44)</w:t>
            </w:r>
          </w:p>
        </w:tc>
        <w:tc>
          <w:tcPr>
            <w:tcW w:w="983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Woodline Partners LP serves as the investment manager of Woodline Master Fund LP and may be deemed to be the beneficial owner of the shares of common stock. Woodline Master Fund LP disclaims any beneficial ownership of these shares. The address of Woodline Master Fund LP is 4 Embarcadero Center, Suite 3450, San Francisco, CA 94111.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186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MATERIAL UNITED STATES FEDERAL INCOME TAX CONSIDERATIONS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 </w:t>
      </w:r>
    </w:p>
    <w:p>
      <w:pPr>
        <w:pStyle w:val="TextBody"/>
        <w:spacing w:before="0" w:after="0"/>
        <w:jc w:val="left"/>
        <w:rPr>
          <w:spacing w:val="0"/>
        </w:rPr>
      </w:pPr>
      <w:r>
        <w:rPr>
          <w:spacing w:val="0"/>
        </w:rPr>
        <w:t> </w:t>
      </w:r>
    </w:p>
    <w:tbl>
      <w:tblPr>
        <w:tblW w:w="4390" w:type="dxa"/>
        <w:jc w:val="left"/>
        <w:tblInd w:w="0" w:type="dxa"/>
        <w:tblCellMar>
          <w:top w:w="0" w:type="dxa"/>
          <w:left w:w="0" w:type="dxa"/>
          <w:bottom w:w="0" w:type="dxa"/>
          <w:right w:w="0" w:type="dxa"/>
        </w:tblCellMar>
      </w:tblPr>
      <w:tblGrid>
        <w:gridCol w:w="75"/>
        <w:gridCol w:w="110"/>
        <w:gridCol w:w="60"/>
        <w:gridCol w:w="41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financial institutions or financial services entities; </w:t>
            </w:r>
          </w:p>
        </w:tc>
      </w:tr>
    </w:tbl>
    <w:p>
      <w:pPr>
        <w:pStyle w:val="TextBody"/>
        <w:spacing w:before="0" w:after="0"/>
        <w:jc w:val="left"/>
        <w:rPr>
          <w:spacing w:val="0"/>
        </w:rPr>
      </w:pPr>
      <w:r>
        <w:rPr>
          <w:spacing w:val="0"/>
        </w:rPr>
        <w:t> </w:t>
      </w:r>
    </w:p>
    <w:tbl>
      <w:tblPr>
        <w:tblW w:w="1540" w:type="dxa"/>
        <w:jc w:val="left"/>
        <w:tblInd w:w="0" w:type="dxa"/>
        <w:tblCellMar>
          <w:top w:w="0" w:type="dxa"/>
          <w:left w:w="0" w:type="dxa"/>
          <w:bottom w:w="0" w:type="dxa"/>
          <w:right w:w="0" w:type="dxa"/>
        </w:tblCellMar>
      </w:tblPr>
      <w:tblGrid>
        <w:gridCol w:w="75"/>
        <w:gridCol w:w="110"/>
        <w:gridCol w:w="60"/>
        <w:gridCol w:w="1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broker-dealers; </w:t>
            </w:r>
          </w:p>
        </w:tc>
      </w:tr>
    </w:tbl>
    <w:p>
      <w:pPr>
        <w:pStyle w:val="TextBody"/>
        <w:spacing w:before="0" w:after="0"/>
        <w:jc w:val="left"/>
        <w:rPr>
          <w:spacing w:val="0"/>
        </w:rPr>
      </w:pPr>
      <w:r>
        <w:rPr>
          <w:spacing w:val="0"/>
        </w:rPr>
        <w:t> </w:t>
      </w:r>
    </w:p>
    <w:tbl>
      <w:tblPr>
        <w:tblW w:w="1450" w:type="dxa"/>
        <w:jc w:val="left"/>
        <w:tblInd w:w="0" w:type="dxa"/>
        <w:tblCellMar>
          <w:top w:w="0" w:type="dxa"/>
          <w:left w:w="0" w:type="dxa"/>
          <w:bottom w:w="0" w:type="dxa"/>
          <w:right w:w="0" w:type="dxa"/>
        </w:tblCellMar>
      </w:tblPr>
      <w:tblGrid>
        <w:gridCol w:w="75"/>
        <w:gridCol w:w="110"/>
        <w:gridCol w:w="60"/>
        <w:gridCol w:w="1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mutual funds; </w:t>
            </w:r>
          </w:p>
        </w:tc>
      </w:tr>
    </w:tbl>
    <w:p>
      <w:pPr>
        <w:pStyle w:val="TextBody"/>
        <w:spacing w:before="0" w:after="0"/>
        <w:jc w:val="left"/>
        <w:rPr>
          <w:spacing w:val="0"/>
        </w:rPr>
      </w:pPr>
      <w:r>
        <w:rPr>
          <w:spacing w:val="0"/>
        </w:rPr>
        <w:t> </w:t>
      </w:r>
    </w:p>
    <w:tbl>
      <w:tblPr>
        <w:tblW w:w="4885" w:type="dxa"/>
        <w:jc w:val="left"/>
        <w:tblInd w:w="0" w:type="dxa"/>
        <w:tblCellMar>
          <w:top w:w="0" w:type="dxa"/>
          <w:left w:w="0" w:type="dxa"/>
          <w:bottom w:w="0" w:type="dxa"/>
          <w:right w:w="0" w:type="dxa"/>
        </w:tblCellMar>
      </w:tblPr>
      <w:tblGrid>
        <w:gridCol w:w="75"/>
        <w:gridCol w:w="110"/>
        <w:gridCol w:w="60"/>
        <w:gridCol w:w="4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retirement plans, individual retirement accounts or other </w:t>
            </w:r>
          </w:p>
          <w:p>
            <w:pPr>
              <w:pStyle w:val="TableContents"/>
              <w:spacing w:before="0" w:after="0"/>
              <w:jc w:val="left"/>
              <w:rPr>
                <w:rFonts w:ascii="Times New Roman" w:hAnsi="Times New Roman"/>
                <w:spacing w:val="0"/>
                <w:sz w:val="20"/>
              </w:rPr>
            </w:pPr>
            <w:r>
              <w:rPr>
                <w:rFonts w:ascii="Times New Roman" w:hAnsi="Times New Roman"/>
                <w:spacing w:val="0"/>
                <w:sz w:val="20"/>
              </w:rPr>
              <w:t>tax-deferred</w:t>
            </w:r>
          </w:p>
          <w:p>
            <w:pPr>
              <w:pStyle w:val="TableContents"/>
              <w:spacing w:before="0" w:after="0"/>
              <w:jc w:val="left"/>
              <w:rPr>
                <w:rFonts w:ascii="Times New Roman" w:hAnsi="Times New Roman"/>
                <w:sz w:val="20"/>
              </w:rPr>
            </w:pPr>
            <w:r>
              <w:rPr>
                <w:rFonts w:ascii="Times New Roman" w:hAnsi="Times New Roman"/>
                <w:sz w:val="20"/>
              </w:rPr>
              <w:t xml:space="preserve">accounts; </w:t>
            </w:r>
          </w:p>
        </w:tc>
      </w:tr>
    </w:tbl>
    <w:p>
      <w:pPr>
        <w:pStyle w:val="TextBody"/>
        <w:spacing w:before="0" w:after="0"/>
        <w:jc w:val="left"/>
        <w:rPr>
          <w:spacing w:val="0"/>
        </w:rPr>
      </w:pPr>
      <w:r>
        <w:rPr>
          <w:spacing w:val="0"/>
        </w:rPr>
        <w:t> </w:t>
      </w:r>
    </w:p>
    <w:tbl>
      <w:tblPr>
        <w:tblW w:w="4630" w:type="dxa"/>
        <w:jc w:val="left"/>
        <w:tblInd w:w="0" w:type="dxa"/>
        <w:tblCellMar>
          <w:top w:w="0" w:type="dxa"/>
          <w:left w:w="0" w:type="dxa"/>
          <w:bottom w:w="0" w:type="dxa"/>
          <w:right w:w="0" w:type="dxa"/>
        </w:tblCellMar>
      </w:tblPr>
      <w:tblGrid>
        <w:gridCol w:w="75"/>
        <w:gridCol w:w="110"/>
        <w:gridCol w:w="60"/>
        <w:gridCol w:w="4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governments or agencies or instrumentalities thereof; </w:t>
            </w:r>
          </w:p>
        </w:tc>
      </w:tr>
    </w:tbl>
    <w:p>
      <w:pPr>
        <w:pStyle w:val="TextBody"/>
        <w:spacing w:before="0" w:after="0"/>
        <w:jc w:val="left"/>
        <w:rPr>
          <w:spacing w:val="0"/>
        </w:rPr>
      </w:pPr>
      <w:r>
        <w:rPr>
          <w:spacing w:val="0"/>
        </w:rPr>
        <w:t> </w:t>
      </w:r>
    </w:p>
    <w:tbl>
      <w:tblPr>
        <w:tblW w:w="3010" w:type="dxa"/>
        <w:jc w:val="left"/>
        <w:tblInd w:w="0" w:type="dxa"/>
        <w:tblCellMar>
          <w:top w:w="0" w:type="dxa"/>
          <w:left w:w="0" w:type="dxa"/>
          <w:bottom w:w="0" w:type="dxa"/>
          <w:right w:w="0" w:type="dxa"/>
        </w:tblCellMar>
      </w:tblPr>
      <w:tblGrid>
        <w:gridCol w:w="75"/>
        <w:gridCol w:w="110"/>
        <w:gridCol w:w="60"/>
        <w:gridCol w:w="2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regulated investment companies; </w:t>
            </w:r>
          </w:p>
        </w:tc>
      </w:tr>
    </w:tbl>
    <w:p>
      <w:pPr>
        <w:pStyle w:val="TextBody"/>
        <w:spacing w:before="0" w:after="0"/>
        <w:jc w:val="left"/>
        <w:rPr>
          <w:spacing w:val="0"/>
        </w:rPr>
      </w:pPr>
      <w:r>
        <w:rPr>
          <w:spacing w:val="0"/>
        </w:rPr>
        <w:t> </w:t>
      </w:r>
    </w:p>
    <w:tbl>
      <w:tblPr>
        <w:tblW w:w="1510" w:type="dxa"/>
        <w:jc w:val="left"/>
        <w:tblInd w:w="0" w:type="dxa"/>
        <w:tblCellMar>
          <w:top w:w="0" w:type="dxa"/>
          <w:left w:w="0" w:type="dxa"/>
          <w:bottom w:w="0" w:type="dxa"/>
          <w:right w:w="0" w:type="dxa"/>
        </w:tblCellMar>
      </w:tblPr>
      <w:tblGrid>
        <w:gridCol w:w="75"/>
        <w:gridCol w:w="110"/>
        <w:gridCol w:w="60"/>
        <w:gridCol w:w="1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pension plans;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spacing w:val="0"/>
              </w:rPr>
            </w:pPr>
            <w:r>
              <w:rPr>
                <w:spacing w:val="0"/>
              </w:rPr>
              <w:t>“</w:t>
            </w:r>
            <w:r>
              <w:rPr>
                <w:rFonts w:ascii="Times New Roman" w:hAnsi="Times New Roman"/>
                <w:spacing w:val="0"/>
                <w:sz w:val="20"/>
              </w:rPr>
              <w:t xml:space="preserve">controlled foreign corporations,” “passive foreign investment companies,” and corporations that accumulate earnings to avoid U.S. federal income tax; </w:t>
            </w:r>
          </w:p>
        </w:tc>
      </w:tr>
    </w:tbl>
    <w:p>
      <w:pPr>
        <w:pStyle w:val="TextBody"/>
        <w:spacing w:before="0" w:after="0"/>
        <w:jc w:val="left"/>
        <w:rPr>
          <w:spacing w:val="0"/>
        </w:rPr>
      </w:pPr>
      <w:r>
        <w:rPr>
          <w:spacing w:val="0"/>
        </w:rPr>
        <w:t> </w:t>
      </w:r>
    </w:p>
    <w:tbl>
      <w:tblPr>
        <w:tblW w:w="2620" w:type="dxa"/>
        <w:jc w:val="left"/>
        <w:tblInd w:w="0" w:type="dxa"/>
        <w:tblCellMar>
          <w:top w:w="0" w:type="dxa"/>
          <w:left w:w="0" w:type="dxa"/>
          <w:bottom w:w="0" w:type="dxa"/>
          <w:right w:w="0" w:type="dxa"/>
        </w:tblCellMar>
      </w:tblPr>
      <w:tblGrid>
        <w:gridCol w:w="75"/>
        <w:gridCol w:w="110"/>
        <w:gridCol w:w="60"/>
        <w:gridCol w:w="2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real estate investment trusts; </w:t>
            </w:r>
          </w:p>
        </w:tc>
      </w:tr>
    </w:tbl>
    <w:p>
      <w:pPr>
        <w:pStyle w:val="TextBody"/>
        <w:spacing w:before="0" w:after="0"/>
        <w:jc w:val="left"/>
        <w:rPr>
          <w:spacing w:val="0"/>
        </w:rPr>
      </w:pPr>
      <w:r>
        <w:rPr>
          <w:spacing w:val="0"/>
        </w:rPr>
        <w:t> </w:t>
      </w:r>
    </w:p>
    <w:tbl>
      <w:tblPr>
        <w:tblW w:w="5290" w:type="dxa"/>
        <w:jc w:val="left"/>
        <w:tblInd w:w="0" w:type="dxa"/>
        <w:tblCellMar>
          <w:top w:w="0" w:type="dxa"/>
          <w:left w:w="0" w:type="dxa"/>
          <w:bottom w:w="0" w:type="dxa"/>
          <w:right w:w="0" w:type="dxa"/>
        </w:tblCellMar>
      </w:tblPr>
      <w:tblGrid>
        <w:gridCol w:w="75"/>
        <w:gridCol w:w="110"/>
        <w:gridCol w:w="60"/>
        <w:gridCol w:w="5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expatriates or former long-term residents of the United States; </w:t>
            </w:r>
          </w:p>
        </w:tc>
      </w:tr>
    </w:tbl>
    <w:p>
      <w:pPr>
        <w:pStyle w:val="TextBody"/>
        <w:spacing w:before="0" w:after="0"/>
        <w:jc w:val="left"/>
        <w:rPr>
          <w:spacing w:val="0"/>
        </w:rPr>
      </w:pPr>
      <w:r>
        <w:rPr>
          <w:spacing w:val="0"/>
        </w:rPr>
        <w:t> </w:t>
      </w:r>
    </w:p>
    <w:tbl>
      <w:tblPr>
        <w:tblW w:w="7195" w:type="dxa"/>
        <w:jc w:val="left"/>
        <w:tblInd w:w="0" w:type="dxa"/>
        <w:tblCellMar>
          <w:top w:w="0" w:type="dxa"/>
          <w:left w:w="0" w:type="dxa"/>
          <w:bottom w:w="0" w:type="dxa"/>
          <w:right w:w="0" w:type="dxa"/>
        </w:tblCellMar>
      </w:tblPr>
      <w:tblGrid>
        <w:gridCol w:w="75"/>
        <w:gridCol w:w="110"/>
        <w:gridCol w:w="60"/>
        <w:gridCol w:w="69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persons that actually or constructively own five percent or more of our voting shares; </w:t>
            </w:r>
          </w:p>
        </w:tc>
      </w:tr>
    </w:tbl>
    <w:p>
      <w:pPr>
        <w:pStyle w:val="TextBody"/>
        <w:spacing w:before="0" w:after="0"/>
        <w:jc w:val="left"/>
        <w:rPr>
          <w:spacing w:val="0"/>
        </w:rPr>
      </w:pPr>
      <w:r>
        <w:rPr>
          <w:spacing w:val="0"/>
        </w:rPr>
        <w:t> </w:t>
      </w:r>
    </w:p>
    <w:tbl>
      <w:tblPr>
        <w:tblW w:w="2080" w:type="dxa"/>
        <w:jc w:val="left"/>
        <w:tblInd w:w="0" w:type="dxa"/>
        <w:tblCellMar>
          <w:top w:w="0" w:type="dxa"/>
          <w:left w:w="0" w:type="dxa"/>
          <w:bottom w:w="0" w:type="dxa"/>
          <w:right w:w="0" w:type="dxa"/>
        </w:tblCellMar>
      </w:tblPr>
      <w:tblGrid>
        <w:gridCol w:w="75"/>
        <w:gridCol w:w="110"/>
        <w:gridCol w:w="60"/>
        <w:gridCol w:w="1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insurance companies; </w:t>
            </w:r>
          </w:p>
        </w:tc>
      </w:tr>
    </w:tbl>
    <w:p>
      <w:pPr>
        <w:pStyle w:val="TextBody"/>
        <w:spacing w:before="0" w:after="0"/>
        <w:jc w:val="left"/>
        <w:rPr>
          <w:spacing w:val="0"/>
        </w:rPr>
      </w:pPr>
      <w:r>
        <w:rPr>
          <w:spacing w:val="0"/>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dealers or traders subject to a </w:t>
            </w:r>
          </w:p>
          <w:p>
            <w:pPr>
              <w:pStyle w:val="TableContents"/>
              <w:spacing w:before="0" w:after="0"/>
              <w:jc w:val="left"/>
              <w:rPr>
                <w:rFonts w:ascii="Times New Roman" w:hAnsi="Times New Roman"/>
                <w:spacing w:val="0"/>
                <w:sz w:val="20"/>
              </w:rPr>
            </w:pPr>
            <w:r>
              <w:rPr>
                <w:rFonts w:ascii="Times New Roman" w:hAnsi="Times New Roman"/>
                <w:spacing w:val="0"/>
                <w:sz w:val="20"/>
              </w:rPr>
              <w:t>mark-to-market</w:t>
            </w:r>
          </w:p>
          <w:p>
            <w:pPr>
              <w:pStyle w:val="TableContents"/>
              <w:spacing w:before="0" w:after="0"/>
              <w:jc w:val="left"/>
              <w:rPr>
                <w:rFonts w:ascii="Times New Roman" w:hAnsi="Times New Roman"/>
                <w:sz w:val="20"/>
              </w:rPr>
            </w:pPr>
            <w:r>
              <w:rPr>
                <w:rFonts w:ascii="Times New Roman" w:hAnsi="Times New Roman"/>
                <w:sz w:val="20"/>
              </w:rPr>
              <w:t xml:space="preserve">method of accounting with respect to the securities; </w:t>
            </w:r>
          </w:p>
        </w:tc>
      </w:tr>
    </w:tbl>
    <w:p>
      <w:pPr>
        <w:pStyle w:val="TextBody"/>
        <w:spacing w:before="0" w:after="0"/>
        <w:jc w:val="left"/>
        <w:rPr>
          <w:spacing w:val="0"/>
        </w:rPr>
      </w:pPr>
      <w:r>
        <w:rPr>
          <w:spacing w:val="0"/>
        </w:rPr>
        <w:t> </w:t>
      </w:r>
    </w:p>
    <w:tbl>
      <w:tblPr>
        <w:tblW w:w="8785" w:type="dxa"/>
        <w:jc w:val="left"/>
        <w:tblInd w:w="0" w:type="dxa"/>
        <w:tblCellMar>
          <w:top w:w="0" w:type="dxa"/>
          <w:left w:w="0" w:type="dxa"/>
          <w:bottom w:w="0" w:type="dxa"/>
          <w:right w:w="0" w:type="dxa"/>
        </w:tblCellMar>
      </w:tblPr>
      <w:tblGrid>
        <w:gridCol w:w="75"/>
        <w:gridCol w:w="110"/>
        <w:gridCol w:w="60"/>
        <w:gridCol w:w="8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persons holding the securities as part of a “straddle,” hedge, integrated transaction or similar transaction; </w:t>
            </w:r>
          </w:p>
        </w:tc>
      </w:tr>
    </w:tbl>
    <w:p>
      <w:pPr>
        <w:pStyle w:val="TextBody"/>
        <w:spacing w:before="0" w:after="0"/>
        <w:jc w:val="left"/>
        <w:rPr>
          <w:spacing w:val="0"/>
        </w:rPr>
      </w:pPr>
      <w:r>
        <w:rPr>
          <w:spacing w:val="0"/>
        </w:rPr>
        <w:t> </w:t>
      </w:r>
    </w:p>
    <w:tbl>
      <w:tblPr>
        <w:tblW w:w="6775" w:type="dxa"/>
        <w:jc w:val="left"/>
        <w:tblInd w:w="0" w:type="dxa"/>
        <w:tblCellMar>
          <w:top w:w="0" w:type="dxa"/>
          <w:left w:w="0" w:type="dxa"/>
          <w:bottom w:w="0" w:type="dxa"/>
          <w:right w:w="0" w:type="dxa"/>
        </w:tblCellMar>
      </w:tblPr>
      <w:tblGrid>
        <w:gridCol w:w="75"/>
        <w:gridCol w:w="110"/>
        <w:gridCol w:w="60"/>
        <w:gridCol w:w="6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U.S. holders (as defined below) whose functional currency is not the U.S. dollar; </w:t>
            </w:r>
          </w:p>
        </w:tc>
      </w:tr>
    </w:tbl>
    <w:p>
      <w:pPr>
        <w:pStyle w:val="TextBody"/>
        <w:spacing w:before="0" w:after="0"/>
        <w:jc w:val="left"/>
        <w:rPr>
          <w:spacing w:val="0"/>
        </w:rPr>
      </w:pPr>
      <w:r>
        <w:rPr>
          <w:spacing w:val="0"/>
        </w:rPr>
        <w:t> </w:t>
      </w:r>
    </w:p>
    <w:tbl>
      <w:tblPr>
        <w:tblW w:w="3880" w:type="dxa"/>
        <w:jc w:val="left"/>
        <w:tblInd w:w="0" w:type="dxa"/>
        <w:tblCellMar>
          <w:top w:w="0" w:type="dxa"/>
          <w:left w:w="0" w:type="dxa"/>
          <w:bottom w:w="0" w:type="dxa"/>
          <w:right w:w="0" w:type="dxa"/>
        </w:tblCellMar>
      </w:tblPr>
      <w:tblGrid>
        <w:gridCol w:w="75"/>
        <w:gridCol w:w="110"/>
        <w:gridCol w:w="60"/>
        <w:gridCol w:w="3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persons subject to alternative minimum tax;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partnerships or other pass-through entities for U.S. federal income tax purposes and any beneficial owners of such entities; and </w:t>
            </w:r>
          </w:p>
        </w:tc>
      </w:tr>
    </w:tbl>
    <w:p>
      <w:pPr>
        <w:pStyle w:val="TextBody"/>
        <w:spacing w:before="0" w:after="0"/>
        <w:jc w:val="left"/>
        <w:rPr>
          <w:spacing w:val="0"/>
        </w:rPr>
      </w:pPr>
      <w:r>
        <w:rPr>
          <w:spacing w:val="0"/>
        </w:rPr>
        <w:t> </w:t>
      </w:r>
    </w:p>
    <w:tbl>
      <w:tblPr>
        <w:tblW w:w="1195" w:type="dxa"/>
        <w:jc w:val="left"/>
        <w:tblInd w:w="0" w:type="dxa"/>
        <w:tblCellMar>
          <w:top w:w="0" w:type="dxa"/>
          <w:left w:w="0" w:type="dxa"/>
          <w:bottom w:w="0" w:type="dxa"/>
          <w:right w:w="0" w:type="dxa"/>
        </w:tblCellMar>
      </w:tblPr>
      <w:tblGrid>
        <w:gridCol w:w="75"/>
        <w:gridCol w:w="110"/>
        <w:gridCol w:w="60"/>
        <w:gridCol w:w="9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tax-exempt</w:t>
            </w:r>
          </w:p>
          <w:p>
            <w:pPr>
              <w:pStyle w:val="TableContents"/>
              <w:spacing w:before="0" w:after="0"/>
              <w:jc w:val="left"/>
              <w:rPr>
                <w:rFonts w:ascii="Times New Roman" w:hAnsi="Times New Roman"/>
                <w:sz w:val="20"/>
              </w:rPr>
            </w:pPr>
            <w:r>
              <w:rPr>
                <w:rFonts w:ascii="Times New Roman" w:hAnsi="Times New Roman"/>
                <w:sz w:val="20"/>
              </w:rPr>
              <w:t xml:space="preserve">entities. </w:t>
            </w:r>
          </w:p>
        </w:tc>
      </w:tr>
    </w:tbl>
    <w:p>
      <w:pPr>
        <w:pStyle w:val="TextBody"/>
        <w:spacing w:before="240" w:after="0"/>
        <w:jc w:val="left"/>
        <w:rPr>
          <w:rFonts w:ascii="Times New Roman" w:hAnsi="Times New Roman"/>
          <w:sz w:val="20"/>
        </w:rPr>
      </w:pPr>
      <w:r>
        <w:rPr>
          <w:rFonts w:ascii="Times New Roman" w:hAnsi="Times New Roman"/>
          <w:sz w:val="20"/>
        </w:rPr>
        <w:t xml:space="preserve">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taxation, or any U.S. federal taxes other than income taxes (such as gift and estate taxes).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 </w:t>
      </w:r>
    </w:p>
    <w:p>
      <w:pPr>
        <w:pStyle w:val="TextBody"/>
        <w:spacing w:before="240" w:after="0"/>
        <w:jc w:val="left"/>
        <w:rPr>
          <w:rFonts w:ascii="Times New Roman" w:hAnsi="Times New Roman"/>
          <w:b/>
          <w:sz w:val="20"/>
        </w:rPr>
      </w:pPr>
      <w:r>
        <w:rPr>
          <w:rFonts w:ascii="Times New Roman" w:hAnsi="Times New Roman"/>
          <w:b/>
          <w:sz w:val="20"/>
        </w:rPr>
        <w:t xml:space="preserve">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w:t>
      </w:r>
    </w:p>
    <w:p>
      <w:pPr>
        <w:pStyle w:val="TextBody"/>
        <w:spacing w:before="240" w:after="0"/>
        <w:jc w:val="left"/>
        <w:rPr>
          <w:rFonts w:ascii="Times New Roman" w:hAnsi="Times New Roman"/>
          <w:b/>
          <w:spacing w:val="0"/>
          <w:sz w:val="20"/>
        </w:rPr>
      </w:pPr>
      <w:r>
        <w:rPr>
          <w:rFonts w:ascii="Times New Roman" w:hAnsi="Times New Roman"/>
          <w:b/>
          <w:spacing w:val="0"/>
          <w:sz w:val="20"/>
        </w:rPr>
        <w:t>NON-INCOME,</w:t>
      </w:r>
    </w:p>
    <w:p>
      <w:pPr>
        <w:pStyle w:val="TextBody"/>
        <w:spacing w:before="240" w:after="0"/>
        <w:jc w:val="left"/>
        <w:rPr>
          <w:rFonts w:ascii="Times New Roman" w:hAnsi="Times New Roman"/>
          <w:b/>
          <w:sz w:val="20"/>
        </w:rPr>
      </w:pPr>
      <w:r>
        <w:rPr>
          <w:rFonts w:ascii="Times New Roman" w:hAnsi="Times New Roman"/>
          <w:b/>
          <w:sz w:val="20"/>
        </w:rPr>
        <w:t xml:space="preserve">STATE, LOCAL, AND </w:t>
      </w:r>
    </w:p>
    <w:p>
      <w:pPr>
        <w:pStyle w:val="TextBody"/>
        <w:spacing w:before="240" w:after="0"/>
        <w:jc w:val="left"/>
        <w:rPr>
          <w:rFonts w:ascii="Times New Roman" w:hAnsi="Times New Roman"/>
          <w:b/>
          <w:spacing w:val="0"/>
          <w:sz w:val="20"/>
        </w:rPr>
      </w:pPr>
      <w:r>
        <w:rPr>
          <w:rFonts w:ascii="Times New Roman" w:hAnsi="Times New Roman"/>
          <w:b/>
          <w:spacing w:val="0"/>
          <w:sz w:val="20"/>
        </w:rPr>
        <w:t>NON-U.S.</w:t>
      </w:r>
    </w:p>
    <w:p>
      <w:pPr>
        <w:pStyle w:val="TextBody"/>
        <w:spacing w:before="240" w:after="0"/>
        <w:jc w:val="left"/>
        <w:rPr>
          <w:rFonts w:ascii="Times New Roman" w:hAnsi="Times New Roman"/>
          <w:b/>
          <w:sz w:val="20"/>
        </w:rPr>
      </w:pPr>
      <w:r>
        <w:rPr>
          <w:rFonts w:ascii="Times New Roman" w:hAnsi="Times New Roman"/>
          <w:b/>
          <w:sz w:val="20"/>
        </w:rPr>
        <w:t xml:space="preserve">TAX LAWS.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U.S. Holders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This section applies to you if you are a “U.S. holder.” A U.S. holder is a beneficial owner of our shares of common stock who or that is, for U.S. federal income tax purposes: </w:t>
      </w:r>
    </w:p>
    <w:p>
      <w:pPr>
        <w:pStyle w:val="TextBody"/>
        <w:spacing w:before="0" w:after="0"/>
        <w:jc w:val="left"/>
        <w:rPr>
          <w:spacing w:val="0"/>
        </w:rPr>
      </w:pPr>
      <w:r>
        <w:rPr>
          <w:spacing w:val="0"/>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individual who is a citizen or resident of the United States;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corporation (or other entity taxable as a corporation) organized in or under the laws of the United States, any state thereof or the District of Columbia; or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estate the income of which is includible in gross income for U.S. federal income tax purposes regardless of its source; or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 </w:t>
            </w:r>
          </w:p>
        </w:tc>
      </w:tr>
    </w:tbl>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Taxation of Distributions</w:t>
      </w:r>
    </w:p>
    <w:p>
      <w:pPr>
        <w:pStyle w:val="TextBody"/>
        <w:spacing w:before="240" w:after="0"/>
        <w:jc w:val="left"/>
        <w:rPr>
          <w:rFonts w:ascii="Times New Roman" w:hAnsi="Times New Roman"/>
          <w:sz w:val="20"/>
        </w:rPr>
      </w:pPr>
      <w:r>
        <w:rPr>
          <w:rFonts w:ascii="Times New Roman" w:hAnsi="Times New Roman"/>
          <w:sz w:val="20"/>
        </w:rPr>
        <w:t>. 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U.S. Holders — Gain or Loss on Sale, Taxable Exchange or Other Taxable Disposition of common stock</w:t>
      </w:r>
    </w:p>
    <w:p>
      <w:pPr>
        <w:pStyle w:val="TextBody"/>
        <w:spacing w:before="240" w:after="0"/>
        <w:jc w:val="left"/>
        <w:rPr/>
      </w:pPr>
      <w:r>
        <w:rPr/>
        <w:t xml:space="preserve">” </w:t>
      </w:r>
      <w:r>
        <w:rPr>
          <w:rFonts w:ascii="Times New Roman" w:hAnsi="Times New Roman"/>
          <w:sz w:val="20"/>
        </w:rPr>
        <w:t xml:space="preserve">below. </w:t>
      </w:r>
    </w:p>
    <w:p>
      <w:pPr>
        <w:pStyle w:val="TextBody"/>
        <w:spacing w:before="240" w:after="0"/>
        <w:jc w:val="left"/>
        <w:rPr>
          <w:rFonts w:ascii="Times New Roman" w:hAnsi="Times New Roman"/>
          <w:sz w:val="20"/>
        </w:rPr>
      </w:pPr>
      <w:r>
        <w:rPr>
          <w:rFonts w:ascii="Times New Roman" w:hAnsi="Times New Roman"/>
          <w:sz w:val="20"/>
        </w:rPr>
        <w:t xml:space="preserve">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w:t>
      </w:r>
    </w:p>
    <w:p>
      <w:pPr>
        <w:pStyle w:val="TextBody"/>
        <w:spacing w:before="240" w:after="0"/>
        <w:jc w:val="left"/>
        <w:rPr>
          <w:rFonts w:ascii="Times New Roman" w:hAnsi="Times New Roman"/>
          <w:spacing w:val="0"/>
          <w:sz w:val="20"/>
        </w:rPr>
      </w:pPr>
      <w:r>
        <w:rPr>
          <w:rFonts w:ascii="Times New Roman" w:hAnsi="Times New Roman"/>
          <w:spacing w:val="0"/>
          <w:sz w:val="20"/>
        </w:rPr>
        <w:t>non-corporate</w:t>
      </w:r>
    </w:p>
    <w:p>
      <w:pPr>
        <w:pStyle w:val="TextBody"/>
        <w:spacing w:before="240" w:after="0"/>
        <w:jc w:val="left"/>
        <w:rPr>
          <w:rFonts w:ascii="Times New Roman" w:hAnsi="Times New Roman"/>
          <w:sz w:val="20"/>
        </w:rPr>
      </w:pPr>
      <w:r>
        <w:rPr>
          <w:rFonts w:ascii="Times New Roman" w:hAnsi="Times New Roman"/>
          <w:sz w:val="20"/>
        </w:rPr>
        <w:t xml:space="preserve">U.S. holder may constitute “qualified dividends” that will be subject to tax at the maximum tax rate accorded to long-term capital gains. If the holding period requirements are not satisfied, then a corporation may not be able to qualify for the dividends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received deduction and would have taxable income equal to the entire dividend amount, and </w:t>
      </w:r>
    </w:p>
    <w:p>
      <w:pPr>
        <w:pStyle w:val="TextBody"/>
        <w:spacing w:before="0" w:after="0"/>
        <w:jc w:val="left"/>
        <w:rPr>
          <w:rFonts w:ascii="Times New Roman" w:hAnsi="Times New Roman"/>
          <w:spacing w:val="0"/>
          <w:sz w:val="20"/>
        </w:rPr>
      </w:pPr>
      <w:r>
        <w:rPr>
          <w:rFonts w:ascii="Times New Roman" w:hAnsi="Times New Roman"/>
          <w:spacing w:val="0"/>
          <w:sz w:val="20"/>
        </w:rPr>
        <w:t>non-corporate</w:t>
      </w:r>
    </w:p>
    <w:p>
      <w:pPr>
        <w:pStyle w:val="TextBody"/>
        <w:spacing w:before="0" w:after="0"/>
        <w:jc w:val="left"/>
        <w:rPr>
          <w:rFonts w:ascii="Times New Roman" w:hAnsi="Times New Roman"/>
          <w:sz w:val="20"/>
        </w:rPr>
      </w:pPr>
      <w:r>
        <w:rPr>
          <w:rFonts w:ascii="Times New Roman" w:hAnsi="Times New Roman"/>
          <w:sz w:val="20"/>
        </w:rPr>
        <w:t xml:space="preserve">holders may be subject to tax on such dividend at regular ordinary income tax rates instead of the preferential rate that applies to qualified dividend income.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Gain or Loss on Sale, Taxable Exchange or Other Taxable Disposition of common stock</w:t>
      </w:r>
    </w:p>
    <w:p>
      <w:pPr>
        <w:pStyle w:val="TextBody"/>
        <w:spacing w:before="240" w:after="0"/>
        <w:jc w:val="left"/>
        <w:rPr>
          <w:rFonts w:ascii="Times New Roman" w:hAnsi="Times New Roman"/>
          <w:sz w:val="20"/>
        </w:rPr>
      </w:pPr>
      <w:r>
        <w:rPr>
          <w:rFonts w:ascii="Times New Roman" w:hAnsi="Times New Roman"/>
          <w:sz w:val="20"/>
        </w:rPr>
        <w:t xml:space="preserve">. Upon a sale or other taxable disposition of our common stock, 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w:t>
      </w:r>
    </w:p>
    <w:p>
      <w:pPr>
        <w:pStyle w:val="TextBody"/>
        <w:spacing w:before="240" w:after="0"/>
        <w:jc w:val="left"/>
        <w:rPr>
          <w:rFonts w:ascii="Times New Roman" w:hAnsi="Times New Roman"/>
          <w:spacing w:val="0"/>
          <w:sz w:val="20"/>
        </w:rPr>
      </w:pPr>
      <w:r>
        <w:rPr>
          <w:rFonts w:ascii="Times New Roman" w:hAnsi="Times New Roman"/>
          <w:spacing w:val="0"/>
          <w:sz w:val="20"/>
        </w:rPr>
        <w:t>non-corporate</w:t>
      </w:r>
    </w:p>
    <w:p>
      <w:pPr>
        <w:pStyle w:val="TextBody"/>
        <w:spacing w:before="240" w:after="0"/>
        <w:jc w:val="left"/>
        <w:rPr>
          <w:rFonts w:ascii="Times New Roman" w:hAnsi="Times New Roman"/>
          <w:sz w:val="20"/>
        </w:rPr>
      </w:pPr>
      <w:r>
        <w:rPr>
          <w:rFonts w:ascii="Times New Roman" w:hAnsi="Times New Roman"/>
          <w:sz w:val="20"/>
        </w:rPr>
        <w:t xml:space="preserve">U.S. holders will be eligible to be taxed at reduced rates. The deductibility of capital losses is subject to limitations.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Information Reporting and Backup Withholding</w:t>
      </w:r>
    </w:p>
    <w:p>
      <w:pPr>
        <w:pStyle w:val="TextBody"/>
        <w:spacing w:before="240" w:after="0"/>
        <w:jc w:val="left"/>
        <w:rPr>
          <w:rFonts w:ascii="Times New Roman" w:hAnsi="Times New Roman"/>
          <w:sz w:val="20"/>
        </w:rPr>
      </w:pPr>
      <w:r>
        <w:rPr>
          <w:rFonts w:ascii="Times New Roman" w:hAnsi="Times New Roman"/>
          <w:sz w:val="20"/>
        </w:rPr>
        <w:t xml:space="preserve">. In general, information reporting requirements may apply to dividends paid to a U.S. holder and 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amounts withheld under the backup withholding rules generally should be allowed as a refund or a credit against a U.S. holder’s U.S. federal income tax liability provided the required information is timely furnished to the IRS. </w:t>
      </w:r>
    </w:p>
    <w:p>
      <w:pPr>
        <w:pStyle w:val="TextBody"/>
        <w:spacing w:before="360" w:after="0"/>
        <w:jc w:val="left"/>
        <w:rPr>
          <w:rFonts w:ascii="Times New Roman" w:hAnsi="Times New Roman"/>
          <w:b/>
          <w:spacing w:val="0"/>
          <w:sz w:val="20"/>
        </w:rPr>
      </w:pPr>
      <w:r>
        <w:rPr>
          <w:rFonts w:ascii="Times New Roman" w:hAnsi="Times New Roman"/>
          <w:b/>
          <w:spacing w:val="0"/>
          <w:sz w:val="20"/>
        </w:rPr>
        <w:t>Non-U.S.</w:t>
      </w:r>
    </w:p>
    <w:p>
      <w:pPr>
        <w:pStyle w:val="TextBody"/>
        <w:spacing w:before="360" w:after="0"/>
        <w:jc w:val="left"/>
        <w:rPr>
          <w:rFonts w:ascii="Times New Roman" w:hAnsi="Times New Roman"/>
          <w:b/>
          <w:sz w:val="20"/>
        </w:rPr>
      </w:pPr>
      <w:r>
        <w:rPr>
          <w:rFonts w:ascii="Times New Roman" w:hAnsi="Times New Roman"/>
          <w:b/>
          <w:sz w:val="20"/>
        </w:rPr>
        <w:t xml:space="preserve">Holders </w:t>
      </w:r>
    </w:p>
    <w:p>
      <w:pPr>
        <w:pStyle w:val="TextBody"/>
        <w:spacing w:before="120" w:after="0"/>
        <w:jc w:val="left"/>
        <w:rPr>
          <w:rFonts w:ascii="Times New Roman" w:hAnsi="Times New Roman"/>
          <w:sz w:val="20"/>
        </w:rPr>
      </w:pPr>
      <w:r>
        <w:rPr>
          <w:rFonts w:ascii="Times New Roman" w:hAnsi="Times New Roman"/>
          <w:sz w:val="20"/>
        </w:rPr>
        <w:t xml:space="preserve">This section applies to you if you are a </w:t>
      </w:r>
    </w:p>
    <w:p>
      <w:pPr>
        <w:pStyle w:val="TextBody"/>
        <w:spacing w:before="120" w:after="0"/>
        <w:jc w:val="left"/>
        <w:rPr>
          <w:spacing w:val="0"/>
        </w:rPr>
      </w:pPr>
      <w:r>
        <w:rPr>
          <w:spacing w:val="0"/>
        </w:rPr>
        <w:t>“</w:t>
      </w:r>
      <w:r>
        <w:rPr>
          <w:rFonts w:ascii="Times New Roman" w:hAnsi="Times New Roman"/>
          <w:spacing w:val="0"/>
          <w:sz w:val="20"/>
        </w:rPr>
        <w:t>Non-U.S.</w:t>
      </w:r>
    </w:p>
    <w:p>
      <w:pPr>
        <w:pStyle w:val="TextBody"/>
        <w:spacing w:before="120" w:after="0"/>
        <w:jc w:val="left"/>
        <w:rPr>
          <w:rFonts w:ascii="Times New Roman" w:hAnsi="Times New Roman"/>
          <w:sz w:val="20"/>
        </w:rPr>
      </w:pPr>
      <w:r>
        <w:rPr>
          <w:rFonts w:ascii="Times New Roman" w:hAnsi="Times New Roman"/>
          <w:sz w:val="20"/>
        </w:rPr>
        <w:t xml:space="preserve">holder.” As used herein, the term </w:t>
      </w:r>
    </w:p>
    <w:p>
      <w:pPr>
        <w:pStyle w:val="TextBody"/>
        <w:spacing w:before="120" w:after="0"/>
        <w:jc w:val="left"/>
        <w:rPr>
          <w:spacing w:val="0"/>
        </w:rPr>
      </w:pPr>
      <w:r>
        <w:rPr>
          <w:spacing w:val="0"/>
        </w:rPr>
        <w:t>“</w:t>
      </w:r>
      <w:r>
        <w:rPr>
          <w:rFonts w:ascii="Times New Roman" w:hAnsi="Times New Roman"/>
          <w:spacing w:val="0"/>
          <w:sz w:val="20"/>
        </w:rPr>
        <w:t>Non-U.S.</w:t>
      </w:r>
    </w:p>
    <w:p>
      <w:pPr>
        <w:pStyle w:val="TextBody"/>
        <w:spacing w:before="120" w:after="0"/>
        <w:jc w:val="left"/>
        <w:rPr>
          <w:rFonts w:ascii="Times New Roman" w:hAnsi="Times New Roman"/>
          <w:sz w:val="20"/>
        </w:rPr>
      </w:pPr>
      <w:r>
        <w:rPr>
          <w:rFonts w:ascii="Times New Roman" w:hAnsi="Times New Roman"/>
          <w:sz w:val="20"/>
        </w:rPr>
        <w:t xml:space="preserve">holder” means a beneficial owner of our common stock who or that is for U.S. federal income tax purposes: </w:t>
      </w:r>
    </w:p>
    <w:p>
      <w:pPr>
        <w:pStyle w:val="TextBody"/>
        <w:spacing w:before="0" w:after="0"/>
        <w:jc w:val="left"/>
        <w:rPr>
          <w:spacing w:val="0"/>
        </w:rPr>
      </w:pPr>
      <w:r>
        <w:rPr>
          <w:spacing w:val="0"/>
        </w:rPr>
        <w:t> </w:t>
      </w:r>
    </w:p>
    <w:tbl>
      <w:tblPr>
        <w:tblW w:w="9175" w:type="dxa"/>
        <w:jc w:val="left"/>
        <w:tblInd w:w="0" w:type="dxa"/>
        <w:tblCellMar>
          <w:top w:w="0" w:type="dxa"/>
          <w:left w:w="0" w:type="dxa"/>
          <w:bottom w:w="0" w:type="dxa"/>
          <w:right w:w="0" w:type="dxa"/>
        </w:tblCellMar>
      </w:tblPr>
      <w:tblGrid>
        <w:gridCol w:w="75"/>
        <w:gridCol w:w="110"/>
        <w:gridCol w:w="60"/>
        <w:gridCol w:w="8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w:t>
            </w:r>
          </w:p>
          <w:p>
            <w:pPr>
              <w:pStyle w:val="TableContents"/>
              <w:spacing w:before="0" w:after="0"/>
              <w:jc w:val="left"/>
              <w:rPr>
                <w:rFonts w:ascii="Times New Roman" w:hAnsi="Times New Roman"/>
                <w:spacing w:val="0"/>
                <w:sz w:val="20"/>
              </w:rPr>
            </w:pPr>
            <w:r>
              <w:rPr>
                <w:rFonts w:ascii="Times New Roman" w:hAnsi="Times New Roman"/>
                <w:spacing w:val="0"/>
                <w:sz w:val="20"/>
              </w:rPr>
              <w:t>non-resident</w:t>
            </w:r>
          </w:p>
          <w:p>
            <w:pPr>
              <w:pStyle w:val="TableContents"/>
              <w:spacing w:before="0" w:after="0"/>
              <w:jc w:val="left"/>
              <w:rPr>
                <w:rFonts w:ascii="Times New Roman" w:hAnsi="Times New Roman"/>
                <w:sz w:val="20"/>
              </w:rPr>
            </w:pPr>
            <w:r>
              <w:rPr>
                <w:rFonts w:ascii="Times New Roman" w:hAnsi="Times New Roman"/>
                <w:sz w:val="20"/>
              </w:rPr>
              <w:t xml:space="preserve">alien individual (other than certain former citizens and residents of the U.S. subject to U.S. tax as expatriates); </w:t>
            </w:r>
          </w:p>
        </w:tc>
      </w:tr>
    </w:tbl>
    <w:p>
      <w:pPr>
        <w:pStyle w:val="TextBody"/>
        <w:spacing w:before="0" w:after="0"/>
        <w:jc w:val="left"/>
        <w:rPr>
          <w:spacing w:val="0"/>
        </w:rPr>
      </w:pPr>
      <w:r>
        <w:rPr>
          <w:spacing w:val="0"/>
        </w:rPr>
        <w:t> </w:t>
      </w:r>
    </w:p>
    <w:tbl>
      <w:tblPr>
        <w:tblW w:w="2245" w:type="dxa"/>
        <w:jc w:val="left"/>
        <w:tblInd w:w="0" w:type="dxa"/>
        <w:tblCellMar>
          <w:top w:w="0" w:type="dxa"/>
          <w:left w:w="0" w:type="dxa"/>
          <w:bottom w:w="0" w:type="dxa"/>
          <w:right w:w="0" w:type="dxa"/>
        </w:tblCellMar>
      </w:tblPr>
      <w:tblGrid>
        <w:gridCol w:w="75"/>
        <w:gridCol w:w="110"/>
        <w:gridCol w:w="60"/>
        <w:gridCol w:w="2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foreign corporation or </w:t>
            </w:r>
          </w:p>
        </w:tc>
      </w:tr>
    </w:tbl>
    <w:p>
      <w:pPr>
        <w:pStyle w:val="TextBody"/>
        <w:spacing w:before="0" w:after="0"/>
        <w:jc w:val="left"/>
        <w:rPr>
          <w:spacing w:val="0"/>
        </w:rPr>
      </w:pPr>
      <w:r>
        <w:rPr>
          <w:spacing w:val="0"/>
        </w:rPr>
        <w:t> </w:t>
      </w:r>
    </w:p>
    <w:tbl>
      <w:tblPr>
        <w:tblW w:w="3640" w:type="dxa"/>
        <w:jc w:val="left"/>
        <w:tblInd w:w="0" w:type="dxa"/>
        <w:tblCellMar>
          <w:top w:w="0" w:type="dxa"/>
          <w:left w:w="0" w:type="dxa"/>
          <w:bottom w:w="0" w:type="dxa"/>
          <w:right w:w="0" w:type="dxa"/>
        </w:tblCellMar>
      </w:tblPr>
      <w:tblGrid>
        <w:gridCol w:w="75"/>
        <w:gridCol w:w="110"/>
        <w:gridCol w:w="60"/>
        <w:gridCol w:w="3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 estate or trust that is not a U.S. holder;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Taxation of Distributions</w:t>
      </w:r>
    </w:p>
    <w:p>
      <w:pPr>
        <w:pStyle w:val="TextBody"/>
        <w:spacing w:before="240" w:after="0"/>
        <w:jc w:val="left"/>
        <w:rPr>
          <w:rFonts w:ascii="Times New Roman" w:hAnsi="Times New Roman"/>
          <w:sz w:val="20"/>
        </w:rPr>
      </w:pPr>
      <w:r>
        <w:rPr>
          <w:rFonts w:ascii="Times New Roman" w:hAnsi="Times New Roman"/>
          <w:sz w:val="20"/>
        </w:rPr>
        <w:t xml:space="preserve">. In general, any distributions we make to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holder’s conduct of a trade or business within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United States, we will be required to withhold tax from the gross amount of the dividend at a rate of 30%, unless such </w:t>
      </w:r>
    </w:p>
    <w:p>
      <w:pPr>
        <w:pStyle w:val="TextBody"/>
        <w:spacing w:before="0" w:after="0"/>
        <w:jc w:val="left"/>
        <w:rPr>
          <w:rFonts w:ascii="Times New Roman" w:hAnsi="Times New Roman"/>
          <w:spacing w:val="0"/>
          <w:sz w:val="20"/>
        </w:rPr>
      </w:pPr>
      <w:r>
        <w:rPr>
          <w:rFonts w:ascii="Times New Roman" w:hAnsi="Times New Roman"/>
          <w:spacing w:val="0"/>
          <w:sz w:val="20"/>
        </w:rPr>
        <w:t>Non-U.S.</w:t>
      </w:r>
    </w:p>
    <w:p>
      <w:pPr>
        <w:pStyle w:val="TextBody"/>
        <w:spacing w:before="0" w:after="0"/>
        <w:jc w:val="left"/>
        <w:rPr>
          <w:rFonts w:ascii="Times New Roman" w:hAnsi="Times New Roman"/>
          <w:sz w:val="20"/>
        </w:rPr>
      </w:pPr>
      <w:r>
        <w:rPr>
          <w:rFonts w:ascii="Times New Roman" w:hAnsi="Times New Roman"/>
          <w:sz w:val="20"/>
        </w:rPr>
        <w:t xml:space="preserve">holder is eligible for a reduced rate of withholding tax under an applicable income tax treaty and provides proper certification of its eligibility for such reduced rate (usually on an IRS Form </w:t>
      </w:r>
    </w:p>
    <w:p>
      <w:pPr>
        <w:pStyle w:val="TextBody"/>
        <w:spacing w:before="0" w:after="0"/>
        <w:jc w:val="left"/>
        <w:rPr>
          <w:rFonts w:ascii="Times New Roman" w:hAnsi="Times New Roman"/>
          <w:spacing w:val="0"/>
          <w:sz w:val="20"/>
        </w:rPr>
      </w:pPr>
      <w:r>
        <w:rPr>
          <w:rFonts w:ascii="Times New Roman" w:hAnsi="Times New Roman"/>
          <w:spacing w:val="0"/>
          <w:sz w:val="20"/>
        </w:rPr>
        <w:t>W-8BEN</w:t>
      </w:r>
    </w:p>
    <w:p>
      <w:pPr>
        <w:pStyle w:val="TextBody"/>
        <w:spacing w:before="0" w:after="0"/>
        <w:jc w:val="left"/>
        <w:rPr>
          <w:rFonts w:ascii="Times New Roman" w:hAnsi="Times New Roman"/>
          <w:sz w:val="20"/>
        </w:rPr>
      </w:pPr>
      <w:r>
        <w:rPr>
          <w:rFonts w:ascii="Times New Roman" w:hAnsi="Times New Roman"/>
          <w:sz w:val="20"/>
        </w:rPr>
        <w:t xml:space="preserve">or </w:t>
      </w:r>
    </w:p>
    <w:p>
      <w:pPr>
        <w:pStyle w:val="TextBody"/>
        <w:spacing w:before="0" w:after="0"/>
        <w:jc w:val="left"/>
        <w:rPr>
          <w:rFonts w:ascii="Times New Roman" w:hAnsi="Times New Roman"/>
          <w:spacing w:val="0"/>
          <w:sz w:val="20"/>
        </w:rPr>
      </w:pPr>
      <w:r>
        <w:rPr>
          <w:rFonts w:ascii="Times New Roman" w:hAnsi="Times New Roman"/>
          <w:spacing w:val="0"/>
          <w:sz w:val="20"/>
        </w:rPr>
        <w:t>W-8BEN-E).</w:t>
      </w:r>
    </w:p>
    <w:p>
      <w:pPr>
        <w:pStyle w:val="TextBody"/>
        <w:spacing w:before="0" w:after="0"/>
        <w:jc w:val="left"/>
        <w:rPr>
          <w:rFonts w:ascii="Times New Roman" w:hAnsi="Times New Roman"/>
          <w:sz w:val="20"/>
        </w:rPr>
      </w:pPr>
      <w:r>
        <w:rPr>
          <w:rFonts w:ascii="Times New Roman" w:hAnsi="Times New Roman"/>
          <w:sz w:val="20"/>
        </w:rPr>
        <w:t xml:space="preserve">Any distribution not constituting a dividend will be treated first as reducing (but not below zero) the </w:t>
      </w:r>
    </w:p>
    <w:p>
      <w:pPr>
        <w:pStyle w:val="TextBody"/>
        <w:spacing w:before="0" w:after="0"/>
        <w:jc w:val="left"/>
        <w:rPr>
          <w:rFonts w:ascii="Times New Roman" w:hAnsi="Times New Roman"/>
          <w:spacing w:val="0"/>
          <w:sz w:val="20"/>
        </w:rPr>
      </w:pPr>
      <w:r>
        <w:rPr>
          <w:rFonts w:ascii="Times New Roman" w:hAnsi="Times New Roman"/>
          <w:spacing w:val="0"/>
          <w:sz w:val="20"/>
        </w:rPr>
        <w:t>Non-U.S.</w:t>
      </w:r>
    </w:p>
    <w:p>
      <w:pPr>
        <w:pStyle w:val="TextBody"/>
        <w:spacing w:before="0" w:after="0"/>
        <w:jc w:val="left"/>
        <w:rPr>
          <w:rFonts w:ascii="Times New Roman" w:hAnsi="Times New Roman"/>
          <w:sz w:val="20"/>
        </w:rPr>
      </w:pPr>
      <w:r>
        <w:rPr>
          <w:rFonts w:ascii="Times New Roman" w:hAnsi="Times New Roman"/>
          <w:sz w:val="20"/>
        </w:rPr>
        <w:t xml:space="preserve">holder’s adjusted tax basis in its shares of our common stock and, to the extent such distribution exceeds the </w:t>
      </w:r>
    </w:p>
    <w:p>
      <w:pPr>
        <w:pStyle w:val="TextBody"/>
        <w:spacing w:before="0" w:after="0"/>
        <w:jc w:val="left"/>
        <w:rPr>
          <w:rFonts w:ascii="Times New Roman" w:hAnsi="Times New Roman"/>
          <w:spacing w:val="0"/>
          <w:sz w:val="20"/>
        </w:rPr>
      </w:pPr>
      <w:r>
        <w:rPr>
          <w:rFonts w:ascii="Times New Roman" w:hAnsi="Times New Roman"/>
          <w:spacing w:val="0"/>
          <w:sz w:val="20"/>
        </w:rPr>
        <w:t>Non-U.S.</w:t>
      </w:r>
    </w:p>
    <w:p>
      <w:pPr>
        <w:pStyle w:val="TextBody"/>
        <w:spacing w:before="0" w:after="0"/>
        <w:jc w:val="left"/>
        <w:rPr>
          <w:rFonts w:ascii="Times New Roman" w:hAnsi="Times New Roman"/>
          <w:sz w:val="20"/>
        </w:rPr>
      </w:pPr>
      <w:r>
        <w:rPr>
          <w:rFonts w:ascii="Times New Roman" w:hAnsi="Times New Roman"/>
          <w:sz w:val="20"/>
        </w:rPr>
        <w:t xml:space="preserve">holder’s adjusted tax basis, as gain realized from the sale or other disposition of the common stock, which will be treated as described under </w:t>
      </w:r>
    </w:p>
    <w:p>
      <w:pPr>
        <w:pStyle w:val="TextBody"/>
        <w:spacing w:before="0" w:after="0"/>
        <w:jc w:val="left"/>
        <w:rPr>
          <w:spacing w:val="0"/>
        </w:rPr>
      </w:pPr>
      <w:r>
        <w:rPr>
          <w:spacing w:val="0"/>
        </w:rPr>
        <w:t>“</w:t>
      </w:r>
      <w:r>
        <w:rPr>
          <w:rFonts w:ascii="Times New Roman" w:hAnsi="Times New Roman"/>
          <w:spacing w:val="0"/>
          <w:sz w:val="20"/>
        </w:rPr>
        <w:t>Non-U.S.</w:t>
      </w:r>
    </w:p>
    <w:p>
      <w:pPr>
        <w:pStyle w:val="TextBody"/>
        <w:spacing w:before="0" w:after="0"/>
        <w:jc w:val="left"/>
        <w:rPr>
          <w:rFonts w:ascii="Times New Roman" w:hAnsi="Times New Roman"/>
          <w:sz w:val="20"/>
        </w:rPr>
      </w:pPr>
      <w:r>
        <w:rPr>
          <w:rFonts w:ascii="Times New Roman" w:hAnsi="Times New Roman"/>
          <w:sz w:val="20"/>
        </w:rPr>
        <w:t xml:space="preserve">Holders — Gain on Sale, Taxable Exchange or Other Taxable Disposition of common stock” below. If we are unable to determine, at a time reasonably close to the date of payment of a distribution on our common stock, what portion, if any, of the distribution will constitute a dividend, then we may withhold U.S. federal income tax on the basis of assuming that the full amount of the distribution will be a dividend. If we or another withholding agent apply over-withholding, a </w:t>
      </w:r>
    </w:p>
    <w:p>
      <w:pPr>
        <w:pStyle w:val="TextBody"/>
        <w:spacing w:before="0" w:after="0"/>
        <w:jc w:val="left"/>
        <w:rPr>
          <w:rFonts w:ascii="Times New Roman" w:hAnsi="Times New Roman"/>
          <w:spacing w:val="0"/>
          <w:sz w:val="20"/>
        </w:rPr>
      </w:pPr>
      <w:r>
        <w:rPr>
          <w:rFonts w:ascii="Times New Roman" w:hAnsi="Times New Roman"/>
          <w:spacing w:val="0"/>
          <w:sz w:val="20"/>
        </w:rPr>
        <w:t>non-U.S.</w:t>
      </w:r>
    </w:p>
    <w:p>
      <w:pPr>
        <w:pStyle w:val="TextBody"/>
        <w:spacing w:before="0" w:after="0"/>
        <w:jc w:val="left"/>
        <w:rPr>
          <w:rFonts w:ascii="Times New Roman" w:hAnsi="Times New Roman"/>
          <w:sz w:val="20"/>
        </w:rPr>
      </w:pPr>
      <w:r>
        <w:rPr>
          <w:rFonts w:ascii="Times New Roman" w:hAnsi="Times New Roman"/>
          <w:sz w:val="20"/>
        </w:rPr>
        <w:t xml:space="preserve">holder may be entitled to a refund or credit of any excess tax withheld by timely filing an appropriate claim with the IRS. </w:t>
      </w:r>
    </w:p>
    <w:p>
      <w:pPr>
        <w:pStyle w:val="TextBody"/>
        <w:spacing w:before="240" w:after="0"/>
        <w:jc w:val="left"/>
        <w:rPr>
          <w:rFonts w:ascii="Times New Roman" w:hAnsi="Times New Roman"/>
          <w:sz w:val="20"/>
        </w:rPr>
      </w:pPr>
      <w:r>
        <w:rPr>
          <w:rFonts w:ascii="Times New Roman" w:hAnsi="Times New Roman"/>
          <w:sz w:val="20"/>
        </w:rPr>
        <w:t xml:space="preserve">The withholding tax does not apply to dividends paid to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who provides a Form </w:t>
      </w:r>
    </w:p>
    <w:p>
      <w:pPr>
        <w:pStyle w:val="TextBody"/>
        <w:spacing w:before="240" w:after="0"/>
        <w:jc w:val="left"/>
        <w:rPr>
          <w:rFonts w:ascii="Times New Roman" w:hAnsi="Times New Roman"/>
          <w:spacing w:val="0"/>
          <w:sz w:val="20"/>
        </w:rPr>
      </w:pPr>
      <w:r>
        <w:rPr>
          <w:rFonts w:ascii="Times New Roman" w:hAnsi="Times New Roman"/>
          <w:spacing w:val="0"/>
          <w:sz w:val="20"/>
        </w:rPr>
        <w:t>W-8ECI,</w:t>
      </w:r>
    </w:p>
    <w:p>
      <w:pPr>
        <w:pStyle w:val="TextBody"/>
        <w:spacing w:before="240" w:after="0"/>
        <w:jc w:val="left"/>
        <w:rPr>
          <w:rFonts w:ascii="Times New Roman" w:hAnsi="Times New Roman"/>
          <w:sz w:val="20"/>
        </w:rPr>
      </w:pPr>
      <w:r>
        <w:rPr>
          <w:rFonts w:ascii="Times New Roman" w:hAnsi="Times New Roman"/>
          <w:sz w:val="20"/>
        </w:rPr>
        <w:t xml:space="preserve">certifying that the dividends are effectively connected with the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holder’s conduct of a trade or business within the United States. Instead, the effectively connected dividends will be subject to regular U.S. income tax as if the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were a U.S. resident, subject to an applicable income tax treaty providing otherwise.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corporation receiving effectively connected dividends may also be subject to an additional “branch profits tax” imposed at a rate of 30% (or a lower treaty rate). </w:t>
      </w:r>
    </w:p>
    <w:p>
      <w:pPr>
        <w:pStyle w:val="TextBody"/>
        <w:spacing w:before="240" w:after="0"/>
        <w:jc w:val="left"/>
        <w:rPr>
          <w:rFonts w:ascii="Times New Roman" w:hAnsi="Times New Roman"/>
          <w:sz w:val="20"/>
        </w:rPr>
      </w:pPr>
      <w:r>
        <w:rPr>
          <w:rFonts w:ascii="Times New Roman" w:hAnsi="Times New Roman"/>
          <w:sz w:val="20"/>
        </w:rPr>
        <w:t xml:space="preserve">Any documentation provided to an applicable withholding agent may need to be updated in certain circumstances. The certification requirements described above also may require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to provide its U.S. taxpayer identification number.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Gain on Sale, Taxable Exchange or Other Taxable Disposition of common stock</w:t>
      </w:r>
    </w:p>
    <w:p>
      <w:pPr>
        <w:pStyle w:val="TextBody"/>
        <w:spacing w:before="240" w:after="0"/>
        <w:jc w:val="left"/>
        <w:rPr>
          <w:rFonts w:ascii="Times New Roman" w:hAnsi="Times New Roman"/>
          <w:sz w:val="20"/>
        </w:rPr>
      </w:pPr>
      <w:r>
        <w:rPr>
          <w:rFonts w:ascii="Times New Roman" w:hAnsi="Times New Roman"/>
          <w:sz w:val="20"/>
        </w:rPr>
        <w:t xml:space="preserve">.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generally will not be subject to U.S. federal income or withholding tax in respect of gain recognized on a sale, taxable exchange or other taxable disposition of our common stock, unless: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gain is effectively connected with the conduct of a trade or business by the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 within the United States (and, under certain income tax treaties, is attributable to a United States permanent establishment or fixed base maintained by the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 is a nonresident alien individual who is present in the United States for a period or periods aggregating 183 days or more in the taxable year of the disposition and certain other conditions are met, in which case the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 will be subject to a 30% tax (or such lower rate as may be specified by an applicable income tax treaty) on the amount by which the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holder’s capital gains allocable to U.S. sources exceed capital losses allocable to U.S. sources during the taxable year of the disposition (without taking into account any capital loss carryovers); or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are or have been a “U.S. real property holding corporation” for U.S. federal income tax purposes at any time during the shorter of the five-year period ending on the date of disposition or the period that the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 held our common stock, and, in the case where shares of our common stock are regularly traded on an established securities market, the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 has owned, directly or constructively, more than 5% of our common stock at any time within the shorter of the five-year period preceding the disposition or such </w:t>
            </w:r>
          </w:p>
          <w:p>
            <w:pPr>
              <w:pStyle w:val="TableContents"/>
              <w:spacing w:before="0" w:after="0"/>
              <w:jc w:val="left"/>
              <w:rPr>
                <w:rFonts w:ascii="Times New Roman" w:hAnsi="Times New Roman"/>
                <w:spacing w:val="0"/>
                <w:sz w:val="20"/>
              </w:rPr>
            </w:pPr>
            <w:r>
              <w:rPr>
                <w:rFonts w:ascii="Times New Roman" w:hAnsi="Times New Roman"/>
                <w:spacing w:val="0"/>
                <w:sz w:val="20"/>
              </w:rPr>
              <w:t>Non-U.S.</w:t>
            </w:r>
          </w:p>
          <w:p>
            <w:pPr>
              <w:pStyle w:val="TableContents"/>
              <w:spacing w:before="0" w:after="0"/>
              <w:jc w:val="left"/>
              <w:rPr>
                <w:rFonts w:ascii="Times New Roman" w:hAnsi="Times New Roman"/>
                <w:sz w:val="20"/>
              </w:rPr>
            </w:pPr>
            <w:r>
              <w:rPr>
                <w:rFonts w:ascii="Times New Roman" w:hAnsi="Times New Roman"/>
                <w:sz w:val="20"/>
              </w:rPr>
              <w:t xml:space="preserve">holder’s holding period for the shares of our common stock. There can be no assurance that our common stock will be treated as regularly traded on an established securities market for this purpose. Generally, a corporation is a U.S. real property holding corporation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Unless an applicable treaty provides otherwise, gain described in the first bullet point above will be subject to tax at generally applicable U.S. federal income tax rates as if the </w:t>
      </w:r>
    </w:p>
    <w:p>
      <w:pPr>
        <w:pStyle w:val="TextBody"/>
        <w:spacing w:before="0" w:after="0"/>
        <w:jc w:val="left"/>
        <w:rPr>
          <w:rFonts w:ascii="Times New Roman" w:hAnsi="Times New Roman"/>
          <w:spacing w:val="0"/>
          <w:sz w:val="20"/>
        </w:rPr>
      </w:pPr>
      <w:r>
        <w:rPr>
          <w:rFonts w:ascii="Times New Roman" w:hAnsi="Times New Roman"/>
          <w:spacing w:val="0"/>
          <w:sz w:val="20"/>
        </w:rPr>
        <w:t>Non-U.S.</w:t>
      </w:r>
    </w:p>
    <w:p>
      <w:pPr>
        <w:pStyle w:val="TextBody"/>
        <w:spacing w:before="0" w:after="0"/>
        <w:jc w:val="left"/>
        <w:rPr>
          <w:rFonts w:ascii="Times New Roman" w:hAnsi="Times New Roman"/>
          <w:sz w:val="20"/>
        </w:rPr>
      </w:pPr>
      <w:r>
        <w:rPr>
          <w:rFonts w:ascii="Times New Roman" w:hAnsi="Times New Roman"/>
          <w:sz w:val="20"/>
        </w:rPr>
        <w:t xml:space="preserve">holder were a U.S. resident. Any gains described in the first bullet point above of a </w:t>
      </w:r>
    </w:p>
    <w:p>
      <w:pPr>
        <w:pStyle w:val="TextBody"/>
        <w:spacing w:before="0" w:after="0"/>
        <w:jc w:val="left"/>
        <w:rPr>
          <w:rFonts w:ascii="Times New Roman" w:hAnsi="Times New Roman"/>
          <w:spacing w:val="0"/>
          <w:sz w:val="20"/>
        </w:rPr>
      </w:pPr>
      <w:r>
        <w:rPr>
          <w:rFonts w:ascii="Times New Roman" w:hAnsi="Times New Roman"/>
          <w:spacing w:val="0"/>
          <w:sz w:val="20"/>
        </w:rPr>
        <w:t>Non-U.S.</w:t>
      </w:r>
    </w:p>
    <w:p>
      <w:pPr>
        <w:pStyle w:val="TextBody"/>
        <w:spacing w:before="0" w:after="0"/>
        <w:jc w:val="left"/>
        <w:rPr>
          <w:rFonts w:ascii="Times New Roman" w:hAnsi="Times New Roman"/>
          <w:sz w:val="20"/>
        </w:rPr>
      </w:pPr>
      <w:r>
        <w:rPr>
          <w:rFonts w:ascii="Times New Roman" w:hAnsi="Times New Roman"/>
          <w:sz w:val="20"/>
        </w:rPr>
        <w:t xml:space="preserve">holder that is a foreign corporation may also be subject to an additional “branch profits tax” at a 30% rate (or lower treaty rate). </w:t>
      </w:r>
    </w:p>
    <w:p>
      <w:pPr>
        <w:pStyle w:val="TextBody"/>
        <w:spacing w:before="240" w:after="0"/>
        <w:jc w:val="left"/>
        <w:rPr>
          <w:rFonts w:ascii="Times New Roman" w:hAnsi="Times New Roman"/>
          <w:sz w:val="20"/>
        </w:rPr>
      </w:pPr>
      <w:r>
        <w:rPr>
          <w:rFonts w:ascii="Times New Roman" w:hAnsi="Times New Roman"/>
          <w:sz w:val="20"/>
        </w:rPr>
        <w:t xml:space="preserve">If the third bullet point above applies to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gain recognized by such holder on the sale, exchange or other disposition of our common stock will be subject to tax at generally applicable U.S. federal income tax rates.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Information Reporting and Backup Withholding</w:t>
      </w:r>
    </w:p>
    <w:p>
      <w:pPr>
        <w:pStyle w:val="TextBody"/>
        <w:spacing w:before="240" w:after="0"/>
        <w:jc w:val="left"/>
        <w:rPr>
          <w:rFonts w:ascii="Times New Roman" w:hAnsi="Times New Roman"/>
          <w:sz w:val="20"/>
        </w:rPr>
      </w:pPr>
      <w:r>
        <w:rPr>
          <w:rFonts w:ascii="Times New Roman" w:hAnsi="Times New Roman"/>
          <w:sz w:val="20"/>
        </w:rPr>
        <w:t xml:space="preserve">. Information returns will be filed with the IRS in connection with payments of dividends and the proceeds from a sale or other disposition of our shares of common stock.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will be allowed as a credit against such holder’s U.S. federal income tax liability and may entitle such holder to a refund, provided that the required information is timely furnished to the IRS.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FATCA Withholding Taxes</w:t>
      </w:r>
    </w:p>
    <w:p>
      <w:pPr>
        <w:pStyle w:val="TextBody"/>
        <w:spacing w:before="240" w:after="0"/>
        <w:jc w:val="left"/>
        <w:rPr>
          <w:rFonts w:ascii="Times New Roman" w:hAnsi="Times New Roman"/>
          <w:sz w:val="20"/>
        </w:rPr>
      </w:pPr>
      <w:r>
        <w:rPr>
          <w:rFonts w:ascii="Times New Roman" w:hAnsi="Times New Roman"/>
          <w:sz w:val="20"/>
        </w:rPr>
        <w:t xml:space="preserve">. 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t>
      </w:r>
    </w:p>
    <w:p>
      <w:pPr>
        <w:pStyle w:val="TextBody"/>
        <w:spacing w:before="240" w:after="0"/>
        <w:jc w:val="left"/>
        <w:rPr>
          <w:rFonts w:ascii="Times New Roman" w:hAnsi="Times New Roman"/>
          <w:spacing w:val="0"/>
          <w:sz w:val="20"/>
        </w:rPr>
      </w:pPr>
      <w:r>
        <w:rPr>
          <w:rFonts w:ascii="Times New Roman" w:hAnsi="Times New Roman"/>
          <w:spacing w:val="0"/>
          <w:sz w:val="20"/>
        </w:rPr>
        <w:t>W-8BEN-E).</w:t>
      </w:r>
    </w:p>
    <w:p>
      <w:pPr>
        <w:pStyle w:val="TextBody"/>
        <w:spacing w:before="240" w:after="0"/>
        <w:jc w:val="left"/>
        <w:rPr>
          <w:rFonts w:ascii="Times New Roman" w:hAnsi="Times New Roman"/>
          <w:sz w:val="20"/>
        </w:rPr>
      </w:pPr>
      <w:r>
        <w:rPr>
          <w:rFonts w:ascii="Times New Roman" w:hAnsi="Times New Roman"/>
          <w:sz w:val="20"/>
        </w:rPr>
        <w:t xml:space="preserve">Foreign financial institutions located in jurisdictions that have an intergovernmental agreement with the United States governing FATCA may be subject to different rules. Under certain circumstances,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might be eligible for refunds or credits of such withholding taxes, and a </w:t>
      </w:r>
    </w:p>
    <w:p>
      <w:pPr>
        <w:pStyle w:val="TextBody"/>
        <w:spacing w:before="240" w:after="0"/>
        <w:jc w:val="left"/>
        <w:rPr>
          <w:rFonts w:ascii="Times New Roman" w:hAnsi="Times New Roman"/>
          <w:spacing w:val="0"/>
          <w:sz w:val="20"/>
        </w:rPr>
      </w:pPr>
      <w:r>
        <w:rPr>
          <w:rFonts w:ascii="Times New Roman" w:hAnsi="Times New Roman"/>
          <w:spacing w:val="0"/>
          <w:sz w:val="20"/>
        </w:rPr>
        <w:t>Non-U.S.</w:t>
      </w:r>
    </w:p>
    <w:p>
      <w:pPr>
        <w:pStyle w:val="TextBody"/>
        <w:spacing w:before="240" w:after="0"/>
        <w:jc w:val="left"/>
        <w:rPr>
          <w:rFonts w:ascii="Times New Roman" w:hAnsi="Times New Roman"/>
          <w:sz w:val="20"/>
        </w:rPr>
      </w:pPr>
      <w:r>
        <w:rPr>
          <w:rFonts w:ascii="Times New Roman" w:hAnsi="Times New Roman"/>
          <w:sz w:val="20"/>
        </w:rPr>
        <w:t xml:space="preserve">holder might be required to file a U.S. federal income tax return to claim such refunds or credits. Prospective investors should consult their tax advisers regarding the effects of FATCA on their investment in our securities. </w:t>
      </w:r>
    </w:p>
    <w:p>
      <w:pPr>
        <w:pStyle w:val="TextBody"/>
        <w:spacing w:before="240" w:after="0"/>
        <w:jc w:val="left"/>
        <w:rPr>
          <w:rFonts w:ascii="Times New Roman" w:hAnsi="Times New Roman"/>
          <w:b/>
          <w:sz w:val="20"/>
        </w:rPr>
      </w:pPr>
      <w:r>
        <w:rPr>
          <w:rFonts w:ascii="Times New Roman" w:hAnsi="Times New Roman"/>
          <w:b/>
          <w:sz w:val="20"/>
        </w:rPr>
        <w:t xml:space="preserve">The preceding discussion of material U.S. federal tax considerations is for general information only. It is not tax advice. You should consult your own tax advisors regarding the particular U.S. federal, state, local and </w:t>
      </w:r>
    </w:p>
    <w:p>
      <w:pPr>
        <w:pStyle w:val="TextBody"/>
        <w:spacing w:before="240" w:after="0"/>
        <w:jc w:val="left"/>
        <w:rPr>
          <w:rFonts w:ascii="Times New Roman" w:hAnsi="Times New Roman"/>
          <w:b/>
          <w:spacing w:val="0"/>
          <w:sz w:val="20"/>
        </w:rPr>
      </w:pPr>
      <w:r>
        <w:rPr>
          <w:rFonts w:ascii="Times New Roman" w:hAnsi="Times New Roman"/>
          <w:b/>
          <w:spacing w:val="0"/>
          <w:sz w:val="20"/>
        </w:rPr>
        <w:t>non-U.S.</w:t>
      </w:r>
    </w:p>
    <w:p>
      <w:pPr>
        <w:pStyle w:val="TextBody"/>
        <w:spacing w:before="240" w:after="0"/>
        <w:jc w:val="left"/>
        <w:rPr>
          <w:rFonts w:ascii="Times New Roman" w:hAnsi="Times New Roman"/>
          <w:b/>
          <w:sz w:val="20"/>
        </w:rPr>
      </w:pPr>
      <w:r>
        <w:rPr>
          <w:rFonts w:ascii="Times New Roman" w:hAnsi="Times New Roman"/>
          <w:b/>
          <w:sz w:val="20"/>
        </w:rPr>
        <w:t xml:space="preserve">tax consequences of purchasing, holding and disposing of our common stock, including the consequences of any proposed changes in applicable laws.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PLAN OF DISTRIBUTION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registering the possible offer and sale from time to time by the Selling Securityholders, or their permitted transferees, of up to an aggregate of 68,175,412 shares of common stock, consisting of up to an aggregate of 18,610,000 shares of our common stock that were issued to the PIPE Investors in the PIPE Financing and up to an aggregate of 49,565,412 shares of our common stock issued to certain former shareholders of Tango Therapeutics Sub, Inc. at the closing of the Business Combination. We are also registering any additional securities that may become issuable by reason of share splits, share dividends or other similar transactions.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w:t>
      </w:r>
    </w:p>
    <w:p>
      <w:pPr>
        <w:pStyle w:val="TextBody"/>
        <w:spacing w:before="240" w:after="0"/>
        <w:jc w:val="left"/>
        <w:rPr>
          <w:rFonts w:ascii="Times New Roman" w:hAnsi="Times New Roman"/>
          <w:sz w:val="20"/>
        </w:rPr>
      </w:pPr>
      <w:r>
        <w:rPr>
          <w:rFonts w:ascii="Times New Roman" w:hAnsi="Times New Roman"/>
          <w:sz w:val="20"/>
        </w:rPr>
        <w:t xml:space="preserve">The securities beneficially owned by the Selling Securityholders covered by this prospectus may be offered and sold from time to time by the Selling Securityholders. The term “Selling Securityholders” includes donees, pledgees, transferees or other </w:t>
      </w:r>
    </w:p>
    <w:p>
      <w:pPr>
        <w:pStyle w:val="TextBody"/>
        <w:spacing w:before="240" w:after="0"/>
        <w:jc w:val="left"/>
        <w:rPr>
          <w:rFonts w:ascii="Times New Roman" w:hAnsi="Times New Roman"/>
          <w:spacing w:val="0"/>
          <w:sz w:val="20"/>
        </w:rPr>
      </w:pPr>
      <w:r>
        <w:rPr>
          <w:rFonts w:ascii="Times New Roman" w:hAnsi="Times New Roman"/>
          <w:spacing w:val="0"/>
          <w:sz w:val="20"/>
        </w:rPr>
        <w:t>successors-in-interest</w:t>
      </w:r>
    </w:p>
    <w:p>
      <w:pPr>
        <w:pStyle w:val="TextBody"/>
        <w:spacing w:before="240" w:after="0"/>
        <w:jc w:val="left"/>
        <w:rPr>
          <w:rFonts w:ascii="Times New Roman" w:hAnsi="Times New Roman"/>
          <w:sz w:val="20"/>
        </w:rPr>
      </w:pPr>
      <w:r>
        <w:rPr>
          <w:rFonts w:ascii="Times New Roman" w:hAnsi="Times New Roman"/>
          <w:sz w:val="20"/>
        </w:rPr>
        <w:t xml:space="preserve">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w:t>
      </w:r>
    </w:p>
    <w:p>
      <w:pPr>
        <w:pStyle w:val="TextBody"/>
        <w:spacing w:before="240" w:after="0"/>
        <w:jc w:val="left"/>
        <w:rPr>
          <w:rFonts w:ascii="Times New Roman" w:hAnsi="Times New Roman"/>
          <w:spacing w:val="0"/>
          <w:sz w:val="20"/>
        </w:rPr>
      </w:pPr>
      <w:r>
        <w:rPr>
          <w:rFonts w:ascii="Times New Roman" w:hAnsi="Times New Roman"/>
          <w:spacing w:val="0"/>
          <w:sz w:val="20"/>
        </w:rPr>
        <w:t>over-the-counter</w:t>
      </w:r>
    </w:p>
    <w:p>
      <w:pPr>
        <w:pStyle w:val="TextBody"/>
        <w:spacing w:before="240" w:after="0"/>
        <w:jc w:val="left"/>
        <w:rPr>
          <w:rFonts w:ascii="Times New Roman" w:hAnsi="Times New Roman"/>
          <w:sz w:val="20"/>
        </w:rPr>
      </w:pPr>
      <w:r>
        <w:rPr>
          <w:rFonts w:ascii="Times New Roman" w:hAnsi="Times New Roman"/>
          <w:sz w:val="20"/>
        </w:rPr>
        <w:t xml:space="preserve">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Subject to the limitations set forth in any applicable registration rights agreement, the Selling Securityholders may use any one or more of the following methods when selling the securities offered by this prospectus: </w:t>
      </w:r>
    </w:p>
    <w:p>
      <w:pPr>
        <w:pStyle w:val="TextBody"/>
        <w:spacing w:before="0" w:after="0"/>
        <w:jc w:val="left"/>
        <w:rPr>
          <w:spacing w:val="0"/>
        </w:rPr>
      </w:pPr>
      <w:r>
        <w:rPr>
          <w:spacing w:val="0"/>
        </w:rPr>
        <w:t> </w:t>
      </w:r>
    </w:p>
    <w:tbl>
      <w:tblPr>
        <w:tblW w:w="10150" w:type="dxa"/>
        <w:jc w:val="left"/>
        <w:tblInd w:w="0" w:type="dxa"/>
        <w:tblCellMar>
          <w:top w:w="0" w:type="dxa"/>
          <w:left w:w="0" w:type="dxa"/>
          <w:bottom w:w="0" w:type="dxa"/>
          <w:right w:w="0" w:type="dxa"/>
        </w:tblCellMar>
      </w:tblPr>
      <w:tblGrid>
        <w:gridCol w:w="75"/>
        <w:gridCol w:w="110"/>
        <w:gridCol w:w="60"/>
        <w:gridCol w:w="9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purchases by a broker-dealer as principal and resale by such broker-dealer for its own account pursuant to this prospectus; </w:t>
            </w:r>
          </w:p>
        </w:tc>
      </w:tr>
    </w:tbl>
    <w:p>
      <w:pPr>
        <w:pStyle w:val="TextBody"/>
        <w:spacing w:before="0" w:after="0"/>
        <w:jc w:val="left"/>
        <w:rPr>
          <w:spacing w:val="0"/>
        </w:rPr>
      </w:pPr>
      <w:r>
        <w:rPr>
          <w:spacing w:val="0"/>
        </w:rPr>
        <w:t> </w:t>
      </w:r>
    </w:p>
    <w:tbl>
      <w:tblPr>
        <w:tblW w:w="7465" w:type="dxa"/>
        <w:jc w:val="left"/>
        <w:tblInd w:w="0" w:type="dxa"/>
        <w:tblCellMar>
          <w:top w:w="0" w:type="dxa"/>
          <w:left w:w="0" w:type="dxa"/>
          <w:bottom w:w="0" w:type="dxa"/>
          <w:right w:w="0" w:type="dxa"/>
        </w:tblCellMar>
      </w:tblPr>
      <w:tblGrid>
        <w:gridCol w:w="75"/>
        <w:gridCol w:w="110"/>
        <w:gridCol w:w="60"/>
        <w:gridCol w:w="7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ordinary brokerage transactions and transactions in which the broker solicits purchasers;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block trades in which the broker-dealer so engaged will attempt to sell the securities as agent but may position and resell a portion of the block as principal to facilitate the transaction; </w:t>
            </w:r>
          </w:p>
        </w:tc>
      </w:tr>
    </w:tbl>
    <w:p>
      <w:pPr>
        <w:pStyle w:val="TextBody"/>
        <w:spacing w:before="0" w:after="0"/>
        <w:jc w:val="left"/>
        <w:rPr>
          <w:spacing w:val="0"/>
        </w:rPr>
      </w:pPr>
      <w:r>
        <w:rPr>
          <w:spacing w:val="0"/>
        </w:rPr>
        <w:t> </w:t>
      </w:r>
    </w:p>
    <w:tbl>
      <w:tblPr>
        <w:tblW w:w="4810" w:type="dxa"/>
        <w:jc w:val="left"/>
        <w:tblInd w:w="0" w:type="dxa"/>
        <w:tblCellMar>
          <w:top w:w="0" w:type="dxa"/>
          <w:left w:w="0" w:type="dxa"/>
          <w:bottom w:w="0" w:type="dxa"/>
          <w:right w:w="0" w:type="dxa"/>
        </w:tblCellMar>
      </w:tblPr>
      <w:tblGrid>
        <w:gridCol w:w="75"/>
        <w:gridCol w:w="110"/>
        <w:gridCol w:w="60"/>
        <w:gridCol w:w="4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w:t>
            </w:r>
          </w:p>
          <w:p>
            <w:pPr>
              <w:pStyle w:val="TableContents"/>
              <w:spacing w:before="0" w:after="0"/>
              <w:jc w:val="left"/>
              <w:rPr>
                <w:rFonts w:ascii="Times New Roman" w:hAnsi="Times New Roman"/>
                <w:spacing w:val="0"/>
                <w:sz w:val="20"/>
              </w:rPr>
            </w:pPr>
            <w:r>
              <w:rPr>
                <w:rFonts w:ascii="Times New Roman" w:hAnsi="Times New Roman"/>
                <w:spacing w:val="0"/>
                <w:sz w:val="20"/>
              </w:rPr>
              <w:t>over-the-counter</w:t>
            </w:r>
          </w:p>
          <w:p>
            <w:pPr>
              <w:pStyle w:val="TableContents"/>
              <w:spacing w:before="0" w:after="0"/>
              <w:jc w:val="left"/>
              <w:rPr>
                <w:rFonts w:ascii="Times New Roman" w:hAnsi="Times New Roman"/>
                <w:sz w:val="20"/>
              </w:rPr>
            </w:pPr>
            <w:r>
              <w:rPr>
                <w:rFonts w:ascii="Times New Roman" w:hAnsi="Times New Roman"/>
                <w:sz w:val="20"/>
              </w:rPr>
              <w:t xml:space="preserve">distribution in accordance with the rules of the Nasdaq;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w:t>
            </w:r>
          </w:p>
          <w:p>
            <w:pPr>
              <w:pStyle w:val="TableContents"/>
              <w:spacing w:before="0" w:after="0"/>
              <w:jc w:val="left"/>
              <w:rPr>
                <w:rFonts w:ascii="Times New Roman" w:hAnsi="Times New Roman"/>
                <w:spacing w:val="0"/>
                <w:sz w:val="20"/>
              </w:rPr>
            </w:pPr>
            <w:r>
              <w:rPr>
                <w:rFonts w:ascii="Times New Roman" w:hAnsi="Times New Roman"/>
                <w:spacing w:val="0"/>
                <w:sz w:val="20"/>
              </w:rPr>
              <w:t>10b5-1</w:t>
            </w:r>
          </w:p>
          <w:p>
            <w:pPr>
              <w:pStyle w:val="TableContents"/>
              <w:spacing w:before="0" w:after="0"/>
              <w:jc w:val="left"/>
              <w:rPr>
                <w:rFonts w:ascii="Times New Roman" w:hAnsi="Times New Roman"/>
                <w:sz w:val="20"/>
              </w:rPr>
            </w:pPr>
            <w:r>
              <w:rPr>
                <w:rFonts w:ascii="Times New Roman" w:hAnsi="Times New Roman"/>
                <w:sz w:val="20"/>
              </w:rPr>
              <w:t xml:space="preserve">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spacing w:before="0" w:after="0"/>
        <w:jc w:val="left"/>
        <w:rPr>
          <w:spacing w:val="0"/>
        </w:rPr>
      </w:pPr>
      <w:r>
        <w:rPr>
          <w:spacing w:val="0"/>
        </w:rPr>
        <w:t> </w:t>
      </w:r>
    </w:p>
    <w:tbl>
      <w:tblPr>
        <w:tblW w:w="7300" w:type="dxa"/>
        <w:jc w:val="left"/>
        <w:tblInd w:w="0" w:type="dxa"/>
        <w:tblCellMar>
          <w:top w:w="0" w:type="dxa"/>
          <w:left w:w="0" w:type="dxa"/>
          <w:bottom w:w="0" w:type="dxa"/>
          <w:right w:w="0" w:type="dxa"/>
        </w:tblCellMar>
      </w:tblPr>
      <w:tblGrid>
        <w:gridCol w:w="75"/>
        <w:gridCol w:w="110"/>
        <w:gridCol w:w="60"/>
        <w:gridCol w:w="70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through one or more underwritten offerings on a firm commitment or best efforts basis; </w:t>
            </w:r>
          </w:p>
        </w:tc>
      </w:tr>
    </w:tbl>
    <w:p>
      <w:pPr>
        <w:pStyle w:val="TextBody"/>
        <w:spacing w:before="0" w:after="0"/>
        <w:jc w:val="left"/>
        <w:rPr>
          <w:spacing w:val="0"/>
        </w:rPr>
      </w:pPr>
      <w:r>
        <w:rPr>
          <w:spacing w:val="0"/>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settlement of short sales entered into after the date of this prospectus;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192 </w:t>
      </w:r>
    </w:p>
    <w:p>
      <w:pPr>
        <w:pStyle w:val="HorizontalLine"/>
        <w:rPr/>
      </w:pPr>
      <w:r>
        <w:rPr/>
      </w:r>
    </w:p>
    <w:p>
      <w:pPr>
        <w:pStyle w:val="TextBody"/>
        <w:spacing w:before="0" w:after="0"/>
        <w:rPr/>
      </w:pPr>
      <w:hyperlink w:anchor="toc">
        <w:r>
          <w:rPr>
            <w:rStyle w:val="InternetLink"/>
            <w:b/>
            <w:sz w:val="20"/>
          </w:rPr>
          <w:t>Table of Contents</w:t>
        </w:r>
      </w:hyperlink>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agreements with broker-dealers to sell a specified number of the securities at a stipulated price per share or warrant;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directly to purchasers, including through a specific bidding, auction or other process or in privately negotiated transactions;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through the writing or settlement of options or other hedging transactions, whether through an options exchange or otherwise; </w:t>
            </w:r>
          </w:p>
        </w:tc>
      </w:tr>
    </w:tbl>
    <w:p>
      <w:pPr>
        <w:pStyle w:val="TextBody"/>
        <w:spacing w:before="0" w:after="0"/>
        <w:jc w:val="left"/>
        <w:rPr>
          <w:spacing w:val="0"/>
        </w:rPr>
      </w:pPr>
      <w:r>
        <w:rPr>
          <w:spacing w:val="0"/>
        </w:rPr>
        <w:t> </w:t>
      </w:r>
    </w:p>
    <w:tbl>
      <w:tblPr>
        <w:tblW w:w="5365" w:type="dxa"/>
        <w:jc w:val="left"/>
        <w:tblInd w:w="0" w:type="dxa"/>
        <w:tblCellMar>
          <w:top w:w="0" w:type="dxa"/>
          <w:left w:w="0" w:type="dxa"/>
          <w:bottom w:w="0" w:type="dxa"/>
          <w:right w:w="0" w:type="dxa"/>
        </w:tblCellMar>
      </w:tblPr>
      <w:tblGrid>
        <w:gridCol w:w="75"/>
        <w:gridCol w:w="110"/>
        <w:gridCol w:w="60"/>
        <w:gridCol w:w="5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through a combination of any of the above methods of sale; or </w:t>
            </w:r>
          </w:p>
        </w:tc>
      </w:tr>
    </w:tbl>
    <w:p>
      <w:pPr>
        <w:pStyle w:val="TextBody"/>
        <w:spacing w:before="0" w:after="0"/>
        <w:jc w:val="left"/>
        <w:rPr>
          <w:spacing w:val="0"/>
        </w:rPr>
      </w:pPr>
      <w:r>
        <w:rPr>
          <w:spacing w:val="0"/>
        </w:rPr>
        <w:t> </w:t>
      </w:r>
    </w:p>
    <w:tbl>
      <w:tblPr>
        <w:tblW w:w="4810" w:type="dxa"/>
        <w:jc w:val="left"/>
        <w:tblInd w:w="0" w:type="dxa"/>
        <w:tblCellMar>
          <w:top w:w="0" w:type="dxa"/>
          <w:left w:w="0" w:type="dxa"/>
          <w:bottom w:w="0" w:type="dxa"/>
          <w:right w:w="0" w:type="dxa"/>
        </w:tblCellMar>
      </w:tblPr>
      <w:tblGrid>
        <w:gridCol w:w="75"/>
        <w:gridCol w:w="110"/>
        <w:gridCol w:w="60"/>
        <w:gridCol w:w="45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other method permitted pursuant to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In addition, a Selling Securityholder that is an entity may elect to make a pro rata </w:t>
      </w:r>
    </w:p>
    <w:p>
      <w:pPr>
        <w:pStyle w:val="TextBody"/>
        <w:spacing w:before="240" w:after="0"/>
        <w:jc w:val="left"/>
        <w:rPr>
          <w:rFonts w:ascii="Times New Roman" w:hAnsi="Times New Roman"/>
          <w:spacing w:val="0"/>
          <w:sz w:val="20"/>
        </w:rPr>
      </w:pPr>
      <w:r>
        <w:rPr>
          <w:rFonts w:ascii="Times New Roman" w:hAnsi="Times New Roman"/>
          <w:spacing w:val="0"/>
          <w:sz w:val="20"/>
        </w:rPr>
        <w:t>in-kind</w:t>
      </w:r>
    </w:p>
    <w:p>
      <w:pPr>
        <w:pStyle w:val="TextBody"/>
        <w:spacing w:before="240" w:after="0"/>
        <w:jc w:val="left"/>
        <w:rPr>
          <w:rFonts w:ascii="Times New Roman" w:hAnsi="Times New Roman"/>
          <w:sz w:val="20"/>
        </w:rPr>
      </w:pPr>
      <w:r>
        <w:rPr>
          <w:rFonts w:ascii="Times New Roman" w:hAnsi="Times New Roman"/>
          <w:sz w:val="20"/>
        </w:rPr>
        <w:t xml:space="preserve">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also may transfer the securities in other circumstances, in which case the transferees, pledgees or other </w:t>
      </w:r>
    </w:p>
    <w:p>
      <w:pPr>
        <w:pStyle w:val="TextBody"/>
        <w:spacing w:before="240" w:after="0"/>
        <w:jc w:val="left"/>
        <w:rPr>
          <w:rFonts w:ascii="Times New Roman" w:hAnsi="Times New Roman"/>
          <w:spacing w:val="0"/>
          <w:sz w:val="20"/>
        </w:rPr>
      </w:pPr>
      <w:r>
        <w:rPr>
          <w:rFonts w:ascii="Times New Roman" w:hAnsi="Times New Roman"/>
          <w:spacing w:val="0"/>
          <w:sz w:val="20"/>
        </w:rPr>
        <w:t>successors-in-interest</w:t>
      </w:r>
    </w:p>
    <w:p>
      <w:pPr>
        <w:pStyle w:val="TextBody"/>
        <w:spacing w:before="240" w:after="0"/>
        <w:jc w:val="left"/>
        <w:rPr>
          <w:rFonts w:ascii="Times New Roman" w:hAnsi="Times New Roman"/>
          <w:sz w:val="20"/>
        </w:rPr>
      </w:pPr>
      <w:r>
        <w:rPr>
          <w:rFonts w:ascii="Times New Roman" w:hAnsi="Times New Roman"/>
          <w:sz w:val="20"/>
        </w:rPr>
        <w:t xml:space="preserve">will be the selling beneficial owners for purposes of this prospectus. Upon being notified by a Selling Securityholder that a donee, pledgee, transferee, other </w:t>
      </w:r>
    </w:p>
    <w:p>
      <w:pPr>
        <w:pStyle w:val="TextBody"/>
        <w:spacing w:before="240" w:after="0"/>
        <w:jc w:val="left"/>
        <w:rPr>
          <w:rFonts w:ascii="Times New Roman" w:hAnsi="Times New Roman"/>
          <w:spacing w:val="0"/>
          <w:sz w:val="20"/>
        </w:rPr>
      </w:pPr>
      <w:r>
        <w:rPr>
          <w:rFonts w:ascii="Times New Roman" w:hAnsi="Times New Roman"/>
          <w:spacing w:val="0"/>
          <w:sz w:val="20"/>
        </w:rPr>
        <w:t>successor-in-interest</w:t>
      </w:r>
    </w:p>
    <w:p>
      <w:pPr>
        <w:pStyle w:val="TextBody"/>
        <w:spacing w:before="240" w:after="0"/>
        <w:jc w:val="left"/>
        <w:rPr>
          <w:rFonts w:ascii="Times New Roman" w:hAnsi="Times New Roman"/>
          <w:sz w:val="20"/>
        </w:rPr>
      </w:pPr>
      <w:r>
        <w:rPr>
          <w:rFonts w:ascii="Times New Roman" w:hAnsi="Times New Roman"/>
          <w:sz w:val="20"/>
        </w:rPr>
        <w:t xml:space="preserve">intends to sell our securities, we will, to the extent required, promptly file a supplement to this prospectus to name specifically such person as a selling securityholder.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 </w:t>
      </w:r>
    </w:p>
    <w:p>
      <w:pPr>
        <w:pStyle w:val="TextBody"/>
        <w:spacing w:before="0" w:after="0"/>
        <w:jc w:val="left"/>
        <w:rPr>
          <w:spacing w:val="0"/>
        </w:rPr>
      </w:pPr>
      <w:r>
        <w:rPr>
          <w:spacing w:val="0"/>
        </w:rPr>
        <w:t> </w:t>
      </w:r>
    </w:p>
    <w:tbl>
      <w:tblPr>
        <w:tblW w:w="3925" w:type="dxa"/>
        <w:jc w:val="left"/>
        <w:tblInd w:w="0" w:type="dxa"/>
        <w:tblCellMar>
          <w:top w:w="0" w:type="dxa"/>
          <w:left w:w="0" w:type="dxa"/>
          <w:bottom w:w="0" w:type="dxa"/>
          <w:right w:w="0" w:type="dxa"/>
        </w:tblCellMar>
      </w:tblPr>
      <w:tblGrid>
        <w:gridCol w:w="75"/>
        <w:gridCol w:w="110"/>
        <w:gridCol w:w="60"/>
        <w:gridCol w:w="3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specific securities to be offered and sold; </w:t>
            </w:r>
          </w:p>
        </w:tc>
      </w:tr>
    </w:tbl>
    <w:p>
      <w:pPr>
        <w:pStyle w:val="TextBody"/>
        <w:spacing w:before="0" w:after="0"/>
        <w:jc w:val="left"/>
        <w:rPr>
          <w:spacing w:val="0"/>
        </w:rPr>
      </w:pPr>
      <w:r>
        <w:rPr>
          <w:spacing w:val="0"/>
        </w:rPr>
        <w:t> </w:t>
      </w:r>
    </w:p>
    <w:tbl>
      <w:tblPr>
        <w:tblW w:w="3595" w:type="dxa"/>
        <w:jc w:val="left"/>
        <w:tblInd w:w="0" w:type="dxa"/>
        <w:tblCellMar>
          <w:top w:w="0" w:type="dxa"/>
          <w:left w:w="0" w:type="dxa"/>
          <w:bottom w:w="0" w:type="dxa"/>
          <w:right w:w="0" w:type="dxa"/>
        </w:tblCellMar>
      </w:tblPr>
      <w:tblGrid>
        <w:gridCol w:w="75"/>
        <w:gridCol w:w="110"/>
        <w:gridCol w:w="60"/>
        <w:gridCol w:w="3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names of the selling securityholders;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respective purchase prices and public offering prices, the proceeds to be received from the sale, if any, and other material terms of the offering; </w:t>
            </w:r>
          </w:p>
        </w:tc>
      </w:tr>
    </w:tbl>
    <w:p>
      <w:pPr>
        <w:pStyle w:val="TextBody"/>
        <w:spacing w:before="0" w:after="0"/>
        <w:jc w:val="left"/>
        <w:rPr>
          <w:spacing w:val="0"/>
        </w:rPr>
      </w:pPr>
      <w:r>
        <w:rPr>
          <w:spacing w:val="0"/>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settlement of short sales entered into after the date of this prospectus; </w:t>
            </w:r>
          </w:p>
        </w:tc>
      </w:tr>
    </w:tbl>
    <w:p>
      <w:pPr>
        <w:pStyle w:val="TextBody"/>
        <w:spacing w:before="0" w:after="0"/>
        <w:jc w:val="left"/>
        <w:rPr>
          <w:spacing w:val="0"/>
        </w:rPr>
      </w:pPr>
      <w:r>
        <w:rPr>
          <w:spacing w:val="0"/>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names of any participating agents, broker-dealers or underwriters;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applicable commissions, discounts, concessions and other items constituting compensation from the selling securityholders.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In connection with distributions of the securities or otherwise, the Selling Securityholders may enter into hedging transactions with broker-dealers or other financial institutions. In connection with such transactions, broker-</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common stock is listed on the Nasdaq Capital Market under the symbol “TNGX”.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compliance with the guidelines of the Financial Industry Regulatory Authority, or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at the time of any offering made under this prospectus a member of FINRA participating in the offering has a “conflict of interest” as defined in FINRA Rule 5121, or Rule 5121, that offering will be conducted in accordance with the relevant provisions of Rule 5121.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underwriters, broker-dealers and agents may engage in transactions with us or the Selling Securityholders, or perform services for us or the Selling Securityholders, in the ordinary course of business.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196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ADDITIONAL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Legal Matters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validity of the shares of our common stock offered by this prospectus will be passed upon by Goodwin Procter LLP, Boston, Massachusetts.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Experts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financial statements of BCTG Acquisition Corp as of December 31, 2020 and for the period from May 21, 2020 (inception) through December 31, 2020 appearing in this prospectus have been audited by WithumSmith+Brown, PC, or Withum, independent registered public accounting firm, as set forth in their report thereon, appearing elsewhere herein, and are included in reliance upon such report given on the authority of such firm as experts in accounting and auditing.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financial statements of Tango Therapeutics, Inc. as of December 31, 2020 and 2019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Changes in Registrant’s Certifying Accountant </w:t>
      </w:r>
    </w:p>
    <w:p>
      <w:pPr>
        <w:pStyle w:val="TextBody"/>
        <w:spacing w:before="120" w:after="0"/>
        <w:jc w:val="left"/>
        <w:rPr>
          <w:rFonts w:ascii="Times New Roman" w:hAnsi="Times New Roman"/>
          <w:sz w:val="20"/>
        </w:rPr>
      </w:pPr>
      <w:r>
        <w:rPr>
          <w:rFonts w:ascii="Times New Roman" w:hAnsi="Times New Roman"/>
          <w:sz w:val="20"/>
        </w:rPr>
        <w:t>(a)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Dismissal of Previous Independent Registered Public Accounting Firm.</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On August 10, 2021, the Audit Committee of Tango dismissed Withum as the Company’s independent registered public accounting firm, effective immediately.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The report of Withum on the financial statements of BCTG Acquisition Corp. (the Company’s legal predecessor) as of December 31, 2020 and for the period from May 21, 2020 through December 31, 2020 did not contain an adverse opinion or disclaimer of opinion, nor were they qualified or modified as to uncertainty, audit scope, or accounting principles. During the period from May 21, 2020 through December 31, 2020 and the subsequent interim period through August 10, 2021, there were no (i) disagreements (as defined in Item 304(a)(1)(iv) of Regulation </w:t>
      </w:r>
    </w:p>
    <w:p>
      <w:pPr>
        <w:pStyle w:val="TextBody"/>
        <w:spacing w:before="240" w:after="0"/>
        <w:jc w:val="left"/>
        <w:rPr>
          <w:rFonts w:ascii="Times New Roman" w:hAnsi="Times New Roman"/>
          <w:spacing w:val="0"/>
          <w:sz w:val="20"/>
        </w:rPr>
      </w:pPr>
      <w:r>
        <w:rPr>
          <w:rFonts w:ascii="Times New Roman" w:hAnsi="Times New Roman"/>
          <w:spacing w:val="0"/>
          <w:sz w:val="20"/>
        </w:rPr>
        <w:t>S-K)</w:t>
      </w:r>
    </w:p>
    <w:p>
      <w:pPr>
        <w:pStyle w:val="TextBody"/>
        <w:spacing w:before="240" w:after="0"/>
        <w:jc w:val="left"/>
        <w:rPr>
          <w:rFonts w:ascii="Times New Roman" w:hAnsi="Times New Roman"/>
          <w:sz w:val="20"/>
        </w:rPr>
      </w:pPr>
      <w:r>
        <w:rPr>
          <w:rFonts w:ascii="Times New Roman" w:hAnsi="Times New Roman"/>
          <w:sz w:val="20"/>
        </w:rPr>
        <w:t xml:space="preserve">with Withum on any matter of accounting principles or practices, financial statement disclosure or auditing scope or procedures, which disagreements, if not resolved to the satisfaction of Withum, would have caused Withum to make reference to the subject matter of the disagreements in its reports on the financial statements of the Company, or (ii) “reportable events” (as defined in Item 304(a)(1)(v) of Regulation </w:t>
      </w:r>
    </w:p>
    <w:p>
      <w:pPr>
        <w:pStyle w:val="TextBody"/>
        <w:spacing w:before="240" w:after="0"/>
        <w:jc w:val="left"/>
        <w:rPr>
          <w:rFonts w:ascii="Times New Roman" w:hAnsi="Times New Roman"/>
          <w:spacing w:val="0"/>
          <w:sz w:val="20"/>
        </w:rPr>
      </w:pPr>
      <w:r>
        <w:rPr>
          <w:rFonts w:ascii="Times New Roman" w:hAnsi="Times New Roman"/>
          <w:spacing w:val="0"/>
          <w:sz w:val="20"/>
        </w:rPr>
        <w:t>S-K)</w:t>
      </w:r>
    </w:p>
    <w:p>
      <w:pPr>
        <w:pStyle w:val="TextBody"/>
        <w:spacing w:before="240" w:after="0"/>
        <w:jc w:val="left"/>
        <w:rPr>
          <w:rFonts w:ascii="Times New Roman" w:hAnsi="Times New Roman"/>
          <w:sz w:val="20"/>
        </w:rPr>
      </w:pPr>
      <w:r>
        <w:rPr>
          <w:rFonts w:ascii="Times New Roman" w:hAnsi="Times New Roman"/>
          <w:sz w:val="20"/>
        </w:rPr>
        <w:t xml:space="preserve">within the period of Withum’s engagement and the subsequent interim period through August 10, 2021.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has provided Withum with a copy of the disclosures it is making in this prospectus and requested that Withum furnish a letter addressed to the SEC stating whether it agrees with the statements above, and, if not, stating the respects in which it does not agree. Withum previously provided such a letter and has advised no changes need to be made. A copy of Withum’s letter dated August 13, 2021 is filed as Exhibit 16.1 hereto. </w:t>
      </w:r>
    </w:p>
    <w:p>
      <w:pPr>
        <w:pStyle w:val="TextBody"/>
        <w:spacing w:before="240" w:after="0"/>
        <w:jc w:val="left"/>
        <w:rPr>
          <w:rFonts w:ascii="Times New Roman" w:hAnsi="Times New Roman"/>
          <w:sz w:val="20"/>
        </w:rPr>
      </w:pPr>
      <w:r>
        <w:rPr>
          <w:rFonts w:ascii="Times New Roman" w:hAnsi="Times New Roman"/>
          <w:sz w:val="20"/>
        </w:rPr>
        <w:t>(b)</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Engagement of New Independent Registered Public Accounting Firm.</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August 10, 2021, the Audit Committee appointed PricewaterhouseCoopers LLP (“PwC”) as the Company’s independent registered public accounting firm for the fiscal year ending December 31, 2021. That engagement is effective immediately.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PwC served as independent registered public accounting firm of Old Tango prior to the Business Combination. During the period from May 21, 2020 through December 31, 2020 and the subsequent interim period through August 10, 2021, neither Tango nor anyone on its behalf consulted with PwC regarding either (i) the application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197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rPr>
      </w:pPr>
      <w:r>
        <w:rPr>
          <w:rFonts w:ascii="Times New Roman" w:hAnsi="Times New Roman"/>
          <w:sz w:val="20"/>
        </w:rPr>
        <w:t xml:space="preserve">of accounting principles to a specified transaction, either completed or proposed, or the type of audit opinion that might be rendered on the Company’s financial statements, and a written report or oral advice was provided to the Company that PwC concluded was an important factor considered by the Company in reaching a decision as to any accounting, auditing or financial reporting issue, or (ii) any matter that was the subject of a disagreement within the meaning of Item 304(a)(1)(iv) of Regulation </w:t>
      </w:r>
    </w:p>
    <w:p>
      <w:pPr>
        <w:pStyle w:val="TextBody"/>
        <w:spacing w:before="0" w:after="0"/>
        <w:jc w:val="left"/>
        <w:rPr>
          <w:rFonts w:ascii="Times New Roman" w:hAnsi="Times New Roman"/>
          <w:spacing w:val="0"/>
          <w:sz w:val="20"/>
        </w:rPr>
      </w:pPr>
      <w:r>
        <w:rPr>
          <w:rFonts w:ascii="Times New Roman" w:hAnsi="Times New Roman"/>
          <w:spacing w:val="0"/>
          <w:sz w:val="20"/>
        </w:rPr>
        <w:t>S-K</w:t>
      </w:r>
    </w:p>
    <w:p>
      <w:pPr>
        <w:pStyle w:val="TextBody"/>
        <w:spacing w:before="0" w:after="0"/>
        <w:jc w:val="left"/>
        <w:rPr>
          <w:rFonts w:ascii="Times New Roman" w:hAnsi="Times New Roman"/>
          <w:sz w:val="20"/>
        </w:rPr>
      </w:pPr>
      <w:r>
        <w:rPr>
          <w:rFonts w:ascii="Times New Roman" w:hAnsi="Times New Roman"/>
          <w:sz w:val="20"/>
        </w:rPr>
        <w:t xml:space="preserve">or any reportable event within the meaning of Item 304(a)(1)(v) of Regulation </w:t>
      </w:r>
    </w:p>
    <w:p>
      <w:pPr>
        <w:pStyle w:val="TextBody"/>
        <w:spacing w:before="0" w:after="0"/>
        <w:jc w:val="left"/>
        <w:rPr>
          <w:rFonts w:ascii="Times New Roman" w:hAnsi="Times New Roman"/>
          <w:spacing w:val="0"/>
          <w:sz w:val="20"/>
        </w:rPr>
      </w:pPr>
      <w:r>
        <w:rPr>
          <w:rFonts w:ascii="Times New Roman" w:hAnsi="Times New Roman"/>
          <w:spacing w:val="0"/>
          <w:sz w:val="20"/>
        </w:rPr>
        <w:t>S-K.</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198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WHERE YOU CAN FIND MORE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have also filed a registration statement on Form </w:t>
      </w:r>
    </w:p>
    <w:p>
      <w:pPr>
        <w:pStyle w:val="TextBody"/>
        <w:spacing w:before="240" w:after="0"/>
        <w:jc w:val="left"/>
        <w:rPr>
          <w:rFonts w:ascii="Times New Roman" w:hAnsi="Times New Roman"/>
          <w:spacing w:val="0"/>
          <w:sz w:val="20"/>
        </w:rPr>
      </w:pPr>
      <w:r>
        <w:rPr>
          <w:rFonts w:ascii="Times New Roman" w:hAnsi="Times New Roman"/>
          <w:spacing w:val="0"/>
          <w:sz w:val="20"/>
        </w:rPr>
        <w:t>S-1,</w:t>
      </w:r>
    </w:p>
    <w:p>
      <w:pPr>
        <w:pStyle w:val="TextBody"/>
        <w:spacing w:before="240" w:after="0"/>
        <w:jc w:val="left"/>
        <w:rPr>
          <w:rFonts w:ascii="Times New Roman" w:hAnsi="Times New Roman"/>
          <w:sz w:val="20"/>
        </w:rPr>
      </w:pPr>
      <w:r>
        <w:rPr>
          <w:rFonts w:ascii="Times New Roman" w:hAnsi="Times New Roman"/>
          <w:sz w:val="20"/>
        </w:rPr>
        <w:t xml:space="preserve">including exhibits, under the Securities Act, with respect to the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w:t>
      </w:r>
    </w:p>
    <w:p>
      <w:pPr>
        <w:pStyle w:val="TextBody"/>
        <w:spacing w:before="240" w:after="0"/>
        <w:jc w:val="left"/>
        <w:rPr>
          <w:rFonts w:ascii="Times New Roman" w:hAnsi="Times New Roman"/>
          <w:sz w:val="20"/>
        </w:rPr>
      </w:pPr>
      <w:r>
        <w:rPr>
          <w:rFonts w:ascii="Times New Roman" w:hAnsi="Times New Roman"/>
          <w:sz w:val="20"/>
        </w:rPr>
        <w:t xml:space="preserve">We also maintain a website at http://www.tangotx.com.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w:t>
      </w:r>
    </w:p>
    <w:p>
      <w:pPr>
        <w:pStyle w:val="TextBody"/>
        <w:spacing w:before="240" w:after="0"/>
        <w:jc w:val="left"/>
        <w:rPr>
          <w:rFonts w:ascii="Times New Roman" w:hAnsi="Times New Roman"/>
          <w:spacing w:val="0"/>
          <w:sz w:val="20"/>
        </w:rPr>
      </w:pPr>
      <w:r>
        <w:rPr>
          <w:rFonts w:ascii="Times New Roman" w:hAnsi="Times New Roman"/>
          <w:spacing w:val="0"/>
          <w:sz w:val="20"/>
        </w:rPr>
        <w:t>10-K,</w:t>
      </w:r>
    </w:p>
    <w:p>
      <w:pPr>
        <w:pStyle w:val="TextBody"/>
        <w:spacing w:before="240" w:after="0"/>
        <w:jc w:val="left"/>
        <w:rPr>
          <w:rFonts w:ascii="Times New Roman" w:hAnsi="Times New Roman"/>
          <w:sz w:val="20"/>
        </w:rPr>
      </w:pPr>
      <w:r>
        <w:rPr>
          <w:rFonts w:ascii="Times New Roman" w:hAnsi="Times New Roman"/>
          <w:sz w:val="20"/>
        </w:rPr>
        <w:t xml:space="preserve">quarterly reports on Form </w:t>
      </w:r>
    </w:p>
    <w:p>
      <w:pPr>
        <w:pStyle w:val="TextBody"/>
        <w:spacing w:before="240" w:after="0"/>
        <w:jc w:val="left"/>
        <w:rPr>
          <w:rFonts w:ascii="Times New Roman" w:hAnsi="Times New Roman"/>
          <w:spacing w:val="0"/>
          <w:sz w:val="20"/>
        </w:rPr>
      </w:pPr>
      <w:r>
        <w:rPr>
          <w:rFonts w:ascii="Times New Roman" w:hAnsi="Times New Roman"/>
          <w:spacing w:val="0"/>
          <w:sz w:val="20"/>
        </w:rPr>
        <w:t>10-Q,</w:t>
      </w:r>
    </w:p>
    <w:p>
      <w:pPr>
        <w:pStyle w:val="TextBody"/>
        <w:spacing w:before="240" w:after="0"/>
        <w:jc w:val="left"/>
        <w:rPr>
          <w:rFonts w:ascii="Times New Roman" w:hAnsi="Times New Roman"/>
          <w:sz w:val="20"/>
        </w:rPr>
      </w:pPr>
      <w:r>
        <w:rPr>
          <w:rFonts w:ascii="Times New Roman" w:hAnsi="Times New Roman"/>
          <w:sz w:val="20"/>
        </w:rPr>
        <w:t xml:space="preserve">current reports on Form </w:t>
      </w:r>
    </w:p>
    <w:p>
      <w:pPr>
        <w:pStyle w:val="TextBody"/>
        <w:spacing w:before="240" w:after="0"/>
        <w:jc w:val="left"/>
        <w:rPr>
          <w:rFonts w:ascii="Times New Roman" w:hAnsi="Times New Roman"/>
          <w:spacing w:val="0"/>
          <w:sz w:val="20"/>
        </w:rPr>
      </w:pPr>
      <w:r>
        <w:rPr>
          <w:rFonts w:ascii="Times New Roman" w:hAnsi="Times New Roman"/>
          <w:spacing w:val="0"/>
          <w:sz w:val="20"/>
        </w:rPr>
        <w:t>8-K</w:t>
      </w:r>
    </w:p>
    <w:p>
      <w:pPr>
        <w:pStyle w:val="TextBody"/>
        <w:spacing w:before="240" w:after="0"/>
        <w:jc w:val="left"/>
        <w:rPr>
          <w:rFonts w:ascii="Times New Roman" w:hAnsi="Times New Roman"/>
          <w:sz w:val="20"/>
        </w:rPr>
      </w:pPr>
      <w:r>
        <w:rPr>
          <w:rFonts w:ascii="Times New Roman" w:hAnsi="Times New Roman"/>
          <w:sz w:val="20"/>
        </w:rPr>
        <w:t xml:space="preserve">and amendment to those reports filed or furnished pursuant to Section 13(a) or 15(d) of the Exchange Act as soon as reasonably practicable after such material is electronically filed with, or furnished to, the SEC.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199</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INDEX TO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9480"/>
        <w:gridCol w:w="120"/>
        <w:gridCol w:w="60"/>
        <w:gridCol w:w="469"/>
        <w:gridCol w:w="76"/>
      </w:tblGrid>
      <w:tr>
        <w:trPr/>
        <w:tc>
          <w:tcPr>
            <w:tcW w:w="9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9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29" w:type="dxa"/>
            <w:gridSpan w:val="2"/>
            <w:tcBorders/>
            <w:shd w:fill="auto" w:val="clear"/>
            <w:vAlign w:val="center"/>
          </w:tcPr>
          <w:p>
            <w:pPr>
              <w:pStyle w:val="TableContents"/>
              <w:spacing w:before="0" w:after="0"/>
              <w:jc w:val="center"/>
              <w:rPr>
                <w:b/>
                <w:spacing w:val="0"/>
              </w:rPr>
            </w:pPr>
            <w:r>
              <w:rPr>
                <w:b/>
                <w:spacing w:val="0"/>
              </w:rPr>
              <w:t>Page</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1">
              <w:r>
                <w:rPr>
                  <w:rStyle w:val="InternetLink"/>
                  <w:rFonts w:ascii="Times New Roman" w:hAnsi="Times New Roman"/>
                  <w:spacing w:val="0"/>
                  <w:sz w:val="20"/>
                </w:rPr>
                <w:t>Unaudited Condensed Consolidated Balance Sheets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F-2</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2">
              <w:r>
                <w:rPr>
                  <w:rStyle w:val="InternetLink"/>
                  <w:rFonts w:ascii="Times New Roman" w:hAnsi="Times New Roman"/>
                  <w:spacing w:val="0"/>
                  <w:sz w:val="20"/>
                </w:rPr>
                <w:t>Unaudited Condensed Consolidated Statement of Operations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F-3</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3">
              <w:r>
                <w:rPr>
                  <w:rStyle w:val="InternetLink"/>
                  <w:rFonts w:ascii="Times New Roman" w:hAnsi="Times New Roman"/>
                  <w:spacing w:val="0"/>
                  <w:sz w:val="20"/>
                </w:rPr>
                <w:t>Unaudited Condensed Consolidated Statement of Changes in Stockholders’ Equity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F-4</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4">
              <w:r>
                <w:rPr>
                  <w:rStyle w:val="InternetLink"/>
                  <w:rFonts w:ascii="Times New Roman" w:hAnsi="Times New Roman"/>
                  <w:spacing w:val="0"/>
                  <w:sz w:val="20"/>
                </w:rPr>
                <w:t>Unaudited Condensed Consolidated Statement of Cash Flows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F-5</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5">
              <w:r>
                <w:rPr>
                  <w:rStyle w:val="InternetLink"/>
                  <w:rFonts w:ascii="Times New Roman" w:hAnsi="Times New Roman"/>
                  <w:spacing w:val="0"/>
                  <w:sz w:val="20"/>
                </w:rPr>
                <w:t>Notes to Unaudited Condensed Consolidated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F-6</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6">
              <w:r>
                <w:rPr>
                  <w:rStyle w:val="InternetLink"/>
                  <w:rFonts w:ascii="Times New Roman" w:hAnsi="Times New Roman"/>
                  <w:spacing w:val="0"/>
                  <w:sz w:val="20"/>
                </w:rPr>
                <w:t>Report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F-18</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7">
              <w:r>
                <w:rPr>
                  <w:rStyle w:val="InternetLink"/>
                  <w:rFonts w:ascii="Times New Roman" w:hAnsi="Times New Roman"/>
                  <w:sz w:val="20"/>
                </w:rPr>
                <w:t>Balance Sheet as of December 31, 2020</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F-19</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8">
              <w:r>
                <w:rPr>
                  <w:rStyle w:val="InternetLink"/>
                  <w:rFonts w:ascii="Times New Roman" w:hAnsi="Times New Roman"/>
                  <w:sz w:val="20"/>
                </w:rPr>
                <w:t>Statement of Operations for the period from May 21, 2020 (inception) through December 31, 2020</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F-20</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09">
              <w:r>
                <w:rPr>
                  <w:rStyle w:val="InternetLink"/>
                  <w:rFonts w:ascii="Times New Roman" w:hAnsi="Times New Roman"/>
                  <w:sz w:val="20"/>
                </w:rPr>
                <w:t>Statement of Changes in Shareholders’ Equity for the period from May 21, 2020 (inception) through December 31, 2020</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F-21</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10">
              <w:r>
                <w:rPr>
                  <w:rStyle w:val="InternetLink"/>
                  <w:rFonts w:ascii="Times New Roman" w:hAnsi="Times New Roman"/>
                  <w:sz w:val="20"/>
                </w:rPr>
                <w:t>Statement of Cash Flows for the period from May 21, 2020 (inception) through December 31, 2020</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F-22</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111">
              <w:r>
                <w:rPr>
                  <w:rStyle w:val="InternetLink"/>
                  <w:rFonts w:ascii="Times New Roman" w:hAnsi="Times New Roman"/>
                  <w:spacing w:val="0"/>
                  <w:sz w:val="20"/>
                </w:rPr>
                <w:t>Notes to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F-23</w:t>
            </w:r>
          </w:p>
        </w:tc>
        <w:tc>
          <w:tcPr>
            <w:tcW w:w="76" w:type="dxa"/>
            <w:tcBorders/>
            <w:shd w:fill="auto" w:val="clear"/>
            <w:vAlign w:val="center"/>
          </w:tcPr>
          <w:p>
            <w:pPr>
              <w:pStyle w:val="TableContents"/>
              <w:spacing w:before="0" w:after="283"/>
              <w:rPr/>
            </w:pPr>
            <w:r>
              <w:rPr/>
              <w:t> </w:t>
            </w:r>
          </w:p>
        </w:tc>
      </w:tr>
    </w:tbl>
    <w:p>
      <w:pPr>
        <w:pStyle w:val="TextBody"/>
        <w:spacing w:before="36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9480"/>
        <w:gridCol w:w="120"/>
        <w:gridCol w:w="60"/>
        <w:gridCol w:w="469"/>
        <w:gridCol w:w="76"/>
      </w:tblGrid>
      <w:tr>
        <w:trPr/>
        <w:tc>
          <w:tcPr>
            <w:tcW w:w="9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9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29" w:type="dxa"/>
            <w:gridSpan w:val="2"/>
            <w:tcBorders/>
            <w:shd w:fill="auto" w:val="clear"/>
            <w:vAlign w:val="center"/>
          </w:tcPr>
          <w:p>
            <w:pPr>
              <w:pStyle w:val="TableContents"/>
              <w:spacing w:before="0" w:after="0"/>
              <w:jc w:val="center"/>
              <w:rPr>
                <w:b/>
                <w:spacing w:val="0"/>
              </w:rPr>
            </w:pPr>
            <w:r>
              <w:rPr>
                <w:b/>
                <w:spacing w:val="0"/>
              </w:rPr>
              <w:t>Page</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1">
              <w:r>
                <w:rPr>
                  <w:rStyle w:val="InternetLink"/>
                  <w:rFonts w:ascii="Times New Roman" w:hAnsi="Times New Roman"/>
                  <w:spacing w:val="0"/>
                  <w:sz w:val="20"/>
                </w:rPr>
                <w:t>Unaudited Condensed Consolidated Balance Sheets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F-35</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2">
              <w:r>
                <w:rPr>
                  <w:rStyle w:val="InternetLink"/>
                  <w:rFonts w:ascii="Times New Roman" w:hAnsi="Times New Roman"/>
                  <w:spacing w:val="0"/>
                  <w:sz w:val="20"/>
                </w:rPr>
                <w:t>Unaudited Condensed Consolidated Statements of Operations and Comprehensive Loss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F-36</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3">
              <w:r>
                <w:rPr>
                  <w:rStyle w:val="InternetLink"/>
                  <w:rFonts w:ascii="Times New Roman" w:hAnsi="Times New Roman"/>
                  <w:spacing w:val="0"/>
                  <w:sz w:val="20"/>
                </w:rPr>
                <w:t>Unaudited Condensed Consolidated Statements of Redeemable Convertible Preferred Stock and Stockholders’ Deficit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F-37</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4">
              <w:r>
                <w:rPr>
                  <w:rStyle w:val="InternetLink"/>
                  <w:rFonts w:ascii="Times New Roman" w:hAnsi="Times New Roman"/>
                  <w:spacing w:val="0"/>
                  <w:sz w:val="20"/>
                </w:rPr>
                <w:t>Unaudited Condensed Consolidated Statements of Cash Flows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F-39</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5">
              <w:r>
                <w:rPr>
                  <w:rStyle w:val="InternetLink"/>
                  <w:rFonts w:ascii="Times New Roman" w:hAnsi="Times New Roman"/>
                  <w:spacing w:val="0"/>
                  <w:sz w:val="20"/>
                </w:rPr>
                <w:t>Notes to Unaudited Condensed Consolidated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F-40</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6">
              <w:r>
                <w:rPr>
                  <w:rStyle w:val="InternetLink"/>
                  <w:rFonts w:ascii="Times New Roman" w:hAnsi="Times New Roman"/>
                  <w:spacing w:val="0"/>
                  <w:sz w:val="20"/>
                </w:rPr>
                <w:t>Report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F-54</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7">
              <w:r>
                <w:rPr>
                  <w:rStyle w:val="InternetLink"/>
                  <w:rFonts w:ascii="Times New Roman" w:hAnsi="Times New Roman"/>
                  <w:spacing w:val="0"/>
                  <w:sz w:val="20"/>
                </w:rPr>
                <w:t>Consolidated Balance Sheets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F-55</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8">
              <w:r>
                <w:rPr>
                  <w:rStyle w:val="InternetLink"/>
                  <w:rFonts w:ascii="Times New Roman" w:hAnsi="Times New Roman"/>
                  <w:spacing w:val="0"/>
                  <w:sz w:val="20"/>
                </w:rPr>
                <w:t>Consolidated Statements of Operations and Comprehensive Loss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F-56</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09">
              <w:r>
                <w:rPr>
                  <w:rStyle w:val="InternetLink"/>
                  <w:rFonts w:ascii="Times New Roman" w:hAnsi="Times New Roman"/>
                  <w:spacing w:val="0"/>
                  <w:sz w:val="20"/>
                </w:rPr>
                <w:t>Consolidated Statements of Redeemable Convertible Preferred Stock and Stockholders’ Deficit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F-57</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10">
              <w:r>
                <w:rPr>
                  <w:rStyle w:val="InternetLink"/>
                  <w:rFonts w:ascii="Times New Roman" w:hAnsi="Times New Roman"/>
                  <w:spacing w:val="0"/>
                  <w:sz w:val="20"/>
                </w:rPr>
                <w:t>Consolidated Statements of Cash Flows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F-58</w:t>
            </w:r>
          </w:p>
        </w:tc>
        <w:tc>
          <w:tcPr>
            <w:tcW w:w="76" w:type="dxa"/>
            <w:tcBorders/>
            <w:shd w:fill="auto" w:val="clear"/>
            <w:vAlign w:val="center"/>
          </w:tcPr>
          <w:p>
            <w:pPr>
              <w:pStyle w:val="TableContents"/>
              <w:spacing w:before="0" w:after="283"/>
              <w:rPr/>
            </w:pPr>
            <w:r>
              <w:rPr/>
              <w:t> </w:t>
            </w:r>
          </w:p>
        </w:tc>
      </w:tr>
      <w:tr>
        <w:trPr/>
        <w:tc>
          <w:tcPr>
            <w:tcW w:w="9480" w:type="dxa"/>
            <w:tcBorders/>
            <w:shd w:fill="auto" w:val="clear"/>
            <w:vAlign w:val="center"/>
          </w:tcPr>
          <w:p>
            <w:pPr>
              <w:pStyle w:val="TableContents"/>
              <w:spacing w:before="0" w:after="0"/>
              <w:rPr/>
            </w:pPr>
            <w:hyperlink w:anchor="toc118907_211">
              <w:r>
                <w:rPr>
                  <w:rStyle w:val="InternetLink"/>
                  <w:rFonts w:ascii="Times New Roman" w:hAnsi="Times New Roman"/>
                  <w:spacing w:val="0"/>
                  <w:sz w:val="20"/>
                </w:rPr>
                <w:t>Notes to Consolidated Financial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9" w:type="dxa"/>
            <w:tcBorders/>
            <w:shd w:fill="auto" w:val="clear"/>
            <w:vAlign w:val="center"/>
          </w:tcPr>
          <w:p>
            <w:pPr>
              <w:pStyle w:val="TableContents"/>
              <w:spacing w:before="0" w:after="0"/>
              <w:jc w:val="right"/>
              <w:rPr>
                <w:spacing w:val="0"/>
              </w:rPr>
            </w:pPr>
            <w:r>
              <w:rPr>
                <w:spacing w:val="0"/>
              </w:rPr>
              <w:t>F-59</w:t>
            </w:r>
          </w:p>
        </w:tc>
        <w:tc>
          <w:tcPr>
            <w:tcW w:w="76" w:type="dxa"/>
            <w:tcBorders/>
            <w:shd w:fill="auto" w:val="clear"/>
            <w:vAlign w:val="center"/>
          </w:tcPr>
          <w:p>
            <w:pPr>
              <w:pStyle w:val="TableContents"/>
              <w:spacing w:before="0" w:after="283"/>
              <w:rPr/>
            </w:pPr>
            <w:r>
              <w:rPr/>
              <w:t> </w:t>
            </w:r>
          </w:p>
        </w:tc>
      </w:tr>
    </w:tbl>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6860"/>
        <w:gridCol w:w="120"/>
        <w:gridCol w:w="140"/>
        <w:gridCol w:w="1280"/>
        <w:gridCol w:w="155"/>
        <w:gridCol w:w="60"/>
        <w:gridCol w:w="140"/>
        <w:gridCol w:w="1280"/>
        <w:gridCol w:w="170"/>
      </w:tblGrid>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0" w:type="dxa"/>
            <w:gridSpan w:val="2"/>
            <w:tcBorders/>
            <w:shd w:fill="auto" w:val="clear"/>
            <w:vAlign w:val="center"/>
          </w:tcPr>
          <w:p>
            <w:pPr>
              <w:pStyle w:val="TableContents"/>
              <w:spacing w:before="0" w:after="0"/>
              <w:jc w:val="center"/>
              <w:rPr>
                <w:b/>
                <w:spacing w:val="0"/>
              </w:rPr>
            </w:pPr>
            <w:r>
              <w:rPr>
                <w:b/>
                <w:spacing w:val="0"/>
              </w:rPr>
              <w:t>June 30,</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0" w:type="dxa"/>
            <w:gridSpan w:val="2"/>
            <w:tcBorders/>
            <w:shd w:fill="auto" w:val="clear"/>
            <w:vAlign w:val="center"/>
          </w:tcPr>
          <w:p>
            <w:pPr>
              <w:pStyle w:val="TableContents"/>
              <w:spacing w:before="0" w:after="0"/>
              <w:jc w:val="center"/>
              <w:rPr>
                <w:b/>
                <w:spacing w:val="0"/>
              </w:rPr>
            </w:pPr>
            <w:r>
              <w:rPr>
                <w:b/>
                <w:spacing w:val="0"/>
              </w:rPr>
              <w:t>December 31,</w:t>
              <w:br/>
              <w:t>2020</w:t>
            </w:r>
          </w:p>
        </w:tc>
        <w:tc>
          <w:tcPr>
            <w:tcW w:w="170" w:type="dxa"/>
            <w:tcBorders/>
            <w:shd w:fill="auto"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b/>
                <w:spacing w:val="0"/>
                <w:sz w:val="20"/>
              </w:rPr>
            </w:pPr>
            <w:r>
              <w:rPr>
                <w:b/>
                <w:spacing w:val="0"/>
                <w:sz w:val="20"/>
              </w:rPr>
              <w:t>Assets:</w:t>
            </w:r>
          </w:p>
        </w:tc>
        <w:tc>
          <w:tcPr>
            <w:tcW w:w="120" w:type="dxa"/>
            <w:tcBorders/>
            <w:shd w:fill="auto" w:val="clear"/>
            <w:vAlign w:val="center"/>
          </w:tcPr>
          <w:p>
            <w:pPr>
              <w:pStyle w:val="TableContents"/>
              <w:spacing w:before="0" w:after="283"/>
              <w:rPr/>
            </w:pPr>
            <w:r>
              <w:rPr/>
              <w:t>  </w:t>
            </w:r>
          </w:p>
        </w:tc>
        <w:tc>
          <w:tcPr>
            <w:tcW w:w="1420" w:type="dxa"/>
            <w:gridSpan w:val="2"/>
            <w:tcBorders/>
            <w:shd w:fill="auto" w:val="clear"/>
            <w:vAlign w:val="center"/>
          </w:tcPr>
          <w:p>
            <w:pPr>
              <w:pStyle w:val="TableContents"/>
              <w:spacing w:before="0" w:after="0"/>
              <w:jc w:val="center"/>
              <w:rPr>
                <w:b/>
                <w:spacing w:val="0"/>
              </w:rPr>
            </w:pPr>
            <w:r>
              <w:rPr>
                <w:b/>
                <w:spacing w:val="0"/>
              </w:rPr>
              <w:t>(Unaudited)</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0"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8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8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80" w:type="dxa"/>
            <w:tcBorders/>
            <w:shd w:fill="auto" w:val="clear"/>
            <w:vAlign w:val="center"/>
          </w:tcPr>
          <w:p>
            <w:pPr>
              <w:pStyle w:val="TableContents"/>
              <w:spacing w:before="0" w:after="283"/>
              <w:jc w:val="right"/>
              <w:rPr/>
            </w:pPr>
            <w:r>
              <w:rPr/>
              <w:t>582,938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80" w:type="dxa"/>
            <w:tcBorders/>
            <w:shd w:fill="auto" w:val="clear"/>
            <w:vAlign w:val="center"/>
          </w:tcPr>
          <w:p>
            <w:pPr>
              <w:pStyle w:val="TableContents"/>
              <w:spacing w:before="0" w:after="283"/>
              <w:jc w:val="right"/>
              <w:rPr/>
            </w:pPr>
            <w:r>
              <w:rPr/>
              <w:t>1,314,085</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151,355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183,496</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734,293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1,497,581</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Investments held in Trust Account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166,815,023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166,815,235</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80" w:type="dxa"/>
            <w:tcBorders/>
            <w:shd w:fill="auto" w:val="clear"/>
            <w:vAlign w:val="center"/>
          </w:tcPr>
          <w:p>
            <w:pPr>
              <w:pStyle w:val="TableContents"/>
              <w:spacing w:before="0" w:after="0"/>
              <w:jc w:val="right"/>
              <w:rPr>
                <w:spacing w:val="0"/>
              </w:rPr>
            </w:pPr>
            <w:r>
              <w:rPr>
                <w:spacing w:val="0"/>
              </w:rPr>
              <w:t> </w:t>
            </w:r>
            <w:r>
              <w:rPr>
                <w:b/>
                <w:spacing w:val="0"/>
              </w:rPr>
              <w:t>167,549,316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80" w:type="dxa"/>
            <w:tcBorders/>
            <w:shd w:fill="auto" w:val="clear"/>
            <w:vAlign w:val="center"/>
          </w:tcPr>
          <w:p>
            <w:pPr>
              <w:pStyle w:val="TableContents"/>
              <w:spacing w:before="0" w:after="0"/>
              <w:jc w:val="right"/>
              <w:rPr>
                <w:spacing w:val="0"/>
              </w:rPr>
            </w:pPr>
            <w:r>
              <w:rPr>
                <w:spacing w:val="0"/>
              </w:rPr>
              <w:t> </w:t>
            </w:r>
            <w:r>
              <w:rPr>
                <w:b/>
                <w:spacing w:val="0"/>
              </w:rPr>
              <w:t>168,312,816</w:t>
            </w:r>
          </w:p>
        </w:tc>
        <w:tc>
          <w:tcPr>
            <w:tcW w:w="170" w:type="dxa"/>
            <w:tcBorders/>
            <w:shd w:fill="auto" w:val="clear"/>
            <w:vAlign w:val="center"/>
          </w:tcPr>
          <w:p>
            <w:pPr>
              <w:pStyle w:val="TableContents"/>
              <w:spacing w:before="0" w:after="0"/>
              <w:rPr>
                <w:spacing w:val="0"/>
              </w:rPr>
            </w:pPr>
            <w:r>
              <w:rPr>
                <w:spacing w:val="0"/>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8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8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80" w:type="dxa"/>
            <w:tcBorders/>
            <w:shd w:fill="CCEEFF" w:val="clear"/>
            <w:vAlign w:val="center"/>
          </w:tcPr>
          <w:p>
            <w:pPr>
              <w:pStyle w:val="TableContents"/>
              <w:spacing w:before="0" w:after="283"/>
              <w:jc w:val="right"/>
              <w:rPr/>
            </w:pPr>
            <w:r>
              <w:rPr/>
              <w:t>26,279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292,811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74,927</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526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6,864</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35,592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32,563</w:t>
            </w:r>
          </w:p>
        </w:tc>
        <w:tc>
          <w:tcPr>
            <w:tcW w:w="170" w:type="dxa"/>
            <w:tcBorders/>
            <w:shd w:fill="auto"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355,208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114,354</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underwriting commissions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5,836,250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5,836,250</w:t>
            </w:r>
          </w:p>
        </w:tc>
        <w:tc>
          <w:tcPr>
            <w:tcW w:w="170" w:type="dxa"/>
            <w:tcBorders/>
            <w:shd w:fill="auto"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6,191,458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5,950,604</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Commitments and Contingencies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15,635,785 and 15,736,221 shares subject to possible redemption at $10.00 per share as of June 30, 2021 and December 31,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156,357,850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157,362,210</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Preferred stock, $0.0001 par value; 1,000,000 shares authorized; none issued and outstanding as of June 30, 2021 and December 31,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$0.0001 par value; 30,000,000 shares authorized; 5,741,465 and 5,641,029 shares issued and outstanding (excluding 15,635,785 and 15,736,221 shares subject to possible redemption) as of June 30, 2021 and December 31,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574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564</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6,126,835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5,122,484</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deficit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(1,127,401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(123,046</w:t>
            </w:r>
          </w:p>
        </w:tc>
        <w:tc>
          <w:tcPr>
            <w:tcW w:w="170" w:type="dxa"/>
            <w:tcBorders/>
            <w:shd w:fill="auto"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86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stockholders’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5,000,008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5,000,002</w:t>
            </w:r>
          </w:p>
        </w:tc>
        <w:tc>
          <w:tcPr>
            <w:tcW w:w="170" w:type="dxa"/>
            <w:tcBorders/>
            <w:shd w:fill="CCEEFF"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86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 and 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80" w:type="dxa"/>
            <w:tcBorders/>
            <w:shd w:fill="auto" w:val="clear"/>
            <w:vAlign w:val="center"/>
          </w:tcPr>
          <w:p>
            <w:pPr>
              <w:pStyle w:val="TableContents"/>
              <w:spacing w:before="0" w:after="0"/>
              <w:jc w:val="right"/>
              <w:rPr>
                <w:b/>
                <w:spacing w:val="0"/>
              </w:rPr>
            </w:pPr>
            <w:r>
              <w:rPr>
                <w:b/>
                <w:spacing w:val="0"/>
              </w:rPr>
              <w:t>167,549,316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80" w:type="dxa"/>
            <w:tcBorders/>
            <w:shd w:fill="auto" w:val="clear"/>
            <w:vAlign w:val="center"/>
          </w:tcPr>
          <w:p>
            <w:pPr>
              <w:pStyle w:val="TableContents"/>
              <w:spacing w:before="0" w:after="0"/>
              <w:jc w:val="right"/>
              <w:rPr>
                <w:b/>
                <w:spacing w:val="0"/>
              </w:rPr>
            </w:pPr>
            <w:r>
              <w:rPr>
                <w:b/>
                <w:spacing w:val="0"/>
              </w:rPr>
              <w:t>168,312,816</w:t>
            </w:r>
          </w:p>
        </w:tc>
        <w:tc>
          <w:tcPr>
            <w:tcW w:w="170" w:type="dxa"/>
            <w:tcBorders/>
            <w:shd w:fill="auto" w:val="clear"/>
            <w:vAlign w:val="center"/>
          </w:tcPr>
          <w:p>
            <w:pPr>
              <w:pStyle w:val="TableContents"/>
              <w:spacing w:before="0" w:after="0"/>
              <w:rPr>
                <w:spacing w:val="0"/>
              </w:rPr>
            </w:pPr>
            <w:r>
              <w:rPr>
                <w:spacing w:val="0"/>
              </w:rPr>
              <w:t> </w:t>
            </w:r>
          </w:p>
        </w:tc>
      </w:tr>
      <w:tr>
        <w:trPr/>
        <w:tc>
          <w:tcPr>
            <w:tcW w:w="6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9620" w:type="dxa"/>
        <w:jc w:val="left"/>
        <w:tblInd w:w="0" w:type="dxa"/>
        <w:tblCellMar>
          <w:top w:w="0" w:type="dxa"/>
          <w:left w:w="0" w:type="dxa"/>
          <w:bottom w:w="0" w:type="dxa"/>
          <w:right w:w="0" w:type="dxa"/>
        </w:tblCellMar>
      </w:tblPr>
      <w:tblGrid>
        <w:gridCol w:w="5300"/>
        <w:gridCol w:w="120"/>
        <w:gridCol w:w="140"/>
        <w:gridCol w:w="1100"/>
        <w:gridCol w:w="155"/>
        <w:gridCol w:w="60"/>
        <w:gridCol w:w="140"/>
        <w:gridCol w:w="1100"/>
        <w:gridCol w:w="155"/>
        <w:gridCol w:w="60"/>
        <w:gridCol w:w="140"/>
        <w:gridCol w:w="980"/>
        <w:gridCol w:w="170"/>
      </w:tblGrid>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For the</w:t>
              <w:br/>
              <w:t>Three</w:t>
              <w:br/>
              <w:t>Months</w:t>
              <w:br/>
              <w:t>Ended</w:t>
              <w:br/>
              <w:t>June 30,</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For the</w:t>
              <w:br/>
              <w:t>Six Months</w:t>
              <w:br/>
              <w:t>Ended</w:t>
              <w:br/>
              <w:t>June 30,</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b/>
                <w:spacing w:val="0"/>
              </w:rPr>
            </w:pPr>
            <w:r>
              <w:rPr>
                <w:b/>
                <w:spacing w:val="0"/>
              </w:rPr>
              <w:t>For The</w:t>
              <w:br/>
              <w:t>Period</w:t>
              <w:br/>
              <w:t>From</w:t>
              <w:br/>
              <w:t>May 21,</w:t>
              <w:br/>
              <w:t>2020</w:t>
              <w:br/>
              <w:t>(inception)</w:t>
              <w:br/>
              <w:t>through</w:t>
              <w:br/>
              <w:t>June 30,</w:t>
              <w:br/>
              <w:t>2020</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712,913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924,644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472</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Administrative expenses — related party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30,000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60,000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27,322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51,486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(770,235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(1,036,130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(472</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earned on investments held in Trust Account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5,634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32,300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Loss before income tax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(764,601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(1,003,830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(472</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(764,601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(1,004,355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(472</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Weighted average shares outstanding, of Public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16,675,000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16,675,000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Basic and diluted net income per share, Public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Weighted average shares outstanding, of Founder shares (1)(2)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4,702,250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4,702,250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3,625,000</w:t>
            </w:r>
          </w:p>
        </w:tc>
        <w:tc>
          <w:tcPr>
            <w:tcW w:w="170" w:type="dxa"/>
            <w:tcBorders/>
            <w:shd w:fill="CCEEFF"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Basic and diluted net loss per share, Founder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(0.16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(0.00</w:t>
            </w:r>
          </w:p>
        </w:tc>
        <w:tc>
          <w:tcPr>
            <w:tcW w:w="170"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0"/>
              <w:jc w:val="left"/>
              <w:rPr>
                <w:i/>
                <w:caps w:val="false"/>
                <w:smallCaps w:val="false"/>
                <w:spacing w:val="0"/>
              </w:rPr>
            </w:pPr>
            <w:r>
              <w:rPr>
                <w:i/>
                <w:caps w:val="false"/>
                <w:smallCaps w:val="false"/>
                <w:spacing w:val="0"/>
              </w:rPr>
              <w:t>(1)</w:t>
            </w:r>
          </w:p>
        </w:tc>
        <w:tc>
          <w:tcPr>
            <w:tcW w:w="9955"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For the period from May 21, 2020 (inception) through June 30, 2020, this number excluded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 </w:t>
            </w:r>
          </w:p>
        </w:tc>
      </w:tr>
    </w:tbl>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0"/>
              <w:jc w:val="left"/>
              <w:rPr>
                <w:i/>
                <w:caps w:val="false"/>
                <w:smallCaps w:val="false"/>
                <w:spacing w:val="0"/>
              </w:rPr>
            </w:pPr>
            <w:r>
              <w:rPr>
                <w:i/>
                <w:caps w:val="false"/>
                <w:smallCaps w:val="false"/>
                <w:spacing w:val="0"/>
              </w:rPr>
              <w:t>(2)</w:t>
            </w:r>
          </w:p>
        </w:tc>
        <w:tc>
          <w:tcPr>
            <w:tcW w:w="9946"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On September 2, 2020, the Company declared a dividend of 0.16 shares for each outstanding share of common stock, resulting in an aggregate of 4,168,750 shares outstanding. All shares and associated amounts have been retroactively restated to reflect the share dividend (see Note 5).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CHANGES IN STOCKHOLDERS’ EQUITY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967"/>
        <w:gridCol w:w="120"/>
        <w:gridCol w:w="63"/>
        <w:gridCol w:w="1038"/>
        <w:gridCol w:w="63"/>
        <w:gridCol w:w="126"/>
        <w:gridCol w:w="244"/>
        <w:gridCol w:w="666"/>
        <w:gridCol w:w="63"/>
        <w:gridCol w:w="126"/>
        <w:gridCol w:w="148"/>
        <w:gridCol w:w="1038"/>
        <w:gridCol w:w="63"/>
        <w:gridCol w:w="126"/>
        <w:gridCol w:w="168"/>
        <w:gridCol w:w="1282"/>
        <w:gridCol w:w="163"/>
        <w:gridCol w:w="63"/>
        <w:gridCol w:w="191"/>
        <w:gridCol w:w="1307"/>
        <w:gridCol w:w="180"/>
      </w:tblGrid>
      <w:tr>
        <w:trPr/>
        <w:tc>
          <w:tcPr>
            <w:tcW w:w="29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29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38" w:type="dxa"/>
            <w:gridSpan w:val="18"/>
            <w:tcBorders/>
            <w:shd w:fill="auto" w:val="clear"/>
            <w:vAlign w:val="center"/>
          </w:tcPr>
          <w:p>
            <w:pPr>
              <w:pStyle w:val="TableContents"/>
              <w:spacing w:before="0" w:after="0"/>
              <w:jc w:val="center"/>
              <w:rPr>
                <w:b/>
                <w:spacing w:val="0"/>
              </w:rPr>
            </w:pPr>
            <w:r>
              <w:rPr>
                <w:b/>
                <w:spacing w:val="0"/>
              </w:rPr>
              <w:t>For the Three and Six Months Ended June 30, 2021</w:t>
            </w:r>
          </w:p>
        </w:tc>
        <w:tc>
          <w:tcPr>
            <w:tcW w:w="180" w:type="dxa"/>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0" w:type="dxa"/>
            <w:gridSpan w:val="6"/>
            <w:tcBorders/>
            <w:shd w:fill="auto" w:val="clear"/>
            <w:vAlign w:val="center"/>
          </w:tcPr>
          <w:p>
            <w:pPr>
              <w:pStyle w:val="TableContents"/>
              <w:spacing w:before="0" w:after="0"/>
              <w:jc w:val="center"/>
              <w:rPr>
                <w:b/>
                <w:spacing w:val="0"/>
              </w:rPr>
            </w:pPr>
            <w:r>
              <w:rPr>
                <w:b/>
                <w:spacing w:val="0"/>
              </w:rPr>
              <w:t>Common Stock</w:t>
            </w:r>
          </w:p>
        </w:tc>
        <w:tc>
          <w:tcPr>
            <w:tcW w:w="63" w:type="dxa"/>
            <w:tcBorders/>
            <w:shd w:fill="auto" w:val="clear"/>
            <w:vAlign w:val="center"/>
          </w:tcPr>
          <w:p>
            <w:pPr>
              <w:pStyle w:val="TableContents"/>
              <w:spacing w:before="0" w:after="283"/>
              <w:rPr/>
            </w:pPr>
            <w:r>
              <w:rPr/>
              <w:t> </w:t>
            </w:r>
          </w:p>
        </w:tc>
        <w:tc>
          <w:tcPr>
            <w:tcW w:w="126" w:type="dxa"/>
            <w:vMerge w:val="restart"/>
            <w:tcBorders/>
            <w:shd w:fill="auto" w:val="clear"/>
            <w:vAlign w:val="center"/>
          </w:tcPr>
          <w:p>
            <w:pPr>
              <w:pStyle w:val="TableContents"/>
              <w:spacing w:before="0" w:after="283"/>
              <w:rPr/>
            </w:pPr>
            <w:r>
              <w:rPr/>
              <w:t>  </w:t>
            </w:r>
          </w:p>
        </w:tc>
        <w:tc>
          <w:tcPr>
            <w:tcW w:w="1186"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63" w:type="dxa"/>
            <w:vMerge w:val="restart"/>
            <w:tcBorders/>
            <w:shd w:fill="auto" w:val="clear"/>
            <w:vAlign w:val="center"/>
          </w:tcPr>
          <w:p>
            <w:pPr>
              <w:pStyle w:val="TableContents"/>
              <w:spacing w:before="0" w:after="283"/>
              <w:rPr/>
            </w:pPr>
            <w:r>
              <w:rPr/>
              <w:t> </w:t>
            </w:r>
          </w:p>
        </w:tc>
        <w:tc>
          <w:tcPr>
            <w:tcW w:w="126" w:type="dxa"/>
            <w:vMerge w:val="restart"/>
            <w:tcBorders/>
            <w:shd w:fill="auto" w:val="clear"/>
            <w:vAlign w:val="center"/>
          </w:tcPr>
          <w:p>
            <w:pPr>
              <w:pStyle w:val="TableContents"/>
              <w:spacing w:before="0" w:after="283"/>
              <w:rPr/>
            </w:pPr>
            <w:r>
              <w:rPr/>
              <w:t>  </w:t>
            </w:r>
          </w:p>
        </w:tc>
        <w:tc>
          <w:tcPr>
            <w:tcW w:w="145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63" w:type="dxa"/>
            <w:vMerge w:val="restart"/>
            <w:tcBorders/>
            <w:shd w:fill="auto" w:val="clear"/>
            <w:vAlign w:val="center"/>
          </w:tcPr>
          <w:p>
            <w:pPr>
              <w:pStyle w:val="TableContents"/>
              <w:spacing w:before="0" w:after="283"/>
              <w:rPr/>
            </w:pPr>
            <w:r>
              <w:rPr/>
              <w:t> </w:t>
            </w:r>
          </w:p>
        </w:tc>
        <w:tc>
          <w:tcPr>
            <w:tcW w:w="63" w:type="dxa"/>
            <w:vMerge w:val="restart"/>
            <w:tcBorders/>
            <w:shd w:fill="auto" w:val="clear"/>
            <w:vAlign w:val="center"/>
          </w:tcPr>
          <w:p>
            <w:pPr>
              <w:pStyle w:val="TableContents"/>
              <w:spacing w:before="0" w:after="283"/>
              <w:rPr/>
            </w:pPr>
            <w:r>
              <w:rPr/>
              <w:t> </w:t>
            </w:r>
          </w:p>
        </w:tc>
        <w:tc>
          <w:tcPr>
            <w:tcW w:w="1498" w:type="dxa"/>
            <w:gridSpan w:val="2"/>
            <w:vMerge w:val="restart"/>
            <w:tcBorders/>
            <w:shd w:fill="auto" w:val="clear"/>
            <w:vAlign w:val="center"/>
          </w:tcPr>
          <w:p>
            <w:pPr>
              <w:pStyle w:val="TableContents"/>
              <w:spacing w:before="0" w:after="0"/>
              <w:jc w:val="center"/>
              <w:rPr>
                <w:b/>
                <w:spacing w:val="0"/>
              </w:rPr>
            </w:pPr>
            <w:r>
              <w:rPr>
                <w:b/>
                <w:spacing w:val="0"/>
              </w:rPr>
              <w:t>Total</w:t>
              <w:br/>
              <w:t>Stockholders’</w:t>
            </w:r>
          </w:p>
          <w:p>
            <w:pPr>
              <w:pStyle w:val="TableContents"/>
              <w:spacing w:before="0" w:after="0"/>
              <w:jc w:val="center"/>
              <w:rPr/>
            </w:pPr>
            <w:r>
              <w:rPr/>
            </w:r>
          </w:p>
          <w:p>
            <w:pPr>
              <w:pStyle w:val="TableContents"/>
              <w:spacing w:before="0" w:after="0"/>
              <w:jc w:val="center"/>
              <w:rPr>
                <w:b/>
                <w:spacing w:val="0"/>
              </w:rPr>
            </w:pPr>
            <w:r>
              <w:rPr>
                <w:b/>
                <w:spacing w:val="0"/>
              </w:rPr>
              <w:t>Equity</w:t>
            </w:r>
          </w:p>
        </w:tc>
        <w:tc>
          <w:tcPr>
            <w:tcW w:w="180" w:type="dxa"/>
            <w:vMerge w:val="restart"/>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1" w:type="dxa"/>
            <w:gridSpan w:val="2"/>
            <w:tcBorders/>
            <w:shd w:fill="auto" w:val="clear"/>
            <w:vAlign w:val="center"/>
          </w:tcPr>
          <w:p>
            <w:pPr>
              <w:pStyle w:val="TableContents"/>
              <w:spacing w:before="0" w:after="0"/>
              <w:jc w:val="center"/>
              <w:rPr>
                <w:b/>
                <w:spacing w:val="0"/>
              </w:rPr>
            </w:pPr>
            <w:r>
              <w:rPr>
                <w:b/>
                <w:spacing w:val="0"/>
              </w:rPr>
              <w:t>shares</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10" w:type="dxa"/>
            <w:gridSpan w:val="2"/>
            <w:tcBorders/>
            <w:shd w:fill="auto" w:val="clear"/>
            <w:vAlign w:val="center"/>
          </w:tcPr>
          <w:p>
            <w:pPr>
              <w:pStyle w:val="TableContents"/>
              <w:spacing w:before="0" w:after="0"/>
              <w:jc w:val="center"/>
              <w:rPr>
                <w:b/>
                <w:spacing w:val="0"/>
              </w:rPr>
            </w:pPr>
            <w:r>
              <w:rPr>
                <w:b/>
                <w:spacing w:val="0"/>
              </w:rPr>
              <w:t>Amount</w:t>
            </w:r>
          </w:p>
        </w:tc>
        <w:tc>
          <w:tcPr>
            <w:tcW w:w="63" w:type="dxa"/>
            <w:tcBorders/>
            <w:shd w:fill="auto" w:val="clear"/>
            <w:vAlign w:val="center"/>
          </w:tcPr>
          <w:p>
            <w:pPr>
              <w:pStyle w:val="TableContents"/>
              <w:spacing w:before="0" w:after="283"/>
              <w:rPr/>
            </w:pPr>
            <w:r>
              <w:rPr/>
              <w:t> </w:t>
            </w:r>
          </w:p>
        </w:tc>
        <w:tc>
          <w:tcPr>
            <w:tcW w:w="126" w:type="dxa"/>
            <w:vMerge w:val="continue"/>
            <w:tcBorders/>
            <w:shd w:fill="auto" w:val="clear"/>
            <w:vAlign w:val="center"/>
          </w:tcPr>
          <w:p>
            <w:pPr>
              <w:pStyle w:val="Normal"/>
              <w:rPr/>
            </w:pPr>
            <w:r>
              <w:rPr/>
            </w:r>
          </w:p>
        </w:tc>
        <w:tc>
          <w:tcPr>
            <w:tcW w:w="1186" w:type="dxa"/>
            <w:gridSpan w:val="2"/>
            <w:vMerge w:val="continue"/>
            <w:tcBorders/>
            <w:shd w:fill="auto" w:val="clear"/>
            <w:vAlign w:val="center"/>
          </w:tcPr>
          <w:p>
            <w:pPr>
              <w:pStyle w:val="Normal"/>
              <w:rPr/>
            </w:pPr>
            <w:r>
              <w:rPr/>
            </w:r>
          </w:p>
        </w:tc>
        <w:tc>
          <w:tcPr>
            <w:tcW w:w="63" w:type="dxa"/>
            <w:vMerge w:val="continue"/>
            <w:tcBorders/>
            <w:shd w:fill="auto" w:val="clear"/>
            <w:vAlign w:val="center"/>
          </w:tcPr>
          <w:p>
            <w:pPr>
              <w:pStyle w:val="Normal"/>
              <w:rPr/>
            </w:pPr>
            <w:r>
              <w:rPr/>
            </w:r>
          </w:p>
        </w:tc>
        <w:tc>
          <w:tcPr>
            <w:tcW w:w="126" w:type="dxa"/>
            <w:vMerge w:val="continue"/>
            <w:tcBorders/>
            <w:shd w:fill="auto" w:val="clear"/>
            <w:vAlign w:val="center"/>
          </w:tcPr>
          <w:p>
            <w:pPr>
              <w:pStyle w:val="Normal"/>
              <w:rPr/>
            </w:pPr>
            <w:r>
              <w:rPr/>
            </w:r>
          </w:p>
        </w:tc>
        <w:tc>
          <w:tcPr>
            <w:tcW w:w="1450" w:type="dxa"/>
            <w:gridSpan w:val="2"/>
            <w:vMerge w:val="continue"/>
            <w:tcBorders/>
            <w:shd w:fill="auto" w:val="clear"/>
            <w:vAlign w:val="center"/>
          </w:tcPr>
          <w:p>
            <w:pPr>
              <w:pStyle w:val="Normal"/>
              <w:rPr/>
            </w:pPr>
            <w:r>
              <w:rPr/>
            </w:r>
          </w:p>
        </w:tc>
        <w:tc>
          <w:tcPr>
            <w:tcW w:w="163" w:type="dxa"/>
            <w:vMerge w:val="continue"/>
            <w:tcBorders/>
            <w:shd w:fill="auto" w:val="clear"/>
            <w:vAlign w:val="center"/>
          </w:tcPr>
          <w:p>
            <w:pPr>
              <w:pStyle w:val="Normal"/>
              <w:rPr/>
            </w:pPr>
            <w:r>
              <w:rPr/>
            </w:r>
          </w:p>
        </w:tc>
        <w:tc>
          <w:tcPr>
            <w:tcW w:w="63" w:type="dxa"/>
            <w:vMerge w:val="continue"/>
            <w:tcBorders/>
            <w:shd w:fill="auto" w:val="clear"/>
            <w:vAlign w:val="center"/>
          </w:tcPr>
          <w:p>
            <w:pPr>
              <w:pStyle w:val="Normal"/>
              <w:rPr/>
            </w:pPr>
            <w:r>
              <w:rPr/>
            </w:r>
          </w:p>
        </w:tc>
        <w:tc>
          <w:tcPr>
            <w:tcW w:w="1498" w:type="dxa"/>
            <w:gridSpan w:val="2"/>
            <w:vMerge w:val="continue"/>
            <w:tcBorders/>
            <w:shd w:fill="auto" w:val="clear"/>
            <w:vAlign w:val="center"/>
          </w:tcPr>
          <w:p>
            <w:pPr>
              <w:pStyle w:val="Normal"/>
              <w:rPr/>
            </w:pPr>
            <w:r>
              <w:rPr/>
            </w:r>
          </w:p>
        </w:tc>
        <w:tc>
          <w:tcPr>
            <w:tcW w:w="180" w:type="dxa"/>
            <w:vMerge w:val="continue"/>
            <w:tcBorders/>
            <w:shd w:fill="auto" w:val="clear"/>
            <w:vAlign w:val="center"/>
          </w:tcPr>
          <w:p>
            <w:pPr>
              <w:pStyle w:val="Normal"/>
              <w:rPr/>
            </w:pPr>
            <w:r>
              <w:rPr/>
            </w:r>
          </w:p>
        </w:tc>
      </w:tr>
      <w:tr>
        <w:trPr/>
        <w:tc>
          <w:tcPr>
            <w:tcW w:w="2967"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December 31, 2020</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1038" w:type="dxa"/>
            <w:tcBorders/>
            <w:shd w:fill="CCEEFF" w:val="clear"/>
            <w:vAlign w:val="center"/>
          </w:tcPr>
          <w:p>
            <w:pPr>
              <w:pStyle w:val="TableContents"/>
              <w:spacing w:before="0" w:after="0"/>
              <w:jc w:val="right"/>
              <w:rPr>
                <w:b/>
                <w:spacing w:val="0"/>
              </w:rPr>
            </w:pPr>
            <w:r>
              <w:rPr>
                <w:b/>
                <w:spacing w:val="0"/>
              </w:rPr>
              <w:t>5,641,029</w:t>
            </w:r>
          </w:p>
        </w:tc>
        <w:tc>
          <w:tcPr>
            <w:tcW w:w="63" w:type="dxa"/>
            <w:tcBorders/>
            <w:shd w:fill="CCEEFF" w:val="clear"/>
            <w:vAlign w:val="center"/>
          </w:tcPr>
          <w:p>
            <w:pPr>
              <w:pStyle w:val="TableContents"/>
              <w:spacing w:before="0" w:after="0"/>
              <w:rPr>
                <w:spacing w:val="0"/>
              </w:rPr>
            </w:pPr>
            <w:r>
              <w:rPr>
                <w:spacing w:val="0"/>
              </w:rPr>
              <w:t> </w:t>
            </w:r>
          </w:p>
        </w:tc>
        <w:tc>
          <w:tcPr>
            <w:tcW w:w="126"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0"/>
              <w:rPr>
                <w:b/>
                <w:spacing w:val="0"/>
              </w:rPr>
            </w:pPr>
            <w:r>
              <w:rPr>
                <w:b/>
                <w:spacing w:val="0"/>
              </w:rPr>
              <w:t>$</w:t>
            </w:r>
          </w:p>
        </w:tc>
        <w:tc>
          <w:tcPr>
            <w:tcW w:w="666" w:type="dxa"/>
            <w:tcBorders/>
            <w:shd w:fill="CCEEFF" w:val="clear"/>
            <w:vAlign w:val="center"/>
          </w:tcPr>
          <w:p>
            <w:pPr>
              <w:pStyle w:val="TableContents"/>
              <w:spacing w:before="0" w:after="0"/>
              <w:jc w:val="right"/>
              <w:rPr>
                <w:b/>
                <w:spacing w:val="0"/>
              </w:rPr>
            </w:pPr>
            <w:r>
              <w:rPr>
                <w:b/>
                <w:spacing w:val="0"/>
              </w:rPr>
              <w:t>564</w:t>
            </w:r>
          </w:p>
        </w:tc>
        <w:tc>
          <w:tcPr>
            <w:tcW w:w="63" w:type="dxa"/>
            <w:tcBorders/>
            <w:shd w:fill="CCEEFF" w:val="clear"/>
            <w:vAlign w:val="center"/>
          </w:tcPr>
          <w:p>
            <w:pPr>
              <w:pStyle w:val="TableContents"/>
              <w:spacing w:before="0" w:after="0"/>
              <w:rPr>
                <w:spacing w:val="0"/>
              </w:rPr>
            </w:pPr>
            <w:r>
              <w:rPr>
                <w:spacing w:val="0"/>
              </w:rPr>
              <w:t> </w:t>
            </w:r>
          </w:p>
        </w:tc>
        <w:tc>
          <w:tcPr>
            <w:tcW w:w="126"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0"/>
              <w:rPr>
                <w:b/>
                <w:spacing w:val="0"/>
              </w:rPr>
            </w:pPr>
            <w:r>
              <w:rPr>
                <w:b/>
                <w:spacing w:val="0"/>
              </w:rPr>
              <w:t>$</w:t>
            </w:r>
          </w:p>
        </w:tc>
        <w:tc>
          <w:tcPr>
            <w:tcW w:w="1038" w:type="dxa"/>
            <w:tcBorders/>
            <w:shd w:fill="CCEEFF" w:val="clear"/>
            <w:vAlign w:val="center"/>
          </w:tcPr>
          <w:p>
            <w:pPr>
              <w:pStyle w:val="TableContents"/>
              <w:spacing w:before="0" w:after="0"/>
              <w:jc w:val="right"/>
              <w:rPr>
                <w:b/>
                <w:spacing w:val="0"/>
              </w:rPr>
            </w:pPr>
            <w:r>
              <w:rPr>
                <w:b/>
                <w:spacing w:val="0"/>
              </w:rPr>
              <w:t>5,122,484</w:t>
            </w:r>
          </w:p>
        </w:tc>
        <w:tc>
          <w:tcPr>
            <w:tcW w:w="63" w:type="dxa"/>
            <w:tcBorders/>
            <w:shd w:fill="CCEEFF" w:val="clear"/>
            <w:vAlign w:val="center"/>
          </w:tcPr>
          <w:p>
            <w:pPr>
              <w:pStyle w:val="TableContents"/>
              <w:spacing w:before="0" w:after="0"/>
              <w:rPr>
                <w:spacing w:val="0"/>
              </w:rPr>
            </w:pPr>
            <w:r>
              <w:rPr>
                <w:spacing w:val="0"/>
              </w:rPr>
              <w:t> </w:t>
            </w:r>
          </w:p>
        </w:tc>
        <w:tc>
          <w:tcPr>
            <w:tcW w:w="126"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0"/>
              <w:rPr>
                <w:b/>
                <w:spacing w:val="0"/>
              </w:rPr>
            </w:pPr>
            <w:r>
              <w:rPr>
                <w:b/>
                <w:spacing w:val="0"/>
              </w:rPr>
              <w:t>$</w:t>
            </w:r>
          </w:p>
        </w:tc>
        <w:tc>
          <w:tcPr>
            <w:tcW w:w="1282" w:type="dxa"/>
            <w:tcBorders/>
            <w:shd w:fill="CCEEFF" w:val="clear"/>
            <w:vAlign w:val="center"/>
          </w:tcPr>
          <w:p>
            <w:pPr>
              <w:pStyle w:val="TableContents"/>
              <w:spacing w:before="0" w:after="0"/>
              <w:jc w:val="right"/>
              <w:rPr>
                <w:b/>
                <w:spacing w:val="0"/>
              </w:rPr>
            </w:pPr>
            <w:r>
              <w:rPr>
                <w:b/>
                <w:spacing w:val="0"/>
              </w:rPr>
              <w:t>(123,046</w:t>
            </w:r>
          </w:p>
        </w:tc>
        <w:tc>
          <w:tcPr>
            <w:tcW w:w="163" w:type="dxa"/>
            <w:tcBorders/>
            <w:shd w:fill="CCEEFF" w:val="clear"/>
            <w:vAlign w:val="center"/>
          </w:tcPr>
          <w:p>
            <w:pPr>
              <w:pStyle w:val="TableContents"/>
              <w:spacing w:before="0" w:after="0"/>
              <w:rPr>
                <w:b/>
                <w:spacing w:val="0"/>
              </w:rPr>
            </w:pPr>
            <w:r>
              <w:rPr>
                <w:b/>
                <w:spacing w:val="0"/>
              </w:rPr>
              <w:t>) </w:t>
            </w:r>
          </w:p>
        </w:tc>
        <w:tc>
          <w:tcPr>
            <w:tcW w:w="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0"/>
              <w:rPr>
                <w:b/>
                <w:spacing w:val="0"/>
              </w:rPr>
            </w:pPr>
            <w:r>
              <w:rPr>
                <w:b/>
                <w:spacing w:val="0"/>
              </w:rPr>
              <w:t>$</w:t>
            </w:r>
          </w:p>
        </w:tc>
        <w:tc>
          <w:tcPr>
            <w:tcW w:w="1307" w:type="dxa"/>
            <w:tcBorders/>
            <w:shd w:fill="CCEEFF" w:val="clear"/>
            <w:vAlign w:val="center"/>
          </w:tcPr>
          <w:p>
            <w:pPr>
              <w:pStyle w:val="TableContents"/>
              <w:spacing w:before="0" w:after="0"/>
              <w:jc w:val="right"/>
              <w:rPr>
                <w:b/>
                <w:spacing w:val="0"/>
              </w:rPr>
            </w:pPr>
            <w:r>
              <w:rPr>
                <w:b/>
                <w:spacing w:val="0"/>
              </w:rPr>
              <w:t>5,000,002</w:t>
            </w:r>
          </w:p>
        </w:tc>
        <w:tc>
          <w:tcPr>
            <w:tcW w:w="180" w:type="dxa"/>
            <w:tcBorders/>
            <w:shd w:fill="CCEEFF" w:val="clear"/>
            <w:vAlign w:val="center"/>
          </w:tcPr>
          <w:p>
            <w:pPr>
              <w:pStyle w:val="TableContents"/>
              <w:spacing w:before="0" w:after="0"/>
              <w:rPr>
                <w:spacing w:val="0"/>
              </w:rPr>
            </w:pPr>
            <w:r>
              <w:rPr>
                <w:spacing w:val="0"/>
              </w:rPr>
              <w:t> </w:t>
            </w:r>
          </w:p>
        </w:tc>
      </w:tr>
      <w:tr>
        <w:trPr/>
        <w:tc>
          <w:tcPr>
            <w:tcW w:w="296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subject to possible redemption</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23,976</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jc w:val="right"/>
              <w:rPr/>
            </w:pPr>
            <w:r>
              <w:rPr/>
              <w:t>2</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239,758</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82"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307" w:type="dxa"/>
            <w:tcBorders/>
            <w:shd w:fill="auto" w:val="clear"/>
            <w:vAlign w:val="center"/>
          </w:tcPr>
          <w:p>
            <w:pPr>
              <w:pStyle w:val="TableContents"/>
              <w:spacing w:before="0" w:after="283"/>
              <w:jc w:val="right"/>
              <w:rPr/>
            </w:pPr>
            <w:r>
              <w:rPr/>
              <w:t>239,760</w:t>
            </w:r>
          </w:p>
        </w:tc>
        <w:tc>
          <w:tcPr>
            <w:tcW w:w="180" w:type="dxa"/>
            <w:tcBorders/>
            <w:shd w:fill="auto" w:val="clear"/>
            <w:vAlign w:val="center"/>
          </w:tcPr>
          <w:p>
            <w:pPr>
              <w:pStyle w:val="TableContents"/>
              <w:spacing w:before="0" w:after="283"/>
              <w:rPr/>
            </w:pPr>
            <w:r>
              <w:rPr/>
              <w:t> </w:t>
            </w:r>
          </w:p>
        </w:tc>
      </w:tr>
      <w:tr>
        <w:trPr/>
        <w:tc>
          <w:tcPr>
            <w:tcW w:w="296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rPr/>
            </w:pPr>
            <w:r>
              <w:rPr/>
              <w:t> </w:t>
            </w:r>
          </w:p>
        </w:tc>
        <w:tc>
          <w:tcPr>
            <w:tcW w:w="666" w:type="dxa"/>
            <w:tcBorders/>
            <w:shd w:fill="CCEEFF" w:val="clear"/>
            <w:vAlign w:val="center"/>
          </w:tcPr>
          <w:p>
            <w:pPr>
              <w:pStyle w:val="TableContents"/>
              <w:spacing w:before="0" w:after="283"/>
              <w:jc w:val="right"/>
              <w:rPr/>
            </w:pPr>
            <w:r>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82" w:type="dxa"/>
            <w:tcBorders/>
            <w:shd w:fill="CCEEFF" w:val="clear"/>
            <w:vAlign w:val="center"/>
          </w:tcPr>
          <w:p>
            <w:pPr>
              <w:pStyle w:val="TableContents"/>
              <w:spacing w:before="0" w:after="283"/>
              <w:jc w:val="right"/>
              <w:rPr/>
            </w:pPr>
            <w:r>
              <w:rPr/>
              <w:t>(239,754</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307" w:type="dxa"/>
            <w:tcBorders/>
            <w:shd w:fill="CCEEFF" w:val="clear"/>
            <w:vAlign w:val="center"/>
          </w:tcPr>
          <w:p>
            <w:pPr>
              <w:pStyle w:val="TableContents"/>
              <w:spacing w:before="0" w:after="283"/>
              <w:jc w:val="right"/>
              <w:rPr/>
            </w:pPr>
            <w:r>
              <w:rPr/>
              <w:t>(239,754</w:t>
            </w:r>
          </w:p>
        </w:tc>
        <w:tc>
          <w:tcPr>
            <w:tcW w:w="180" w:type="dxa"/>
            <w:tcBorders/>
            <w:shd w:fill="CCEEFF"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80" w:type="dxa"/>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March 31, 2021 (unaudited)</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rPr>
            </w:pPr>
            <w:r>
              <w:rPr>
                <w:spacing w:val="0"/>
              </w:rPr>
              <w:t> </w:t>
            </w:r>
          </w:p>
        </w:tc>
        <w:tc>
          <w:tcPr>
            <w:tcW w:w="1038" w:type="dxa"/>
            <w:tcBorders/>
            <w:shd w:fill="auto" w:val="clear"/>
            <w:vAlign w:val="center"/>
          </w:tcPr>
          <w:p>
            <w:pPr>
              <w:pStyle w:val="TableContents"/>
              <w:spacing w:before="0" w:after="0"/>
              <w:jc w:val="right"/>
              <w:rPr>
                <w:b/>
                <w:spacing w:val="0"/>
              </w:rPr>
            </w:pPr>
            <w:r>
              <w:rPr>
                <w:b/>
                <w:spacing w:val="0"/>
              </w:rPr>
              <w:t>5,665,005</w:t>
            </w:r>
          </w:p>
        </w:tc>
        <w:tc>
          <w:tcPr>
            <w:tcW w:w="63" w:type="dxa"/>
            <w:tcBorders/>
            <w:shd w:fill="auto" w:val="clear"/>
            <w:vAlign w:val="center"/>
          </w:tcPr>
          <w:p>
            <w:pPr>
              <w:pStyle w:val="TableContents"/>
              <w:spacing w:before="0" w:after="0"/>
              <w:rPr>
                <w:spacing w:val="0"/>
              </w:rPr>
            </w:pPr>
            <w:r>
              <w:rPr>
                <w:spacing w:val="0"/>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0"/>
              <w:rPr>
                <w:spacing w:val="0"/>
              </w:rPr>
            </w:pPr>
            <w:r>
              <w:rPr>
                <w:spacing w:val="0"/>
              </w:rPr>
              <w:t> </w:t>
            </w:r>
          </w:p>
        </w:tc>
        <w:tc>
          <w:tcPr>
            <w:tcW w:w="666" w:type="dxa"/>
            <w:tcBorders/>
            <w:shd w:fill="auto" w:val="clear"/>
            <w:vAlign w:val="center"/>
          </w:tcPr>
          <w:p>
            <w:pPr>
              <w:pStyle w:val="TableContents"/>
              <w:spacing w:before="0" w:after="0"/>
              <w:jc w:val="right"/>
              <w:rPr>
                <w:b/>
                <w:spacing w:val="0"/>
              </w:rPr>
            </w:pPr>
            <w:r>
              <w:rPr>
                <w:b/>
                <w:spacing w:val="0"/>
              </w:rPr>
              <w:t>566</w:t>
            </w:r>
          </w:p>
        </w:tc>
        <w:tc>
          <w:tcPr>
            <w:tcW w:w="63" w:type="dxa"/>
            <w:tcBorders/>
            <w:shd w:fill="auto" w:val="clear"/>
            <w:vAlign w:val="center"/>
          </w:tcPr>
          <w:p>
            <w:pPr>
              <w:pStyle w:val="TableContents"/>
              <w:spacing w:before="0" w:after="0"/>
              <w:rPr>
                <w:spacing w:val="0"/>
              </w:rPr>
            </w:pPr>
            <w:r>
              <w:rPr>
                <w:spacing w:val="0"/>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rPr>
            </w:pPr>
            <w:r>
              <w:rPr>
                <w:spacing w:val="0"/>
              </w:rPr>
              <w:t> </w:t>
            </w:r>
          </w:p>
        </w:tc>
        <w:tc>
          <w:tcPr>
            <w:tcW w:w="1038" w:type="dxa"/>
            <w:tcBorders/>
            <w:shd w:fill="auto" w:val="clear"/>
            <w:vAlign w:val="center"/>
          </w:tcPr>
          <w:p>
            <w:pPr>
              <w:pStyle w:val="TableContents"/>
              <w:spacing w:before="0" w:after="0"/>
              <w:jc w:val="right"/>
              <w:rPr>
                <w:b/>
                <w:spacing w:val="0"/>
              </w:rPr>
            </w:pPr>
            <w:r>
              <w:rPr>
                <w:b/>
                <w:spacing w:val="0"/>
              </w:rPr>
              <w:t>5,362,242</w:t>
            </w:r>
          </w:p>
        </w:tc>
        <w:tc>
          <w:tcPr>
            <w:tcW w:w="63" w:type="dxa"/>
            <w:tcBorders/>
            <w:shd w:fill="auto" w:val="clear"/>
            <w:vAlign w:val="center"/>
          </w:tcPr>
          <w:p>
            <w:pPr>
              <w:pStyle w:val="TableContents"/>
              <w:spacing w:before="0" w:after="0"/>
              <w:rPr>
                <w:spacing w:val="0"/>
              </w:rPr>
            </w:pPr>
            <w:r>
              <w:rPr>
                <w:spacing w:val="0"/>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rPr>
            </w:pPr>
            <w:r>
              <w:rPr>
                <w:spacing w:val="0"/>
              </w:rPr>
              <w:t> </w:t>
            </w:r>
          </w:p>
        </w:tc>
        <w:tc>
          <w:tcPr>
            <w:tcW w:w="1282" w:type="dxa"/>
            <w:tcBorders/>
            <w:shd w:fill="auto" w:val="clear"/>
            <w:vAlign w:val="center"/>
          </w:tcPr>
          <w:p>
            <w:pPr>
              <w:pStyle w:val="TableContents"/>
              <w:spacing w:before="0" w:after="0"/>
              <w:jc w:val="right"/>
              <w:rPr>
                <w:b/>
                <w:spacing w:val="0"/>
              </w:rPr>
            </w:pPr>
            <w:r>
              <w:rPr>
                <w:b/>
                <w:spacing w:val="0"/>
              </w:rPr>
              <w:t>(362,800</w:t>
            </w:r>
          </w:p>
        </w:tc>
        <w:tc>
          <w:tcPr>
            <w:tcW w:w="163" w:type="dxa"/>
            <w:tcBorders/>
            <w:shd w:fill="auto" w:val="clear"/>
            <w:vAlign w:val="center"/>
          </w:tcPr>
          <w:p>
            <w:pPr>
              <w:pStyle w:val="TableContents"/>
              <w:spacing w:before="0" w:after="0"/>
              <w:rPr>
                <w:b/>
                <w:spacing w:val="0"/>
              </w:rPr>
            </w:pPr>
            <w:r>
              <w:rPr>
                <w:b/>
                <w:spacing w:val="0"/>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rPr>
            </w:pPr>
            <w:r>
              <w:rPr>
                <w:spacing w:val="0"/>
              </w:rPr>
              <w:t> </w:t>
            </w:r>
          </w:p>
        </w:tc>
        <w:tc>
          <w:tcPr>
            <w:tcW w:w="1307" w:type="dxa"/>
            <w:tcBorders/>
            <w:shd w:fill="auto" w:val="clear"/>
            <w:vAlign w:val="center"/>
          </w:tcPr>
          <w:p>
            <w:pPr>
              <w:pStyle w:val="TableContents"/>
              <w:spacing w:before="0" w:after="0"/>
              <w:jc w:val="right"/>
              <w:rPr>
                <w:b/>
                <w:spacing w:val="0"/>
              </w:rPr>
            </w:pPr>
            <w:r>
              <w:rPr>
                <w:b/>
                <w:spacing w:val="0"/>
              </w:rPr>
              <w:t>5,000,008</w:t>
            </w:r>
          </w:p>
        </w:tc>
        <w:tc>
          <w:tcPr>
            <w:tcW w:w="180" w:type="dxa"/>
            <w:tcBorders/>
            <w:shd w:fill="auto" w:val="clear"/>
            <w:vAlign w:val="center"/>
          </w:tcPr>
          <w:p>
            <w:pPr>
              <w:pStyle w:val="TableContents"/>
              <w:spacing w:before="0" w:after="0"/>
              <w:rPr>
                <w:spacing w:val="0"/>
              </w:rPr>
            </w:pPr>
            <w:r>
              <w:rPr>
                <w:spacing w:val="0"/>
              </w:rPr>
              <w:t> </w:t>
            </w:r>
          </w:p>
        </w:tc>
      </w:tr>
      <w:tr>
        <w:trPr/>
        <w:tc>
          <w:tcPr>
            <w:tcW w:w="296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subject to possible redemption</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76,460</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rPr/>
            </w:pPr>
            <w:r>
              <w:rPr/>
              <w:t> </w:t>
            </w:r>
          </w:p>
        </w:tc>
        <w:tc>
          <w:tcPr>
            <w:tcW w:w="666" w:type="dxa"/>
            <w:tcBorders/>
            <w:shd w:fill="CCEEFF" w:val="clear"/>
            <w:vAlign w:val="center"/>
          </w:tcPr>
          <w:p>
            <w:pPr>
              <w:pStyle w:val="TableContents"/>
              <w:spacing w:before="0" w:after="283"/>
              <w:jc w:val="right"/>
              <w:rPr/>
            </w:pPr>
            <w:r>
              <w:rPr/>
              <w:t>8</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764,593</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82" w:type="dxa"/>
            <w:tcBorders/>
            <w:shd w:fill="CCEEFF" w:val="clear"/>
            <w:vAlign w:val="center"/>
          </w:tcPr>
          <w:p>
            <w:pPr>
              <w:pStyle w:val="TableContents"/>
              <w:spacing w:before="0" w:after="283"/>
              <w:jc w:val="right"/>
              <w:rPr/>
            </w:pPr>
            <w:r>
              <w:rPr/>
              <w:t>—  </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307" w:type="dxa"/>
            <w:tcBorders/>
            <w:shd w:fill="CCEEFF" w:val="clear"/>
            <w:vAlign w:val="center"/>
          </w:tcPr>
          <w:p>
            <w:pPr>
              <w:pStyle w:val="TableContents"/>
              <w:spacing w:before="0" w:after="283"/>
              <w:jc w:val="right"/>
              <w:rPr/>
            </w:pPr>
            <w:r>
              <w:rPr/>
              <w:t>764,601</w:t>
            </w:r>
          </w:p>
        </w:tc>
        <w:tc>
          <w:tcPr>
            <w:tcW w:w="180" w:type="dxa"/>
            <w:tcBorders/>
            <w:shd w:fill="CCEEFF"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jc w:val="right"/>
              <w:rPr/>
            </w:pPr>
            <w:r>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82" w:type="dxa"/>
            <w:tcBorders/>
            <w:shd w:fill="auto" w:val="clear"/>
            <w:vAlign w:val="center"/>
          </w:tcPr>
          <w:p>
            <w:pPr>
              <w:pStyle w:val="TableContents"/>
              <w:spacing w:before="0" w:after="283"/>
              <w:jc w:val="right"/>
              <w:rPr/>
            </w:pPr>
            <w:r>
              <w:rPr/>
              <w:t>(764,601</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307" w:type="dxa"/>
            <w:tcBorders/>
            <w:shd w:fill="auto" w:val="clear"/>
            <w:vAlign w:val="center"/>
          </w:tcPr>
          <w:p>
            <w:pPr>
              <w:pStyle w:val="TableContents"/>
              <w:spacing w:before="0" w:after="283"/>
              <w:jc w:val="right"/>
              <w:rPr/>
            </w:pPr>
            <w:r>
              <w:rPr/>
              <w:t>(764,601</w:t>
            </w:r>
          </w:p>
        </w:tc>
        <w:tc>
          <w:tcPr>
            <w:tcW w:w="180" w:type="dxa"/>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80" w:type="dxa"/>
            <w:tcBorders/>
            <w:shd w:fill="auto" w:val="clear"/>
            <w:vAlign w:val="center"/>
          </w:tcPr>
          <w:p>
            <w:pPr>
              <w:pStyle w:val="TableContents"/>
              <w:spacing w:before="0" w:after="283"/>
              <w:rPr/>
            </w:pPr>
            <w:r>
              <w:rPr/>
              <w:t> </w:t>
            </w:r>
          </w:p>
        </w:tc>
      </w:tr>
      <w:tr>
        <w:trPr/>
        <w:tc>
          <w:tcPr>
            <w:tcW w:w="2967"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June 30, 2021 (unaudited)</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1038" w:type="dxa"/>
            <w:tcBorders/>
            <w:shd w:fill="CCEEFF" w:val="clear"/>
            <w:vAlign w:val="center"/>
          </w:tcPr>
          <w:p>
            <w:pPr>
              <w:pStyle w:val="TableContents"/>
              <w:spacing w:before="0" w:after="0"/>
              <w:jc w:val="right"/>
              <w:rPr>
                <w:b/>
                <w:spacing w:val="0"/>
              </w:rPr>
            </w:pPr>
            <w:r>
              <w:rPr>
                <w:b/>
                <w:spacing w:val="0"/>
              </w:rPr>
              <w:t>5,741,465</w:t>
            </w:r>
          </w:p>
        </w:tc>
        <w:tc>
          <w:tcPr>
            <w:tcW w:w="63" w:type="dxa"/>
            <w:tcBorders/>
            <w:shd w:fill="CCEEFF" w:val="clear"/>
            <w:vAlign w:val="center"/>
          </w:tcPr>
          <w:p>
            <w:pPr>
              <w:pStyle w:val="TableContents"/>
              <w:spacing w:before="0" w:after="0"/>
              <w:rPr>
                <w:spacing w:val="0"/>
              </w:rPr>
            </w:pPr>
            <w:r>
              <w:rPr>
                <w:spacing w:val="0"/>
              </w:rPr>
              <w:t> </w:t>
            </w:r>
          </w:p>
        </w:tc>
        <w:tc>
          <w:tcPr>
            <w:tcW w:w="126"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0"/>
              <w:rPr>
                <w:b/>
                <w:spacing w:val="0"/>
              </w:rPr>
            </w:pPr>
            <w:r>
              <w:rPr>
                <w:b/>
                <w:spacing w:val="0"/>
              </w:rPr>
              <w:t>$</w:t>
            </w:r>
          </w:p>
        </w:tc>
        <w:tc>
          <w:tcPr>
            <w:tcW w:w="666" w:type="dxa"/>
            <w:tcBorders/>
            <w:shd w:fill="CCEEFF" w:val="clear"/>
            <w:vAlign w:val="center"/>
          </w:tcPr>
          <w:p>
            <w:pPr>
              <w:pStyle w:val="TableContents"/>
              <w:spacing w:before="0" w:after="0"/>
              <w:jc w:val="right"/>
              <w:rPr>
                <w:b/>
                <w:spacing w:val="0"/>
              </w:rPr>
            </w:pPr>
            <w:r>
              <w:rPr>
                <w:b/>
                <w:spacing w:val="0"/>
              </w:rPr>
              <w:t>574</w:t>
            </w:r>
          </w:p>
        </w:tc>
        <w:tc>
          <w:tcPr>
            <w:tcW w:w="63" w:type="dxa"/>
            <w:tcBorders/>
            <w:shd w:fill="CCEEFF" w:val="clear"/>
            <w:vAlign w:val="center"/>
          </w:tcPr>
          <w:p>
            <w:pPr>
              <w:pStyle w:val="TableContents"/>
              <w:spacing w:before="0" w:after="0"/>
              <w:rPr>
                <w:spacing w:val="0"/>
              </w:rPr>
            </w:pPr>
            <w:r>
              <w:rPr>
                <w:spacing w:val="0"/>
              </w:rPr>
              <w:t> </w:t>
            </w:r>
          </w:p>
        </w:tc>
        <w:tc>
          <w:tcPr>
            <w:tcW w:w="126"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0"/>
              <w:rPr>
                <w:b/>
                <w:spacing w:val="0"/>
              </w:rPr>
            </w:pPr>
            <w:r>
              <w:rPr>
                <w:b/>
                <w:spacing w:val="0"/>
              </w:rPr>
              <w:t>$</w:t>
            </w:r>
          </w:p>
        </w:tc>
        <w:tc>
          <w:tcPr>
            <w:tcW w:w="1038" w:type="dxa"/>
            <w:tcBorders/>
            <w:shd w:fill="CCEEFF" w:val="clear"/>
            <w:vAlign w:val="center"/>
          </w:tcPr>
          <w:p>
            <w:pPr>
              <w:pStyle w:val="TableContents"/>
              <w:spacing w:before="0" w:after="0"/>
              <w:jc w:val="right"/>
              <w:rPr>
                <w:b/>
                <w:spacing w:val="0"/>
              </w:rPr>
            </w:pPr>
            <w:r>
              <w:rPr>
                <w:b/>
                <w:spacing w:val="0"/>
              </w:rPr>
              <w:t>6,126,835</w:t>
            </w:r>
          </w:p>
        </w:tc>
        <w:tc>
          <w:tcPr>
            <w:tcW w:w="63" w:type="dxa"/>
            <w:tcBorders/>
            <w:shd w:fill="CCEEFF" w:val="clear"/>
            <w:vAlign w:val="center"/>
          </w:tcPr>
          <w:p>
            <w:pPr>
              <w:pStyle w:val="TableContents"/>
              <w:spacing w:before="0" w:after="0"/>
              <w:rPr>
                <w:spacing w:val="0"/>
              </w:rPr>
            </w:pPr>
            <w:r>
              <w:rPr>
                <w:spacing w:val="0"/>
              </w:rPr>
              <w:t> </w:t>
            </w:r>
          </w:p>
        </w:tc>
        <w:tc>
          <w:tcPr>
            <w:tcW w:w="126"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0"/>
              <w:rPr>
                <w:b/>
                <w:spacing w:val="0"/>
              </w:rPr>
            </w:pPr>
            <w:r>
              <w:rPr>
                <w:b/>
                <w:spacing w:val="0"/>
              </w:rPr>
              <w:t>$</w:t>
            </w:r>
          </w:p>
        </w:tc>
        <w:tc>
          <w:tcPr>
            <w:tcW w:w="1282" w:type="dxa"/>
            <w:tcBorders/>
            <w:shd w:fill="CCEEFF" w:val="clear"/>
            <w:vAlign w:val="center"/>
          </w:tcPr>
          <w:p>
            <w:pPr>
              <w:pStyle w:val="TableContents"/>
              <w:spacing w:before="0" w:after="0"/>
              <w:jc w:val="right"/>
              <w:rPr>
                <w:b/>
                <w:spacing w:val="0"/>
              </w:rPr>
            </w:pPr>
            <w:r>
              <w:rPr>
                <w:b/>
                <w:spacing w:val="0"/>
              </w:rPr>
              <w:t>(1,127,401</w:t>
            </w:r>
          </w:p>
        </w:tc>
        <w:tc>
          <w:tcPr>
            <w:tcW w:w="163" w:type="dxa"/>
            <w:tcBorders/>
            <w:shd w:fill="CCEEFF" w:val="clear"/>
            <w:vAlign w:val="center"/>
          </w:tcPr>
          <w:p>
            <w:pPr>
              <w:pStyle w:val="TableContents"/>
              <w:spacing w:before="0" w:after="0"/>
              <w:rPr>
                <w:b/>
                <w:spacing w:val="0"/>
              </w:rPr>
            </w:pPr>
            <w:r>
              <w:rPr>
                <w:b/>
                <w:spacing w:val="0"/>
              </w:rPr>
              <w:t>) </w:t>
            </w:r>
          </w:p>
        </w:tc>
        <w:tc>
          <w:tcPr>
            <w:tcW w:w="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0"/>
              <w:rPr>
                <w:b/>
                <w:spacing w:val="0"/>
              </w:rPr>
            </w:pPr>
            <w:r>
              <w:rPr>
                <w:b/>
                <w:spacing w:val="0"/>
              </w:rPr>
              <w:t>$</w:t>
            </w:r>
          </w:p>
        </w:tc>
        <w:tc>
          <w:tcPr>
            <w:tcW w:w="1307" w:type="dxa"/>
            <w:tcBorders/>
            <w:shd w:fill="CCEEFF" w:val="clear"/>
            <w:vAlign w:val="center"/>
          </w:tcPr>
          <w:p>
            <w:pPr>
              <w:pStyle w:val="TableContents"/>
              <w:spacing w:before="0" w:after="0"/>
              <w:jc w:val="right"/>
              <w:rPr>
                <w:b/>
                <w:spacing w:val="0"/>
              </w:rPr>
            </w:pPr>
            <w:r>
              <w:rPr>
                <w:b/>
                <w:spacing w:val="0"/>
              </w:rPr>
              <w:t>5,000,008</w:t>
            </w:r>
          </w:p>
        </w:tc>
        <w:tc>
          <w:tcPr>
            <w:tcW w:w="180" w:type="dxa"/>
            <w:tcBorders/>
            <w:shd w:fill="CCEEFF" w:val="clear"/>
            <w:vAlign w:val="center"/>
          </w:tcPr>
          <w:p>
            <w:pPr>
              <w:pStyle w:val="TableContents"/>
              <w:spacing w:before="0" w:after="0"/>
              <w:rPr>
                <w:spacing w:val="0"/>
              </w:rPr>
            </w:pPr>
            <w:r>
              <w:rPr>
                <w:spacing w:val="0"/>
              </w:rPr>
              <w:t> </w:t>
            </w:r>
          </w:p>
        </w:tc>
      </w:tr>
      <w:tr>
        <w:trPr/>
        <w:tc>
          <w:tcPr>
            <w:tcW w:w="29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6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80" w:type="dxa"/>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sz w:val="4"/>
                <w:szCs w:val="4"/>
              </w:rPr>
            </w:pPr>
            <w:r>
              <w:rPr>
                <w:sz w:val="4"/>
                <w:szCs w:val="4"/>
              </w:rPr>
            </w:r>
          </w:p>
        </w:tc>
        <w:tc>
          <w:tcPr>
            <w:tcW w:w="7238" w:type="dxa"/>
            <w:gridSpan w:val="20"/>
            <w:tcBorders/>
            <w:shd w:fill="auto" w:val="clear"/>
            <w:vAlign w:val="center"/>
          </w:tcPr>
          <w:p>
            <w:pPr>
              <w:pStyle w:val="TableContents"/>
              <w:spacing w:before="0" w:after="283"/>
              <w:rPr>
                <w:sz w:val="4"/>
                <w:szCs w:val="4"/>
              </w:rPr>
            </w:pPr>
            <w:r>
              <w:rPr>
                <w:sz w:val="4"/>
                <w:szCs w:val="4"/>
              </w:rPr>
            </w:r>
          </w:p>
        </w:tc>
      </w:tr>
      <w:tr>
        <w:trPr/>
        <w:tc>
          <w:tcPr>
            <w:tcW w:w="29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38" w:type="dxa"/>
            <w:gridSpan w:val="18"/>
            <w:tcBorders/>
            <w:shd w:fill="auto" w:val="clear"/>
            <w:vAlign w:val="center"/>
          </w:tcPr>
          <w:p>
            <w:pPr>
              <w:pStyle w:val="TableContents"/>
              <w:spacing w:before="0" w:after="0"/>
              <w:jc w:val="center"/>
              <w:rPr>
                <w:b/>
                <w:spacing w:val="0"/>
              </w:rPr>
            </w:pPr>
            <w:r>
              <w:rPr>
                <w:b/>
                <w:spacing w:val="0"/>
              </w:rPr>
              <w:t>For The Period From May 21, 2020 (inception) through June 30, 2020</w:t>
            </w:r>
          </w:p>
        </w:tc>
        <w:tc>
          <w:tcPr>
            <w:tcW w:w="180" w:type="dxa"/>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0" w:type="dxa"/>
            <w:gridSpan w:val="6"/>
            <w:tcBorders/>
            <w:shd w:fill="auto" w:val="clear"/>
            <w:vAlign w:val="center"/>
          </w:tcPr>
          <w:p>
            <w:pPr>
              <w:pStyle w:val="TableContents"/>
              <w:spacing w:before="0" w:after="0"/>
              <w:jc w:val="center"/>
              <w:rPr>
                <w:b/>
                <w:spacing w:val="0"/>
              </w:rPr>
            </w:pPr>
            <w:r>
              <w:rPr>
                <w:b/>
                <w:spacing w:val="0"/>
              </w:rPr>
              <w:t>Common Stock</w:t>
            </w:r>
          </w:p>
        </w:tc>
        <w:tc>
          <w:tcPr>
            <w:tcW w:w="63" w:type="dxa"/>
            <w:tcBorders/>
            <w:shd w:fill="auto" w:val="clear"/>
            <w:vAlign w:val="center"/>
          </w:tcPr>
          <w:p>
            <w:pPr>
              <w:pStyle w:val="TableContents"/>
              <w:spacing w:before="0" w:after="283"/>
              <w:rPr/>
            </w:pPr>
            <w:r>
              <w:rPr/>
              <w:t> </w:t>
            </w:r>
          </w:p>
        </w:tc>
        <w:tc>
          <w:tcPr>
            <w:tcW w:w="126" w:type="dxa"/>
            <w:vMerge w:val="restart"/>
            <w:tcBorders/>
            <w:shd w:fill="auto" w:val="clear"/>
            <w:vAlign w:val="center"/>
          </w:tcPr>
          <w:p>
            <w:pPr>
              <w:pStyle w:val="TableContents"/>
              <w:spacing w:before="0" w:after="283"/>
              <w:rPr/>
            </w:pPr>
            <w:r>
              <w:rPr/>
              <w:t>  </w:t>
            </w:r>
          </w:p>
        </w:tc>
        <w:tc>
          <w:tcPr>
            <w:tcW w:w="1186"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63" w:type="dxa"/>
            <w:vMerge w:val="restart"/>
            <w:tcBorders/>
            <w:shd w:fill="auto" w:val="clear"/>
            <w:vAlign w:val="center"/>
          </w:tcPr>
          <w:p>
            <w:pPr>
              <w:pStyle w:val="TableContents"/>
              <w:spacing w:before="0" w:after="283"/>
              <w:rPr/>
            </w:pPr>
            <w:r>
              <w:rPr/>
              <w:t> </w:t>
            </w:r>
          </w:p>
        </w:tc>
        <w:tc>
          <w:tcPr>
            <w:tcW w:w="126" w:type="dxa"/>
            <w:vMerge w:val="restart"/>
            <w:tcBorders/>
            <w:shd w:fill="auto" w:val="clear"/>
            <w:vAlign w:val="center"/>
          </w:tcPr>
          <w:p>
            <w:pPr>
              <w:pStyle w:val="TableContents"/>
              <w:spacing w:before="0" w:after="283"/>
              <w:rPr/>
            </w:pPr>
            <w:r>
              <w:rPr/>
              <w:t>  </w:t>
            </w:r>
          </w:p>
        </w:tc>
        <w:tc>
          <w:tcPr>
            <w:tcW w:w="145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63" w:type="dxa"/>
            <w:vMerge w:val="restart"/>
            <w:tcBorders/>
            <w:shd w:fill="auto" w:val="clear"/>
            <w:vAlign w:val="center"/>
          </w:tcPr>
          <w:p>
            <w:pPr>
              <w:pStyle w:val="TableContents"/>
              <w:spacing w:before="0" w:after="283"/>
              <w:rPr/>
            </w:pPr>
            <w:r>
              <w:rPr/>
              <w:t> </w:t>
            </w:r>
          </w:p>
        </w:tc>
        <w:tc>
          <w:tcPr>
            <w:tcW w:w="63" w:type="dxa"/>
            <w:vMerge w:val="restart"/>
            <w:tcBorders/>
            <w:shd w:fill="auto" w:val="clear"/>
            <w:vAlign w:val="center"/>
          </w:tcPr>
          <w:p>
            <w:pPr>
              <w:pStyle w:val="TableContents"/>
              <w:spacing w:before="0" w:after="283"/>
              <w:rPr/>
            </w:pPr>
            <w:r>
              <w:rPr/>
              <w:t> </w:t>
            </w:r>
          </w:p>
        </w:tc>
        <w:tc>
          <w:tcPr>
            <w:tcW w:w="1498" w:type="dxa"/>
            <w:gridSpan w:val="2"/>
            <w:vMerge w:val="restart"/>
            <w:tcBorders/>
            <w:shd w:fill="auto" w:val="clear"/>
            <w:vAlign w:val="center"/>
          </w:tcPr>
          <w:p>
            <w:pPr>
              <w:pStyle w:val="TableContents"/>
              <w:spacing w:before="0" w:after="0"/>
              <w:jc w:val="center"/>
              <w:rPr>
                <w:b/>
                <w:spacing w:val="0"/>
              </w:rPr>
            </w:pPr>
            <w:r>
              <w:rPr>
                <w:b/>
                <w:spacing w:val="0"/>
              </w:rPr>
              <w:t>Total</w:t>
              <w:br/>
              <w:t>Stockholder’s</w:t>
            </w:r>
          </w:p>
          <w:p>
            <w:pPr>
              <w:pStyle w:val="TableContents"/>
              <w:spacing w:before="0" w:after="0"/>
              <w:jc w:val="center"/>
              <w:rPr/>
            </w:pPr>
            <w:r>
              <w:rPr/>
            </w:r>
          </w:p>
          <w:p>
            <w:pPr>
              <w:pStyle w:val="TableContents"/>
              <w:spacing w:before="0" w:after="0"/>
              <w:jc w:val="center"/>
              <w:rPr>
                <w:b/>
                <w:spacing w:val="0"/>
              </w:rPr>
            </w:pPr>
            <w:r>
              <w:rPr>
                <w:b/>
                <w:spacing w:val="0"/>
              </w:rPr>
              <w:t>Equity</w:t>
            </w:r>
          </w:p>
        </w:tc>
        <w:tc>
          <w:tcPr>
            <w:tcW w:w="180" w:type="dxa"/>
            <w:vMerge w:val="restart"/>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1" w:type="dxa"/>
            <w:gridSpan w:val="2"/>
            <w:tcBorders/>
            <w:shd w:fill="auto" w:val="clear"/>
            <w:vAlign w:val="center"/>
          </w:tcPr>
          <w:p>
            <w:pPr>
              <w:pStyle w:val="TableContents"/>
              <w:spacing w:before="0" w:after="0"/>
              <w:jc w:val="center"/>
              <w:rPr>
                <w:b/>
                <w:spacing w:val="0"/>
              </w:rPr>
            </w:pPr>
            <w:r>
              <w:rPr>
                <w:b/>
                <w:spacing w:val="0"/>
              </w:rPr>
              <w:t>shares</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10" w:type="dxa"/>
            <w:gridSpan w:val="2"/>
            <w:tcBorders/>
            <w:shd w:fill="auto" w:val="clear"/>
            <w:vAlign w:val="center"/>
          </w:tcPr>
          <w:p>
            <w:pPr>
              <w:pStyle w:val="TableContents"/>
              <w:spacing w:before="0" w:after="0"/>
              <w:jc w:val="center"/>
              <w:rPr>
                <w:b/>
                <w:spacing w:val="0"/>
              </w:rPr>
            </w:pPr>
            <w:r>
              <w:rPr>
                <w:b/>
                <w:spacing w:val="0"/>
              </w:rPr>
              <w:t>Amount</w:t>
            </w:r>
          </w:p>
        </w:tc>
        <w:tc>
          <w:tcPr>
            <w:tcW w:w="63" w:type="dxa"/>
            <w:tcBorders/>
            <w:shd w:fill="auto" w:val="clear"/>
            <w:vAlign w:val="center"/>
          </w:tcPr>
          <w:p>
            <w:pPr>
              <w:pStyle w:val="TableContents"/>
              <w:spacing w:before="0" w:after="283"/>
              <w:rPr/>
            </w:pPr>
            <w:r>
              <w:rPr/>
              <w:t> </w:t>
            </w:r>
          </w:p>
        </w:tc>
        <w:tc>
          <w:tcPr>
            <w:tcW w:w="126" w:type="dxa"/>
            <w:vMerge w:val="continue"/>
            <w:tcBorders/>
            <w:shd w:fill="auto" w:val="clear"/>
            <w:vAlign w:val="center"/>
          </w:tcPr>
          <w:p>
            <w:pPr>
              <w:pStyle w:val="Normal"/>
              <w:rPr/>
            </w:pPr>
            <w:r>
              <w:rPr/>
            </w:r>
          </w:p>
        </w:tc>
        <w:tc>
          <w:tcPr>
            <w:tcW w:w="1186" w:type="dxa"/>
            <w:gridSpan w:val="2"/>
            <w:vMerge w:val="continue"/>
            <w:tcBorders/>
            <w:shd w:fill="auto" w:val="clear"/>
            <w:vAlign w:val="center"/>
          </w:tcPr>
          <w:p>
            <w:pPr>
              <w:pStyle w:val="Normal"/>
              <w:rPr/>
            </w:pPr>
            <w:r>
              <w:rPr/>
            </w:r>
          </w:p>
        </w:tc>
        <w:tc>
          <w:tcPr>
            <w:tcW w:w="63" w:type="dxa"/>
            <w:vMerge w:val="continue"/>
            <w:tcBorders/>
            <w:shd w:fill="auto" w:val="clear"/>
            <w:vAlign w:val="center"/>
          </w:tcPr>
          <w:p>
            <w:pPr>
              <w:pStyle w:val="Normal"/>
              <w:rPr/>
            </w:pPr>
            <w:r>
              <w:rPr/>
            </w:r>
          </w:p>
        </w:tc>
        <w:tc>
          <w:tcPr>
            <w:tcW w:w="126" w:type="dxa"/>
            <w:vMerge w:val="continue"/>
            <w:tcBorders/>
            <w:shd w:fill="auto" w:val="clear"/>
            <w:vAlign w:val="center"/>
          </w:tcPr>
          <w:p>
            <w:pPr>
              <w:pStyle w:val="Normal"/>
              <w:rPr/>
            </w:pPr>
            <w:r>
              <w:rPr/>
            </w:r>
          </w:p>
        </w:tc>
        <w:tc>
          <w:tcPr>
            <w:tcW w:w="1450" w:type="dxa"/>
            <w:gridSpan w:val="2"/>
            <w:vMerge w:val="continue"/>
            <w:tcBorders/>
            <w:shd w:fill="auto" w:val="clear"/>
            <w:vAlign w:val="center"/>
          </w:tcPr>
          <w:p>
            <w:pPr>
              <w:pStyle w:val="Normal"/>
              <w:rPr/>
            </w:pPr>
            <w:r>
              <w:rPr/>
            </w:r>
          </w:p>
        </w:tc>
        <w:tc>
          <w:tcPr>
            <w:tcW w:w="163" w:type="dxa"/>
            <w:vMerge w:val="continue"/>
            <w:tcBorders/>
            <w:shd w:fill="auto" w:val="clear"/>
            <w:vAlign w:val="center"/>
          </w:tcPr>
          <w:p>
            <w:pPr>
              <w:pStyle w:val="Normal"/>
              <w:rPr/>
            </w:pPr>
            <w:r>
              <w:rPr/>
            </w:r>
          </w:p>
        </w:tc>
        <w:tc>
          <w:tcPr>
            <w:tcW w:w="63" w:type="dxa"/>
            <w:vMerge w:val="continue"/>
            <w:tcBorders/>
            <w:shd w:fill="auto" w:val="clear"/>
            <w:vAlign w:val="center"/>
          </w:tcPr>
          <w:p>
            <w:pPr>
              <w:pStyle w:val="Normal"/>
              <w:rPr/>
            </w:pPr>
            <w:r>
              <w:rPr/>
            </w:r>
          </w:p>
        </w:tc>
        <w:tc>
          <w:tcPr>
            <w:tcW w:w="1498" w:type="dxa"/>
            <w:gridSpan w:val="2"/>
            <w:vMerge w:val="continue"/>
            <w:tcBorders/>
            <w:shd w:fill="auto" w:val="clear"/>
            <w:vAlign w:val="center"/>
          </w:tcPr>
          <w:p>
            <w:pPr>
              <w:pStyle w:val="Normal"/>
              <w:rPr/>
            </w:pPr>
            <w:r>
              <w:rPr/>
            </w:r>
          </w:p>
        </w:tc>
        <w:tc>
          <w:tcPr>
            <w:tcW w:w="180" w:type="dxa"/>
            <w:vMerge w:val="continue"/>
            <w:tcBorders/>
            <w:shd w:fill="auto" w:val="clear"/>
            <w:vAlign w:val="center"/>
          </w:tcPr>
          <w:p>
            <w:pPr>
              <w:pStyle w:val="Normal"/>
              <w:rPr/>
            </w:pPr>
            <w:r>
              <w:rPr/>
            </w:r>
          </w:p>
        </w:tc>
      </w:tr>
      <w:tr>
        <w:trPr/>
        <w:tc>
          <w:tcPr>
            <w:tcW w:w="2967"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May 21, 2020 (inception)</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0"/>
              <w:rPr>
                <w:spacing w:val="0"/>
              </w:rPr>
            </w:pPr>
            <w:r>
              <w:rPr>
                <w:spacing w:val="0"/>
              </w:rPr>
              <w:t> </w:t>
            </w:r>
          </w:p>
        </w:tc>
        <w:tc>
          <w:tcPr>
            <w:tcW w:w="1038" w:type="dxa"/>
            <w:tcBorders/>
            <w:shd w:fill="CCEEFF" w:val="clear"/>
            <w:vAlign w:val="center"/>
          </w:tcPr>
          <w:p>
            <w:pPr>
              <w:pStyle w:val="TableContents"/>
              <w:spacing w:before="0" w:after="0"/>
              <w:jc w:val="right"/>
              <w:rPr>
                <w:spacing w:val="0"/>
              </w:rPr>
            </w:pPr>
            <w:r>
              <w:rPr>
                <w:spacing w:val="0"/>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0"/>
              <w:rPr>
                <w:b/>
                <w:spacing w:val="0"/>
              </w:rPr>
            </w:pPr>
            <w:r>
              <w:rPr>
                <w:b/>
                <w:spacing w:val="0"/>
              </w:rPr>
              <w:t>$</w:t>
            </w:r>
          </w:p>
        </w:tc>
        <w:tc>
          <w:tcPr>
            <w:tcW w:w="666" w:type="dxa"/>
            <w:tcBorders/>
            <w:shd w:fill="CCEEFF" w:val="clear"/>
            <w:vAlign w:val="center"/>
          </w:tcPr>
          <w:p>
            <w:pPr>
              <w:pStyle w:val="TableContents"/>
              <w:spacing w:before="0" w:after="0"/>
              <w:jc w:val="right"/>
              <w:rPr>
                <w:spacing w:val="0"/>
              </w:rPr>
            </w:pPr>
            <w:r>
              <w:rPr>
                <w:spacing w:val="0"/>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0"/>
              <w:rPr>
                <w:b/>
                <w:spacing w:val="0"/>
              </w:rPr>
            </w:pPr>
            <w:r>
              <w:rPr>
                <w:b/>
                <w:spacing w:val="0"/>
              </w:rPr>
              <w:t>$</w:t>
            </w:r>
          </w:p>
        </w:tc>
        <w:tc>
          <w:tcPr>
            <w:tcW w:w="1038" w:type="dxa"/>
            <w:tcBorders/>
            <w:shd w:fill="CCEEFF" w:val="clear"/>
            <w:vAlign w:val="center"/>
          </w:tcPr>
          <w:p>
            <w:pPr>
              <w:pStyle w:val="TableContents"/>
              <w:spacing w:before="0" w:after="0"/>
              <w:jc w:val="right"/>
              <w:rPr>
                <w:spacing w:val="0"/>
              </w:rPr>
            </w:pPr>
            <w:r>
              <w:rPr>
                <w:spacing w:val="0"/>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0"/>
              <w:rPr>
                <w:b/>
                <w:spacing w:val="0"/>
              </w:rPr>
            </w:pPr>
            <w:r>
              <w:rPr>
                <w:b/>
                <w:spacing w:val="0"/>
              </w:rPr>
              <w:t>$</w:t>
            </w:r>
          </w:p>
        </w:tc>
        <w:tc>
          <w:tcPr>
            <w:tcW w:w="1282" w:type="dxa"/>
            <w:tcBorders/>
            <w:shd w:fill="CCEEFF" w:val="clear"/>
            <w:vAlign w:val="center"/>
          </w:tcPr>
          <w:p>
            <w:pPr>
              <w:pStyle w:val="TableContents"/>
              <w:spacing w:before="0" w:after="0"/>
              <w:jc w:val="right"/>
              <w:rPr>
                <w:spacing w:val="0"/>
              </w:rPr>
            </w:pPr>
            <w:r>
              <w:rPr>
                <w:spacing w:val="0"/>
              </w:rPr>
              <w:t>—  </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0"/>
              <w:rPr>
                <w:b/>
                <w:spacing w:val="0"/>
              </w:rPr>
            </w:pPr>
            <w:r>
              <w:rPr>
                <w:b/>
                <w:spacing w:val="0"/>
              </w:rPr>
              <w:t>$</w:t>
            </w:r>
          </w:p>
        </w:tc>
        <w:tc>
          <w:tcPr>
            <w:tcW w:w="1307" w:type="dxa"/>
            <w:tcBorders/>
            <w:shd w:fill="CCEEFF" w:val="clear"/>
            <w:vAlign w:val="center"/>
          </w:tcPr>
          <w:p>
            <w:pPr>
              <w:pStyle w:val="TableContents"/>
              <w:spacing w:before="0" w:after="0"/>
              <w:jc w:val="right"/>
              <w:rPr>
                <w:spacing w:val="0"/>
              </w:rPr>
            </w:pPr>
            <w:r>
              <w:rPr>
                <w:spacing w:val="0"/>
              </w:rPr>
              <w:t>—  </w:t>
            </w:r>
          </w:p>
        </w:tc>
        <w:tc>
          <w:tcPr>
            <w:tcW w:w="180" w:type="dxa"/>
            <w:tcBorders/>
            <w:shd w:fill="CCEEFF"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to Sponsor (1)(2)</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3,593,750</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jc w:val="right"/>
              <w:rPr/>
            </w:pPr>
            <w:r>
              <w:rPr/>
              <w:t>359</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038" w:type="dxa"/>
            <w:tcBorders/>
            <w:shd w:fill="auto" w:val="clear"/>
            <w:vAlign w:val="center"/>
          </w:tcPr>
          <w:p>
            <w:pPr>
              <w:pStyle w:val="TableContents"/>
              <w:spacing w:before="0" w:after="283"/>
              <w:jc w:val="right"/>
              <w:rPr/>
            </w:pPr>
            <w:r>
              <w:rPr/>
              <w:t>24,641</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82" w:type="dxa"/>
            <w:tcBorders/>
            <w:shd w:fill="auto" w:val="clear"/>
            <w:vAlign w:val="center"/>
          </w:tcPr>
          <w:p>
            <w:pPr>
              <w:pStyle w:val="TableContents"/>
              <w:spacing w:before="0" w:after="283"/>
              <w:jc w:val="right"/>
              <w:rPr/>
            </w:pPr>
            <w:r>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283"/>
              <w:rPr/>
            </w:pPr>
            <w:r>
              <w:rPr/>
              <w:t> </w:t>
            </w:r>
          </w:p>
        </w:tc>
        <w:tc>
          <w:tcPr>
            <w:tcW w:w="1307" w:type="dxa"/>
            <w:tcBorders/>
            <w:shd w:fill="auto" w:val="clear"/>
            <w:vAlign w:val="center"/>
          </w:tcPr>
          <w:p>
            <w:pPr>
              <w:pStyle w:val="TableContents"/>
              <w:spacing w:before="0" w:after="283"/>
              <w:jc w:val="right"/>
              <w:rPr/>
            </w:pPr>
            <w:r>
              <w:rPr/>
              <w:t>25,000</w:t>
            </w:r>
          </w:p>
        </w:tc>
        <w:tc>
          <w:tcPr>
            <w:tcW w:w="180" w:type="dxa"/>
            <w:tcBorders/>
            <w:shd w:fill="auto" w:val="clear"/>
            <w:vAlign w:val="center"/>
          </w:tcPr>
          <w:p>
            <w:pPr>
              <w:pStyle w:val="TableContents"/>
              <w:spacing w:before="0" w:after="283"/>
              <w:rPr/>
            </w:pPr>
            <w:r>
              <w:rPr/>
              <w:t> </w:t>
            </w:r>
          </w:p>
        </w:tc>
      </w:tr>
      <w:tr>
        <w:trPr/>
        <w:tc>
          <w:tcPr>
            <w:tcW w:w="2967"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rPr/>
            </w:pPr>
            <w:r>
              <w:rPr/>
              <w:t> </w:t>
            </w:r>
          </w:p>
        </w:tc>
        <w:tc>
          <w:tcPr>
            <w:tcW w:w="666" w:type="dxa"/>
            <w:tcBorders/>
            <w:shd w:fill="CCEEFF" w:val="clear"/>
            <w:vAlign w:val="center"/>
          </w:tcPr>
          <w:p>
            <w:pPr>
              <w:pStyle w:val="TableContents"/>
              <w:spacing w:before="0" w:after="283"/>
              <w:jc w:val="right"/>
              <w:rPr/>
            </w:pPr>
            <w:r>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038" w:type="dxa"/>
            <w:tcBorders/>
            <w:shd w:fill="CCEEFF" w:val="clear"/>
            <w:vAlign w:val="center"/>
          </w:tcPr>
          <w:p>
            <w:pPr>
              <w:pStyle w:val="TableContents"/>
              <w:spacing w:before="0" w:after="283"/>
              <w:jc w:val="right"/>
              <w:rPr/>
            </w:pPr>
            <w:r>
              <w:rPr/>
              <w:t>—  </w:t>
            </w:r>
          </w:p>
        </w:tc>
        <w:tc>
          <w:tcPr>
            <w:tcW w:w="63" w:type="dxa"/>
            <w:tcBorders/>
            <w:shd w:fill="CCEEFF" w:val="clear"/>
            <w:vAlign w:val="center"/>
          </w:tcPr>
          <w:p>
            <w:pPr>
              <w:pStyle w:val="TableContents"/>
              <w:spacing w:before="0" w:after="283"/>
              <w:rPr/>
            </w:pPr>
            <w:r>
              <w:rPr/>
              <w:t> </w:t>
            </w:r>
          </w:p>
        </w:tc>
        <w:tc>
          <w:tcPr>
            <w:tcW w:w="126"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82" w:type="dxa"/>
            <w:tcBorders/>
            <w:shd w:fill="CCEEFF" w:val="clear"/>
            <w:vAlign w:val="center"/>
          </w:tcPr>
          <w:p>
            <w:pPr>
              <w:pStyle w:val="TableContents"/>
              <w:spacing w:before="0" w:after="283"/>
              <w:jc w:val="right"/>
              <w:rPr/>
            </w:pPr>
            <w:r>
              <w:rPr/>
              <w:t>(472</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1307" w:type="dxa"/>
            <w:tcBorders/>
            <w:shd w:fill="CCEEFF" w:val="clear"/>
            <w:vAlign w:val="center"/>
          </w:tcPr>
          <w:p>
            <w:pPr>
              <w:pStyle w:val="TableContents"/>
              <w:spacing w:before="0" w:after="283"/>
              <w:jc w:val="right"/>
              <w:rPr/>
            </w:pPr>
            <w:r>
              <w:rPr/>
              <w:t>(472</w:t>
            </w:r>
          </w:p>
        </w:tc>
        <w:tc>
          <w:tcPr>
            <w:tcW w:w="180" w:type="dxa"/>
            <w:tcBorders/>
            <w:shd w:fill="CCEEFF"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80" w:type="dxa"/>
            <w:tcBorders/>
            <w:shd w:fill="auto" w:val="clear"/>
            <w:vAlign w:val="center"/>
          </w:tcPr>
          <w:p>
            <w:pPr>
              <w:pStyle w:val="TableContents"/>
              <w:spacing w:before="0" w:after="283"/>
              <w:rPr/>
            </w:pPr>
            <w:r>
              <w:rPr/>
              <w:t> </w:t>
            </w:r>
          </w:p>
        </w:tc>
      </w:tr>
      <w:tr>
        <w:trPr/>
        <w:tc>
          <w:tcPr>
            <w:tcW w:w="2967"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June 30, 2020 (unaudited)</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rPr>
            </w:pPr>
            <w:r>
              <w:rPr>
                <w:spacing w:val="0"/>
              </w:rPr>
              <w:t> </w:t>
            </w:r>
          </w:p>
        </w:tc>
        <w:tc>
          <w:tcPr>
            <w:tcW w:w="1038" w:type="dxa"/>
            <w:tcBorders/>
            <w:shd w:fill="auto" w:val="clear"/>
            <w:vAlign w:val="center"/>
          </w:tcPr>
          <w:p>
            <w:pPr>
              <w:pStyle w:val="TableContents"/>
              <w:spacing w:before="0" w:after="0"/>
              <w:jc w:val="right"/>
              <w:rPr>
                <w:b/>
                <w:spacing w:val="0"/>
              </w:rPr>
            </w:pPr>
            <w:r>
              <w:rPr>
                <w:b/>
                <w:spacing w:val="0"/>
              </w:rPr>
              <w:t>3,593,750</w:t>
            </w:r>
          </w:p>
        </w:tc>
        <w:tc>
          <w:tcPr>
            <w:tcW w:w="63" w:type="dxa"/>
            <w:tcBorders/>
            <w:shd w:fill="auto" w:val="clear"/>
            <w:vAlign w:val="center"/>
          </w:tcPr>
          <w:p>
            <w:pPr>
              <w:pStyle w:val="TableContents"/>
              <w:spacing w:before="0" w:after="0"/>
              <w:rPr>
                <w:spacing w:val="0"/>
              </w:rPr>
            </w:pPr>
            <w:r>
              <w:rPr>
                <w:spacing w:val="0"/>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0"/>
              <w:rPr>
                <w:b/>
                <w:spacing w:val="0"/>
              </w:rPr>
            </w:pPr>
            <w:r>
              <w:rPr>
                <w:b/>
                <w:spacing w:val="0"/>
              </w:rPr>
              <w:t>$</w:t>
            </w:r>
          </w:p>
        </w:tc>
        <w:tc>
          <w:tcPr>
            <w:tcW w:w="666" w:type="dxa"/>
            <w:tcBorders/>
            <w:shd w:fill="auto" w:val="clear"/>
            <w:vAlign w:val="center"/>
          </w:tcPr>
          <w:p>
            <w:pPr>
              <w:pStyle w:val="TableContents"/>
              <w:spacing w:before="0" w:after="0"/>
              <w:jc w:val="right"/>
              <w:rPr>
                <w:b/>
                <w:spacing w:val="0"/>
              </w:rPr>
            </w:pPr>
            <w:r>
              <w:rPr>
                <w:b/>
                <w:spacing w:val="0"/>
              </w:rPr>
              <w:t>359</w:t>
            </w:r>
          </w:p>
        </w:tc>
        <w:tc>
          <w:tcPr>
            <w:tcW w:w="63" w:type="dxa"/>
            <w:tcBorders/>
            <w:shd w:fill="auto" w:val="clear"/>
            <w:vAlign w:val="center"/>
          </w:tcPr>
          <w:p>
            <w:pPr>
              <w:pStyle w:val="TableContents"/>
              <w:spacing w:before="0" w:after="0"/>
              <w:rPr>
                <w:spacing w:val="0"/>
              </w:rPr>
            </w:pPr>
            <w:r>
              <w:rPr>
                <w:spacing w:val="0"/>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b/>
                <w:spacing w:val="0"/>
              </w:rPr>
            </w:pPr>
            <w:r>
              <w:rPr>
                <w:b/>
                <w:spacing w:val="0"/>
              </w:rPr>
              <w:t>$</w:t>
            </w:r>
          </w:p>
        </w:tc>
        <w:tc>
          <w:tcPr>
            <w:tcW w:w="1038" w:type="dxa"/>
            <w:tcBorders/>
            <w:shd w:fill="auto" w:val="clear"/>
            <w:vAlign w:val="center"/>
          </w:tcPr>
          <w:p>
            <w:pPr>
              <w:pStyle w:val="TableContents"/>
              <w:spacing w:before="0" w:after="0"/>
              <w:jc w:val="right"/>
              <w:rPr>
                <w:b/>
                <w:spacing w:val="0"/>
              </w:rPr>
            </w:pPr>
            <w:r>
              <w:rPr>
                <w:b/>
                <w:spacing w:val="0"/>
              </w:rPr>
              <w:t>24,641</w:t>
            </w:r>
          </w:p>
        </w:tc>
        <w:tc>
          <w:tcPr>
            <w:tcW w:w="63" w:type="dxa"/>
            <w:tcBorders/>
            <w:shd w:fill="auto" w:val="clear"/>
            <w:vAlign w:val="center"/>
          </w:tcPr>
          <w:p>
            <w:pPr>
              <w:pStyle w:val="TableContents"/>
              <w:spacing w:before="0" w:after="0"/>
              <w:rPr>
                <w:spacing w:val="0"/>
              </w:rPr>
            </w:pPr>
            <w:r>
              <w:rPr>
                <w:spacing w:val="0"/>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b/>
                <w:spacing w:val="0"/>
              </w:rPr>
            </w:pPr>
            <w:r>
              <w:rPr>
                <w:b/>
                <w:spacing w:val="0"/>
              </w:rPr>
              <w:t>$</w:t>
            </w:r>
          </w:p>
        </w:tc>
        <w:tc>
          <w:tcPr>
            <w:tcW w:w="1282" w:type="dxa"/>
            <w:tcBorders/>
            <w:shd w:fill="auto" w:val="clear"/>
            <w:vAlign w:val="center"/>
          </w:tcPr>
          <w:p>
            <w:pPr>
              <w:pStyle w:val="TableContents"/>
              <w:spacing w:before="0" w:after="0"/>
              <w:jc w:val="right"/>
              <w:rPr>
                <w:b/>
                <w:spacing w:val="0"/>
              </w:rPr>
            </w:pPr>
            <w:r>
              <w:rPr>
                <w:b/>
                <w:spacing w:val="0"/>
              </w:rPr>
              <w:t>(472</w:t>
            </w:r>
          </w:p>
        </w:tc>
        <w:tc>
          <w:tcPr>
            <w:tcW w:w="163" w:type="dxa"/>
            <w:tcBorders/>
            <w:shd w:fill="auto" w:val="clear"/>
            <w:vAlign w:val="center"/>
          </w:tcPr>
          <w:p>
            <w:pPr>
              <w:pStyle w:val="TableContents"/>
              <w:spacing w:before="0" w:after="0"/>
              <w:rPr>
                <w:b/>
                <w:spacing w:val="0"/>
              </w:rPr>
            </w:pPr>
            <w:r>
              <w:rPr>
                <w:b/>
                <w:spacing w:val="0"/>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b/>
                <w:spacing w:val="0"/>
              </w:rPr>
            </w:pPr>
            <w:r>
              <w:rPr>
                <w:b/>
                <w:spacing w:val="0"/>
              </w:rPr>
              <w:t>$</w:t>
            </w:r>
          </w:p>
        </w:tc>
        <w:tc>
          <w:tcPr>
            <w:tcW w:w="1307" w:type="dxa"/>
            <w:tcBorders/>
            <w:shd w:fill="auto" w:val="clear"/>
            <w:vAlign w:val="center"/>
          </w:tcPr>
          <w:p>
            <w:pPr>
              <w:pStyle w:val="TableContents"/>
              <w:spacing w:before="0" w:after="0"/>
              <w:jc w:val="right"/>
              <w:rPr>
                <w:b/>
                <w:spacing w:val="0"/>
              </w:rPr>
            </w:pPr>
            <w:r>
              <w:rPr>
                <w:b/>
                <w:spacing w:val="0"/>
              </w:rPr>
              <w:t>24,528</w:t>
            </w:r>
          </w:p>
        </w:tc>
        <w:tc>
          <w:tcPr>
            <w:tcW w:w="180" w:type="dxa"/>
            <w:tcBorders/>
            <w:shd w:fill="auto" w:val="clear"/>
            <w:vAlign w:val="center"/>
          </w:tcPr>
          <w:p>
            <w:pPr>
              <w:pStyle w:val="TableContents"/>
              <w:spacing w:before="0" w:after="0"/>
              <w:rPr>
                <w:spacing w:val="0"/>
              </w:rPr>
            </w:pPr>
            <w:r>
              <w:rPr>
                <w:spacing w:val="0"/>
              </w:rPr>
              <w:t> </w:t>
            </w:r>
          </w:p>
        </w:tc>
      </w:tr>
      <w:tr>
        <w:trPr/>
        <w:tc>
          <w:tcPr>
            <w:tcW w:w="29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6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8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0"/>
              <w:jc w:val="left"/>
              <w:rPr>
                <w:i/>
                <w:caps w:val="false"/>
                <w:smallCaps w:val="false"/>
                <w:spacing w:val="0"/>
              </w:rPr>
            </w:pPr>
            <w:r>
              <w:rPr>
                <w:i/>
                <w:caps w:val="false"/>
                <w:smallCaps w:val="false"/>
                <w:spacing w:val="0"/>
              </w:rPr>
              <w:t>(1)</w:t>
            </w:r>
          </w:p>
        </w:tc>
        <w:tc>
          <w:tcPr>
            <w:tcW w:w="9951"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This number included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 </w:t>
            </w:r>
          </w:p>
        </w:tc>
      </w:tr>
    </w:tbl>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0"/>
              <w:jc w:val="left"/>
              <w:rPr>
                <w:i/>
                <w:caps w:val="false"/>
                <w:smallCaps w:val="false"/>
                <w:spacing w:val="0"/>
              </w:rPr>
            </w:pPr>
            <w:r>
              <w:rPr>
                <w:i/>
                <w:caps w:val="false"/>
                <w:smallCaps w:val="false"/>
                <w:spacing w:val="0"/>
              </w:rPr>
              <w:t>(2)</w:t>
            </w:r>
          </w:p>
        </w:tc>
        <w:tc>
          <w:tcPr>
            <w:tcW w:w="9946"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On September 2, 2020, the Company declared a dividend of 0.16 shares for each outstanding share of common stock, resulting in an aggregate of 4,168,750 shares outstanding. All shares and associated amounts have been retroactively restated to reflect the share dividend (see Note 5).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8145" w:type="dxa"/>
        <w:jc w:val="left"/>
        <w:tblInd w:w="0" w:type="dxa"/>
        <w:tblCellMar>
          <w:top w:w="0" w:type="dxa"/>
          <w:left w:w="0" w:type="dxa"/>
          <w:bottom w:w="0" w:type="dxa"/>
          <w:right w:w="0" w:type="dxa"/>
        </w:tblCellMar>
      </w:tblPr>
      <w:tblGrid>
        <w:gridCol w:w="5345"/>
        <w:gridCol w:w="120"/>
        <w:gridCol w:w="140"/>
        <w:gridCol w:w="1055"/>
        <w:gridCol w:w="155"/>
        <w:gridCol w:w="60"/>
        <w:gridCol w:w="187"/>
        <w:gridCol w:w="913"/>
        <w:gridCol w:w="170"/>
      </w:tblGrid>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0"/>
              <w:jc w:val="center"/>
              <w:rPr>
                <w:b/>
                <w:spacing w:val="0"/>
              </w:rPr>
            </w:pPr>
            <w:r>
              <w:rPr>
                <w:b/>
                <w:spacing w:val="0"/>
              </w:rPr>
              <w:t>For the Six</w:t>
              <w:br/>
              <w:t>Months</w:t>
              <w:br/>
              <w:t>Ended</w:t>
              <w:br/>
              <w:t>June 30,</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0"/>
              <w:jc w:val="center"/>
              <w:rPr>
                <w:b/>
                <w:spacing w:val="0"/>
              </w:rPr>
            </w:pPr>
            <w:r>
              <w:rPr>
                <w:b/>
                <w:spacing w:val="0"/>
              </w:rPr>
              <w:t>For The</w:t>
              <w:br/>
              <w:t>Period</w:t>
              <w:br/>
              <w:t>From</w:t>
              <w:br/>
              <w:t>May 21,</w:t>
              <w:br/>
              <w:t>2020</w:t>
              <w:br/>
              <w:t>(inception)</w:t>
              <w:br/>
              <w:t>through</w:t>
              <w:br/>
              <w:t>June 30,</w:t>
              <w:br/>
              <w:t>2020</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sz w:val="4"/>
                <w:szCs w:val="4"/>
              </w:rPr>
            </w:pPr>
            <w:r>
              <w:rPr>
                <w:sz w:val="4"/>
                <w:szCs w:val="4"/>
              </w:rPr>
            </w:r>
          </w:p>
        </w:tc>
        <w:tc>
          <w:tcPr>
            <w:tcW w:w="913"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(1,004,355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w:t>
            </w:r>
          </w:p>
        </w:tc>
        <w:tc>
          <w:tcPr>
            <w:tcW w:w="913" w:type="dxa"/>
            <w:tcBorders/>
            <w:shd w:fill="auto" w:val="clear"/>
            <w:vAlign w:val="center"/>
          </w:tcPr>
          <w:p>
            <w:pPr>
              <w:pStyle w:val="TableContents"/>
              <w:spacing w:before="0" w:after="283"/>
              <w:jc w:val="right"/>
              <w:rPr/>
            </w:pPr>
            <w:r>
              <w:rPr/>
              <w:t>(472</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earned on investments held in Trust Account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(32,300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32,141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440</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244,163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income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(6,338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3,029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used in operating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(763,660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(32</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sz w:val="4"/>
                <w:szCs w:val="4"/>
              </w:rPr>
            </w:pPr>
            <w:r>
              <w:rPr>
                <w:sz w:val="4"/>
                <w:szCs w:val="4"/>
              </w:rPr>
            </w:r>
          </w:p>
        </w:tc>
        <w:tc>
          <w:tcPr>
            <w:tcW w:w="913"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released from Trust Account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32,513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used in investing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32,513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issuance of common stock to Sponsor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25,000</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note payable to related party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25</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25,025</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change in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(731,147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jc w:val="right"/>
              <w:rPr/>
            </w:pPr>
            <w:r>
              <w:rPr/>
              <w:t>24,993</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 beginning of the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1,314,085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 end of the period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055" w:type="dxa"/>
            <w:tcBorders/>
            <w:shd w:fill="auto" w:val="clear"/>
            <w:vAlign w:val="center"/>
          </w:tcPr>
          <w:p>
            <w:pPr>
              <w:pStyle w:val="TableContents"/>
              <w:spacing w:before="0" w:after="0"/>
              <w:jc w:val="right"/>
              <w:rPr>
                <w:b/>
                <w:spacing w:val="0"/>
              </w:rPr>
            </w:pPr>
            <w:r>
              <w:rPr>
                <w:b/>
                <w:spacing w:val="0"/>
              </w:rPr>
              <w:t>582,938</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b/>
                <w:spacing w:val="0"/>
              </w:rPr>
            </w:pPr>
            <w:r>
              <w:rPr>
                <w:b/>
                <w:spacing w:val="0"/>
              </w:rPr>
              <w:t>$</w:t>
            </w:r>
          </w:p>
        </w:tc>
        <w:tc>
          <w:tcPr>
            <w:tcW w:w="913" w:type="dxa"/>
            <w:tcBorders/>
            <w:shd w:fill="auto" w:val="clear"/>
            <w:vAlign w:val="center"/>
          </w:tcPr>
          <w:p>
            <w:pPr>
              <w:pStyle w:val="TableContents"/>
              <w:spacing w:before="0" w:after="0"/>
              <w:jc w:val="right"/>
              <w:rPr>
                <w:b/>
                <w:spacing w:val="0"/>
              </w:rPr>
            </w:pPr>
            <w:r>
              <w:rPr>
                <w:b/>
                <w:spacing w:val="0"/>
              </w:rPr>
              <w:t>24,993</w:t>
            </w:r>
          </w:p>
        </w:tc>
        <w:tc>
          <w:tcPr>
            <w:tcW w:w="170" w:type="dxa"/>
            <w:tcBorders/>
            <w:shd w:fill="auto" w:val="clear"/>
            <w:vAlign w:val="center"/>
          </w:tcPr>
          <w:p>
            <w:pPr>
              <w:pStyle w:val="TableContents"/>
              <w:spacing w:before="0" w:after="0"/>
              <w:rPr>
                <w:spacing w:val="0"/>
              </w:rPr>
            </w:pPr>
            <w:r>
              <w:rPr>
                <w:spacing w:val="0"/>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Supplemental disclosure of noncash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sz w:val="4"/>
                <w:szCs w:val="4"/>
              </w:rPr>
            </w:pPr>
            <w:r>
              <w:rPr>
                <w:sz w:val="4"/>
                <w:szCs w:val="4"/>
              </w:rPr>
            </w:r>
          </w:p>
        </w:tc>
        <w:tc>
          <w:tcPr>
            <w:tcW w:w="913"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offering costs included in note payable — related party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w:t>
            </w:r>
          </w:p>
        </w:tc>
        <w:tc>
          <w:tcPr>
            <w:tcW w:w="913" w:type="dxa"/>
            <w:tcBorders/>
            <w:shd w:fill="auto" w:val="clear"/>
            <w:vAlign w:val="center"/>
          </w:tcPr>
          <w:p>
            <w:pPr>
              <w:pStyle w:val="TableContents"/>
              <w:spacing w:before="0" w:after="283"/>
              <w:jc w:val="right"/>
              <w:rPr/>
            </w:pPr>
            <w:r>
              <w:rPr/>
              <w:t>25,000</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offering costs included in accrued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jc w:val="right"/>
              <w:rPr/>
            </w:pPr>
            <w:r>
              <w:rPr/>
              <w:t>13,500</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value of common stock subject to possible redemption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(1,004,361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w:t>
            </w:r>
          </w:p>
        </w:tc>
        <w:tc>
          <w:tcPr>
            <w:tcW w:w="913"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UNAUDITED CONDENSED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 Description of Organization and Business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BCTG Acquisition Corp. (“BCTG” or the “Company”) was incorporated as a Delaware corporation on May 21, 2020. The Company was formed for the purpose of effecting a merger, capital stock exchange, asset acquisition, stock purchase, reorganization or other similar business combination (a “Business Combination”) with one or more operating businesses or entities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and the negotiation of the transactions related to the Proposed Business Combination (as defined below). The Company is an “emerging growth company,” as defined in Section 2(a) of the Securities Act of 1933, as amended (the “Securities Act”), as modified by the Jumpstart our Business Startups Act of 2012 (the “JOBS Act”).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The Merger Agreement provides for the merger of Merger Sub with and into Tango, with Tango continuing as the surviving entity. Tango is a biotechnology company committed to discovering and delivering the next generation of precision cancer medicines. See “The Proposed Business Combination” described below. </w:t>
      </w:r>
    </w:p>
    <w:p>
      <w:pPr>
        <w:pStyle w:val="TextBody"/>
        <w:spacing w:before="240" w:after="0"/>
        <w:jc w:val="left"/>
        <w:rPr>
          <w:rFonts w:ascii="Times New Roman" w:hAnsi="Times New Roman"/>
          <w:sz w:val="20"/>
        </w:rPr>
      </w:pPr>
      <w:r>
        <w:rPr>
          <w:rFonts w:ascii="Times New Roman" w:hAnsi="Times New Roman"/>
          <w:sz w:val="20"/>
        </w:rPr>
        <w:t xml:space="preserve">All Company activity for the period from May 21, 2020 (inception) through June 30, 2021 has been related to the Company’s formation and initial public offering (“Initial Public Offering”) described below, and since the Initial Public Offering, the search for a prospective initial Business Combination and the negotiation of the transactions related to the Proposed Business Combination. The Company will not generate any operating revenue until after the completion of its initial Business Combination, at the earliest. The Company generates </w:t>
      </w:r>
    </w:p>
    <w:p>
      <w:pPr>
        <w:pStyle w:val="TextBody"/>
        <w:spacing w:before="240" w:after="0"/>
        <w:jc w:val="left"/>
        <w:rPr>
          <w:rFonts w:ascii="Times New Roman" w:hAnsi="Times New Roman"/>
          <w:spacing w:val="0"/>
          <w:sz w:val="20"/>
        </w:rPr>
      </w:pPr>
      <w:r>
        <w:rPr>
          <w:rFonts w:ascii="Times New Roman" w:hAnsi="Times New Roman"/>
          <w:spacing w:val="0"/>
          <w:sz w:val="20"/>
        </w:rPr>
        <w:t>non-operating</w:t>
      </w:r>
    </w:p>
    <w:p>
      <w:pPr>
        <w:pStyle w:val="TextBody"/>
        <w:spacing w:before="240" w:after="0"/>
        <w:jc w:val="left"/>
        <w:rPr>
          <w:rFonts w:ascii="Times New Roman" w:hAnsi="Times New Roman"/>
          <w:sz w:val="20"/>
        </w:rPr>
      </w:pPr>
      <w:r>
        <w:rPr>
          <w:rFonts w:ascii="Times New Roman" w:hAnsi="Times New Roman"/>
          <w:sz w:val="20"/>
        </w:rPr>
        <w:t xml:space="preserve">income in the form of income earned on investments on cash and cash equivalents in the Trust Account (as defined below). The Company has selected December 31 as its fiscal year end.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 </w:t>
      </w:r>
    </w:p>
    <w:p>
      <w:pPr>
        <w:pStyle w:val="TextBody"/>
        <w:spacing w:before="240" w:after="0"/>
        <w:jc w:val="left"/>
        <w:rPr>
          <w:rFonts w:ascii="Times New Roman" w:hAnsi="Times New Roman"/>
          <w:sz w:val="20"/>
        </w:rPr>
      </w:pPr>
      <w:r>
        <w:rPr>
          <w:rFonts w:ascii="Times New Roman" w:hAnsi="Times New Roman"/>
          <w:sz w:val="20"/>
        </w:rPr>
        <w:t xml:space="preserve">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w:t>
      </w:r>
    </w:p>
    <w:p>
      <w:pPr>
        <w:pStyle w:val="TextBody"/>
        <w:spacing w:before="240" w:after="0"/>
        <w:jc w:val="left"/>
        <w:rPr>
          <w:rFonts w:ascii="Times New Roman" w:hAnsi="Times New Roman"/>
          <w:spacing w:val="0"/>
          <w:sz w:val="20"/>
        </w:rPr>
      </w:pPr>
      <w:r>
        <w:rPr>
          <w:rFonts w:ascii="Times New Roman" w:hAnsi="Times New Roman"/>
          <w:spacing w:val="0"/>
          <w:sz w:val="20"/>
        </w:rPr>
        <w:t>2a-7</w:t>
      </w:r>
    </w:p>
    <w:p>
      <w:pPr>
        <w:pStyle w:val="TextBody"/>
        <w:spacing w:before="240" w:after="0"/>
        <w:jc w:val="left"/>
        <w:rPr>
          <w:rFonts w:ascii="Times New Roman" w:hAnsi="Times New Roman"/>
          <w:sz w:val="20"/>
        </w:rPr>
      </w:pPr>
      <w:r>
        <w:rPr>
          <w:rFonts w:ascii="Times New Roman" w:hAnsi="Times New Roman"/>
          <w:sz w:val="20"/>
        </w:rPr>
        <w:t xml:space="preserve">under the Investment Company Act of 1940 (“Investment Company Act”) and which invest solely in U.S. Treasuries, until the earlier of: (i) the completion of a Business Combination and (ii) the distribution of the Trust Account as described below.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Pursuant to stock exchange listing rules, the Company’s initial Business Combination must be with one or more operating businesses or assets with a fair market value equal to at least 80% of the net assets held in the Trust Account (excluding the amount of any deferred underwriting discount held in trust and taxes payable on the income earned on the Trust Account) at the time the Company signs a definitive agreement in connection with its initial Business Combination. The terms of the Merger Agreement satisfy this requirement.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w:t>
      </w:r>
    </w:p>
    <w:p>
      <w:pPr>
        <w:pStyle w:val="TextBody"/>
        <w:spacing w:before="240" w:after="0"/>
        <w:jc w:val="left"/>
        <w:rPr>
          <w:rFonts w:ascii="Times New Roman" w:hAnsi="Times New Roman"/>
          <w:spacing w:val="0"/>
          <w:sz w:val="20"/>
        </w:rPr>
      </w:pPr>
      <w:r>
        <w:rPr>
          <w:rFonts w:ascii="Times New Roman" w:hAnsi="Times New Roman"/>
          <w:spacing w:val="0"/>
          <w:sz w:val="20"/>
        </w:rPr>
        <w:t>per-share</w:t>
      </w:r>
    </w:p>
    <w:p>
      <w:pPr>
        <w:pStyle w:val="TextBody"/>
        <w:spacing w:before="240" w:after="0"/>
        <w:jc w:val="left"/>
        <w:rPr>
          <w:rFonts w:ascii="Times New Roman" w:hAnsi="Times New Roman"/>
          <w:sz w:val="20"/>
        </w:rPr>
      </w:pPr>
      <w:r>
        <w:rPr>
          <w:rFonts w:ascii="Times New Roman" w:hAnsi="Times New Roman"/>
          <w:sz w:val="20"/>
        </w:rPr>
        <w:t xml:space="preserve">amount to be distributed to Public Stockholders who redeem their Public shares will not be reduced by the deferred underwriting commissions the Company will pay to the underwriters (as discussed in Note 5).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the Initial Public Offering (the “Initial Stockholders”) have agreed to vote their Founder shares (as defined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Standard Board (“FASB”), Accounting Standard Codification (“ASC”) 480, “Distinguishing Liabilities from Equity.” The amount in the Trust Account is initially anticipated to be $10.00 per Public Share.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However, the Company’s insiders may not be able to satisfy their indemnification obligations. Moreover, the Company’s insiders will not be liable to the Public Stockholders and instead will only have liability to the Company.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Proposed Business Combination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 </w:t>
      </w:r>
    </w:p>
    <w:p>
      <w:pPr>
        <w:pStyle w:val="TextBody"/>
        <w:spacing w:before="240" w:after="0"/>
        <w:jc w:val="left"/>
        <w:rPr>
          <w:rFonts w:ascii="Times New Roman" w:hAnsi="Times New Roman"/>
          <w:sz w:val="20"/>
        </w:rPr>
      </w:pPr>
      <w:r>
        <w:rPr>
          <w:rFonts w:ascii="Times New Roman" w:hAnsi="Times New Roman"/>
          <w:sz w:val="20"/>
        </w:rPr>
        <w:t xml:space="preserve">The closing of the Proposed Business Combination is subject to certain customary conditions of the respective parties, including, (i) stockholder approval; (ii) no Material Adverse Effect (as defined in the Merger Agreement) with respect to Tango since the date of the Merger Agreement; (iii) 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w:t>
      </w:r>
    </w:p>
    <w:p>
      <w:pPr>
        <w:pStyle w:val="TextBody"/>
        <w:spacing w:before="240" w:after="0"/>
        <w:jc w:val="left"/>
        <w:rPr>
          <w:rFonts w:ascii="Times New Roman" w:hAnsi="Times New Roman"/>
          <w:spacing w:val="0"/>
          <w:sz w:val="20"/>
        </w:rPr>
      </w:pPr>
      <w:r>
        <w:rPr>
          <w:rFonts w:ascii="Times New Roman" w:hAnsi="Times New Roman"/>
          <w:spacing w:val="0"/>
          <w:sz w:val="20"/>
        </w:rPr>
        <w:t>lock-up</w:t>
      </w:r>
    </w:p>
    <w:p>
      <w:pPr>
        <w:pStyle w:val="TextBody"/>
        <w:spacing w:before="240" w:after="0"/>
        <w:jc w:val="left"/>
        <w:rPr>
          <w:rFonts w:ascii="Times New Roman" w:hAnsi="Times New Roman"/>
          <w:sz w:val="20"/>
        </w:rPr>
      </w:pPr>
      <w:r>
        <w:rPr>
          <w:rFonts w:ascii="Times New Roman" w:hAnsi="Times New Roman"/>
          <w:sz w:val="20"/>
        </w:rPr>
        <w:t xml:space="preserve">agreements; and (viii) BCTG and certain Tango stockholders having entered into an amended and restated registration rights agreement.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At the time of the execution of the Merger Agreement, BCTG entered into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 </w:t>
      </w:r>
    </w:p>
    <w:p>
      <w:pPr>
        <w:pStyle w:val="TextBody"/>
        <w:spacing w:before="240" w:after="0"/>
        <w:jc w:val="left"/>
        <w:rPr>
          <w:rFonts w:ascii="Times New Roman" w:hAnsi="Times New Roman"/>
          <w:sz w:val="20"/>
        </w:rPr>
      </w:pPr>
      <w:r>
        <w:rPr>
          <w:rFonts w:ascii="Times New Roman" w:hAnsi="Times New Roman"/>
          <w:sz w:val="20"/>
        </w:rPr>
        <w:t xml:space="preserve">On April 20, 2021, the Company filed with the SEC a Registration Statement on Form </w:t>
      </w:r>
    </w:p>
    <w:p>
      <w:pPr>
        <w:pStyle w:val="TextBody"/>
        <w:spacing w:before="240" w:after="0"/>
        <w:jc w:val="left"/>
        <w:rPr>
          <w:rFonts w:ascii="Times New Roman" w:hAnsi="Times New Roman"/>
          <w:spacing w:val="0"/>
          <w:sz w:val="20"/>
        </w:rPr>
      </w:pPr>
      <w:r>
        <w:rPr>
          <w:rFonts w:ascii="Times New Roman" w:hAnsi="Times New Roman"/>
          <w:spacing w:val="0"/>
          <w:sz w:val="20"/>
        </w:rPr>
        <w:t>S-4,</w:t>
      </w:r>
    </w:p>
    <w:p>
      <w:pPr>
        <w:pStyle w:val="TextBody"/>
        <w:spacing w:before="240" w:after="0"/>
        <w:jc w:val="left"/>
        <w:rPr>
          <w:rFonts w:ascii="Times New Roman" w:hAnsi="Times New Roman"/>
          <w:sz w:val="20"/>
        </w:rPr>
      </w:pPr>
      <w:r>
        <w:rPr>
          <w:rFonts w:ascii="Times New Roman" w:hAnsi="Times New Roman"/>
          <w:sz w:val="20"/>
        </w:rPr>
        <w:t xml:space="preserve">which includes a proxy statement/prospectus, which was declared effective by the SEC on July 16, 2021. The Company filed a definitive proxy statement and final prospectus to hold a special meeting of the holders of BCTG common stock on August 9, 2021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Merger Agreement may be terminated by BCTG or Tango under certain circumstances, including (i) by mutual written consent of BCTG and Tango; (ii) 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 </w:t>
      </w:r>
    </w:p>
    <w:p>
      <w:pPr>
        <w:pStyle w:val="TextBody"/>
        <w:spacing w:before="240" w:after="0"/>
        <w:jc w:val="left"/>
        <w:rPr>
          <w:rFonts w:ascii="Times New Roman" w:hAnsi="Times New Roman"/>
          <w:sz w:val="20"/>
        </w:rPr>
      </w:pPr>
      <w:r>
        <w:rPr>
          <w:rFonts w:ascii="Times New Roman" w:hAnsi="Times New Roman"/>
          <w:sz w:val="20"/>
        </w:rPr>
        <w:t xml:space="preserve">The Merger Agreement, Subscription Agreements and other support agreements have been filed as exhibits to and described in the Company’s Current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8-K</w:t>
      </w:r>
    </w:p>
    <w:p>
      <w:pPr>
        <w:pStyle w:val="TextBody"/>
        <w:spacing w:before="240" w:after="0"/>
        <w:jc w:val="left"/>
        <w:rPr>
          <w:rFonts w:ascii="Times New Roman" w:hAnsi="Times New Roman"/>
          <w:sz w:val="20"/>
        </w:rPr>
      </w:pPr>
      <w:r>
        <w:rPr>
          <w:rFonts w:ascii="Times New Roman" w:hAnsi="Times New Roman"/>
          <w:sz w:val="20"/>
        </w:rPr>
        <w:t xml:space="preserve">filed with the SEC on April 14, 2021.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Capital Resources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June 30, 2021, the Company had $0.6 million of cash in its operating account and approximately $0.4 million of working capital, not taken into account tax obligations of approximately $36,000 that may be paid using investment income earned from Trust Account.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Through June 30, 2021, the Company’s liquidity needs were satisfied through a payment of $25,000 from the Company’s Sponsor in exchange for the issuance of the Founder shares (as defined in Note 4), the loan under the certain promissory notes from the Company to the Sponsor of approximately $127,000 to the Company to cover for offering costs in connection with the Initial Public Offering, and net proceeds from the consummation of the Private Placement not held in the Trust Account. The Company fully repaid the promissory notes on September 10, 2020. In addition, in order to finance transaction costs in connection with a Business Combination, the Company’s officers, directors and initial stockholders may, but are not obligated to, provide the Company Working Capital Loans (see Note 4). However, in the Merger Agreement, the Company has covenanted not to enter into any such arrangements. Accordingly, as of June 30, 2021 and December 31, 2020, there were no amounts outstanding under any Working Capital Loans.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2 — Summary of Significant Accounting Policies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Basis of Presentation and Principles of Consolidation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through December 31, 2021 or for any future interim periods.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accompanying unaudited condensed consolidated financial statements include the accounts of the Company, and its wholly owned subsidiaries. All significant intercompany accounts and transactions are eliminated. </w:t>
      </w:r>
    </w:p>
    <w:p>
      <w:pPr>
        <w:pStyle w:val="TextBody"/>
        <w:spacing w:before="240" w:after="0"/>
        <w:jc w:val="left"/>
        <w:rPr>
          <w:rFonts w:ascii="Times New Roman" w:hAnsi="Times New Roman"/>
          <w:sz w:val="20"/>
        </w:rPr>
      </w:pPr>
      <w:r>
        <w:rPr>
          <w:rFonts w:ascii="Times New Roman" w:hAnsi="Times New Roman"/>
          <w:sz w:val="20"/>
        </w:rPr>
        <w:t xml:space="preserve">The accompanying unaudited consolidated condensed financial statements should be read in conjunction with the audited financial statements and notes thereto included in the Company’s Annual Report on Form </w:t>
      </w:r>
    </w:p>
    <w:p>
      <w:pPr>
        <w:pStyle w:val="TextBody"/>
        <w:spacing w:before="240" w:after="0"/>
        <w:jc w:val="left"/>
        <w:rPr>
          <w:rFonts w:ascii="Times New Roman" w:hAnsi="Times New Roman"/>
          <w:spacing w:val="0"/>
          <w:sz w:val="20"/>
        </w:rPr>
      </w:pPr>
      <w:r>
        <w:rPr>
          <w:rFonts w:ascii="Times New Roman" w:hAnsi="Times New Roman"/>
          <w:spacing w:val="0"/>
          <w:sz w:val="20"/>
        </w:rPr>
        <w:t>10-K</w:t>
      </w:r>
    </w:p>
    <w:p>
      <w:pPr>
        <w:pStyle w:val="TextBody"/>
        <w:spacing w:before="240" w:after="0"/>
        <w:jc w:val="left"/>
        <w:rPr>
          <w:rFonts w:ascii="Times New Roman" w:hAnsi="Times New Roman"/>
          <w:sz w:val="20"/>
        </w:rPr>
      </w:pPr>
      <w:r>
        <w:rPr>
          <w:rFonts w:ascii="Times New Roman" w:hAnsi="Times New Roman"/>
          <w:sz w:val="20"/>
        </w:rPr>
        <w:t xml:space="preserve">filed with the SEC on March 31, 2021.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w:t>
      </w:r>
    </w:p>
    <w:p>
      <w:pPr>
        <w:pStyle w:val="TextBody"/>
        <w:spacing w:before="240" w:after="0"/>
        <w:jc w:val="left"/>
        <w:rPr>
          <w:rFonts w:ascii="Times New Roman" w:hAnsi="Times New Roman"/>
          <w:spacing w:val="0"/>
          <w:sz w:val="20"/>
        </w:rPr>
      </w:pPr>
      <w:r>
        <w:rPr>
          <w:rFonts w:ascii="Times New Roman" w:hAnsi="Times New Roman"/>
          <w:spacing w:val="0"/>
          <w:sz w:val="20"/>
        </w:rPr>
        <w:t>non-emerging</w:t>
      </w:r>
    </w:p>
    <w:p>
      <w:pPr>
        <w:pStyle w:val="TextBody"/>
        <w:spacing w:before="240" w:after="0"/>
        <w:jc w:val="left"/>
        <w:rPr>
          <w:rFonts w:ascii="Times New Roman" w:hAnsi="Times New Roman"/>
          <w:sz w:val="20"/>
        </w:rPr>
      </w:pPr>
      <w:r>
        <w:rPr>
          <w:rFonts w:ascii="Times New Roman" w:hAnsi="Times New Roman"/>
          <w:sz w:val="20"/>
        </w:rPr>
        <w:t xml:space="preserve">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subject the Company to concentrations of credit risk consist of cash accounts in a financial institution, which, at times, may exceed the Federal Depository Insurance Corporation coverage limit of $250,000. As of June 30, 2021 and December 31, 2020, the Company has not experienced losses on these accounts and management believes the Company is not exposed to significant risks on such accounts.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considers all short-term investments with an original maturity of three months or less when purchased to be cash equivalents. The Company had no cash equivalents held outside of the Trust account as of June 30, 2021 and December 31, 2020.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Investments Held in the Trust Account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interest earned on investments held in the Trust Account in the accompanying unaudited condensed statement of operations. The estimated fair values of investments held in the Trust Account are determined using available market information.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preparation of unaudited condensed consolidated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Such estimates may be subject to change as more current information becomes available and, accordingly, the actual results could differ significantly from those estimates.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Financial Instruments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fair value of the Company’s assets and liabilities, which qualify as financial instruments under the FASB ASC 820, “Fair Value Measurements and Disclosures,” approximates the carrying amounts represented in the balance sheet.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 </w:t>
      </w:r>
    </w:p>
    <w:p>
      <w:pPr>
        <w:pStyle w:val="TextBody"/>
        <w:spacing w:before="0" w:after="0"/>
        <w:jc w:val="left"/>
        <w:rPr>
          <w:spacing w:val="0"/>
        </w:rPr>
      </w:pPr>
      <w:r>
        <w:rPr>
          <w:spacing w:val="0"/>
        </w:rPr>
        <w:t> </w:t>
      </w:r>
    </w:p>
    <w:tbl>
      <w:tblPr>
        <w:tblW w:w="9685" w:type="dxa"/>
        <w:jc w:val="left"/>
        <w:tblInd w:w="0" w:type="dxa"/>
        <w:tblCellMar>
          <w:top w:w="0" w:type="dxa"/>
          <w:left w:w="0" w:type="dxa"/>
          <w:bottom w:w="0" w:type="dxa"/>
          <w:right w:w="0" w:type="dxa"/>
        </w:tblCellMar>
      </w:tblPr>
      <w:tblGrid>
        <w:gridCol w:w="75"/>
        <w:gridCol w:w="110"/>
        <w:gridCol w:w="60"/>
        <w:gridCol w:w="9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1, defined as observable inputs such as quoted prices (unadjusted) for identical instruments in active markets;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Offering Costs Associated with the Initial Public Offering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Offering costs consisted of legal, accounting, underwriting and other costs incurred that were directly related to the Initial Public Offering and that were charged to Stockholders’ equity upon the completion of the Initial Public Offering.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Subject to Possible Redemption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June 30, 2021 and December 31, 2020, 15,635,785 and 15,736,221 shares of common stock subject to possible redemption are presented as temporary equity, outside of the stockholders’ equity section of the Company’s balance sheet, respectively.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spacing w:before="240" w:after="0"/>
        <w:jc w:val="left"/>
        <w:rPr>
          <w:rFonts w:ascii="Times New Roman" w:hAnsi="Times New Roman"/>
          <w:sz w:val="20"/>
        </w:rPr>
      </w:pPr>
      <w:r>
        <w:rPr>
          <w:rFonts w:ascii="Times New Roman" w:hAnsi="Times New Roman"/>
          <w:sz w:val="20"/>
        </w:rPr>
        <w:t xml:space="preserve">FASB ASC 740 prescribes a recognition threshold and a measurement attribute for the financial statement recognition and measurement of tax positions taken or expected to be taken in a tax return. For those benefits to be recognized, a tax position must be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spacing w:before="240" w:after="0"/>
        <w:jc w:val="left"/>
        <w:rPr>
          <w:rFonts w:ascii="Times New Roman" w:hAnsi="Times New Roman"/>
          <w:sz w:val="20"/>
        </w:rPr>
      </w:pPr>
      <w:r>
        <w:rPr>
          <w:rFonts w:ascii="Times New Roman" w:hAnsi="Times New Roman"/>
          <w:sz w:val="20"/>
        </w:rPr>
        <w:t xml:space="preserve">to be sustained upon examination by taxing authorities. The Company recognizes accrued interest and penalties related to unrecognized tax benefits as income tax expense.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Income (Loss) Per Common Share </w:t>
      </w:r>
    </w:p>
    <w:p>
      <w:pPr>
        <w:pStyle w:val="TextBody"/>
        <w:spacing w:before="120" w:after="0"/>
        <w:jc w:val="left"/>
        <w:rPr>
          <w:rFonts w:ascii="Times New Roman" w:hAnsi="Times New Roman"/>
          <w:sz w:val="20"/>
        </w:rPr>
      </w:pPr>
      <w:r>
        <w:rPr>
          <w:rFonts w:ascii="Times New Roman" w:hAnsi="Times New Roman"/>
          <w:sz w:val="20"/>
        </w:rPr>
        <w:t xml:space="preserve">The Company’s condensed consolidated statements of operations include a presentation of net income (loss) per share for Public shares subject to possible redemption in a manner similar to the </w:t>
      </w:r>
    </w:p>
    <w:p>
      <w:pPr>
        <w:pStyle w:val="TextBody"/>
        <w:spacing w:before="120" w:after="0"/>
        <w:jc w:val="left"/>
        <w:rPr>
          <w:rFonts w:ascii="Times New Roman" w:hAnsi="Times New Roman"/>
          <w:spacing w:val="0"/>
          <w:sz w:val="20"/>
        </w:rPr>
      </w:pPr>
      <w:r>
        <w:rPr>
          <w:rFonts w:ascii="Times New Roman" w:hAnsi="Times New Roman"/>
          <w:spacing w:val="0"/>
          <w:sz w:val="20"/>
        </w:rPr>
        <w:t>two-class</w:t>
      </w:r>
    </w:p>
    <w:p>
      <w:pPr>
        <w:pStyle w:val="TextBody"/>
        <w:spacing w:before="120" w:after="0"/>
        <w:jc w:val="left"/>
        <w:rPr>
          <w:rFonts w:ascii="Times New Roman" w:hAnsi="Times New Roman"/>
          <w:sz w:val="20"/>
        </w:rPr>
      </w:pPr>
      <w:r>
        <w:rPr>
          <w:rFonts w:ascii="Times New Roman" w:hAnsi="Times New Roman"/>
          <w:sz w:val="20"/>
        </w:rPr>
        <w:t xml:space="preserve">method of net income (loss) per common stock. Net income (loss) per common stock, basic and diluted, for Public shares is calculated by dividing the interest income earned on the Trust Account, less interest available to be withdrawn for the payment of taxes, by the weighted average number of Public shares outstanding for the periods. Net income (loss) per common stock, basic and diluted, for Founder shares is calculated by dividing the net income (loss), adjusted for income attributable to Public shares, by the weighted average number of Founder shares outstanding for the periods. Founder shares include the Founder shares as these common stocks do not have any redemption features and do not participate in the income earned on the Trust Account.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F-13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At June 30,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reflects the calculation of basic and diluted net income (loss) per share of common stock: </w:t>
      </w:r>
    </w:p>
    <w:p>
      <w:pPr>
        <w:pStyle w:val="TextBody"/>
        <w:spacing w:before="0" w:after="0"/>
        <w:jc w:val="left"/>
        <w:rPr>
          <w:spacing w:val="0"/>
        </w:rPr>
      </w:pPr>
      <w:r>
        <w:rPr>
          <w:spacing w:val="0"/>
        </w:rPr>
        <w:t> </w:t>
      </w:r>
    </w:p>
    <w:tbl>
      <w:tblPr>
        <w:tblW w:w="9200" w:type="dxa"/>
        <w:jc w:val="left"/>
        <w:tblInd w:w="0" w:type="dxa"/>
        <w:tblCellMar>
          <w:top w:w="0" w:type="dxa"/>
          <w:left w:w="0" w:type="dxa"/>
          <w:bottom w:w="0" w:type="dxa"/>
          <w:right w:w="0" w:type="dxa"/>
        </w:tblCellMar>
      </w:tblPr>
      <w:tblGrid>
        <w:gridCol w:w="6155"/>
        <w:gridCol w:w="120"/>
        <w:gridCol w:w="140"/>
        <w:gridCol w:w="1100"/>
        <w:gridCol w:w="155"/>
        <w:gridCol w:w="120"/>
        <w:gridCol w:w="140"/>
        <w:gridCol w:w="1100"/>
        <w:gridCol w:w="170"/>
      </w:tblGrid>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For the</w:t>
              <w:br/>
              <w:t>Three</w:t>
              <w:br/>
              <w:t>Months</w:t>
              <w:br/>
              <w:t>Ended</w:t>
              <w:br/>
              <w:t>June 30,</w:t>
              <w:b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For the</w:t>
              <w:br/>
              <w:t>Six Months</w:t>
              <w:br/>
              <w:t>Ended</w:t>
              <w:br/>
              <w:t>June 30,</w:t>
              <w:br/>
              <w:t>2021</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Public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Numerator: Income allocable to Public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from investments held in Trust Account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5,634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32,300</w:t>
            </w:r>
          </w:p>
        </w:tc>
        <w:tc>
          <w:tcPr>
            <w:tcW w:w="170" w:type="dxa"/>
            <w:tcBorders/>
            <w:shd w:fill="CCEEFF"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Company’s portion available to be withdrawn to pay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5,634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32,300</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attributable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Denominator: Weighted average Public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weighted average shares outstanding, Public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16,675,000</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16,675,000</w:t>
            </w:r>
          </w:p>
        </w:tc>
        <w:tc>
          <w:tcPr>
            <w:tcW w:w="170" w:type="dxa"/>
            <w:tcBorders/>
            <w:shd w:fill="CCEEFF" w:val="clear"/>
            <w:vAlign w:val="center"/>
          </w:tcPr>
          <w:p>
            <w:pPr>
              <w:pStyle w:val="TableContents"/>
              <w:spacing w:before="0" w:after="0"/>
              <w:rPr>
                <w:spacing w:val="0"/>
              </w:rPr>
            </w:pPr>
            <w:r>
              <w:rPr>
                <w:spacing w:val="0"/>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income (loss) per share, Public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100" w:type="dxa"/>
            <w:tcBorders/>
            <w:shd w:fill="auto" w:val="clear"/>
            <w:vAlign w:val="center"/>
          </w:tcPr>
          <w:p>
            <w:pPr>
              <w:pStyle w:val="TableContents"/>
              <w:spacing w:before="0" w:after="0"/>
              <w:jc w:val="right"/>
              <w:rPr>
                <w:b/>
                <w:spacing w:val="0"/>
              </w:rPr>
            </w:pPr>
            <w:r>
              <w:rPr>
                <w:b/>
                <w:spacing w:val="0"/>
              </w:rPr>
              <w:t>0.00</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100" w:type="dxa"/>
            <w:tcBorders/>
            <w:shd w:fill="auto" w:val="clear"/>
            <w:vAlign w:val="center"/>
          </w:tcPr>
          <w:p>
            <w:pPr>
              <w:pStyle w:val="TableContents"/>
              <w:spacing w:before="0" w:after="0"/>
              <w:jc w:val="right"/>
              <w:rPr>
                <w:b/>
                <w:spacing w:val="0"/>
              </w:rPr>
            </w:pPr>
            <w:r>
              <w:rPr>
                <w:b/>
                <w:spacing w:val="0"/>
              </w:rPr>
              <w:t>0.00</w:t>
            </w:r>
          </w:p>
        </w:tc>
        <w:tc>
          <w:tcPr>
            <w:tcW w:w="170" w:type="dxa"/>
            <w:tcBorders/>
            <w:shd w:fill="auto" w:val="clear"/>
            <w:vAlign w:val="center"/>
          </w:tcPr>
          <w:p>
            <w:pPr>
              <w:pStyle w:val="TableContents"/>
              <w:spacing w:before="0" w:after="0"/>
              <w:rPr>
                <w:spacing w:val="0"/>
              </w:rPr>
            </w:pPr>
            <w:r>
              <w:rPr>
                <w:spacing w:val="0"/>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b/>
                <w:i/>
                <w:caps w:val="false"/>
                <w:smallCaps w:val="false"/>
                <w:spacing w:val="0"/>
                <w:sz w:val="20"/>
              </w:rPr>
            </w:pPr>
            <w:r>
              <w:rPr>
                <w:rFonts w:ascii="Times New Roman" w:hAnsi="Times New Roman"/>
                <w:b/>
                <w:i/>
                <w:caps w:val="false"/>
                <w:smallCaps w:val="false"/>
                <w:spacing w:val="0"/>
                <w:sz w:val="20"/>
              </w:rPr>
              <w:t>Founder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Numerator: Net income (loss) minus net income allocable to Founder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(764,601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(1,004,355</w:t>
            </w:r>
          </w:p>
        </w:tc>
        <w:tc>
          <w:tcPr>
            <w:tcW w:w="170" w:type="dxa"/>
            <w:tcBorders/>
            <w:shd w:fill="CCEEFF"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allocable to Public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 attributable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100" w:type="dxa"/>
            <w:tcBorders/>
            <w:shd w:fill="CCEEFF" w:val="clear"/>
            <w:vAlign w:val="center"/>
          </w:tcPr>
          <w:p>
            <w:pPr>
              <w:pStyle w:val="TableContents"/>
              <w:spacing w:before="0" w:after="0"/>
              <w:jc w:val="right"/>
              <w:rPr>
                <w:b/>
                <w:spacing w:val="0"/>
              </w:rPr>
            </w:pPr>
            <w:r>
              <w:rPr>
                <w:b/>
                <w:spacing w:val="0"/>
              </w:rPr>
              <w:t>(764,601</w:t>
            </w:r>
          </w:p>
        </w:tc>
        <w:tc>
          <w:tcPr>
            <w:tcW w:w="155" w:type="dxa"/>
            <w:tcBorders/>
            <w:shd w:fill="CCEEFF" w:val="clear"/>
            <w:vAlign w:val="center"/>
          </w:tcPr>
          <w:p>
            <w:pPr>
              <w:pStyle w:val="TableContents"/>
              <w:spacing w:before="0" w:after="0"/>
              <w:rPr>
                <w:b/>
                <w:spacing w:val="0"/>
              </w:rPr>
            </w:pPr>
            <w:r>
              <w:rPr>
                <w:b/>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100" w:type="dxa"/>
            <w:tcBorders/>
            <w:shd w:fill="CCEEFF" w:val="clear"/>
            <w:vAlign w:val="center"/>
          </w:tcPr>
          <w:p>
            <w:pPr>
              <w:pStyle w:val="TableContents"/>
              <w:spacing w:before="0" w:after="0"/>
              <w:jc w:val="right"/>
              <w:rPr>
                <w:b/>
                <w:spacing w:val="0"/>
              </w:rPr>
            </w:pPr>
            <w:r>
              <w:rPr>
                <w:b/>
                <w:spacing w:val="0"/>
              </w:rPr>
              <w:t>(1,004,355</w:t>
            </w:r>
          </w:p>
        </w:tc>
        <w:tc>
          <w:tcPr>
            <w:tcW w:w="170" w:type="dxa"/>
            <w:tcBorders/>
            <w:shd w:fill="CCEEFF" w:val="clear"/>
            <w:vAlign w:val="center"/>
          </w:tcPr>
          <w:p>
            <w:pPr>
              <w:pStyle w:val="TableContents"/>
              <w:spacing w:before="0" w:after="0"/>
              <w:rPr>
                <w:b/>
                <w:spacing w:val="0"/>
              </w:rPr>
            </w:pPr>
            <w:r>
              <w:rPr>
                <w:b/>
                <w:spacing w:val="0"/>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Denominator: weighted average Founder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weighted average shares outstanding, Founder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4,702,250</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4,702,250</w:t>
            </w:r>
          </w:p>
        </w:tc>
        <w:tc>
          <w:tcPr>
            <w:tcW w:w="170" w:type="dxa"/>
            <w:tcBorders/>
            <w:shd w:fill="CCEEFF" w:val="clear"/>
            <w:vAlign w:val="center"/>
          </w:tcPr>
          <w:p>
            <w:pPr>
              <w:pStyle w:val="TableContents"/>
              <w:spacing w:before="0" w:after="0"/>
              <w:rPr>
                <w:spacing w:val="0"/>
              </w:rPr>
            </w:pPr>
            <w:r>
              <w:rPr>
                <w:spacing w:val="0"/>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and diluted net loss per share, Founder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100" w:type="dxa"/>
            <w:tcBorders/>
            <w:shd w:fill="auto" w:val="clear"/>
            <w:vAlign w:val="center"/>
          </w:tcPr>
          <w:p>
            <w:pPr>
              <w:pStyle w:val="TableContents"/>
              <w:spacing w:before="0" w:after="0"/>
              <w:jc w:val="right"/>
              <w:rPr>
                <w:b/>
                <w:spacing w:val="0"/>
              </w:rPr>
            </w:pPr>
            <w:r>
              <w:rPr>
                <w:b/>
                <w:spacing w:val="0"/>
              </w:rPr>
              <w:t>(0.16</w:t>
            </w:r>
          </w:p>
        </w:tc>
        <w:tc>
          <w:tcPr>
            <w:tcW w:w="155" w:type="dxa"/>
            <w:tcBorders/>
            <w:shd w:fill="auto" w:val="clear"/>
            <w:vAlign w:val="center"/>
          </w:tcPr>
          <w:p>
            <w:pPr>
              <w:pStyle w:val="TableContents"/>
              <w:spacing w:before="0" w:after="0"/>
              <w:rPr>
                <w:b/>
                <w:spacing w:val="0"/>
              </w:rPr>
            </w:pPr>
            <w:r>
              <w:rPr>
                <w:b/>
                <w:spacing w:val="0"/>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100" w:type="dxa"/>
            <w:tcBorders/>
            <w:shd w:fill="auto" w:val="clear"/>
            <w:vAlign w:val="center"/>
          </w:tcPr>
          <w:p>
            <w:pPr>
              <w:pStyle w:val="TableContents"/>
              <w:spacing w:before="0" w:after="0"/>
              <w:jc w:val="right"/>
              <w:rPr>
                <w:b/>
                <w:spacing w:val="0"/>
              </w:rPr>
            </w:pPr>
            <w:r>
              <w:rPr>
                <w:b/>
                <w:spacing w:val="0"/>
              </w:rPr>
              <w:t>(0.21</w:t>
            </w:r>
          </w:p>
        </w:tc>
        <w:tc>
          <w:tcPr>
            <w:tcW w:w="170" w:type="dxa"/>
            <w:tcBorders/>
            <w:shd w:fill="auto" w:val="clear"/>
            <w:vAlign w:val="center"/>
          </w:tcPr>
          <w:p>
            <w:pPr>
              <w:pStyle w:val="TableContents"/>
              <w:spacing w:before="0" w:after="0"/>
              <w:rPr>
                <w:b/>
                <w:spacing w:val="0"/>
              </w:rPr>
            </w:pPr>
            <w:r>
              <w:rPr>
                <w:b/>
                <w:spacing w:val="0"/>
              </w:rPr>
              <w:t>) </w:t>
            </w:r>
          </w:p>
        </w:tc>
      </w:tr>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August 2020, the Financial Accounting Standards Board (“FASB”) issued Accounting standards update (“ASU”) </w:t>
      </w:r>
    </w:p>
    <w:p>
      <w:pPr>
        <w:pStyle w:val="TextBody"/>
        <w:spacing w:before="120" w:after="0"/>
        <w:jc w:val="left"/>
        <w:rPr>
          <w:rFonts w:ascii="Times New Roman" w:hAnsi="Times New Roman"/>
          <w:spacing w:val="0"/>
          <w:sz w:val="20"/>
        </w:rPr>
      </w:pPr>
      <w:r>
        <w:rPr>
          <w:rFonts w:ascii="Times New Roman" w:hAnsi="Times New Roman"/>
          <w:spacing w:val="0"/>
          <w:sz w:val="20"/>
        </w:rPr>
        <w:t>2020-06,</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Debt-Debt with Conversion and Other Options (Subtopic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and Derivatives and Hedging-Contracts in Entity’s Own Equity (Subtopic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815-40):</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 and Contracts in an Entity’s Own Equity</w:t>
      </w:r>
    </w:p>
    <w:p>
      <w:pPr>
        <w:pStyle w:val="TextBody"/>
        <w:spacing w:before="120" w:after="0"/>
        <w:jc w:val="left"/>
        <w:rPr>
          <w:rFonts w:ascii="Times New Roman" w:hAnsi="Times New Roman"/>
          <w:sz w:val="20"/>
        </w:rPr>
      </w:pPr>
      <w:r>
        <w:rPr>
          <w:rFonts w:ascii="Times New Roman" w:hAnsi="Times New Roman"/>
          <w:sz w:val="20"/>
        </w:rPr>
        <w:t xml:space="preserve">,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financial statements and related disclosures.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Management does not believe that any other recently issued, but not yet effective, accounting standards if currently adopted would have a material effect on the accompanying financial statement.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3 — Initial Public Offering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4 — Related Party Transactions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Founder shares </w:t>
      </w:r>
    </w:p>
    <w:p>
      <w:pPr>
        <w:pStyle w:val="TextBody"/>
        <w:spacing w:before="120" w:after="0"/>
        <w:jc w:val="left"/>
        <w:rPr>
          <w:rFonts w:ascii="Times New Roman" w:hAnsi="Times New Roman"/>
          <w:sz w:val="20"/>
        </w:rPr>
      </w:pPr>
      <w:r>
        <w:rPr>
          <w:rFonts w:ascii="Times New Roman" w:hAnsi="Times New Roman"/>
          <w:sz w:val="20"/>
        </w:rPr>
        <w:t xml:space="preserve">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w:t>
      </w:r>
    </w:p>
    <w:p>
      <w:pPr>
        <w:pStyle w:val="TextBody"/>
        <w:spacing w:before="120" w:after="0"/>
        <w:jc w:val="left"/>
        <w:rPr>
          <w:rFonts w:ascii="Times New Roman" w:hAnsi="Times New Roman"/>
          <w:spacing w:val="0"/>
          <w:sz w:val="20"/>
        </w:rPr>
      </w:pPr>
      <w:r>
        <w:rPr>
          <w:rFonts w:ascii="Times New Roman" w:hAnsi="Times New Roman"/>
          <w:spacing w:val="0"/>
          <w:sz w:val="20"/>
        </w:rPr>
        <w:t>30-trading</w:t>
      </w:r>
    </w:p>
    <w:p>
      <w:pPr>
        <w:pStyle w:val="TextBody"/>
        <w:spacing w:before="120" w:after="0"/>
        <w:jc w:val="left"/>
        <w:rPr>
          <w:rFonts w:ascii="Times New Roman" w:hAnsi="Times New Roman"/>
          <w:sz w:val="20"/>
        </w:rPr>
      </w:pPr>
      <w:r>
        <w:rPr>
          <w:rFonts w:ascii="Times New Roman" w:hAnsi="Times New Roman"/>
          <w:sz w:val="20"/>
        </w:rPr>
        <w:t xml:space="preserve">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Private Placement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Sponsor and the Company’s officers and directors have agreed, subject to limited exceptions, not to transfer, assign or sell any of their Private Placement shares until 30 days after the completion of the initial Business Combination.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Related Party Loans </w:t>
      </w:r>
    </w:p>
    <w:p>
      <w:pPr>
        <w:pStyle w:val="TextBody"/>
        <w:spacing w:before="120" w:after="0"/>
        <w:jc w:val="left"/>
        <w:rPr>
          <w:rFonts w:ascii="Times New Roman" w:hAnsi="Times New Roman"/>
          <w:sz w:val="20"/>
        </w:rPr>
      </w:pPr>
      <w:r>
        <w:rPr>
          <w:rFonts w:ascii="Times New Roman" w:hAnsi="Times New Roman"/>
          <w:sz w:val="20"/>
        </w:rPr>
        <w:t xml:space="preserve">On May 21, 2020 and June 10, 2020, the Company’s sponsor agreed to loan us up to $25,025 and $274,975, respectively, for an aggregate amount of $300,000 to be used for the payment of costs related to the Initial Public Offering pursuant to certain promissory notes. These promissory notes were </w:t>
      </w:r>
    </w:p>
    <w:p>
      <w:pPr>
        <w:pStyle w:val="TextBody"/>
        <w:spacing w:before="120" w:after="0"/>
        <w:jc w:val="left"/>
        <w:rPr>
          <w:rFonts w:ascii="Times New Roman" w:hAnsi="Times New Roman"/>
          <w:spacing w:val="0"/>
          <w:sz w:val="20"/>
        </w:rPr>
      </w:pPr>
      <w:r>
        <w:rPr>
          <w:rFonts w:ascii="Times New Roman" w:hAnsi="Times New Roman"/>
          <w:spacing w:val="0"/>
          <w:sz w:val="20"/>
        </w:rPr>
        <w:t>non-interest</w:t>
      </w:r>
    </w:p>
    <w:p>
      <w:pPr>
        <w:pStyle w:val="TextBody"/>
        <w:spacing w:before="120" w:after="0"/>
        <w:jc w:val="left"/>
        <w:rPr>
          <w:rFonts w:ascii="Times New Roman" w:hAnsi="Times New Roman"/>
          <w:sz w:val="20"/>
        </w:rPr>
      </w:pPr>
      <w:r>
        <w:rPr>
          <w:rFonts w:ascii="Times New Roman" w:hAnsi="Times New Roman"/>
          <w:sz w:val="20"/>
        </w:rPr>
        <w:t xml:space="preserve">bearing, unsecured and due upon the date we consummate the Initial Public Offering. We borrowed approximately $127,000 under these promissory notes and repaid them in full on September 10,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However, in the Merger Agreement, we have covenanted not to enter into any such arrangements. Accordingly, to date, the Company had no borrowings under the Working Capital Loans.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Administrative Support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Commencing on September 2, 2020, the Company agreed to pay an affiliate of the Sponsor a total of $10,000 per month for office space and certain office and secretarial services. Upon completion of the initial Business Combination or the Company’s liquidation, the Company will cease paying these monthly fees. The Company incurred $30,000 and $60,000 of such expenses during the three and six months ended June 30, 2021, respectively, included as administrative expenses—related party on the accompanying condensed statement of operations. As of June 30, 2021, no amounts were payable related to this agreement.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 Purchase Commitment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5 — Commitments and Contingencies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Rights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Underwriting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and Uncertainties </w:t>
      </w:r>
    </w:p>
    <w:p>
      <w:pPr>
        <w:pStyle w:val="TextBody"/>
        <w:spacing w:before="120" w:after="0"/>
        <w:jc w:val="left"/>
        <w:rPr>
          <w:rFonts w:ascii="Times New Roman" w:hAnsi="Times New Roman"/>
          <w:sz w:val="20"/>
        </w:rPr>
      </w:pPr>
      <w:r>
        <w:rPr>
          <w:rFonts w:ascii="Times New Roman" w:hAnsi="Times New Roman"/>
          <w:sz w:val="20"/>
        </w:rPr>
        <w:t xml:space="preserve">Management continues to evaluate the impact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on the industry and has concluded that while it is reasonably possible that the virus could have a negative effect on the Company’s financial position, results of its operations, and/or its efforts with respect to an initial Business Combination, the specific impact is not readily determinable as of the date of these financial statements. The financial statement does not include any adjustments that might result from the outcome of this uncertainty.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6 — Stockholders’ Equity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Preferred stock</w:t>
      </w:r>
    </w:p>
    <w:p>
      <w:pPr>
        <w:pStyle w:val="TextBody"/>
        <w:spacing w:before="120" w:after="0"/>
        <w:jc w:val="left"/>
        <w:rPr>
          <w:rFonts w:ascii="Times New Roman" w:hAnsi="Times New Roman"/>
          <w:sz w:val="20"/>
        </w:rPr>
      </w:pPr>
      <w:r>
        <w:rPr>
          <w:rFonts w:ascii="Times New Roman" w:hAnsi="Times New Roman"/>
          <w:sz w:val="20"/>
        </w:rPr>
        <w:t xml:space="preserve">-The Company is authorized to issue 1,000,000 shares of preferred stock with a par value of $0.0001 per share. As of June 30, 2021 and December 31, 2020, there are no shares of preferred stock issued or outstanding.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Common Stock</w:t>
      </w:r>
    </w:p>
    <w:p>
      <w:pPr>
        <w:pStyle w:val="TextBody"/>
        <w:spacing w:before="240" w:after="0"/>
        <w:jc w:val="left"/>
        <w:rPr>
          <w:rFonts w:ascii="Times New Roman" w:hAnsi="Times New Roman"/>
          <w:sz w:val="20"/>
        </w:rPr>
      </w:pPr>
      <w:r>
        <w:rPr>
          <w:rFonts w:ascii="Times New Roman" w:hAnsi="Times New Roman"/>
          <w:sz w:val="20"/>
        </w:rPr>
        <w:t xml:space="preserve">-The Company is authorized to issue 30,000,000 shares of common stock, par value of $0.0001 per share. On September 2, 2020, the Company declared a dividend of 0.16 shares for each outstanding share of common stock (an aggregate of 575,000 shares). All shares and associated amounts have been retroactively restated to reflect the share dividend. As of June 30, 2021 and December 31, 2020, there were 21,377,250 shares of common stock outstanding, including 15,635,785 shares and 15,736,221 shares of common stock, respectively, subject to possible redemption that were classified outside of permanent equity in the accompanying unaudited condensed consolidated balance sheets.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7 — Fair Value Measurements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tables present information about the Company’s assets that are measured at fair value on a recurring basis and indicates the fair value hierarchy of the valuation techniques that the Company utilized to determine such fair value.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June 30, 2021 </w:t>
      </w:r>
    </w:p>
    <w:p>
      <w:pPr>
        <w:pStyle w:val="TextBody"/>
        <w:spacing w:before="0" w:after="0"/>
        <w:jc w:val="left"/>
        <w:rPr>
          <w:spacing w:val="0"/>
        </w:rPr>
      </w:pPr>
      <w:r>
        <w:rPr>
          <w:spacing w:val="0"/>
        </w:rPr>
        <w:t> </w:t>
      </w:r>
    </w:p>
    <w:tbl>
      <w:tblPr>
        <w:tblW w:w="6310" w:type="dxa"/>
        <w:jc w:val="left"/>
        <w:tblInd w:w="0" w:type="dxa"/>
        <w:tblCellMar>
          <w:top w:w="0" w:type="dxa"/>
          <w:left w:w="0" w:type="dxa"/>
          <w:bottom w:w="0" w:type="dxa"/>
          <w:right w:w="0" w:type="dxa"/>
        </w:tblCellMar>
      </w:tblPr>
      <w:tblGrid>
        <w:gridCol w:w="1790"/>
        <w:gridCol w:w="120"/>
        <w:gridCol w:w="140"/>
        <w:gridCol w:w="1220"/>
        <w:gridCol w:w="60"/>
        <w:gridCol w:w="120"/>
        <w:gridCol w:w="160"/>
        <w:gridCol w:w="1015"/>
        <w:gridCol w:w="60"/>
        <w:gridCol w:w="120"/>
        <w:gridCol w:w="195"/>
        <w:gridCol w:w="1235"/>
        <w:gridCol w:w="75"/>
      </w:tblGrid>
      <w:tr>
        <w:trPr/>
        <w:tc>
          <w:tcPr>
            <w:tcW w:w="1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Quoted</w:t>
              <w:br/>
              <w:t>Prices in</w:t>
              <w:br/>
              <w:t>Active</w:t>
              <w:br/>
              <w:t>Markets</w:t>
              <w:b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b/>
                <w:spacing w:val="0"/>
              </w:rPr>
            </w:pPr>
            <w:r>
              <w:rPr>
                <w:b/>
                <w:spacing w:val="0"/>
              </w:rPr>
              <w:t>Significant</w:t>
              <w:br/>
              <w:t>Other</w:t>
              <w:br/>
              <w:t>Observable</w:t>
              <w:br/>
              <w:t>Inputs</w:t>
              <w:b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0"/>
              <w:jc w:val="center"/>
              <w:rPr>
                <w:b/>
                <w:spacing w:val="0"/>
              </w:rPr>
            </w:pPr>
            <w:r>
              <w:rPr>
                <w:b/>
                <w:spacing w:val="0"/>
              </w:rPr>
              <w:t>Significant</w:t>
              <w:br/>
              <w:t>Other</w:t>
              <w:br/>
              <w:t>Unobservable</w:t>
              <w:br/>
              <w:t>Inputs</w:t>
              <w:br/>
              <w:t>(Level 3)</w:t>
            </w:r>
          </w:p>
        </w:tc>
        <w:tc>
          <w:tcPr>
            <w:tcW w:w="75" w:type="dxa"/>
            <w:tcBorders/>
            <w:shd w:fill="auto" w:val="clear"/>
            <w:vAlign w:val="center"/>
          </w:tcPr>
          <w:p>
            <w:pPr>
              <w:pStyle w:val="TableContents"/>
              <w:spacing w:before="0" w:after="283"/>
              <w:rPr/>
            </w:pPr>
            <w:r>
              <w:rPr/>
              <w:t> </w:t>
            </w:r>
          </w:p>
        </w:tc>
      </w:tr>
      <w:tr>
        <w:trPr/>
        <w:tc>
          <w:tcPr>
            <w:tcW w:w="1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166,815,023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0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December 31, 2020 </w:t>
      </w:r>
    </w:p>
    <w:p>
      <w:pPr>
        <w:pStyle w:val="TextBody"/>
        <w:spacing w:before="0" w:after="0"/>
        <w:jc w:val="left"/>
        <w:rPr>
          <w:spacing w:val="0"/>
        </w:rPr>
      </w:pPr>
      <w:r>
        <w:rPr>
          <w:spacing w:val="0"/>
        </w:rPr>
        <w:t> </w:t>
      </w:r>
    </w:p>
    <w:tbl>
      <w:tblPr>
        <w:tblW w:w="8710" w:type="dxa"/>
        <w:jc w:val="left"/>
        <w:tblInd w:w="0" w:type="dxa"/>
        <w:tblCellMar>
          <w:top w:w="0" w:type="dxa"/>
          <w:left w:w="0" w:type="dxa"/>
          <w:bottom w:w="0" w:type="dxa"/>
          <w:right w:w="0" w:type="dxa"/>
        </w:tblCellMar>
      </w:tblPr>
      <w:tblGrid>
        <w:gridCol w:w="4190"/>
        <w:gridCol w:w="120"/>
        <w:gridCol w:w="140"/>
        <w:gridCol w:w="1220"/>
        <w:gridCol w:w="60"/>
        <w:gridCol w:w="120"/>
        <w:gridCol w:w="316"/>
        <w:gridCol w:w="859"/>
        <w:gridCol w:w="60"/>
        <w:gridCol w:w="120"/>
        <w:gridCol w:w="385"/>
        <w:gridCol w:w="1045"/>
        <w:gridCol w:w="75"/>
      </w:tblGrid>
      <w:tr>
        <w:trPr/>
        <w:tc>
          <w:tcPr>
            <w:tcW w:w="4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190"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Quoted</w:t>
              <w:br/>
              <w:t>Prices in</w:t>
              <w:br/>
              <w:t>Active</w:t>
              <w:br/>
              <w:t>Markets</w:t>
              <w:b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b/>
                <w:spacing w:val="0"/>
              </w:rPr>
            </w:pPr>
            <w:r>
              <w:rPr>
                <w:b/>
                <w:spacing w:val="0"/>
              </w:rPr>
              <w:t>Significant</w:t>
              <w:br/>
              <w:t>Other</w:t>
              <w:br/>
              <w:t>Observable</w:t>
              <w:br/>
              <w:t>Inputs</w:t>
              <w:b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0"/>
              <w:jc w:val="center"/>
              <w:rPr>
                <w:b/>
                <w:spacing w:val="0"/>
              </w:rPr>
            </w:pPr>
            <w:r>
              <w:rPr>
                <w:b/>
                <w:spacing w:val="0"/>
              </w:rPr>
              <w:t>Significant</w:t>
              <w:br/>
              <w:t>Other</w:t>
              <w:br/>
              <w:t>Unobservable</w:t>
              <w:br/>
              <w:t>Inputs</w:t>
              <w:br/>
              <w:t>(Level 3)</w:t>
            </w:r>
          </w:p>
        </w:tc>
        <w:tc>
          <w:tcPr>
            <w:tcW w:w="75" w:type="dxa"/>
            <w:tcBorders/>
            <w:shd w:fill="auto" w:val="clear"/>
            <w:vAlign w:val="center"/>
          </w:tcPr>
          <w:p>
            <w:pPr>
              <w:pStyle w:val="TableContents"/>
              <w:spacing w:before="0" w:after="283"/>
              <w:rPr/>
            </w:pPr>
            <w:r>
              <w:rPr/>
              <w:t> </w:t>
            </w:r>
          </w:p>
        </w:tc>
      </w:tr>
      <w:tr>
        <w:trPr/>
        <w:tc>
          <w:tcPr>
            <w:tcW w:w="41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Securities maturing March 4, 2021(1)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166,811,648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6"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104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tbl>
      <w:tblPr>
        <w:tblW w:w="7300" w:type="dxa"/>
        <w:jc w:val="left"/>
        <w:tblInd w:w="0" w:type="dxa"/>
        <w:tblCellMar>
          <w:top w:w="0" w:type="dxa"/>
          <w:left w:w="0" w:type="dxa"/>
          <w:bottom w:w="0" w:type="dxa"/>
          <w:right w:w="0" w:type="dxa"/>
        </w:tblCellMar>
      </w:tblPr>
      <w:tblGrid>
        <w:gridCol w:w="305"/>
        <w:gridCol w:w="6995"/>
      </w:tblGrid>
      <w:tr>
        <w:trPr/>
        <w:tc>
          <w:tcPr>
            <w:tcW w:w="305" w:type="dxa"/>
            <w:tcBorders/>
            <w:shd w:fill="auto" w:val="clear"/>
            <w:vAlign w:val="center"/>
          </w:tcPr>
          <w:p>
            <w:pPr>
              <w:pStyle w:val="TableContents"/>
              <w:spacing w:before="0" w:after="0"/>
              <w:jc w:val="left"/>
              <w:rPr>
                <w:i/>
                <w:caps w:val="false"/>
                <w:smallCaps w:val="false"/>
                <w:spacing w:val="0"/>
              </w:rPr>
            </w:pPr>
            <w:r>
              <w:rPr>
                <w:i/>
                <w:caps w:val="false"/>
                <w:smallCaps w:val="false"/>
                <w:spacing w:val="0"/>
              </w:rPr>
              <w:t>(1)</w:t>
            </w:r>
          </w:p>
        </w:tc>
        <w:tc>
          <w:tcPr>
            <w:tcW w:w="6995"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Excludes approximately $4,000 of investments held in cash within the Trust Account.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Transfers to/from Levels 1, 2, and 3 are recognized at the beginning of the reporting period. There were no transfers between levels of the hierarchy for the six months ended June 30, 2021. Level 1 instruments include investments U.S. Treasury securities with an original maturity of 185 days or less.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8 — Subsequent Events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evaluated subsequent events and transactions that occurred up to the date unaudited condensed consolidated financial statements were issued. Based upon this review, the Company determined that, except as disclosed in Note 1, there have been no events that have occurred that would require adjustments to the disclosures in the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Stockholders and the Board of Directors of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BCTG Acquisition Corp.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audited the accompanying balance sheet of BCTG Acquisition Corp. (the “Company”), as of December 31, 2020, the related statements of operations, changes in stockholders’ equity and cash flows for the period from May 21,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May 21, 2020 (inception) through December 31, 2020, in conformity with accounting principles generally accepted in the United States of America.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 WithumSmith+Brown, PC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New York, New York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March 31,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F-18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BALANCE SHEET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December 31, 2020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8555"/>
        <w:gridCol w:w="120"/>
        <w:gridCol w:w="140"/>
        <w:gridCol w:w="1220"/>
        <w:gridCol w:w="170"/>
      </w:tblGrid>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5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1,314,085</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183,496</w:t>
            </w:r>
          </w:p>
        </w:tc>
        <w:tc>
          <w:tcPr>
            <w:tcW w:w="170" w:type="dxa"/>
            <w:tcBorders/>
            <w:shd w:fill="auto"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85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1,497,581</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Investments held in Trust Account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166,815,235</w:t>
            </w:r>
          </w:p>
        </w:tc>
        <w:tc>
          <w:tcPr>
            <w:tcW w:w="170" w:type="dxa"/>
            <w:tcBorders/>
            <w:shd w:fill="auto"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85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220" w:type="dxa"/>
            <w:tcBorders/>
            <w:shd w:fill="CCEEFF" w:val="clear"/>
            <w:vAlign w:val="center"/>
          </w:tcPr>
          <w:p>
            <w:pPr>
              <w:pStyle w:val="TableContents"/>
              <w:spacing w:before="0" w:after="0"/>
              <w:jc w:val="right"/>
              <w:rPr>
                <w:b/>
                <w:spacing w:val="0"/>
              </w:rPr>
            </w:pPr>
            <w:r>
              <w:rPr>
                <w:b/>
                <w:spacing w:val="0"/>
              </w:rPr>
              <w:t>168,312,816</w:t>
            </w:r>
          </w:p>
        </w:tc>
        <w:tc>
          <w:tcPr>
            <w:tcW w:w="170" w:type="dxa"/>
            <w:tcBorders/>
            <w:shd w:fill="CCEEFF" w:val="clear"/>
            <w:vAlign w:val="center"/>
          </w:tcPr>
          <w:p>
            <w:pPr>
              <w:pStyle w:val="TableContents"/>
              <w:spacing w:before="0" w:after="0"/>
              <w:rPr>
                <w:spacing w:val="0"/>
              </w:rPr>
            </w:pPr>
            <w:r>
              <w:rPr>
                <w:spacing w:val="0"/>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74,927</w:t>
            </w:r>
          </w:p>
        </w:tc>
        <w:tc>
          <w:tcPr>
            <w:tcW w:w="170" w:type="dxa"/>
            <w:tcBorders/>
            <w:shd w:fill="auto" w:val="clear"/>
            <w:vAlign w:val="center"/>
          </w:tcPr>
          <w:p>
            <w:pPr>
              <w:pStyle w:val="TableContents"/>
              <w:spacing w:before="0" w:after="283"/>
              <w:rPr/>
            </w:pPr>
            <w:r>
              <w:rPr/>
              <w:t> </w:t>
            </w:r>
          </w:p>
        </w:tc>
      </w:tr>
      <w:tr>
        <w:trPr/>
        <w:tc>
          <w:tcPr>
            <w:tcW w:w="8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6,864</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32,563</w:t>
            </w:r>
          </w:p>
        </w:tc>
        <w:tc>
          <w:tcPr>
            <w:tcW w:w="170" w:type="dxa"/>
            <w:tcBorders/>
            <w:shd w:fill="auto"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85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114,354</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underwriting commissions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5,836,250</w:t>
            </w:r>
          </w:p>
        </w:tc>
        <w:tc>
          <w:tcPr>
            <w:tcW w:w="170" w:type="dxa"/>
            <w:tcBorders/>
            <w:shd w:fill="auto"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85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5,950,604</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Commitments and Contingencies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5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Common stock; 15,736,221 shares subject to possible redemption at $10.00 per share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157,362,210</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Preferred stock, $0.0001 par value; 1,000,000 shares authorized; none issued and outstanding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$0.0001 par value; 30,000,000 shares authorized; 5,641,029 shares issued and outstanding (excluding 15,736,221 shares subject to possible redemption)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564</w:t>
            </w:r>
          </w:p>
        </w:tc>
        <w:tc>
          <w:tcPr>
            <w:tcW w:w="170" w:type="dxa"/>
            <w:tcBorders/>
            <w:shd w:fill="auto" w:val="clear"/>
            <w:vAlign w:val="center"/>
          </w:tcPr>
          <w:p>
            <w:pPr>
              <w:pStyle w:val="TableContents"/>
              <w:spacing w:before="0" w:after="283"/>
              <w:rPr/>
            </w:pPr>
            <w:r>
              <w:rPr/>
              <w:t> </w:t>
            </w:r>
          </w:p>
        </w:tc>
      </w:tr>
      <w:tr>
        <w:trPr/>
        <w:tc>
          <w:tcPr>
            <w:tcW w:w="8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5,122,484</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deficit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(123,046</w:t>
            </w:r>
          </w:p>
        </w:tc>
        <w:tc>
          <w:tcPr>
            <w:tcW w:w="170" w:type="dxa"/>
            <w:tcBorders/>
            <w:shd w:fill="auto"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85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stockholders’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5,000,002</w:t>
            </w:r>
          </w:p>
        </w:tc>
        <w:tc>
          <w:tcPr>
            <w:tcW w:w="170" w:type="dxa"/>
            <w:tcBorders/>
            <w:shd w:fill="CCEEFF"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85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Total Liabilities and 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20" w:type="dxa"/>
            <w:tcBorders/>
            <w:shd w:fill="auto" w:val="clear"/>
            <w:vAlign w:val="center"/>
          </w:tcPr>
          <w:p>
            <w:pPr>
              <w:pStyle w:val="TableContents"/>
              <w:spacing w:before="0" w:after="0"/>
              <w:jc w:val="right"/>
              <w:rPr>
                <w:b/>
                <w:spacing w:val="0"/>
              </w:rPr>
            </w:pPr>
            <w:r>
              <w:rPr>
                <w:b/>
                <w:spacing w:val="0"/>
              </w:rPr>
              <w:t>168,312,816</w:t>
            </w:r>
          </w:p>
        </w:tc>
        <w:tc>
          <w:tcPr>
            <w:tcW w:w="170" w:type="dxa"/>
            <w:tcBorders/>
            <w:shd w:fill="auto" w:val="clear"/>
            <w:vAlign w:val="center"/>
          </w:tcPr>
          <w:p>
            <w:pPr>
              <w:pStyle w:val="TableContents"/>
              <w:spacing w:before="0" w:after="0"/>
              <w:rPr>
                <w:spacing w:val="0"/>
              </w:rPr>
            </w:pPr>
            <w:r>
              <w:rPr>
                <w:spacing w:val="0"/>
              </w:rPr>
              <w:t> </w:t>
            </w:r>
          </w:p>
        </w:tc>
      </w:tr>
      <w:tr>
        <w:trPr/>
        <w:tc>
          <w:tcPr>
            <w:tcW w:w="8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F-19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STATEMENTS OF OPERATIONS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For the Period from May 21, 2020 (inception) through December 31, 2020 </w:t>
      </w:r>
    </w:p>
    <w:p>
      <w:pPr>
        <w:pStyle w:val="TextBody"/>
        <w:spacing w:before="0" w:after="0"/>
        <w:jc w:val="left"/>
        <w:rPr>
          <w:spacing w:val="0"/>
        </w:rPr>
      </w:pPr>
      <w:r>
        <w:rPr>
          <w:spacing w:val="0"/>
        </w:rPr>
        <w:t> </w:t>
      </w:r>
    </w:p>
    <w:tbl>
      <w:tblPr>
        <w:tblW w:w="6335" w:type="dxa"/>
        <w:jc w:val="left"/>
        <w:tblInd w:w="0" w:type="dxa"/>
        <w:tblCellMar>
          <w:top w:w="0" w:type="dxa"/>
          <w:left w:w="0" w:type="dxa"/>
          <w:bottom w:w="0" w:type="dxa"/>
          <w:right w:w="0" w:type="dxa"/>
        </w:tblCellMar>
      </w:tblPr>
      <w:tblGrid>
        <w:gridCol w:w="4805"/>
        <w:gridCol w:w="120"/>
        <w:gridCol w:w="140"/>
        <w:gridCol w:w="1100"/>
        <w:gridCol w:w="170"/>
      </w:tblGrid>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108,865</w:t>
            </w:r>
          </w:p>
        </w:tc>
        <w:tc>
          <w:tcPr>
            <w:tcW w:w="170" w:type="dxa"/>
            <w:tcBorders/>
            <w:shd w:fill="CCEEFF"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Administrative expenses – related party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40,000</w:t>
            </w:r>
          </w:p>
        </w:tc>
        <w:tc>
          <w:tcPr>
            <w:tcW w:w="170" w:type="dxa"/>
            <w:tcBorders/>
            <w:shd w:fill="auto" w:val="clear"/>
            <w:vAlign w:val="center"/>
          </w:tcPr>
          <w:p>
            <w:pPr>
              <w:pStyle w:val="TableContents"/>
              <w:spacing w:before="0" w:after="283"/>
              <w:rPr/>
            </w:pPr>
            <w:r>
              <w:rPr/>
              <w:t> </w:t>
            </w:r>
          </w:p>
        </w:tc>
      </w:tr>
      <w:tr>
        <w:trPr/>
        <w:tc>
          <w:tcPr>
            <w:tcW w:w="48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32,563</w:t>
            </w:r>
          </w:p>
        </w:tc>
        <w:tc>
          <w:tcPr>
            <w:tcW w:w="170" w:type="dxa"/>
            <w:tcBorders/>
            <w:shd w:fill="CCEEFF"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(181,428</w:t>
            </w:r>
          </w:p>
        </w:tc>
        <w:tc>
          <w:tcPr>
            <w:tcW w:w="170" w:type="dxa"/>
            <w:tcBorders/>
            <w:shd w:fill="auto" w:val="clear"/>
            <w:vAlign w:val="center"/>
          </w:tcPr>
          <w:p>
            <w:pPr>
              <w:pStyle w:val="TableContents"/>
              <w:spacing w:before="0" w:after="283"/>
              <w:rPr/>
            </w:pPr>
            <w:r>
              <w:rPr/>
              <w:t>) </w:t>
            </w:r>
          </w:p>
        </w:tc>
      </w:tr>
      <w:tr>
        <w:trPr/>
        <w:tc>
          <w:tcPr>
            <w:tcW w:w="48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earned on investments held in Trust Account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65,246</w:t>
            </w:r>
          </w:p>
        </w:tc>
        <w:tc>
          <w:tcPr>
            <w:tcW w:w="170" w:type="dxa"/>
            <w:tcBorders/>
            <w:shd w:fill="CCEEFF"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before income tax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(116,182</w:t>
            </w:r>
          </w:p>
        </w:tc>
        <w:tc>
          <w:tcPr>
            <w:tcW w:w="170" w:type="dxa"/>
            <w:tcBorders/>
            <w:shd w:fill="auto" w:val="clear"/>
            <w:vAlign w:val="center"/>
          </w:tcPr>
          <w:p>
            <w:pPr>
              <w:pStyle w:val="TableContents"/>
              <w:spacing w:before="0" w:after="283"/>
              <w:rPr/>
            </w:pPr>
            <w:r>
              <w:rPr/>
              <w:t>) </w:t>
            </w:r>
          </w:p>
        </w:tc>
      </w:tr>
      <w:tr>
        <w:trPr/>
        <w:tc>
          <w:tcPr>
            <w:tcW w:w="48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6,864</w:t>
            </w:r>
          </w:p>
        </w:tc>
        <w:tc>
          <w:tcPr>
            <w:tcW w:w="170" w:type="dxa"/>
            <w:tcBorders/>
            <w:shd w:fill="CCEEFF"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(123,046</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480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Weighted average shares outstanding, of Public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16,675,000</w:t>
            </w:r>
          </w:p>
        </w:tc>
        <w:tc>
          <w:tcPr>
            <w:tcW w:w="170" w:type="dxa"/>
            <w:tcBorders/>
            <w:shd w:fill="CCEEFF"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Basic and diluted net loss per share, Public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(0.00</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480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Weighted average shares outstanding, of Founder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4,212,127</w:t>
            </w:r>
          </w:p>
        </w:tc>
        <w:tc>
          <w:tcPr>
            <w:tcW w:w="170" w:type="dxa"/>
            <w:tcBorders/>
            <w:shd w:fill="CCEEFF"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Basic and diluted net loss per share, Founder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(0.04</w:t>
            </w:r>
          </w:p>
        </w:tc>
        <w:tc>
          <w:tcPr>
            <w:tcW w:w="170" w:type="dxa"/>
            <w:tcBorders/>
            <w:shd w:fill="auto" w:val="clear"/>
            <w:vAlign w:val="center"/>
          </w:tcPr>
          <w:p>
            <w:pPr>
              <w:pStyle w:val="TableContents"/>
              <w:spacing w:before="0" w:after="283"/>
              <w:rPr/>
            </w:pPr>
            <w:r>
              <w:rPr/>
              <w:t>) </w:t>
            </w:r>
          </w:p>
        </w:tc>
      </w:tr>
      <w:tr>
        <w:trPr/>
        <w:tc>
          <w:tcPr>
            <w:tcW w:w="4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F-20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STATEMENT OF CHANGES IN STOCKHOLDERS’ EQUITY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720"/>
        <w:gridCol w:w="120"/>
        <w:gridCol w:w="60"/>
        <w:gridCol w:w="1175"/>
        <w:gridCol w:w="155"/>
        <w:gridCol w:w="60"/>
        <w:gridCol w:w="155"/>
        <w:gridCol w:w="705"/>
        <w:gridCol w:w="155"/>
        <w:gridCol w:w="60"/>
        <w:gridCol w:w="140"/>
        <w:gridCol w:w="1295"/>
        <w:gridCol w:w="155"/>
        <w:gridCol w:w="60"/>
        <w:gridCol w:w="188"/>
        <w:gridCol w:w="1182"/>
        <w:gridCol w:w="155"/>
        <w:gridCol w:w="60"/>
        <w:gridCol w:w="140"/>
        <w:gridCol w:w="1295"/>
        <w:gridCol w:w="170"/>
      </w:tblGrid>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0" w:type="dxa"/>
            <w:gridSpan w:val="6"/>
            <w:tcBorders/>
            <w:shd w:fill="auto" w:val="clear"/>
            <w:vAlign w:val="center"/>
          </w:tcPr>
          <w:p>
            <w:pPr>
              <w:pStyle w:val="TableContents"/>
              <w:spacing w:before="0" w:after="0"/>
              <w:jc w:val="center"/>
              <w:rPr>
                <w:b/>
                <w:spacing w:val="0"/>
              </w:rPr>
            </w:pPr>
            <w:r>
              <w:rPr>
                <w:b/>
                <w:spacing w:val="0"/>
              </w:rPr>
              <w:t>Common Stock</w:t>
            </w:r>
          </w:p>
        </w:tc>
        <w:tc>
          <w:tcPr>
            <w:tcW w:w="155"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435"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b/>
                <w:spacing w:val="0"/>
              </w:rPr>
            </w:pPr>
            <w:r>
              <w:rPr>
                <w:b/>
                <w:spacing w:val="0"/>
              </w:rPr>
              <w:t>Paid-In</w:t>
            </w:r>
          </w:p>
          <w:p>
            <w:pPr>
              <w:pStyle w:val="TableContents"/>
              <w:spacing w:before="0" w:after="0"/>
              <w:jc w:val="center"/>
              <w:rPr>
                <w:b/>
                <w:spacing w:val="0"/>
              </w:rPr>
            </w:pPr>
            <w:r>
              <w:rPr>
                <w:b/>
                <w:spacing w:val="0"/>
              </w:rPr>
              <w:br/>
              <w:t>Capital</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70" w:type="dxa"/>
            <w:gridSpan w:val="2"/>
            <w:vMerge w:val="restart"/>
            <w:tcBorders/>
            <w:shd w:fill="auto" w:val="clear"/>
            <w:vAlign w:val="center"/>
          </w:tcPr>
          <w:p>
            <w:pPr>
              <w:pStyle w:val="TableContents"/>
              <w:spacing w:before="0" w:after="0"/>
              <w:jc w:val="center"/>
              <w:rPr>
                <w:b/>
                <w:spacing w:val="0"/>
              </w:rPr>
            </w:pPr>
            <w:r>
              <w:rPr>
                <w:b/>
                <w:spacing w:val="0"/>
              </w:rPr>
              <w:t>Accumulated</w:t>
              <w:br/>
              <w:t>Deficit</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435" w:type="dxa"/>
            <w:gridSpan w:val="2"/>
            <w:vMerge w:val="restart"/>
            <w:tcBorders/>
            <w:shd w:fill="auto" w:val="clear"/>
            <w:vAlign w:val="center"/>
          </w:tcPr>
          <w:p>
            <w:pPr>
              <w:pStyle w:val="TableContents"/>
              <w:spacing w:before="0" w:after="0"/>
              <w:jc w:val="center"/>
              <w:rPr>
                <w:b/>
                <w:spacing w:val="0"/>
              </w:rPr>
            </w:pPr>
            <w:r>
              <w:rPr>
                <w:b/>
                <w:spacing w:val="0"/>
              </w:rPr>
              <w:t>Total</w:t>
              <w:br/>
              <w:t>Stockholders’</w:t>
              <w:br/>
              <w:t>Equity</w:t>
            </w:r>
          </w:p>
        </w:tc>
        <w:tc>
          <w:tcPr>
            <w:tcW w:w="170" w:type="dxa"/>
            <w:vMerge w:val="restart"/>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155"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1435"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35"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272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May 21, 2020 (inception)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75"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0"/>
              <w:rPr>
                <w:b/>
                <w:spacing w:val="0"/>
              </w:rPr>
            </w:pPr>
            <w:r>
              <w:rPr>
                <w:b/>
                <w:spacing w:val="0"/>
              </w:rPr>
              <w:t>$</w:t>
            </w:r>
          </w:p>
        </w:tc>
        <w:tc>
          <w:tcPr>
            <w:tcW w:w="705"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295"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0"/>
              <w:rPr>
                <w:b/>
                <w:spacing w:val="0"/>
              </w:rPr>
            </w:pPr>
            <w:r>
              <w:rPr>
                <w:b/>
                <w:spacing w:val="0"/>
              </w:rPr>
              <w:t>$</w:t>
            </w:r>
          </w:p>
        </w:tc>
        <w:tc>
          <w:tcPr>
            <w:tcW w:w="1182"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295" w:type="dxa"/>
            <w:tcBorders/>
            <w:shd w:fill="CCEEFF" w:val="clear"/>
            <w:vAlign w:val="center"/>
          </w:tcPr>
          <w:p>
            <w:pPr>
              <w:pStyle w:val="TableContents"/>
              <w:spacing w:before="0" w:after="0"/>
              <w:jc w:val="right"/>
              <w:rPr>
                <w:spacing w:val="0"/>
              </w:rPr>
            </w:pPr>
            <w:r>
              <w:rPr>
                <w:spacing w:val="0"/>
              </w:rPr>
              <w:t>—  </w:t>
            </w:r>
          </w:p>
        </w:tc>
        <w:tc>
          <w:tcPr>
            <w:tcW w:w="170" w:type="dxa"/>
            <w:tcBorders/>
            <w:shd w:fill="CCEEFF" w:val="clear"/>
            <w:vAlign w:val="center"/>
          </w:tcPr>
          <w:p>
            <w:pPr>
              <w:pStyle w:val="TableContents"/>
              <w:spacing w:before="0" w:after="0"/>
              <w:rPr>
                <w:spacing w:val="0"/>
              </w:rPr>
            </w:pPr>
            <w:r>
              <w:rPr>
                <w:spacing w:val="0"/>
              </w:rPr>
              <w:t> </w:t>
            </w:r>
          </w:p>
        </w:tc>
      </w:tr>
      <w:tr>
        <w:trPr/>
        <w:tc>
          <w:tcPr>
            <w:tcW w:w="27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 to Sponsor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4,168,750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417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24,583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25,000</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 of common stock in initial public offering, gross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16,675,000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1,668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166,748,332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166,750,000</w:t>
            </w:r>
          </w:p>
        </w:tc>
        <w:tc>
          <w:tcPr>
            <w:tcW w:w="170"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Offering costs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(9,624,742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(9,624,742</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 of private placement shares to Sponsor in private placement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533,500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5,334,947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5,335,000</w:t>
            </w:r>
          </w:p>
        </w:tc>
        <w:tc>
          <w:tcPr>
            <w:tcW w:w="170"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shares subject to possible redemption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(15,736,221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jc w:val="right"/>
              <w:rPr/>
            </w:pPr>
            <w:r>
              <w:rPr/>
              <w:t>(1,574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(157,360,636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(157,362,210</w:t>
            </w:r>
          </w:p>
        </w:tc>
        <w:tc>
          <w:tcPr>
            <w:tcW w:w="170"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70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(123,046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(123,046</w:t>
            </w:r>
          </w:p>
        </w:tc>
        <w:tc>
          <w:tcPr>
            <w:tcW w:w="170"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 December 31,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75" w:type="dxa"/>
            <w:tcBorders/>
            <w:shd w:fill="auto" w:val="clear"/>
            <w:vAlign w:val="center"/>
          </w:tcPr>
          <w:p>
            <w:pPr>
              <w:pStyle w:val="TableContents"/>
              <w:spacing w:before="0" w:after="0"/>
              <w:jc w:val="right"/>
              <w:rPr>
                <w:b/>
                <w:spacing w:val="0"/>
              </w:rPr>
            </w:pPr>
            <w:r>
              <w:rPr>
                <w:b/>
                <w:spacing w:val="0"/>
              </w:rPr>
              <w:t>5,641,029</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rPr>
                <w:b/>
                <w:spacing w:val="0"/>
              </w:rPr>
            </w:pPr>
            <w:r>
              <w:rPr>
                <w:b/>
                <w:spacing w:val="0"/>
              </w:rPr>
              <w:t>$</w:t>
            </w:r>
          </w:p>
        </w:tc>
        <w:tc>
          <w:tcPr>
            <w:tcW w:w="705" w:type="dxa"/>
            <w:tcBorders/>
            <w:shd w:fill="auto" w:val="clear"/>
            <w:vAlign w:val="center"/>
          </w:tcPr>
          <w:p>
            <w:pPr>
              <w:pStyle w:val="TableContents"/>
              <w:spacing w:before="0" w:after="0"/>
              <w:jc w:val="right"/>
              <w:rPr>
                <w:b/>
                <w:spacing w:val="0"/>
              </w:rPr>
            </w:pPr>
            <w:r>
              <w:rPr>
                <w:b/>
                <w:spacing w:val="0"/>
              </w:rPr>
              <w:t>564</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95" w:type="dxa"/>
            <w:tcBorders/>
            <w:shd w:fill="auto" w:val="clear"/>
            <w:vAlign w:val="center"/>
          </w:tcPr>
          <w:p>
            <w:pPr>
              <w:pStyle w:val="TableContents"/>
              <w:spacing w:before="0" w:after="0"/>
              <w:jc w:val="right"/>
              <w:rPr>
                <w:b/>
                <w:spacing w:val="0"/>
              </w:rPr>
            </w:pPr>
            <w:r>
              <w:rPr>
                <w:b/>
                <w:spacing w:val="0"/>
              </w:rPr>
              <w:t>5,122,484</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b/>
                <w:spacing w:val="0"/>
              </w:rPr>
            </w:pPr>
            <w:r>
              <w:rPr>
                <w:b/>
                <w:spacing w:val="0"/>
              </w:rPr>
              <w:t>$</w:t>
            </w:r>
          </w:p>
        </w:tc>
        <w:tc>
          <w:tcPr>
            <w:tcW w:w="1182" w:type="dxa"/>
            <w:tcBorders/>
            <w:shd w:fill="auto" w:val="clear"/>
            <w:vAlign w:val="center"/>
          </w:tcPr>
          <w:p>
            <w:pPr>
              <w:pStyle w:val="TableContents"/>
              <w:spacing w:before="0" w:after="0"/>
              <w:jc w:val="right"/>
              <w:rPr>
                <w:b/>
                <w:spacing w:val="0"/>
              </w:rPr>
            </w:pPr>
            <w:r>
              <w:rPr>
                <w:b/>
                <w:spacing w:val="0"/>
              </w:rPr>
              <w:t>(123,046</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95" w:type="dxa"/>
            <w:tcBorders/>
            <w:shd w:fill="auto" w:val="clear"/>
            <w:vAlign w:val="center"/>
          </w:tcPr>
          <w:p>
            <w:pPr>
              <w:pStyle w:val="TableContents"/>
              <w:spacing w:before="0" w:after="0"/>
              <w:jc w:val="right"/>
              <w:rPr>
                <w:b/>
                <w:spacing w:val="0"/>
              </w:rPr>
            </w:pPr>
            <w:r>
              <w:rPr>
                <w:b/>
                <w:spacing w:val="0"/>
              </w:rPr>
              <w:t>5,000,002</w:t>
            </w:r>
          </w:p>
        </w:tc>
        <w:tc>
          <w:tcPr>
            <w:tcW w:w="170" w:type="dxa"/>
            <w:tcBorders/>
            <w:shd w:fill="auto" w:val="clear"/>
            <w:vAlign w:val="center"/>
          </w:tcPr>
          <w:p>
            <w:pPr>
              <w:pStyle w:val="TableContents"/>
              <w:spacing w:before="0" w:after="0"/>
              <w:rPr>
                <w:spacing w:val="0"/>
              </w:rPr>
            </w:pPr>
            <w:r>
              <w:rPr>
                <w:spacing w:val="0"/>
              </w:rPr>
              <w:t> </w:t>
            </w:r>
          </w:p>
        </w:tc>
      </w:tr>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F-21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STATEMENT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For the Period from May 21, 2020 (Inception) Through December 31, 2020 </w:t>
      </w:r>
    </w:p>
    <w:p>
      <w:pPr>
        <w:pStyle w:val="TextBody"/>
        <w:spacing w:before="0" w:after="0"/>
        <w:jc w:val="left"/>
        <w:rPr>
          <w:spacing w:val="0"/>
        </w:rPr>
      </w:pPr>
      <w:r>
        <w:rPr>
          <w:spacing w:val="0"/>
        </w:rPr>
        <w:t> </w:t>
      </w:r>
    </w:p>
    <w:tbl>
      <w:tblPr>
        <w:tblW w:w="7070" w:type="dxa"/>
        <w:jc w:val="left"/>
        <w:tblInd w:w="0" w:type="dxa"/>
        <w:tblCellMar>
          <w:top w:w="0" w:type="dxa"/>
          <w:left w:w="0" w:type="dxa"/>
          <w:bottom w:w="0" w:type="dxa"/>
          <w:right w:w="0" w:type="dxa"/>
        </w:tblCellMar>
      </w:tblPr>
      <w:tblGrid>
        <w:gridCol w:w="5345"/>
        <w:gridCol w:w="120"/>
        <w:gridCol w:w="140"/>
        <w:gridCol w:w="1295"/>
        <w:gridCol w:w="170"/>
      </w:tblGrid>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9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283"/>
              <w:jc w:val="right"/>
              <w:rPr/>
            </w:pPr>
            <w:r>
              <w:rPr/>
              <w:t>(123,046</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earned on investments held in Trust Account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(65,235</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(183,496</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4,927</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6,864</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Franchise tax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32,563</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used in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(327,423</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deposited in Trust Account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(166,750,000</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used in investing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(166,750,000</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9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issuance of common stock to Sponsor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25,000</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note payable to related party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25</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received from initial public offering, gross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166,750,000</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received from private placement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5,335,000</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Repayment of note payable to related party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(127,232</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Payments of offering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(3,591,285</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168,391,508</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change in 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1,314,085</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 beginning of the period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 end of the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
                <w:spacing w:val="0"/>
              </w:rPr>
            </w:pPr>
            <w:r>
              <w:rPr>
                <w:b/>
                <w:spacing w:val="0"/>
              </w:rPr>
              <w:t>$</w:t>
            </w:r>
          </w:p>
        </w:tc>
        <w:tc>
          <w:tcPr>
            <w:tcW w:w="1295" w:type="dxa"/>
            <w:tcBorders/>
            <w:shd w:fill="CCEEFF" w:val="clear"/>
            <w:vAlign w:val="center"/>
          </w:tcPr>
          <w:p>
            <w:pPr>
              <w:pStyle w:val="TableContents"/>
              <w:spacing w:before="0" w:after="0"/>
              <w:jc w:val="right"/>
              <w:rPr>
                <w:b/>
                <w:spacing w:val="0"/>
              </w:rPr>
            </w:pPr>
            <w:r>
              <w:rPr>
                <w:b/>
                <w:spacing w:val="0"/>
              </w:rPr>
              <w:t>1,314,085</w:t>
            </w:r>
          </w:p>
        </w:tc>
        <w:tc>
          <w:tcPr>
            <w:tcW w:w="170" w:type="dxa"/>
            <w:tcBorders/>
            <w:shd w:fill="CCEEFF" w:val="clear"/>
            <w:vAlign w:val="center"/>
          </w:tcPr>
          <w:p>
            <w:pPr>
              <w:pStyle w:val="TableContents"/>
              <w:spacing w:before="0" w:after="0"/>
              <w:rPr>
                <w:spacing w:val="0"/>
              </w:rPr>
            </w:pPr>
            <w:r>
              <w:rPr>
                <w:spacing w:val="0"/>
              </w:rPr>
              <w:t> </w:t>
            </w:r>
          </w:p>
        </w:tc>
      </w:tr>
      <w:tr>
        <w:trPr/>
        <w:tc>
          <w:tcPr>
            <w:tcW w:w="5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Supplemental disclosure of noncash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Offering costs included in note payable – related party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95" w:type="dxa"/>
            <w:tcBorders/>
            <w:shd w:fill="CCEEFF" w:val="clear"/>
            <w:vAlign w:val="center"/>
          </w:tcPr>
          <w:p>
            <w:pPr>
              <w:pStyle w:val="TableContents"/>
              <w:spacing w:before="0" w:after="283"/>
              <w:jc w:val="right"/>
              <w:rPr/>
            </w:pPr>
            <w:r>
              <w:rPr/>
              <w:t>127,207</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Offering costs included in accrued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283"/>
              <w:jc w:val="right"/>
              <w:rPr/>
            </w:pPr>
            <w:r>
              <w:rPr/>
              <w:t>70,000</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underwriting commissions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95" w:type="dxa"/>
            <w:tcBorders/>
            <w:shd w:fill="CCEEFF" w:val="clear"/>
            <w:vAlign w:val="center"/>
          </w:tcPr>
          <w:p>
            <w:pPr>
              <w:pStyle w:val="TableContents"/>
              <w:spacing w:before="0" w:after="283"/>
              <w:jc w:val="right"/>
              <w:rPr/>
            </w:pPr>
            <w:r>
              <w:rPr/>
              <w:t>5,836,250</w:t>
            </w:r>
          </w:p>
        </w:tc>
        <w:tc>
          <w:tcPr>
            <w:tcW w:w="170" w:type="dxa"/>
            <w:tcBorders/>
            <w:shd w:fill="CCEEFF" w:val="clear"/>
            <w:vAlign w:val="center"/>
          </w:tcPr>
          <w:p>
            <w:pPr>
              <w:pStyle w:val="TableContents"/>
              <w:spacing w:before="0" w:after="283"/>
              <w:rPr/>
            </w:pPr>
            <w:r>
              <w:rPr/>
              <w:t> </w:t>
            </w:r>
          </w:p>
        </w:tc>
      </w:tr>
      <w:tr>
        <w:trPr/>
        <w:tc>
          <w:tcPr>
            <w:tcW w:w="53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Initial value of common stock subject to possible redemption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95" w:type="dxa"/>
            <w:tcBorders/>
            <w:shd w:fill="auto" w:val="clear"/>
            <w:vAlign w:val="center"/>
          </w:tcPr>
          <w:p>
            <w:pPr>
              <w:pStyle w:val="TableContents"/>
              <w:spacing w:before="0" w:after="283"/>
              <w:jc w:val="right"/>
              <w:rPr/>
            </w:pPr>
            <w:r>
              <w:rPr/>
              <w:t>157,484,340</w:t>
            </w:r>
          </w:p>
        </w:tc>
        <w:tc>
          <w:tcPr>
            <w:tcW w:w="170" w:type="dxa"/>
            <w:tcBorders/>
            <w:shd w:fill="auto"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value of common stock subject to possible redemption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95" w:type="dxa"/>
            <w:tcBorders/>
            <w:shd w:fill="CCEEFF" w:val="clear"/>
            <w:vAlign w:val="center"/>
          </w:tcPr>
          <w:p>
            <w:pPr>
              <w:pStyle w:val="TableContents"/>
              <w:spacing w:before="0" w:after="283"/>
              <w:jc w:val="right"/>
              <w:rPr/>
            </w:pPr>
            <w:r>
              <w:rPr/>
              <w:t>(122,130</w:t>
            </w:r>
          </w:p>
        </w:tc>
        <w:tc>
          <w:tcPr>
            <w:tcW w:w="170" w:type="dxa"/>
            <w:tcBorders/>
            <w:shd w:fill="CCEEFF" w:val="clear"/>
            <w:vAlign w:val="center"/>
          </w:tcPr>
          <w:p>
            <w:pPr>
              <w:pStyle w:val="TableContents"/>
              <w:spacing w:before="0" w:after="283"/>
              <w:rPr/>
            </w:pPr>
            <w:r>
              <w:rPr/>
              <w:t>) </w:t>
            </w:r>
          </w:p>
        </w:tc>
      </w:tr>
    </w:tbl>
    <w:p>
      <w:pPr>
        <w:pStyle w:val="TextBody"/>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F-22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ORGANIZATION, BUSINESS OPERATIONS AND BASIS OF PRESENTATION </w:t>
      </w:r>
    </w:p>
    <w:p>
      <w:pPr>
        <w:pStyle w:val="TextBody"/>
        <w:spacing w:before="120" w:after="0"/>
        <w:jc w:val="left"/>
        <w:rPr>
          <w:rFonts w:ascii="Times New Roman" w:hAnsi="Times New Roman"/>
          <w:sz w:val="20"/>
        </w:rPr>
      </w:pPr>
      <w:r>
        <w:rPr>
          <w:rFonts w:ascii="Times New Roman" w:hAnsi="Times New Roman"/>
          <w:sz w:val="20"/>
        </w:rPr>
        <w:t>BCTG Acquisition Corp. (the “</w:t>
      </w:r>
    </w:p>
    <w:p>
      <w:pPr>
        <w:pStyle w:val="TextBody"/>
        <w:spacing w:before="120" w:after="0"/>
        <w:jc w:val="left"/>
        <w:rPr>
          <w:rFonts w:ascii="Times New Roman" w:hAnsi="Times New Roman"/>
          <w:b/>
          <w:spacing w:val="0"/>
          <w:sz w:val="20"/>
        </w:rPr>
      </w:pPr>
      <w:r>
        <w:rPr>
          <w:rFonts w:ascii="Times New Roman" w:hAnsi="Times New Roman"/>
          <w:b/>
          <w:spacing w:val="0"/>
          <w:sz w:val="20"/>
        </w:rPr>
        <w:t>Company</w:t>
      </w:r>
    </w:p>
    <w:p>
      <w:pPr>
        <w:pStyle w:val="TextBody"/>
        <w:spacing w:before="120" w:after="0"/>
        <w:jc w:val="left"/>
        <w:rPr/>
      </w:pPr>
      <w:r>
        <w:rPr/>
        <w:t>”</w:t>
      </w:r>
      <w:r>
        <w:rPr>
          <w:rFonts w:ascii="Times New Roman" w:hAnsi="Times New Roman"/>
          <w:sz w:val="20"/>
        </w:rPr>
        <w:t>) was incorporated as a Delaware corporation on May 21, 2020. The Company was formed for the purpose of effecting a merger, capital stock exchange, asset acquisition, stock purchase, reorganization or other similar business combination (“</w:t>
      </w:r>
    </w:p>
    <w:p>
      <w:pPr>
        <w:pStyle w:val="TextBody"/>
        <w:spacing w:before="120" w:after="0"/>
        <w:jc w:val="left"/>
        <w:rPr>
          <w:rFonts w:ascii="Times New Roman" w:hAnsi="Times New Roman"/>
          <w:b/>
          <w:spacing w:val="0"/>
          <w:sz w:val="20"/>
        </w:rPr>
      </w:pPr>
      <w:r>
        <w:rPr>
          <w:rFonts w:ascii="Times New Roman" w:hAnsi="Times New Roman"/>
          <w:b/>
          <w:spacing w:val="0"/>
          <w:sz w:val="20"/>
        </w:rPr>
        <w:t>Initial Business Combination</w:t>
      </w:r>
    </w:p>
    <w:p>
      <w:pPr>
        <w:pStyle w:val="TextBody"/>
        <w:spacing w:before="120" w:after="0"/>
        <w:jc w:val="left"/>
        <w:rPr/>
      </w:pPr>
      <w:r>
        <w:rPr/>
        <w:t>”</w:t>
      </w:r>
      <w:r>
        <w:rPr>
          <w:rFonts w:ascii="Times New Roman" w:hAnsi="Times New Roman"/>
          <w:sz w:val="20"/>
        </w:rPr>
        <w:t>) with one or more operating businesses or entities that it has not yet selected (a “</w:t>
      </w:r>
    </w:p>
    <w:p>
      <w:pPr>
        <w:pStyle w:val="TextBody"/>
        <w:spacing w:before="120" w:after="0"/>
        <w:jc w:val="left"/>
        <w:rPr>
          <w:rFonts w:ascii="Times New Roman" w:hAnsi="Times New Roman"/>
          <w:b/>
          <w:spacing w:val="0"/>
          <w:sz w:val="20"/>
        </w:rPr>
      </w:pPr>
      <w:r>
        <w:rPr>
          <w:rFonts w:ascii="Times New Roman" w:hAnsi="Times New Roman"/>
          <w:b/>
          <w:spacing w:val="0"/>
          <w:sz w:val="20"/>
        </w:rPr>
        <w:t>target business</w:t>
      </w:r>
    </w:p>
    <w:p>
      <w:pPr>
        <w:pStyle w:val="TextBody"/>
        <w:spacing w:before="120" w:after="0"/>
        <w:jc w:val="left"/>
        <w:rPr/>
      </w:pPr>
      <w:r>
        <w:rPr/>
        <w:t>”</w:t>
      </w:r>
      <w:r>
        <w:rPr>
          <w:rFonts w:ascii="Times New Roman" w:hAnsi="Times New Roman"/>
          <w:sz w:val="20"/>
        </w:rPr>
        <w:t>).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The Company is an “emerging growth company,” as defined in Section 2(a) of the Securities Act of 1933, as amended (the “</w:t>
      </w:r>
    </w:p>
    <w:p>
      <w:pPr>
        <w:pStyle w:val="TextBody"/>
        <w:spacing w:before="120" w:after="0"/>
        <w:jc w:val="left"/>
        <w:rPr>
          <w:rFonts w:ascii="Times New Roman" w:hAnsi="Times New Roman"/>
          <w:b/>
          <w:spacing w:val="0"/>
          <w:sz w:val="20"/>
        </w:rPr>
      </w:pPr>
      <w:r>
        <w:rPr>
          <w:rFonts w:ascii="Times New Roman" w:hAnsi="Times New Roman"/>
          <w:b/>
          <w:spacing w:val="0"/>
          <w:sz w:val="20"/>
        </w:rPr>
        <w:t>Securities Act</w:t>
      </w:r>
    </w:p>
    <w:p>
      <w:pPr>
        <w:pStyle w:val="TextBody"/>
        <w:spacing w:before="120" w:after="0"/>
        <w:jc w:val="left"/>
        <w:rPr/>
      </w:pPr>
      <w:r>
        <w:rPr/>
        <w:t>”</w:t>
      </w:r>
      <w:r>
        <w:rPr>
          <w:rFonts w:ascii="Times New Roman" w:hAnsi="Times New Roman"/>
          <w:sz w:val="20"/>
        </w:rPr>
        <w:t>), as modified by the Jumpstart our Business Startups Act of 2012 (the “</w:t>
      </w:r>
    </w:p>
    <w:p>
      <w:pPr>
        <w:pStyle w:val="TextBody"/>
        <w:spacing w:before="120" w:after="0"/>
        <w:jc w:val="left"/>
        <w:rPr>
          <w:rFonts w:ascii="Times New Roman" w:hAnsi="Times New Roman"/>
          <w:b/>
          <w:spacing w:val="0"/>
          <w:sz w:val="20"/>
        </w:rPr>
      </w:pPr>
      <w:r>
        <w:rPr>
          <w:rFonts w:ascii="Times New Roman" w:hAnsi="Times New Roman"/>
          <w:b/>
          <w:spacing w:val="0"/>
          <w:sz w:val="20"/>
        </w:rPr>
        <w:t>JOBS Act</w:t>
      </w:r>
    </w:p>
    <w:p>
      <w:pPr>
        <w:pStyle w:val="TextBody"/>
        <w:spacing w:before="120" w:after="0"/>
        <w:jc w:val="left"/>
        <w:rPr/>
      </w:pPr>
      <w:r>
        <w:rPr/>
        <w: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As of December 31, 2020, the Company had not commenced any operations, other than searching for a target business. All activity for the period from May 21, 2020 (inception) through December 31, 2020 had been related to the Company’s formation and the initial public offering (“</w:t>
      </w:r>
    </w:p>
    <w:p>
      <w:pPr>
        <w:pStyle w:val="TextBody"/>
        <w:spacing w:before="240" w:after="0"/>
        <w:jc w:val="left"/>
        <w:rPr>
          <w:rFonts w:ascii="Times New Roman" w:hAnsi="Times New Roman"/>
          <w:b/>
          <w:spacing w:val="0"/>
          <w:sz w:val="20"/>
        </w:rPr>
      </w:pPr>
      <w:r>
        <w:rPr>
          <w:rFonts w:ascii="Times New Roman" w:hAnsi="Times New Roman"/>
          <w:b/>
          <w:spacing w:val="0"/>
          <w:sz w:val="20"/>
        </w:rPr>
        <w:t>Initial Public Offering</w:t>
      </w:r>
    </w:p>
    <w:p>
      <w:pPr>
        <w:pStyle w:val="TextBody"/>
        <w:spacing w:before="240" w:after="0"/>
        <w:jc w:val="left"/>
        <w:rPr/>
      </w:pPr>
      <w:r>
        <w:rPr/>
        <w:t>”</w:t>
      </w:r>
      <w:r>
        <w:rPr>
          <w:rFonts w:ascii="Times New Roman" w:hAnsi="Times New Roman"/>
          <w:sz w:val="20"/>
        </w:rPr>
        <w:t xml:space="preserve">) described below, and since offering, the search for a prospective Initial Business Combination. The Company will not generate any operating revenue until after the completion of its Initial Business Combination, at the earliest. The Company generates </w:t>
      </w:r>
    </w:p>
    <w:p>
      <w:pPr>
        <w:pStyle w:val="TextBody"/>
        <w:spacing w:before="240" w:after="0"/>
        <w:jc w:val="left"/>
        <w:rPr>
          <w:rFonts w:ascii="Times New Roman" w:hAnsi="Times New Roman"/>
          <w:spacing w:val="0"/>
          <w:sz w:val="20"/>
        </w:rPr>
      </w:pPr>
      <w:r>
        <w:rPr>
          <w:rFonts w:ascii="Times New Roman" w:hAnsi="Times New Roman"/>
          <w:spacing w:val="0"/>
          <w:sz w:val="20"/>
        </w:rPr>
        <w:t>non-operating</w:t>
      </w:r>
    </w:p>
    <w:p>
      <w:pPr>
        <w:pStyle w:val="TextBody"/>
        <w:spacing w:before="240" w:after="0"/>
        <w:jc w:val="left"/>
        <w:rPr>
          <w:rFonts w:ascii="Times New Roman" w:hAnsi="Times New Roman"/>
          <w:sz w:val="20"/>
        </w:rPr>
      </w:pPr>
      <w:r>
        <w:rPr>
          <w:rFonts w:ascii="Times New Roman" w:hAnsi="Times New Roman"/>
          <w:sz w:val="20"/>
        </w:rPr>
        <w:t xml:space="preserve">income in the form of income earned on investments on cash and cash equivalents in the Trust Account (as defined below). The Company has selected December 31 as its fiscal year end. </w:t>
      </w:r>
    </w:p>
    <w:p>
      <w:pPr>
        <w:pStyle w:val="TextBody"/>
        <w:spacing w:before="240" w:after="0"/>
        <w:jc w:val="left"/>
        <w:rPr>
          <w:rFonts w:ascii="Times New Roman" w:hAnsi="Times New Roman"/>
          <w:sz w:val="20"/>
        </w:rPr>
      </w:pPr>
      <w:r>
        <w:rPr>
          <w:rFonts w:ascii="Times New Roman" w:hAnsi="Times New Roman"/>
          <w:sz w:val="20"/>
        </w:rPr>
        <w:t>The Company’s sponsor is BCTG Holdings, LLC, a Delaware limited liability company (the “</w:t>
      </w:r>
    </w:p>
    <w:p>
      <w:pPr>
        <w:pStyle w:val="TextBody"/>
        <w:spacing w:before="240" w:after="0"/>
        <w:jc w:val="left"/>
        <w:rPr>
          <w:rFonts w:ascii="Times New Roman" w:hAnsi="Times New Roman"/>
          <w:b/>
          <w:spacing w:val="0"/>
          <w:sz w:val="20"/>
        </w:rPr>
      </w:pPr>
      <w:r>
        <w:rPr>
          <w:rFonts w:ascii="Times New Roman" w:hAnsi="Times New Roman"/>
          <w:b/>
          <w:spacing w:val="0"/>
          <w:sz w:val="20"/>
        </w:rPr>
        <w:t>Sponsor</w:t>
      </w:r>
    </w:p>
    <w:p>
      <w:pPr>
        <w:pStyle w:val="TextBody"/>
        <w:spacing w:before="240" w:after="0"/>
        <w:jc w:val="left"/>
        <w:rPr/>
      </w:pPr>
      <w:r>
        <w:rPr/>
        <w:t>”</w:t>
      </w:r>
      <w:r>
        <w:rPr>
          <w:rFonts w:ascii="Times New Roman" w:hAnsi="Times New Roman"/>
          <w:sz w:val="20"/>
        </w:rPr>
        <w:t>). The registration statement for the Company’s Initial Public Offering was declared effective on September, 2020. On September, 2020, the Company consummated its Initial Public Offering of 16,675,000 shares of common stock (the “</w:t>
      </w:r>
    </w:p>
    <w:p>
      <w:pPr>
        <w:pStyle w:val="TextBody"/>
        <w:spacing w:before="240" w:after="0"/>
        <w:jc w:val="left"/>
        <w:rPr>
          <w:rFonts w:ascii="Times New Roman" w:hAnsi="Times New Roman"/>
          <w:b/>
          <w:spacing w:val="0"/>
          <w:sz w:val="20"/>
        </w:rPr>
      </w:pPr>
      <w:r>
        <w:rPr>
          <w:rFonts w:ascii="Times New Roman" w:hAnsi="Times New Roman"/>
          <w:b/>
          <w:spacing w:val="0"/>
          <w:sz w:val="20"/>
        </w:rPr>
        <w:t>Public shares</w:t>
      </w:r>
    </w:p>
    <w:p>
      <w:pPr>
        <w:pStyle w:val="TextBody"/>
        <w:spacing w:before="240" w:after="0"/>
        <w:jc w:val="left"/>
        <w:rPr/>
      </w:pPr>
      <w:r>
        <w:rPr/>
        <w:t>”</w:t>
      </w:r>
      <w:r>
        <w:rPr>
          <w:rFonts w:ascii="Times New Roman" w:hAnsi="Times New Roman"/>
          <w:sz w:val="20"/>
        </w:rPr>
        <w:t xml:space="preserve">),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6). </w:t>
      </w:r>
    </w:p>
    <w:p>
      <w:pPr>
        <w:pStyle w:val="TextBody"/>
        <w:spacing w:before="240" w:after="0"/>
        <w:jc w:val="left"/>
        <w:rPr>
          <w:rFonts w:ascii="Times New Roman" w:hAnsi="Times New Roman"/>
          <w:sz w:val="20"/>
        </w:rPr>
      </w:pPr>
      <w:r>
        <w:rPr>
          <w:rFonts w:ascii="Times New Roman" w:hAnsi="Times New Roman"/>
          <w:sz w:val="20"/>
        </w:rPr>
        <w:t>Simultaneously with the closing of the Initial Public Offering, the Company consummated the private placement (“</w:t>
      </w:r>
    </w:p>
    <w:p>
      <w:pPr>
        <w:pStyle w:val="TextBody"/>
        <w:spacing w:before="240" w:after="0"/>
        <w:jc w:val="left"/>
        <w:rPr>
          <w:rFonts w:ascii="Times New Roman" w:hAnsi="Times New Roman"/>
          <w:b/>
          <w:spacing w:val="0"/>
          <w:sz w:val="20"/>
        </w:rPr>
      </w:pPr>
      <w:r>
        <w:rPr>
          <w:rFonts w:ascii="Times New Roman" w:hAnsi="Times New Roman"/>
          <w:b/>
          <w:spacing w:val="0"/>
          <w:sz w:val="20"/>
        </w:rPr>
        <w:t>Private Placement</w:t>
      </w:r>
    </w:p>
    <w:p>
      <w:pPr>
        <w:pStyle w:val="TextBody"/>
        <w:spacing w:before="240" w:after="0"/>
        <w:jc w:val="left"/>
        <w:rPr/>
      </w:pPr>
      <w:r>
        <w:rPr/>
        <w:t>”</w:t>
      </w:r>
      <w:r>
        <w:rPr>
          <w:rFonts w:ascii="Times New Roman" w:hAnsi="Times New Roman"/>
          <w:sz w:val="20"/>
        </w:rPr>
        <w:t>) of 533,500 shares of common stock (the “</w:t>
      </w:r>
    </w:p>
    <w:p>
      <w:pPr>
        <w:pStyle w:val="TextBody"/>
        <w:spacing w:before="240" w:after="0"/>
        <w:jc w:val="left"/>
        <w:rPr>
          <w:rFonts w:ascii="Times New Roman" w:hAnsi="Times New Roman"/>
          <w:b/>
          <w:spacing w:val="0"/>
          <w:sz w:val="20"/>
        </w:rPr>
      </w:pPr>
      <w:r>
        <w:rPr>
          <w:rFonts w:ascii="Times New Roman" w:hAnsi="Times New Roman"/>
          <w:b/>
          <w:spacing w:val="0"/>
          <w:sz w:val="20"/>
        </w:rPr>
        <w:t>Private Placement shares</w:t>
      </w:r>
    </w:p>
    <w:p>
      <w:pPr>
        <w:pStyle w:val="TextBody"/>
        <w:spacing w:before="240" w:after="0"/>
        <w:jc w:val="left"/>
        <w:rPr/>
      </w:pPr>
      <w:r>
        <w:rPr/>
        <w:t>”</w:t>
      </w:r>
      <w:r>
        <w:rPr>
          <w:rFonts w:ascii="Times New Roman" w:hAnsi="Times New Roman"/>
          <w:sz w:val="20"/>
        </w:rPr>
        <w:t xml:space="preserve">), at a price of $10.00 per Private Placement Share to the Sponsor, generating gross proceeds of approximately $5.3 million (Note 4). </w:t>
      </w:r>
    </w:p>
    <w:p>
      <w:pPr>
        <w:pStyle w:val="TextBody"/>
        <w:spacing w:before="240" w:after="0"/>
        <w:jc w:val="left"/>
        <w:rPr>
          <w:rFonts w:ascii="Times New Roman" w:hAnsi="Times New Roman"/>
          <w:sz w:val="20"/>
        </w:rPr>
      </w:pPr>
      <w:r>
        <w:rPr>
          <w:rFonts w:ascii="Times New Roman" w:hAnsi="Times New Roman"/>
          <w:sz w:val="20"/>
        </w:rPr>
        <w:t>Upon the closing of the Initial Public Offering and the Private Placement, approximately $166.8 million ($10.00 per share), representing the net proceeds of the Initial Public Offering and certain of the proceeds of the Private Placement was placed in a trust account (“</w:t>
      </w:r>
    </w:p>
    <w:p>
      <w:pPr>
        <w:pStyle w:val="TextBody"/>
        <w:spacing w:before="240" w:after="0"/>
        <w:jc w:val="left"/>
        <w:rPr>
          <w:rFonts w:ascii="Times New Roman" w:hAnsi="Times New Roman"/>
          <w:b/>
          <w:spacing w:val="0"/>
          <w:sz w:val="20"/>
        </w:rPr>
      </w:pPr>
      <w:r>
        <w:rPr>
          <w:rFonts w:ascii="Times New Roman" w:hAnsi="Times New Roman"/>
          <w:b/>
          <w:spacing w:val="0"/>
          <w:sz w:val="20"/>
        </w:rPr>
        <w:t>Trust Account</w:t>
      </w:r>
    </w:p>
    <w:p>
      <w:pPr>
        <w:pStyle w:val="TextBody"/>
        <w:spacing w:before="240" w:after="0"/>
        <w:jc w:val="left"/>
        <w:rPr/>
      </w:pPr>
      <w:r>
        <w:rPr/>
        <w:t>”</w:t>
      </w:r>
      <w:r>
        <w:rPr>
          <w:rFonts w:ascii="Times New Roman" w:hAnsi="Times New Roman"/>
          <w:sz w:val="20"/>
        </w:rPr>
        <w:t xml:space="preserve">) in the United States maintained by Continental Stock Transfer &amp; Trust Company, as trustee, and will remain invested only in U.S. government treasury bills, notes and bonds with a maturity of 185 days or less or in money market funds meeting certain conditions under </w:t>
      </w:r>
    </w:p>
    <w:p>
      <w:pPr>
        <w:pStyle w:val="TextBody"/>
        <w:spacing w:before="240" w:after="0"/>
        <w:jc w:val="left"/>
        <w:rPr>
          <w:rFonts w:ascii="Times New Roman" w:hAnsi="Times New Roman"/>
          <w:spacing w:val="0"/>
          <w:sz w:val="20"/>
        </w:rPr>
      </w:pPr>
      <w:r>
        <w:rPr>
          <w:rFonts w:ascii="Times New Roman" w:hAnsi="Times New Roman"/>
          <w:spacing w:val="0"/>
          <w:sz w:val="20"/>
        </w:rPr>
        <w:t>Rule 2a-7</w:t>
      </w:r>
    </w:p>
    <w:p>
      <w:pPr>
        <w:pStyle w:val="TextBody"/>
        <w:spacing w:before="240" w:after="0"/>
        <w:jc w:val="left"/>
        <w:rPr>
          <w:rFonts w:ascii="Times New Roman" w:hAnsi="Times New Roman"/>
          <w:sz w:val="20"/>
        </w:rPr>
      </w:pPr>
      <w:r>
        <w:rPr>
          <w:rFonts w:ascii="Times New Roman" w:hAnsi="Times New Roman"/>
          <w:sz w:val="20"/>
        </w:rPr>
        <w:t xml:space="preserve">under the Investment Company Act and which invest solely in U.S. Treasuries, until the earlier of: (i) the completion of a Business Combination and (ii) the distribution of the Trust Account as described below.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stock exchange listing rules,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an Initial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ORGANIZATION, BUSINESS OPERATIONS AND BASIS OF PRESENTATION(cont.)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 </w:t>
      </w:r>
    </w:p>
    <w:p>
      <w:pPr>
        <w:pStyle w:val="TextBody"/>
        <w:spacing w:before="240" w:after="0"/>
        <w:jc w:val="left"/>
        <w:rPr>
          <w:rFonts w:ascii="Times New Roman" w:hAnsi="Times New Roman"/>
          <w:sz w:val="20"/>
        </w:rPr>
      </w:pPr>
      <w:r>
        <w:rPr>
          <w:rFonts w:ascii="Times New Roman" w:hAnsi="Times New Roman"/>
          <w:sz w:val="20"/>
        </w:rPr>
        <w:t>The Company will provide the holders of Public shares (the “</w:t>
      </w:r>
    </w:p>
    <w:p>
      <w:pPr>
        <w:pStyle w:val="TextBody"/>
        <w:spacing w:before="240" w:after="0"/>
        <w:jc w:val="left"/>
        <w:rPr>
          <w:rFonts w:ascii="Times New Roman" w:hAnsi="Times New Roman"/>
          <w:b/>
          <w:spacing w:val="0"/>
          <w:sz w:val="20"/>
        </w:rPr>
      </w:pPr>
      <w:r>
        <w:rPr>
          <w:rFonts w:ascii="Times New Roman" w:hAnsi="Times New Roman"/>
          <w:b/>
          <w:spacing w:val="0"/>
          <w:sz w:val="20"/>
        </w:rPr>
        <w:t>Public Stockholders</w:t>
      </w:r>
    </w:p>
    <w:p>
      <w:pPr>
        <w:pStyle w:val="TextBody"/>
        <w:spacing w:before="240" w:after="0"/>
        <w:jc w:val="left"/>
        <w:rPr/>
      </w:pPr>
      <w:r>
        <w:rPr/>
        <w:t>”</w:t>
      </w:r>
      <w:r>
        <w:rPr>
          <w:rFonts w:ascii="Times New Roman" w:hAnsi="Times New Roman"/>
          <w:sz w:val="20"/>
        </w:rPr>
        <w:t xml:space="preserve">)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w:t>
      </w:r>
    </w:p>
    <w:p>
      <w:pPr>
        <w:pStyle w:val="TextBody"/>
        <w:spacing w:before="240" w:after="0"/>
        <w:jc w:val="left"/>
        <w:rPr>
          <w:rFonts w:ascii="Times New Roman" w:hAnsi="Times New Roman"/>
          <w:spacing w:val="0"/>
          <w:sz w:val="20"/>
        </w:rPr>
      </w:pPr>
      <w:r>
        <w:rPr>
          <w:rFonts w:ascii="Times New Roman" w:hAnsi="Times New Roman"/>
          <w:spacing w:val="0"/>
          <w:sz w:val="20"/>
        </w:rPr>
        <w:t>per-share</w:t>
      </w:r>
    </w:p>
    <w:p>
      <w:pPr>
        <w:pStyle w:val="TextBody"/>
        <w:spacing w:before="240" w:after="0"/>
        <w:jc w:val="left"/>
        <w:rPr>
          <w:rFonts w:ascii="Times New Roman" w:hAnsi="Times New Roman"/>
          <w:sz w:val="20"/>
        </w:rPr>
      </w:pPr>
      <w:r>
        <w:rPr>
          <w:rFonts w:ascii="Times New Roman" w:hAnsi="Times New Roman"/>
          <w:sz w:val="20"/>
        </w:rPr>
        <w:t>amount to be distributed to Public Stockholders who redeem their Public shares will not be reduced by the deferred underwriting commissions the Company will pay to the underwriters (as discussed in Note 6).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w:t>
      </w:r>
    </w:p>
    <w:p>
      <w:pPr>
        <w:pStyle w:val="TextBody"/>
        <w:spacing w:before="240" w:after="0"/>
        <w:jc w:val="left"/>
        <w:rPr>
          <w:rFonts w:ascii="Times New Roman" w:hAnsi="Times New Roman"/>
          <w:b/>
          <w:spacing w:val="0"/>
          <w:sz w:val="20"/>
        </w:rPr>
      </w:pPr>
      <w:r>
        <w:rPr>
          <w:rFonts w:ascii="Times New Roman" w:hAnsi="Times New Roman"/>
          <w:b/>
          <w:spacing w:val="0"/>
          <w:sz w:val="20"/>
        </w:rPr>
        <w:t>Amended and Restated Certificate</w:t>
      </w:r>
    </w:p>
    <w:p>
      <w:pPr>
        <w:pStyle w:val="TextBody"/>
        <w:spacing w:before="240" w:after="0"/>
        <w:jc w:val="left"/>
        <w:rPr/>
      </w:pPr>
      <w:r>
        <w:rPr/>
        <w:t>”</w:t>
      </w:r>
      <w:r>
        <w:rPr>
          <w:rFonts w:ascii="Times New Roman" w:hAnsi="Times New Roman"/>
          <w:sz w:val="20"/>
        </w:rPr>
        <w:t>), conduct the redemptions pursuant to the tender offer rules of the U.S. Securities and Exchange Commission (the “</w:t>
      </w:r>
    </w:p>
    <w:p>
      <w:pPr>
        <w:pStyle w:val="TextBody"/>
        <w:spacing w:before="240" w:after="0"/>
        <w:jc w:val="left"/>
        <w:rPr>
          <w:rFonts w:ascii="Times New Roman" w:hAnsi="Times New Roman"/>
          <w:b/>
          <w:spacing w:val="0"/>
          <w:sz w:val="20"/>
        </w:rPr>
      </w:pPr>
      <w:r>
        <w:rPr>
          <w:rFonts w:ascii="Times New Roman" w:hAnsi="Times New Roman"/>
          <w:b/>
          <w:spacing w:val="0"/>
          <w:sz w:val="20"/>
        </w:rPr>
        <w:t>SEC</w:t>
      </w:r>
    </w:p>
    <w:p>
      <w:pPr>
        <w:pStyle w:val="TextBody"/>
        <w:spacing w:before="240" w:after="0"/>
        <w:jc w:val="left"/>
        <w:rPr/>
      </w:pPr>
      <w:r>
        <w:rPr/>
        <w:t>”</w:t>
      </w:r>
      <w:r>
        <w:rPr>
          <w:rFonts w:ascii="Times New Roman" w:hAnsi="Times New Roman"/>
          <w:sz w:val="20"/>
        </w:rPr>
        <w:t>),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w:t>
      </w:r>
    </w:p>
    <w:p>
      <w:pPr>
        <w:pStyle w:val="TextBody"/>
        <w:spacing w:before="240" w:after="0"/>
        <w:jc w:val="left"/>
        <w:rPr>
          <w:rFonts w:ascii="Times New Roman" w:hAnsi="Times New Roman"/>
          <w:b/>
          <w:spacing w:val="0"/>
          <w:sz w:val="20"/>
        </w:rPr>
      </w:pPr>
      <w:r>
        <w:rPr>
          <w:rFonts w:ascii="Times New Roman" w:hAnsi="Times New Roman"/>
          <w:b/>
          <w:spacing w:val="0"/>
          <w:sz w:val="20"/>
        </w:rPr>
        <w:t>Initial Stockholders</w:t>
      </w:r>
    </w:p>
    <w:p>
      <w:pPr>
        <w:pStyle w:val="TextBody"/>
        <w:spacing w:before="240" w:after="0"/>
        <w:jc w:val="left"/>
        <w:rPr/>
      </w:pPr>
      <w:r>
        <w:rPr/>
        <w:t>”</w:t>
      </w:r>
      <w:r>
        <w:rPr>
          <w:rFonts w:ascii="Times New Roman" w:hAnsi="Times New Roman"/>
          <w:sz w:val="20"/>
        </w:rPr>
        <w:t xml:space="preserve">)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 </w:t>
      </w:r>
    </w:p>
    <w:p>
      <w:pPr>
        <w:pStyle w:val="TextBody"/>
        <w:spacing w:before="240" w:after="0"/>
        <w:jc w:val="left"/>
        <w:rPr>
          <w:rFonts w:ascii="Times New Roman" w:hAnsi="Times New Roman"/>
          <w:sz w:val="20"/>
        </w:rPr>
      </w:pPr>
      <w:r>
        <w:rPr>
          <w:rFonts w:ascii="Times New Roman" w:hAnsi="Times New Roman"/>
          <w:sz w:val="20"/>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w:t>
      </w:r>
    </w:p>
    <w:p>
      <w:pPr>
        <w:pStyle w:val="TextBody"/>
        <w:spacing w:before="240" w:after="0"/>
        <w:jc w:val="left"/>
        <w:rPr>
          <w:rFonts w:ascii="Times New Roman" w:hAnsi="Times New Roman"/>
          <w:b/>
          <w:spacing w:val="0"/>
          <w:sz w:val="20"/>
        </w:rPr>
      </w:pPr>
      <w:r>
        <w:rPr>
          <w:rFonts w:ascii="Times New Roman" w:hAnsi="Times New Roman"/>
          <w:b/>
          <w:spacing w:val="0"/>
          <w:sz w:val="20"/>
        </w:rPr>
        <w:t>FASB</w:t>
      </w:r>
    </w:p>
    <w:p>
      <w:pPr>
        <w:pStyle w:val="TextBody"/>
        <w:spacing w:before="240" w:after="0"/>
        <w:jc w:val="left"/>
        <w:rPr/>
      </w:pPr>
      <w:r>
        <w:rPr/>
        <w:t>”</w:t>
      </w:r>
      <w:r>
        <w:rPr>
          <w:rFonts w:ascii="Times New Roman" w:hAnsi="Times New Roman"/>
          <w:sz w:val="20"/>
        </w:rPr>
        <w:t>), Accounting Standard Codification (“</w:t>
      </w:r>
    </w:p>
    <w:p>
      <w:pPr>
        <w:pStyle w:val="TextBody"/>
        <w:spacing w:before="240" w:after="0"/>
        <w:jc w:val="left"/>
        <w:rPr>
          <w:rFonts w:ascii="Times New Roman" w:hAnsi="Times New Roman"/>
          <w:b/>
          <w:spacing w:val="0"/>
          <w:sz w:val="20"/>
        </w:rPr>
      </w:pPr>
      <w:r>
        <w:rPr>
          <w:rFonts w:ascii="Times New Roman" w:hAnsi="Times New Roman"/>
          <w:b/>
          <w:spacing w:val="0"/>
          <w:sz w:val="20"/>
        </w:rPr>
        <w:t>ASC</w:t>
      </w:r>
    </w:p>
    <w:p>
      <w:pPr>
        <w:pStyle w:val="TextBody"/>
        <w:spacing w:before="240" w:after="0"/>
        <w:jc w:val="left"/>
        <w:rPr/>
      </w:pPr>
      <w:r>
        <w:rPr/>
        <w:t>”</w:t>
      </w:r>
      <w:r>
        <w:rPr>
          <w:rFonts w:ascii="Times New Roman" w:hAnsi="Times New Roman"/>
          <w:sz w:val="20"/>
        </w:rPr>
        <w:t xml:space="preserve">) 480, “Distinguishing Liabilities from Equity.” The amount in the Trust Account is initially anticipated to be $10.00 per Public Share.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ORGANIZATION, BUSINESS OPERATIONS AND BASIS OF PRESENTATION(cont.)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w:t>
      </w:r>
    </w:p>
    <w:p>
      <w:pPr>
        <w:pStyle w:val="TextBody"/>
        <w:spacing w:before="0" w:after="0"/>
        <w:jc w:val="left"/>
        <w:rPr>
          <w:rFonts w:ascii="Times New Roman" w:hAnsi="Times New Roman"/>
          <w:b/>
          <w:spacing w:val="0"/>
          <w:sz w:val="20"/>
        </w:rPr>
      </w:pPr>
      <w:r>
        <w:rPr>
          <w:rFonts w:ascii="Times New Roman" w:hAnsi="Times New Roman"/>
          <w:b/>
          <w:spacing w:val="0"/>
          <w:sz w:val="20"/>
        </w:rPr>
        <w:t>Exchange Act</w:t>
      </w:r>
    </w:p>
    <w:p>
      <w:pPr>
        <w:pStyle w:val="TextBody"/>
        <w:spacing w:before="0" w:after="0"/>
        <w:jc w:val="left"/>
        <w:rPr/>
      </w:pPr>
      <w:r>
        <w:rPr/>
        <w:t>”</w:t>
      </w:r>
      <w:r>
        <w:rPr>
          <w:rFonts w:ascii="Times New Roman" w:hAnsi="Times New Roman"/>
          <w:sz w:val="20"/>
        </w:rPr>
        <w:t xml:space="preserve">)), will be restricted from redeeming its shares with respect to more than an aggregate of 20% or more of the shares of common stock sold in the Initial Public Offering, without the prior consent of the Company.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 </w:t>
      </w:r>
    </w:p>
    <w:p>
      <w:pPr>
        <w:pStyle w:val="TextBody"/>
        <w:spacing w:before="240" w:after="0"/>
        <w:jc w:val="left"/>
        <w:rPr>
          <w:rFonts w:ascii="Times New Roman" w:hAnsi="Times New Roman"/>
          <w:sz w:val="20"/>
        </w:rPr>
      </w:pPr>
      <w:r>
        <w:rPr>
          <w:rFonts w:ascii="Times New Roman" w:hAnsi="Times New Roman"/>
          <w:sz w:val="20"/>
        </w:rPr>
        <w:t>If a Business Combination has not been consummated within 24 months from the closing of the Initial Public Offering, or September, 2022 (the “</w:t>
      </w:r>
    </w:p>
    <w:p>
      <w:pPr>
        <w:pStyle w:val="TextBody"/>
        <w:spacing w:before="240" w:after="0"/>
        <w:jc w:val="left"/>
        <w:rPr>
          <w:rFonts w:ascii="Times New Roman" w:hAnsi="Times New Roman"/>
          <w:b/>
          <w:spacing w:val="0"/>
          <w:sz w:val="20"/>
        </w:rPr>
      </w:pPr>
      <w:r>
        <w:rPr>
          <w:rFonts w:ascii="Times New Roman" w:hAnsi="Times New Roman"/>
          <w:b/>
          <w:spacing w:val="0"/>
          <w:sz w:val="20"/>
        </w:rPr>
        <w:t>Combination Period</w:t>
      </w:r>
    </w:p>
    <w:p>
      <w:pPr>
        <w:pStyle w:val="TextBody"/>
        <w:spacing w:before="240" w:after="0"/>
        <w:jc w:val="left"/>
        <w:rPr/>
      </w:pPr>
      <w:r>
        <w:rPr/>
        <w:t>”</w:t>
      </w:r>
      <w:r>
        <w:rPr>
          <w:rFonts w:ascii="Times New Roman" w:hAnsi="Times New Roman"/>
          <w:sz w:val="20"/>
        </w:rPr>
        <w:t xml:space="preserve">),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ORGANIZATION, BUSINESS OPERATIONS AND BASIS OF PRESENTATION(cont.)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indemnification obligations. Moreover, the Company’s insiders will not be liable to the Public Stockholders and instead will only have liability to the Company.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The accompanying financial statement is presented in U.S. dollars in conformity with accounting principles generally accepted in the United States of America (“</w:t>
      </w:r>
    </w:p>
    <w:p>
      <w:pPr>
        <w:pStyle w:val="TextBody"/>
        <w:spacing w:before="120" w:after="0"/>
        <w:jc w:val="left"/>
        <w:rPr>
          <w:rFonts w:ascii="Times New Roman" w:hAnsi="Times New Roman"/>
          <w:b/>
          <w:spacing w:val="0"/>
          <w:sz w:val="20"/>
        </w:rPr>
      </w:pPr>
      <w:r>
        <w:rPr>
          <w:rFonts w:ascii="Times New Roman" w:hAnsi="Times New Roman"/>
          <w:b/>
          <w:spacing w:val="0"/>
          <w:sz w:val="20"/>
        </w:rPr>
        <w:t>GAAP</w:t>
      </w:r>
    </w:p>
    <w:p>
      <w:pPr>
        <w:pStyle w:val="TextBody"/>
        <w:spacing w:before="120" w:after="0"/>
        <w:jc w:val="left"/>
        <w:rPr/>
      </w:pPr>
      <w:r>
        <w:rPr/>
        <w:t>”</w:t>
      </w:r>
      <w:r>
        <w:rPr>
          <w:rFonts w:ascii="Times New Roman" w:hAnsi="Times New Roman"/>
          <w:sz w:val="20"/>
        </w:rPr>
        <w:t xml:space="preserve">) and pursuant to the rules and regulations of the SEC.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Emerging Growth Company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an emerging growth company,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w:t>
      </w:r>
    </w:p>
    <w:p>
      <w:pPr>
        <w:pStyle w:val="TextBody"/>
        <w:spacing w:before="240" w:after="0"/>
        <w:jc w:val="left"/>
        <w:rPr>
          <w:rFonts w:ascii="Times New Roman" w:hAnsi="Times New Roman"/>
          <w:spacing w:val="0"/>
          <w:sz w:val="20"/>
        </w:rPr>
      </w:pPr>
      <w:r>
        <w:rPr>
          <w:rFonts w:ascii="Times New Roman" w:hAnsi="Times New Roman"/>
          <w:spacing w:val="0"/>
          <w:sz w:val="20"/>
        </w:rPr>
        <w:t>non-emerging growth</w:t>
      </w:r>
    </w:p>
    <w:p>
      <w:pPr>
        <w:pStyle w:val="TextBody"/>
        <w:spacing w:before="240" w:after="0"/>
        <w:jc w:val="left"/>
        <w:rPr>
          <w:rFonts w:ascii="Times New Roman" w:hAnsi="Times New Roman"/>
          <w:sz w:val="20"/>
        </w:rPr>
      </w:pPr>
      <w:r>
        <w:rPr>
          <w:rFonts w:ascii="Times New Roman" w:hAnsi="Times New Roman"/>
          <w:sz w:val="20"/>
        </w:rPr>
        <w:t xml:space="preserve">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Liquidity and Capital Resources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2020, the Company had $1.3 million of cash in its operating account and approximately $1.4 million of working capital.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Through December 31, 2020, the Company’s liquidity needs were satisfied through a payment of $25,000 from the Company’s Sponsor in exchange for the issuance of the Founder shares (as defined below), the loan under the Note of approximately $127,000 (see Note 5) to the Company to cover for offering costs in connection with the Initial Public Offering, and net proceeds from the consummation of the Private Placement not held in the Trust Account. The Company fully repaid the Note on September 10, 2020. In addition, in order to finance transaction costs in connection with a Business Combination, the Company’s officers, directors and initial stockholders may, but are not obligated to, provide the Company Working Capital Loans (see Note 5). As of December 31, 2020, there were no amounts outstanding under any Working Capital Loans.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ORGANIZATION, BUSINESS OPERATIONS AND BASIS OF PRESENTATION(cont.)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2. SIGNIFICANT ACCOUNTING POLICIES </w:t>
      </w:r>
    </w:p>
    <w:p>
      <w:pPr>
        <w:pStyle w:val="TextBody"/>
        <w:spacing w:before="12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Use of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Cash and Cash Equivalents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considers all short-term investments with an original maturity of three months or less when purchased to be cash equivalents. There were no cash equivalents at December 31, 2020.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Concentration of Credit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 The Company’s investments held in the Trust Account is comprised of investments in U.S. Treasury securities with an original maturity of 185 days or less or investments in a money market funds that comprise only U.S. Treasury securities, or a combination thereof.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Investments Held in the Trust Account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Trust Account on the accompanying statement of operations. The estimated fair values of investments held in the Trust Account are determined using available market information.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2. SIGNIFICANT ACCOUNTING POLICIES(cont.) </w:t>
      </w:r>
    </w:p>
    <w:p>
      <w:pPr>
        <w:pStyle w:val="TextBody"/>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Fair Value of Financial Instruments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spacing w:before="0" w:after="0"/>
        <w:jc w:val="left"/>
        <w:rPr>
          <w:spacing w:val="0"/>
        </w:rPr>
      </w:pPr>
      <w:r>
        <w:rPr>
          <w:spacing w:val="0"/>
        </w:rPr>
        <w:t> </w:t>
      </w:r>
    </w:p>
    <w:tbl>
      <w:tblPr>
        <w:tblW w:w="9685" w:type="dxa"/>
        <w:jc w:val="left"/>
        <w:tblInd w:w="0" w:type="dxa"/>
        <w:tblCellMar>
          <w:top w:w="0" w:type="dxa"/>
          <w:left w:w="0" w:type="dxa"/>
          <w:bottom w:w="0" w:type="dxa"/>
          <w:right w:w="0" w:type="dxa"/>
        </w:tblCellMar>
      </w:tblPr>
      <w:tblGrid>
        <w:gridCol w:w="75"/>
        <w:gridCol w:w="110"/>
        <w:gridCol w:w="60"/>
        <w:gridCol w:w="9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1, defined as observable inputs such as quoted prices (unadjusted) for identical instruments in active markets;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December 31, 2020, the carrying values of cash, prepaid expenses, accounts payable, accrued expenses, accrued income taxes and franchise tax payable approximate their fair values due to the short-term nature of the instruments. The Company’s investments held in Trust Account are comprised of investments in U.S. Treasury securities with an original maturity of 185 days or less or investments in money market funds that comprise only U.S. treasury securities and are recognized at fair value. The fair value of investments held in Trust Account is determined using quoted prices in active markets.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Offering Costs associated with the Initial Public Offering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Offering costs consisted of legal, accounting and other costs incurred that were directly related to the Initial Public Offering and that were charged to stockholders’ equity upon the completion of the Initial Public Offering.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Common Stock Subject to Possible Redemption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December 31, 2020, 15,736,221 shares of common stock subject to possible redemption are presented as temporary equity, outside of the stockholders’ equity section of the Company’s balance sheet.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2. SIGNIFICANT ACCOUNTING POLICIES(cont.) </w:t>
      </w:r>
    </w:p>
    <w:p>
      <w:pPr>
        <w:pStyle w:val="TextBody"/>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w:t>
      </w:r>
    </w:p>
    <w:p>
      <w:pPr>
        <w:pStyle w:val="TextBody"/>
        <w:spacing w:before="240" w:after="0"/>
        <w:jc w:val="left"/>
        <w:rPr>
          <w:rFonts w:ascii="Times New Roman" w:hAnsi="Times New Roman"/>
          <w:sz w:val="20"/>
        </w:rPr>
      </w:pPr>
      <w:r>
        <w:rPr>
          <w:rFonts w:ascii="Times New Roman" w:hAnsi="Times New Roman"/>
          <w:sz w:val="20"/>
        </w:rPr>
        <w:t xml:space="preserve">FASB ASC 740 prescribes a recognition threshold and a measurement attribute for the financial statement recognition and measurement of tax positions taken or expected to be taken in a tax return. For those benefits to be recognized, a tax position must be </w:t>
      </w:r>
    </w:p>
    <w:p>
      <w:pPr>
        <w:pStyle w:val="TextBody"/>
        <w:spacing w:before="240" w:after="0"/>
        <w:jc w:val="left"/>
        <w:rPr>
          <w:rFonts w:ascii="Times New Roman" w:hAnsi="Times New Roman"/>
          <w:spacing w:val="0"/>
          <w:sz w:val="20"/>
        </w:rPr>
      </w:pPr>
      <w:r>
        <w:rPr>
          <w:rFonts w:ascii="Times New Roman" w:hAnsi="Times New Roman"/>
          <w:spacing w:val="0"/>
          <w:sz w:val="20"/>
        </w:rPr>
        <w:t>more-likely-than-not to</w:t>
      </w:r>
    </w:p>
    <w:p>
      <w:pPr>
        <w:pStyle w:val="TextBody"/>
        <w:spacing w:before="240" w:after="0"/>
        <w:jc w:val="left"/>
        <w:rPr>
          <w:rFonts w:ascii="Times New Roman" w:hAnsi="Times New Roman"/>
          <w:sz w:val="20"/>
        </w:rPr>
      </w:pPr>
      <w:r>
        <w:rPr>
          <w:rFonts w:ascii="Times New Roman" w:hAnsi="Times New Roman"/>
          <w:sz w:val="20"/>
        </w:rPr>
        <w:t xml:space="preserve">be sustained upon examination by taxing authorities. The Company recognizes accrued interest and penalties related to unrecognized tax benefits as income tax expense.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Net Loss Per Common Share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Net loss per share of common stock is computed by dividing net loss applicable to stockholders by the weighted average number of shares of common stock outstanding during the periods. Weighted average shares were reduced for the effect of an aggregate of 543,750 shares of common stock that were subject to forfeiture if the over-allotment option was not exercised by the underwriters. The underwriters exercised their over-allotment option in full on September, 2020; thus, these Founder shares were no longer subject to forfeiture (see Note 6). At December 31,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 </w:t>
      </w:r>
    </w:p>
    <w:p>
      <w:pPr>
        <w:pStyle w:val="TextBody"/>
        <w:spacing w:before="240" w:after="0"/>
        <w:jc w:val="left"/>
        <w:rPr>
          <w:rFonts w:ascii="Times New Roman" w:hAnsi="Times New Roman"/>
          <w:sz w:val="20"/>
        </w:rPr>
      </w:pPr>
      <w:r>
        <w:rPr>
          <w:rFonts w:ascii="Times New Roman" w:hAnsi="Times New Roman"/>
          <w:sz w:val="20"/>
        </w:rPr>
        <w:t xml:space="preserve">The Company’s statement of operations includes a presentation of loss per share for common stock subject to redemption in a manner similar </w:t>
      </w:r>
    </w:p>
    <w:p>
      <w:pPr>
        <w:pStyle w:val="TextBody"/>
        <w:spacing w:before="240" w:after="0"/>
        <w:jc w:val="left"/>
        <w:rPr>
          <w:rFonts w:ascii="Times New Roman" w:hAnsi="Times New Roman"/>
          <w:spacing w:val="0"/>
          <w:sz w:val="20"/>
        </w:rPr>
      </w:pPr>
      <w:r>
        <w:rPr>
          <w:rFonts w:ascii="Times New Roman" w:hAnsi="Times New Roman"/>
          <w:spacing w:val="0"/>
          <w:sz w:val="20"/>
        </w:rPr>
        <w:t>to the two-class method of</w:t>
      </w:r>
    </w:p>
    <w:p>
      <w:pPr>
        <w:pStyle w:val="TextBody"/>
        <w:spacing w:before="240" w:after="0"/>
        <w:jc w:val="left"/>
        <w:rPr>
          <w:rFonts w:ascii="Times New Roman" w:hAnsi="Times New Roman"/>
          <w:sz w:val="20"/>
        </w:rPr>
      </w:pPr>
      <w:r>
        <w:rPr>
          <w:rFonts w:ascii="Times New Roman" w:hAnsi="Times New Roman"/>
          <w:sz w:val="20"/>
        </w:rPr>
        <w:t xml:space="preserve">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 shares is calculated by dividing the net loss of approximately $123,000, less income attributable to Public shares, by the weighted average number of shares of Founder shares outstanding for the periods.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Recent Accounting Pronouncements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Management does not believe that any recently issued, but not yet effective, accounting pronouncements, if currently adopted, would have a material effect on the Company’s financial statements.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3. INITIAL PUBLIC OFFERING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September,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4. PRIVATE PLACEMENT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Simultaneously with the closing of the Initial Public Offering, the Company consummated the Private Placement of 533,500 Private Placement shares, at a price of $10.00 per Private Placement Share to the Sponsor, generating gross proceeds of approximately $5.3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portion of the proceeds from the Private Placement shares was added to the proceeds from the Initial Public Offering to be held in the Trust Account.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5. RELATED PARTY TRANSACTIONS </w:t>
      </w:r>
    </w:p>
    <w:p>
      <w:pPr>
        <w:pStyle w:val="TextBody"/>
        <w:spacing w:before="12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Founder shares </w:t>
      </w:r>
    </w:p>
    <w:p>
      <w:pPr>
        <w:pStyle w:val="TextBody"/>
        <w:spacing w:before="120" w:after="0"/>
        <w:jc w:val="left"/>
        <w:rPr>
          <w:rFonts w:ascii="Times New Roman" w:hAnsi="Times New Roman"/>
          <w:sz w:val="20"/>
        </w:rPr>
      </w:pPr>
      <w:r>
        <w:rPr>
          <w:rFonts w:ascii="Times New Roman" w:hAnsi="Times New Roman"/>
          <w:sz w:val="20"/>
        </w:rPr>
        <w:t>On June 4, 2020, the Company issued 3,593,750 shares of common stock to the Sponsor (the “</w:t>
      </w:r>
    </w:p>
    <w:p>
      <w:pPr>
        <w:pStyle w:val="TextBody"/>
        <w:spacing w:before="120" w:after="0"/>
        <w:jc w:val="left"/>
        <w:rPr>
          <w:rFonts w:ascii="Times New Roman" w:hAnsi="Times New Roman"/>
          <w:b/>
          <w:spacing w:val="0"/>
          <w:sz w:val="20"/>
        </w:rPr>
      </w:pPr>
      <w:r>
        <w:rPr>
          <w:rFonts w:ascii="Times New Roman" w:hAnsi="Times New Roman"/>
          <w:b/>
          <w:spacing w:val="0"/>
          <w:sz w:val="20"/>
        </w:rPr>
        <w:t>Founder shares</w:t>
      </w:r>
    </w:p>
    <w:p>
      <w:pPr>
        <w:pStyle w:val="TextBody"/>
        <w:spacing w:before="120" w:after="0"/>
        <w:jc w:val="left"/>
        <w:rPr/>
      </w:pPr>
      <w:r>
        <w:rPr/>
        <w:t>”</w:t>
      </w:r>
      <w:r>
        <w:rPr>
          <w:rFonts w:ascii="Times New Roman" w:hAnsi="Times New Roman"/>
          <w:sz w:val="20"/>
        </w:rPr>
        <w:t xml:space="preserve">) for an aggregate purchase price of $25,000. On September,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Sponsor agreed to forfeit up to an aggregate of 543,750 Founder shares, so that the Founder shares would represent 20% of the Company’s issued and outstanding shares after the Initial Public Offering, to the extent the underwriters’ over-allotment option was not exercised in full or in part. The underwriters fully exercised the over-allotment option on September, 2020; thus, these Founder shares were no longer subject to forfeiture. </w:t>
      </w:r>
    </w:p>
    <w:p>
      <w:pPr>
        <w:pStyle w:val="TextBody"/>
        <w:spacing w:before="240" w:after="0"/>
        <w:jc w:val="left"/>
        <w:rPr>
          <w:rFonts w:ascii="Times New Roman" w:hAnsi="Times New Roman"/>
          <w:sz w:val="20"/>
        </w:rPr>
      </w:pPr>
      <w:r>
        <w:rPr>
          <w:rFonts w:ascii="Times New Roman" w:hAnsi="Times New Roman"/>
          <w:sz w:val="20"/>
        </w:rPr>
        <w:t xml:space="preserve">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w:t>
      </w:r>
    </w:p>
    <w:p>
      <w:pPr>
        <w:pStyle w:val="TextBody"/>
        <w:spacing w:before="240" w:after="0"/>
        <w:jc w:val="left"/>
        <w:rPr>
          <w:rFonts w:ascii="Times New Roman" w:hAnsi="Times New Roman"/>
          <w:spacing w:val="0"/>
          <w:sz w:val="20"/>
        </w:rPr>
      </w:pPr>
      <w:r>
        <w:rPr>
          <w:rFonts w:ascii="Times New Roman" w:hAnsi="Times New Roman"/>
          <w:spacing w:val="0"/>
          <w:sz w:val="20"/>
        </w:rPr>
        <w:t>30-trading</w:t>
      </w:r>
    </w:p>
    <w:p>
      <w:pPr>
        <w:pStyle w:val="TextBody"/>
        <w:spacing w:before="240" w:after="0"/>
        <w:jc w:val="left"/>
        <w:rPr>
          <w:rFonts w:ascii="Times New Roman" w:hAnsi="Times New Roman"/>
          <w:sz w:val="20"/>
        </w:rPr>
      </w:pPr>
      <w:r>
        <w:rPr>
          <w:rFonts w:ascii="Times New Roman" w:hAnsi="Times New Roman"/>
          <w:sz w:val="20"/>
        </w:rPr>
        <w:t xml:space="preserve">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Private Placement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Sponsor and the Company’s officers and directors have agreed, subject to limited exceptions, not to transfer, assign or sell any of their Private Placement shares until 30 days after the completion of the Initial Business Combination.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Related Party Loans </w:t>
      </w:r>
    </w:p>
    <w:p>
      <w:pPr>
        <w:pStyle w:val="TextBody"/>
        <w:spacing w:before="120" w:after="0"/>
        <w:jc w:val="left"/>
        <w:rPr>
          <w:rFonts w:ascii="Times New Roman" w:hAnsi="Times New Roman"/>
          <w:sz w:val="20"/>
        </w:rPr>
      </w:pPr>
      <w:r>
        <w:rPr>
          <w:rFonts w:ascii="Times New Roman" w:hAnsi="Times New Roman"/>
          <w:sz w:val="20"/>
        </w:rPr>
        <w:t>On May 21, 2020 and June 10, 2020, the Sponsor agreed to loan the Company up to $25,025 and $274,975, respectively, for an aggregate amount of $300,000 to be used for the payment of costs related to the Initial Public Offering pursuant to a promissory note (each, a “</w:t>
      </w:r>
    </w:p>
    <w:p>
      <w:pPr>
        <w:pStyle w:val="TextBody"/>
        <w:spacing w:before="120" w:after="0"/>
        <w:jc w:val="left"/>
        <w:rPr>
          <w:rFonts w:ascii="Times New Roman" w:hAnsi="Times New Roman"/>
          <w:b/>
          <w:spacing w:val="0"/>
          <w:sz w:val="20"/>
        </w:rPr>
      </w:pPr>
      <w:r>
        <w:rPr>
          <w:rFonts w:ascii="Times New Roman" w:hAnsi="Times New Roman"/>
          <w:b/>
          <w:spacing w:val="0"/>
          <w:sz w:val="20"/>
        </w:rPr>
        <w:t>Note</w:t>
      </w:r>
    </w:p>
    <w:p>
      <w:pPr>
        <w:pStyle w:val="TextBody"/>
        <w:spacing w:before="120" w:after="0"/>
        <w:jc w:val="left"/>
        <w:rPr/>
      </w:pPr>
      <w:r>
        <w:rPr/>
        <w:t xml:space="preserve">” </w:t>
      </w:r>
      <w:r>
        <w:rPr>
          <w:rFonts w:ascii="Times New Roman" w:hAnsi="Times New Roman"/>
          <w:sz w:val="20"/>
        </w:rPr>
        <w:t>and, collectively, the “</w:t>
      </w:r>
    </w:p>
    <w:p>
      <w:pPr>
        <w:pStyle w:val="TextBody"/>
        <w:spacing w:before="120" w:after="0"/>
        <w:jc w:val="left"/>
        <w:rPr>
          <w:rFonts w:ascii="Times New Roman" w:hAnsi="Times New Roman"/>
          <w:b/>
          <w:spacing w:val="0"/>
          <w:sz w:val="20"/>
        </w:rPr>
      </w:pPr>
      <w:r>
        <w:rPr>
          <w:rFonts w:ascii="Times New Roman" w:hAnsi="Times New Roman"/>
          <w:b/>
          <w:spacing w:val="0"/>
          <w:sz w:val="20"/>
        </w:rPr>
        <w:t>Notes</w:t>
      </w:r>
    </w:p>
    <w:p>
      <w:pPr>
        <w:pStyle w:val="TextBody"/>
        <w:spacing w:before="120" w:after="0"/>
        <w:jc w:val="left"/>
        <w:rPr/>
      </w:pPr>
      <w:r>
        <w:rPr/>
        <w:t>”</w:t>
      </w:r>
      <w:r>
        <w:rPr>
          <w:rFonts w:ascii="Times New Roman" w:hAnsi="Times New Roman"/>
          <w:sz w:val="20"/>
        </w:rPr>
        <w:t xml:space="preserve">). The Notes were </w:t>
      </w:r>
    </w:p>
    <w:p>
      <w:pPr>
        <w:pStyle w:val="TextBody"/>
        <w:spacing w:before="120" w:after="0"/>
        <w:jc w:val="left"/>
        <w:rPr>
          <w:rFonts w:ascii="Times New Roman" w:hAnsi="Times New Roman"/>
          <w:spacing w:val="0"/>
          <w:sz w:val="20"/>
        </w:rPr>
      </w:pPr>
      <w:r>
        <w:rPr>
          <w:rFonts w:ascii="Times New Roman" w:hAnsi="Times New Roman"/>
          <w:spacing w:val="0"/>
          <w:sz w:val="20"/>
        </w:rPr>
        <w:t>non-interest</w:t>
      </w:r>
    </w:p>
    <w:p>
      <w:pPr>
        <w:pStyle w:val="TextBody"/>
        <w:spacing w:before="120" w:after="0"/>
        <w:jc w:val="left"/>
        <w:rPr>
          <w:rFonts w:ascii="Times New Roman" w:hAnsi="Times New Roman"/>
          <w:sz w:val="20"/>
        </w:rPr>
      </w:pPr>
      <w:r>
        <w:rPr>
          <w:rFonts w:ascii="Times New Roman" w:hAnsi="Times New Roman"/>
          <w:sz w:val="20"/>
        </w:rPr>
        <w:t xml:space="preserve">bearing, unsecured and due upon the date the Company consummated the Initial Public Offering.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5. RELATED PARTY TRANSACTIONS(cont.)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Company borrowed approximately $127,000 under the Notes. The Company repaid the Notes in full on September 10, 2020. </w:t>
      </w:r>
    </w:p>
    <w:p>
      <w:pPr>
        <w:pStyle w:val="TextBody"/>
        <w:spacing w:before="240" w:after="0"/>
        <w:jc w:val="left"/>
        <w:rPr>
          <w:rFonts w:ascii="Times New Roman" w:hAnsi="Times New Roman"/>
          <w:sz w:val="20"/>
        </w:rPr>
      </w:pPr>
      <w:r>
        <w:rPr>
          <w:rFonts w:ascii="Times New Roman" w:hAnsi="Times New Roman"/>
          <w:sz w:val="20"/>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t>
      </w:r>
    </w:p>
    <w:p>
      <w:pPr>
        <w:pStyle w:val="TextBody"/>
        <w:spacing w:before="240" w:after="0"/>
        <w:jc w:val="left"/>
        <w:rPr>
          <w:rFonts w:ascii="Times New Roman" w:hAnsi="Times New Roman"/>
          <w:b/>
          <w:spacing w:val="0"/>
          <w:sz w:val="20"/>
        </w:rPr>
      </w:pPr>
      <w:r>
        <w:rPr>
          <w:rFonts w:ascii="Times New Roman" w:hAnsi="Times New Roman"/>
          <w:b/>
          <w:spacing w:val="0"/>
          <w:sz w:val="20"/>
        </w:rPr>
        <w:t>Working Capital Loans</w:t>
      </w:r>
    </w:p>
    <w:p>
      <w:pPr>
        <w:pStyle w:val="TextBody"/>
        <w:spacing w:before="240" w:after="0"/>
        <w:jc w:val="left"/>
        <w:rPr/>
      </w:pPr>
      <w:r>
        <w:rPr/>
        <w:t>”</w:t>
      </w:r>
      <w:r>
        <w:rPr>
          <w:rFonts w:ascii="Times New Roman" w:hAnsi="Times New Roman"/>
          <w:sz w:val="20"/>
        </w:rPr>
        <w:t xml:space="preserve">).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To date, the Company had no borrowings under the Working Capital Loans.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Administrative Support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 For the period from May 21, 2020 (inception) through December 31, 2020, the Company incurred $40,000 related to these services. As of December 31, 2020, no amounts were payable related to this agreement.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Share Purchase Commitment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6. COMMITMENTS AND CONTINGENCIES </w:t>
      </w:r>
    </w:p>
    <w:p>
      <w:pPr>
        <w:pStyle w:val="TextBody"/>
        <w:spacing w:before="12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Registration Rights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The Company granted the underwriters a </w:t>
      </w:r>
    </w:p>
    <w:p>
      <w:pPr>
        <w:pStyle w:val="TextBody"/>
        <w:spacing w:before="120" w:after="0"/>
        <w:jc w:val="left"/>
        <w:rPr>
          <w:rFonts w:ascii="Times New Roman" w:hAnsi="Times New Roman"/>
          <w:spacing w:val="0"/>
          <w:sz w:val="20"/>
        </w:rPr>
      </w:pPr>
      <w:r>
        <w:rPr>
          <w:rFonts w:ascii="Times New Roman" w:hAnsi="Times New Roman"/>
          <w:spacing w:val="0"/>
          <w:sz w:val="20"/>
        </w:rPr>
        <w:t>45-day</w:t>
      </w:r>
    </w:p>
    <w:p>
      <w:pPr>
        <w:pStyle w:val="TextBody"/>
        <w:spacing w:before="120" w:after="0"/>
        <w:jc w:val="left"/>
        <w:rPr>
          <w:rFonts w:ascii="Times New Roman" w:hAnsi="Times New Roman"/>
          <w:sz w:val="20"/>
        </w:rPr>
      </w:pPr>
      <w:r>
        <w:rPr>
          <w:rFonts w:ascii="Times New Roman" w:hAnsi="Times New Roman"/>
          <w:sz w:val="20"/>
        </w:rPr>
        <w:t xml:space="preserve">option from the date of the prospectus to purchase up to 2,175,000 additional shares at the Initial Public Offering price less the underwriting discounts and commissions. On September, 2020, the underwriters fully exercised the over-allotment option.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6. COMMITMENTS AND CONTINGENCIES(cont.)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 </w:t>
      </w:r>
    </w:p>
    <w:p>
      <w:pPr>
        <w:pStyle w:val="TextBody"/>
        <w:spacing w:before="36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 xml:space="preserve">Risks and Uncertainties </w:t>
      </w:r>
    </w:p>
    <w:p>
      <w:pPr>
        <w:pStyle w:val="TextBody"/>
        <w:spacing w:before="120" w:after="0"/>
        <w:jc w:val="left"/>
        <w:rPr>
          <w:rFonts w:ascii="Times New Roman" w:hAnsi="Times New Roman"/>
          <w:sz w:val="20"/>
        </w:rPr>
      </w:pPr>
      <w:r>
        <w:rPr>
          <w:rFonts w:ascii="Times New Roman" w:hAnsi="Times New Roman"/>
          <w:sz w:val="20"/>
        </w:rPr>
        <w:t xml:space="preserve">Management continues to evaluate the impact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and has concluded that the specific impact is not readily determinable as of the date of the balance sheet. The financial statement does not include any adjustments that might result from the outcome of this uncertainty.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7. STOCKHOLDERS’ EQUITY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Preferred stock </w:t>
      </w:r>
    </w:p>
    <w:p>
      <w:pPr>
        <w:pStyle w:val="TextBody"/>
        <w:spacing w:before="120" w:after="0"/>
        <w:jc w:val="left"/>
        <w:rPr/>
      </w:pPr>
      <w:r>
        <w:rPr/>
        <w:t xml:space="preserve">— </w:t>
      </w:r>
      <w:r>
        <w:rPr>
          <w:rFonts w:ascii="Times New Roman" w:hAnsi="Times New Roman"/>
          <w:sz w:val="20"/>
        </w:rPr>
        <w:t xml:space="preserve">The Company is authorized to issue 1,000,000 shares of preferred stock with a par value of $0.0001 per share. As of December 31, 2020, there are no shares of preferred stock issued or outstanding.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w:t>
      </w:r>
    </w:p>
    <w:p>
      <w:pPr>
        <w:pStyle w:val="TextBody"/>
        <w:spacing w:before="240" w:after="0"/>
        <w:jc w:val="left"/>
        <w:rPr/>
      </w:pPr>
      <w:r>
        <w:rPr/>
        <w:t xml:space="preserve">— </w:t>
      </w:r>
      <w:r>
        <w:rPr>
          <w:rFonts w:ascii="Times New Roman" w:hAnsi="Times New Roman"/>
          <w:sz w:val="20"/>
        </w:rPr>
        <w:t xml:space="preserve">The Company is authorized to issue 30,000,000 shares of common stock, par value of $0.0001 per share. On September, 2020, the Company declared a dividend of 0.16 shares for each outstanding share of common stock (an aggregate of 575,000 shares). All shares and associated amounts have been retroactively restated to reflect the share dividend. As of December 31, 2020, there were 21,377,250 shares of common stock outstanding, including 15,736,221 shares of common stock subject to possible redemption that were classified outside of permanent equity in the accompanying balance sheet.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8. FAIR VALUE MEASUREMENTS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presents information about the Company’s financial assets that are measured at fair value on a recurring basis as of December 31, 2020 by level within the fair value hierarchy: </w:t>
      </w:r>
    </w:p>
    <w:p>
      <w:pPr>
        <w:pStyle w:val="TextBody"/>
        <w:spacing w:before="0" w:after="0"/>
        <w:jc w:val="left"/>
        <w:rPr>
          <w:spacing w:val="0"/>
        </w:rPr>
      </w:pPr>
      <w:r>
        <w:rPr>
          <w:spacing w:val="0"/>
        </w:rPr>
        <w:t> </w:t>
      </w:r>
    </w:p>
    <w:tbl>
      <w:tblPr>
        <w:tblW w:w="8485" w:type="dxa"/>
        <w:jc w:val="left"/>
        <w:tblInd w:w="0" w:type="dxa"/>
        <w:tblCellMar>
          <w:top w:w="0" w:type="dxa"/>
          <w:left w:w="0" w:type="dxa"/>
          <w:bottom w:w="0" w:type="dxa"/>
          <w:right w:w="0" w:type="dxa"/>
        </w:tblCellMar>
      </w:tblPr>
      <w:tblGrid>
        <w:gridCol w:w="3965"/>
        <w:gridCol w:w="120"/>
        <w:gridCol w:w="140"/>
        <w:gridCol w:w="1220"/>
        <w:gridCol w:w="60"/>
        <w:gridCol w:w="120"/>
        <w:gridCol w:w="316"/>
        <w:gridCol w:w="859"/>
        <w:gridCol w:w="60"/>
        <w:gridCol w:w="120"/>
        <w:gridCol w:w="385"/>
        <w:gridCol w:w="1045"/>
        <w:gridCol w:w="75"/>
      </w:tblGrid>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12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0"/>
              <w:jc w:val="center"/>
              <w:rPr>
                <w:b/>
                <w:spacing w:val="0"/>
              </w:rPr>
            </w:pPr>
            <w:r>
              <w:rPr>
                <w:b/>
                <w:spacing w:val="0"/>
              </w:rPr>
              <w:t>Quoted</w:t>
              <w:br/>
              <w:t>Prices in</w:t>
              <w:br/>
              <w:t>Active</w:t>
              <w:br/>
              <w:t>Markets</w:t>
              <w:b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0"/>
              <w:jc w:val="center"/>
              <w:rPr>
                <w:b/>
                <w:spacing w:val="0"/>
              </w:rPr>
            </w:pPr>
            <w:r>
              <w:rPr>
                <w:b/>
                <w:spacing w:val="0"/>
              </w:rPr>
              <w:t>Significant</w:t>
              <w:br/>
              <w:t>Other</w:t>
              <w:br/>
              <w:t>Observable</w:t>
              <w:br/>
              <w:t>Inputs</w:t>
              <w:b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0" w:type="dxa"/>
            <w:gridSpan w:val="2"/>
            <w:tcBorders/>
            <w:shd w:fill="auto" w:val="clear"/>
            <w:vAlign w:val="center"/>
          </w:tcPr>
          <w:p>
            <w:pPr>
              <w:pStyle w:val="TableContents"/>
              <w:spacing w:before="0" w:after="0"/>
              <w:jc w:val="center"/>
              <w:rPr>
                <w:b/>
                <w:spacing w:val="0"/>
              </w:rPr>
            </w:pPr>
            <w:r>
              <w:rPr>
                <w:b/>
                <w:spacing w:val="0"/>
              </w:rPr>
              <w:t>Significant</w:t>
              <w:br/>
              <w:t>Other</w:t>
              <w:br/>
              <w:t>Unobservable</w:t>
              <w:br/>
              <w:t>Inputs</w:t>
              <w:br/>
              <w:t>(Level 3)</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Assets held in Trust: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16" w:type="dxa"/>
            <w:tcBorders/>
            <w:shd w:fill="CCEEFF" w:val="clear"/>
            <w:vAlign w:val="center"/>
          </w:tcPr>
          <w:p>
            <w:pPr>
              <w:pStyle w:val="TableContents"/>
              <w:spacing w:before="0" w:after="283"/>
              <w:rPr>
                <w:sz w:val="4"/>
                <w:szCs w:val="4"/>
              </w:rPr>
            </w:pPr>
            <w:r>
              <w:rPr>
                <w:sz w:val="4"/>
                <w:szCs w:val="4"/>
              </w:rPr>
            </w:r>
          </w:p>
        </w:tc>
        <w:tc>
          <w:tcPr>
            <w:tcW w:w="85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sz w:val="4"/>
                <w:szCs w:val="4"/>
              </w:rPr>
            </w:pPr>
            <w:r>
              <w:rPr>
                <w:sz w:val="4"/>
                <w:szCs w:val="4"/>
              </w:rPr>
            </w:r>
          </w:p>
        </w:tc>
        <w:tc>
          <w:tcPr>
            <w:tcW w:w="104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39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Securities maturing March 4, 2021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166,811,648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w:t>
            </w:r>
          </w:p>
        </w:tc>
        <w:tc>
          <w:tcPr>
            <w:tcW w:w="1045"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3,587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16"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 </w:t>
            </w:r>
          </w:p>
        </w:tc>
        <w:tc>
          <w:tcPr>
            <w:tcW w:w="104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5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
                <w:spacing w:val="0"/>
              </w:rPr>
            </w:pPr>
            <w:r>
              <w:rPr>
                <w:b/>
                <w:spacing w:val="0"/>
              </w:rPr>
              <w:t>$</w:t>
            </w:r>
          </w:p>
        </w:tc>
        <w:tc>
          <w:tcPr>
            <w:tcW w:w="1220" w:type="dxa"/>
            <w:tcBorders/>
            <w:shd w:fill="auto" w:val="clear"/>
            <w:vAlign w:val="center"/>
          </w:tcPr>
          <w:p>
            <w:pPr>
              <w:pStyle w:val="TableContents"/>
              <w:spacing w:before="0" w:after="0"/>
              <w:jc w:val="right"/>
              <w:rPr>
                <w:b/>
                <w:spacing w:val="0"/>
              </w:rPr>
            </w:pPr>
            <w:r>
              <w:rPr>
                <w:b/>
                <w:spacing w:val="0"/>
              </w:rPr>
              <w:t>166,815,235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0"/>
              <w:rPr>
                <w:b/>
                <w:spacing w:val="0"/>
              </w:rPr>
            </w:pPr>
            <w:r>
              <w:rPr>
                <w:b/>
                <w:spacing w:val="0"/>
              </w:rPr>
              <w:t>$</w:t>
            </w:r>
          </w:p>
        </w:tc>
        <w:tc>
          <w:tcPr>
            <w:tcW w:w="859"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0"/>
              <w:rPr>
                <w:b/>
                <w:spacing w:val="0"/>
              </w:rPr>
            </w:pPr>
            <w:r>
              <w:rPr>
                <w:b/>
                <w:spacing w:val="0"/>
              </w:rPr>
              <w:t>$</w:t>
            </w:r>
          </w:p>
        </w:tc>
        <w:tc>
          <w:tcPr>
            <w:tcW w:w="1045" w:type="dxa"/>
            <w:tcBorders/>
            <w:shd w:fill="auto" w:val="clear"/>
            <w:vAlign w:val="center"/>
          </w:tcPr>
          <w:p>
            <w:pPr>
              <w:pStyle w:val="TableContents"/>
              <w:spacing w:before="0" w:after="0"/>
              <w:jc w:val="right"/>
              <w:rPr>
                <w:spacing w:val="0"/>
              </w:rPr>
            </w:pPr>
            <w:r>
              <w:rPr>
                <w:spacing w:val="0"/>
              </w:rPr>
              <w:t>—  </w:t>
            </w:r>
          </w:p>
        </w:tc>
        <w:tc>
          <w:tcPr>
            <w:tcW w:w="75" w:type="dxa"/>
            <w:tcBorders/>
            <w:shd w:fill="auto" w:val="clear"/>
            <w:vAlign w:val="center"/>
          </w:tcPr>
          <w:p>
            <w:pPr>
              <w:pStyle w:val="TableContents"/>
              <w:spacing w:before="0" w:after="0"/>
              <w:rPr>
                <w:spacing w:val="0"/>
              </w:rPr>
            </w:pPr>
            <w:r>
              <w:rPr>
                <w:spacing w:val="0"/>
              </w:rPr>
              <w:t> </w:t>
            </w:r>
          </w:p>
        </w:tc>
      </w:tr>
      <w:tr>
        <w:trPr/>
        <w:tc>
          <w:tcPr>
            <w:tcW w:w="3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5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Transfers to/from Levels 1, 2 and 3 are recognized at the end of the reporting period. There were no transfers between levels for the three months ended December 31, 2020 and for the period from May 21, 2020 (inception) through December 31, 2020.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9. INCOME TAXES </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 xml:space="preserve">The Company generates taxable income primarily consisting of interest income earned on the Trust Account. The Company’s general and administrative costs are generally considered </w:t>
      </w:r>
    </w:p>
    <w:p>
      <w:pPr>
        <w:pStyle w:val="TextBody"/>
        <w:spacing w:before="0" w:after="0"/>
        <w:jc w:val="left"/>
        <w:rPr>
          <w:rFonts w:ascii="Times New Roman" w:hAnsi="Times New Roman"/>
          <w:spacing w:val="0"/>
          <w:sz w:val="20"/>
        </w:rPr>
      </w:pPr>
      <w:r>
        <w:rPr>
          <w:rFonts w:ascii="Times New Roman" w:hAnsi="Times New Roman"/>
          <w:spacing w:val="0"/>
          <w:sz w:val="20"/>
        </w:rPr>
        <w:t>start-up</w:t>
      </w:r>
    </w:p>
    <w:p>
      <w:pPr>
        <w:pStyle w:val="TextBody"/>
        <w:spacing w:before="0" w:after="0"/>
        <w:jc w:val="left"/>
        <w:rPr>
          <w:rFonts w:ascii="Times New Roman" w:hAnsi="Times New Roman"/>
          <w:sz w:val="20"/>
        </w:rPr>
      </w:pPr>
      <w:r>
        <w:rPr>
          <w:rFonts w:ascii="Times New Roman" w:hAnsi="Times New Roman"/>
          <w:sz w:val="20"/>
        </w:rPr>
        <w:t xml:space="preserve">costs and are not currently deductible.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income tax provision (benefit) for the period from May 21, 2020 (inception) through December 31, 2020 consists of the following: </w:t>
      </w:r>
    </w:p>
    <w:p>
      <w:pPr>
        <w:pStyle w:val="TextBody"/>
        <w:spacing w:before="0" w:after="0"/>
        <w:jc w:val="left"/>
        <w:rPr>
          <w:spacing w:val="0"/>
        </w:rPr>
      </w:pPr>
      <w:r>
        <w:rPr>
          <w:spacing w:val="0"/>
        </w:rPr>
        <w:t> </w:t>
      </w:r>
    </w:p>
    <w:tbl>
      <w:tblPr>
        <w:tblW w:w="2945" w:type="dxa"/>
        <w:jc w:val="left"/>
        <w:tblInd w:w="0" w:type="dxa"/>
        <w:tblCellMar>
          <w:top w:w="0" w:type="dxa"/>
          <w:left w:w="0" w:type="dxa"/>
          <w:bottom w:w="0" w:type="dxa"/>
          <w:right w:w="0" w:type="dxa"/>
        </w:tblCellMar>
      </w:tblPr>
      <w:tblGrid>
        <w:gridCol w:w="1760"/>
        <w:gridCol w:w="120"/>
        <w:gridCol w:w="140"/>
        <w:gridCol w:w="755"/>
        <w:gridCol w:w="170"/>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Federal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6,864</w:t>
            </w:r>
          </w:p>
        </w:tc>
        <w:tc>
          <w:tcPr>
            <w:tcW w:w="170"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State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Federal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(31,262</w:t>
            </w:r>
          </w:p>
        </w:tc>
        <w:tc>
          <w:tcPr>
            <w:tcW w:w="170"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State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Valuation allowance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31,262</w:t>
            </w:r>
          </w:p>
        </w:tc>
        <w:tc>
          <w:tcPr>
            <w:tcW w:w="170"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provision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6,864</w:t>
            </w:r>
          </w:p>
        </w:tc>
        <w:tc>
          <w:tcPr>
            <w:tcW w:w="170" w:type="dxa"/>
            <w:tcBorders/>
            <w:shd w:fill="auto"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December 31, 2020, the Company’s net deferred tax assets are as follows: </w:t>
      </w:r>
    </w:p>
    <w:p>
      <w:pPr>
        <w:pStyle w:val="TextBody"/>
        <w:spacing w:before="0" w:after="0"/>
        <w:jc w:val="left"/>
        <w:rPr>
          <w:spacing w:val="0"/>
        </w:rPr>
      </w:pPr>
      <w:r>
        <w:rPr>
          <w:spacing w:val="0"/>
        </w:rPr>
        <w:t> </w:t>
      </w:r>
    </w:p>
    <w:tbl>
      <w:tblPr>
        <w:tblW w:w="4070" w:type="dxa"/>
        <w:jc w:val="left"/>
        <w:tblInd w:w="0" w:type="dxa"/>
        <w:tblCellMar>
          <w:top w:w="0" w:type="dxa"/>
          <w:left w:w="0" w:type="dxa"/>
          <w:bottom w:w="0" w:type="dxa"/>
          <w:right w:w="0" w:type="dxa"/>
        </w:tblCellMar>
      </w:tblPr>
      <w:tblGrid>
        <w:gridCol w:w="2885"/>
        <w:gridCol w:w="120"/>
        <w:gridCol w:w="140"/>
        <w:gridCol w:w="755"/>
        <w:gridCol w:w="170"/>
      </w:tblGrid>
      <w:tr>
        <w:trPr/>
        <w:tc>
          <w:tcPr>
            <w:tcW w:w="28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28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Start-up/Organization</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31,262</w:t>
            </w:r>
          </w:p>
        </w:tc>
        <w:tc>
          <w:tcPr>
            <w:tcW w:w="170" w:type="dxa"/>
            <w:tcBorders/>
            <w:shd w:fill="auto"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deferred tax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31,262</w:t>
            </w:r>
          </w:p>
        </w:tc>
        <w:tc>
          <w:tcPr>
            <w:tcW w:w="170" w:type="dxa"/>
            <w:tcBorders/>
            <w:shd w:fill="CCEEFF"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Valuation allowance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(31,262</w:t>
            </w:r>
          </w:p>
        </w:tc>
        <w:tc>
          <w:tcPr>
            <w:tcW w:w="170" w:type="dxa"/>
            <w:tcBorders/>
            <w:shd w:fill="auto"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8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asset, net of allowance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8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May 21, 2020 (inception) through December 31, 2020, the valuation allowance was $31,362.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reconciliation of the statutory federal income tax rate (benefit) to the Company’s effective tax rate for the period from May 6 (inception) through December 31, 2020 is as follows: </w:t>
      </w:r>
    </w:p>
    <w:p>
      <w:pPr>
        <w:pStyle w:val="TextBody"/>
        <w:spacing w:before="0" w:after="0"/>
        <w:jc w:val="left"/>
        <w:rPr>
          <w:spacing w:val="0"/>
        </w:rPr>
      </w:pPr>
      <w:r>
        <w:rPr>
          <w:spacing w:val="0"/>
        </w:rPr>
        <w:t> </w:t>
      </w:r>
    </w:p>
    <w:tbl>
      <w:tblPr>
        <w:tblW w:w="3900" w:type="dxa"/>
        <w:jc w:val="left"/>
        <w:tblInd w:w="0" w:type="dxa"/>
        <w:tblCellMar>
          <w:top w:w="0" w:type="dxa"/>
          <w:left w:w="0" w:type="dxa"/>
          <w:bottom w:w="0" w:type="dxa"/>
          <w:right w:w="0" w:type="dxa"/>
        </w:tblCellMar>
      </w:tblPr>
      <w:tblGrid>
        <w:gridCol w:w="2720"/>
        <w:gridCol w:w="120"/>
        <w:gridCol w:w="60"/>
        <w:gridCol w:w="635"/>
        <w:gridCol w:w="365"/>
      </w:tblGrid>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27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Statutory Federal income tax rate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21.00</w:t>
            </w:r>
          </w:p>
        </w:tc>
        <w:tc>
          <w:tcPr>
            <w:tcW w:w="365"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(26.91</w:t>
            </w:r>
          </w:p>
        </w:tc>
        <w:tc>
          <w:tcPr>
            <w:tcW w:w="365" w:type="dxa"/>
            <w:tcBorders/>
            <w:shd w:fill="auto"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365" w:type="dxa"/>
            <w:tcBorders/>
            <w:shd w:fill="auto" w:val="clear"/>
            <w:vAlign w:val="center"/>
          </w:tcPr>
          <w:p>
            <w:pPr>
              <w:pStyle w:val="TableContents"/>
              <w:spacing w:before="0" w:after="283"/>
              <w:rPr/>
            </w:pPr>
            <w:r>
              <w:rPr/>
              <w:t> </w:t>
            </w:r>
          </w:p>
        </w:tc>
      </w:tr>
      <w:tr>
        <w:trPr/>
        <w:tc>
          <w:tcPr>
            <w:tcW w:w="27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Effective tax rate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(5.91</w:t>
            </w:r>
          </w:p>
        </w:tc>
        <w:tc>
          <w:tcPr>
            <w:tcW w:w="365" w:type="dxa"/>
            <w:tcBorders/>
            <w:shd w:fill="CCEEFF" w:val="clear"/>
            <w:vAlign w:val="center"/>
          </w:tcPr>
          <w:p>
            <w:pPr>
              <w:pStyle w:val="TableContents"/>
              <w:spacing w:before="0" w:after="283"/>
              <w:rPr/>
            </w:pPr>
            <w:r>
              <w:rPr/>
              <w:t>)% </w:t>
            </w:r>
          </w:p>
        </w:tc>
      </w:tr>
      <w:tr>
        <w:trPr/>
        <w:tc>
          <w:tcPr>
            <w:tcW w:w="2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There were no unrecognized tax benefits as of December 31, 2020. No amounts were accrued for the payment of interest and penalties at December 31, 2020. The Company is currently not aware of any issues under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BCTG ACQUISITION CORP.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9. INCOME TAXES(cont.)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review that could result in significant payments, accruals or material deviation from its position. The Company is subject to income tax examinations by major taxing authorities since inception. The Company’s management does not expect that the total amount of unrecognized tax benefits will materially change over the next twelve months.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10. SUBSEQUENT EVENTS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evaluated subsequent events and transactions that occurred after the balance sheet date through the date the financial statements were available to be issued. Based upon this review, the Company did not identify any subsequent events that would have required adjustment or disclosure in the financial statements which have not previously been disclosed within the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rPr/>
      </w:pPr>
      <w:r>
        <w:rPr/>
      </w:r>
    </w:p>
    <w:p>
      <w:pPr>
        <w:pStyle w:val="TextBody"/>
        <w:spacing w:before="0" w:after="0"/>
        <w:ind w:left="0" w:right="0" w:hanging="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spacing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270"/>
        <w:gridCol w:w="120"/>
        <w:gridCol w:w="140"/>
        <w:gridCol w:w="875"/>
        <w:gridCol w:w="155"/>
        <w:gridCol w:w="60"/>
        <w:gridCol w:w="195"/>
        <w:gridCol w:w="1220"/>
        <w:gridCol w:w="170"/>
      </w:tblGrid>
      <w:tr>
        <w:trPr/>
        <w:tc>
          <w:tcPr>
            <w:tcW w:w="7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0"/>
              <w:jc w:val="center"/>
              <w:rPr>
                <w:b/>
                <w:spacing w:val="0"/>
              </w:rPr>
            </w:pPr>
            <w:r>
              <w:rPr>
                <w:b/>
                <w:spacing w:val="0"/>
              </w:rPr>
              <w:t>June 30,</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0"/>
              <w:jc w:val="center"/>
              <w:rPr>
                <w:b/>
                <w:spacing w:val="0"/>
              </w:rPr>
            </w:pPr>
            <w:r>
              <w:rPr>
                <w:b/>
                <w:spacing w:val="0"/>
              </w:rPr>
              <w:t>December 31,</w:t>
              <w:br/>
              <w:t>2020</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50,902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28,381</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Marketable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147,452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161,939</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Accounts receivable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2,000</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Prepaid expenses and other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1,707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1,312</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Total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202,061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193,632</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Property and equipment,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4,397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3,823</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 xml:space="preserve">Operating lease </w:t>
            </w:r>
          </w:p>
          <w:p>
            <w:pPr>
              <w:pStyle w:val="TableContents"/>
              <w:spacing w:before="0" w:after="0"/>
              <w:rPr>
                <w:rFonts w:ascii="Times New Roman" w:hAnsi="Times New Roman"/>
                <w:spacing w:val="0"/>
                <w:sz w:val="18"/>
              </w:rPr>
            </w:pPr>
            <w:r>
              <w:rPr>
                <w:rFonts w:ascii="Times New Roman" w:hAnsi="Times New Roman"/>
                <w:spacing w:val="0"/>
                <w:sz w:val="18"/>
              </w:rPr>
              <w:t>right-of-use</w:t>
            </w:r>
          </w:p>
          <w:p>
            <w:pPr>
              <w:pStyle w:val="TableContents"/>
              <w:spacing w:before="0" w:after="0"/>
              <w:rPr>
                <w:rFonts w:ascii="Times New Roman" w:hAnsi="Times New Roman"/>
                <w:sz w:val="18"/>
              </w:rPr>
            </w:pPr>
            <w:r>
              <w:rPr>
                <w:rFonts w:ascii="Times New Roman" w:hAnsi="Times New Roman"/>
                <w:sz w:val="18"/>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6,988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7,480</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2,279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2,279</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Other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38</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Total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 </w:t>
            </w:r>
            <w:r>
              <w:rPr/>
              <w:t>217,240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 </w:t>
            </w:r>
            <w:r>
              <w:rPr/>
              <w:t>207,252</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Liabilities, Redeemable Convertible Preferred Stock and Stockholders’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Accounts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5,242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1,841</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Accrued expenses and other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6,434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6,140</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Operating lease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1,047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959</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Deferred revenue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24,500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31,977</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Total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37,223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40,917</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Operating lease liabilities, net of current portion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6,384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6,925</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Deferred revenue, net of current portion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118,742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120,805</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Other long-term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162,349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168,652</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Commitments and contingencies (Note 7)</w:t>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Redeemable convertible preferred stock:</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Series A redeemable convertible preferred stock, $0.001 par value, 55,700,000 shares authorized, issued, and outstanding at June 30, 2021 and December 31, 2020, respectively; liquidation preferences of $55,700 at June 30, 2021 and December 31,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55,700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55,700</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Series B redeemable convertible preferred stock, $0.001 par value, 45,372,050 shares authorized at June 30, 2021 and December 31, 2020, respectively; 45,372,050 and 22,686,025 shares issued and outstanding at June 30, 2021 and December 31, 2020, respectively; liquidation preferences of $60,000 and $30,000 at June 30, 2021 and December 31,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59,751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29,761</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 xml:space="preserve">Series </w:t>
            </w:r>
          </w:p>
          <w:p>
            <w:pPr>
              <w:pStyle w:val="TableContents"/>
              <w:spacing w:before="0" w:after="0"/>
              <w:rPr>
                <w:rFonts w:ascii="Times New Roman" w:hAnsi="Times New Roman"/>
                <w:spacing w:val="0"/>
                <w:sz w:val="18"/>
              </w:rPr>
            </w:pPr>
            <w:r>
              <w:rPr>
                <w:rFonts w:ascii="Times New Roman" w:hAnsi="Times New Roman"/>
                <w:spacing w:val="0"/>
                <w:sz w:val="18"/>
              </w:rPr>
              <w:t>B-1</w:t>
            </w:r>
          </w:p>
          <w:p>
            <w:pPr>
              <w:pStyle w:val="TableContents"/>
              <w:spacing w:before="0" w:after="0"/>
              <w:rPr>
                <w:rFonts w:ascii="Times New Roman" w:hAnsi="Times New Roman"/>
                <w:sz w:val="18"/>
              </w:rPr>
            </w:pPr>
            <w:r>
              <w:rPr>
                <w:rFonts w:ascii="Times New Roman" w:hAnsi="Times New Roman"/>
                <w:sz w:val="18"/>
              </w:rPr>
              <w:t>redeemable convertible preferred stock, $0.001 par value, 27,152,255 shares authorized, issued, and outstanding at June 30, 2021 and December 31, 2020, respectively; liquidation preferences of $51,182 at June 30, 2021 and December 31,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51,083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51,083</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Stockholders’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sz w:val="4"/>
                <w:szCs w:val="4"/>
              </w:rPr>
            </w:pPr>
            <w:r>
              <w:rPr>
                <w:sz w:val="4"/>
                <w:szCs w:val="4"/>
              </w:rPr>
            </w:r>
          </w:p>
        </w:tc>
        <w:tc>
          <w:tcPr>
            <w:tcW w:w="122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Common stock, $0.001 par value; 166,000,000 shares authorized at June 30, 2021 and December 31, 2020; 14,817,103 and 13,301,649 shares issued and outstanding as of June 30, 2021 and December 31,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13</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 xml:space="preserve">Additional </w:t>
            </w:r>
          </w:p>
          <w:p>
            <w:pPr>
              <w:pStyle w:val="TableContents"/>
              <w:spacing w:before="0" w:after="0"/>
              <w:rPr>
                <w:rFonts w:ascii="Times New Roman" w:hAnsi="Times New Roman"/>
                <w:spacing w:val="0"/>
                <w:sz w:val="18"/>
              </w:rPr>
            </w:pPr>
            <w:r>
              <w:rPr>
                <w:rFonts w:ascii="Times New Roman" w:hAnsi="Times New Roman"/>
                <w:spacing w:val="0"/>
                <w:sz w:val="18"/>
              </w:rPr>
              <w:t>paid-in</w:t>
            </w:r>
          </w:p>
          <w:p>
            <w:pPr>
              <w:pStyle w:val="TableContents"/>
              <w:spacing w:before="0" w:after="0"/>
              <w:rPr>
                <w:rFonts w:ascii="Times New Roman" w:hAnsi="Times New Roman"/>
                <w:sz w:val="18"/>
              </w:rPr>
            </w:pPr>
            <w:r>
              <w:rPr>
                <w:rFonts w:ascii="Times New Roman" w:hAnsi="Times New Roman"/>
                <w:sz w:val="18"/>
              </w:rPr>
              <w:t>capital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8,040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5,127</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Accumulated other comprehensive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17</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Accumulated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(119,700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(103,101</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Total stockholders’ deficit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(111,643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(97,944</w:t>
            </w:r>
          </w:p>
        </w:tc>
        <w:tc>
          <w:tcPr>
            <w:tcW w:w="170" w:type="dxa"/>
            <w:tcBorders/>
            <w:shd w:fill="auto"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27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Total liabilities, redeemable convertible preferred stock and stockholders’ deficit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217,240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207,252</w:t>
            </w:r>
          </w:p>
        </w:tc>
        <w:tc>
          <w:tcPr>
            <w:tcW w:w="170" w:type="dxa"/>
            <w:tcBorders/>
            <w:shd w:fill="CCEEFF" w:val="clear"/>
            <w:vAlign w:val="center"/>
          </w:tcPr>
          <w:p>
            <w:pPr>
              <w:pStyle w:val="TableContents"/>
              <w:spacing w:before="0" w:after="283"/>
              <w:rPr/>
            </w:pPr>
            <w:r>
              <w:rPr/>
              <w:t> </w:t>
            </w:r>
          </w:p>
        </w:tc>
      </w:tr>
      <w:tr>
        <w:trPr/>
        <w:tc>
          <w:tcPr>
            <w:tcW w:w="7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F-35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spacing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845"/>
        <w:gridCol w:w="120"/>
        <w:gridCol w:w="160"/>
        <w:gridCol w:w="1263"/>
        <w:gridCol w:w="177"/>
        <w:gridCol w:w="68"/>
        <w:gridCol w:w="160"/>
        <w:gridCol w:w="1264"/>
        <w:gridCol w:w="155"/>
        <w:gridCol w:w="60"/>
        <w:gridCol w:w="143"/>
        <w:gridCol w:w="1127"/>
        <w:gridCol w:w="158"/>
        <w:gridCol w:w="61"/>
        <w:gridCol w:w="143"/>
        <w:gridCol w:w="1127"/>
        <w:gridCol w:w="174"/>
      </w:tblGrid>
      <w:tr>
        <w:trPr/>
        <w:tc>
          <w:tcPr>
            <w:tcW w:w="3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92"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59"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3" w:type="dxa"/>
            <w:gridSpan w:val="2"/>
            <w:tcBorders/>
            <w:shd w:fill="auto" w:val="clear"/>
            <w:vAlign w:val="center"/>
          </w:tcPr>
          <w:p>
            <w:pPr>
              <w:pStyle w:val="TableContents"/>
              <w:spacing w:before="0" w:after="0"/>
              <w:jc w:val="center"/>
              <w:rPr>
                <w:b/>
                <w:spacing w:val="0"/>
              </w:rPr>
            </w:pPr>
            <w:r>
              <w:rPr>
                <w:b/>
                <w:spacing w:val="0"/>
              </w:rPr>
              <w:t>2021</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424"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70" w:type="dxa"/>
            <w:gridSpan w:val="2"/>
            <w:tcBorders/>
            <w:shd w:fill="auto" w:val="clear"/>
            <w:vAlign w:val="center"/>
          </w:tcPr>
          <w:p>
            <w:pPr>
              <w:pStyle w:val="TableContents"/>
              <w:spacing w:before="0" w:after="0"/>
              <w:jc w:val="center"/>
              <w:rPr>
                <w:b/>
                <w:spacing w:val="0"/>
              </w:rPr>
            </w:pPr>
            <w:r>
              <w:rPr>
                <w:b/>
                <w:spacing w:val="0"/>
              </w:rPr>
              <w:t>2021</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70" w:type="dxa"/>
            <w:gridSpan w:val="2"/>
            <w:tcBorders/>
            <w:shd w:fill="auto" w:val="clear"/>
            <w:vAlign w:val="center"/>
          </w:tcPr>
          <w:p>
            <w:pPr>
              <w:pStyle w:val="TableContents"/>
              <w:spacing w:before="0" w:after="0"/>
              <w:jc w:val="center"/>
              <w:rPr>
                <w:b/>
                <w:spacing w:val="0"/>
              </w:rPr>
            </w:pPr>
            <w:r>
              <w:rPr>
                <w:b/>
                <w:spacing w:val="0"/>
              </w:rPr>
              <w:t>2020</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Collaboration revenue</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3" w:type="dxa"/>
            <w:tcBorders/>
            <w:shd w:fill="CCEEFF" w:val="clear"/>
            <w:vAlign w:val="center"/>
          </w:tcPr>
          <w:p>
            <w:pPr>
              <w:pStyle w:val="TableContents"/>
              <w:spacing w:before="0" w:after="283"/>
              <w:jc w:val="right"/>
              <w:rPr/>
            </w:pPr>
            <w:r>
              <w:rPr/>
              <w:t>7,153</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4" w:type="dxa"/>
            <w:tcBorders/>
            <w:shd w:fill="CCEEFF" w:val="clear"/>
            <w:vAlign w:val="center"/>
          </w:tcPr>
          <w:p>
            <w:pPr>
              <w:pStyle w:val="TableContents"/>
              <w:spacing w:before="0" w:after="283"/>
              <w:jc w:val="right"/>
              <w:rPr/>
            </w:pPr>
            <w:r>
              <w:rPr/>
              <w:t>4,720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13,539</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9,106</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License revenue</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11,000</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344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11,000</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669</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3" w:type="dxa"/>
            <w:tcBorders/>
            <w:shd w:fill="CCEEFF" w:val="clear"/>
            <w:vAlign w:val="center"/>
          </w:tcPr>
          <w:p>
            <w:pPr>
              <w:pStyle w:val="TableContents"/>
              <w:spacing w:before="0" w:after="283"/>
              <w:jc w:val="right"/>
              <w:rPr/>
            </w:pPr>
            <w:r>
              <w:rPr/>
              <w:t>18,153</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4" w:type="dxa"/>
            <w:tcBorders/>
            <w:shd w:fill="CCEEFF" w:val="clear"/>
            <w:vAlign w:val="center"/>
          </w:tcPr>
          <w:p>
            <w:pPr>
              <w:pStyle w:val="TableContents"/>
              <w:spacing w:before="0" w:after="283"/>
              <w:jc w:val="right"/>
              <w:rPr/>
            </w:pPr>
            <w:r>
              <w:rPr/>
              <w:t>5,064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24,539</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9,775</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3" w:type="dxa"/>
            <w:tcBorders/>
            <w:shd w:fill="CCEEFF" w:val="clear"/>
            <w:vAlign w:val="center"/>
          </w:tcPr>
          <w:p>
            <w:pPr>
              <w:pStyle w:val="TableContents"/>
              <w:spacing w:before="0" w:after="283"/>
              <w:jc w:val="right"/>
              <w:rPr/>
            </w:pPr>
            <w:r>
              <w:rPr/>
              <w:t>19,079</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4" w:type="dxa"/>
            <w:tcBorders/>
            <w:shd w:fill="CCEEFF" w:val="clear"/>
            <w:vAlign w:val="center"/>
          </w:tcPr>
          <w:p>
            <w:pPr>
              <w:pStyle w:val="TableContents"/>
              <w:spacing w:before="0" w:after="283"/>
              <w:jc w:val="right"/>
              <w:rPr/>
            </w:pPr>
            <w:r>
              <w:rPr/>
              <w:t>11,129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34,079</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21,951</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3,630</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2,378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7,097</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4,331</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3" w:type="dxa"/>
            <w:tcBorders/>
            <w:shd w:fill="CCEEFF" w:val="clear"/>
            <w:vAlign w:val="center"/>
          </w:tcPr>
          <w:p>
            <w:pPr>
              <w:pStyle w:val="TableContents"/>
              <w:spacing w:before="0" w:after="283"/>
              <w:jc w:val="right"/>
              <w:rPr/>
            </w:pPr>
            <w:r>
              <w:rPr/>
              <w:t>22,709</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4" w:type="dxa"/>
            <w:tcBorders/>
            <w:shd w:fill="CCEEFF" w:val="clear"/>
            <w:vAlign w:val="center"/>
          </w:tcPr>
          <w:p>
            <w:pPr>
              <w:pStyle w:val="TableContents"/>
              <w:spacing w:before="0" w:after="283"/>
              <w:jc w:val="right"/>
              <w:rPr/>
            </w:pPr>
            <w:r>
              <w:rPr/>
              <w:t>13,507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41,176</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26,282</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(4,556</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(8,443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(16,637</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(16,507</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3" w:type="dxa"/>
            <w:tcBorders/>
            <w:shd w:fill="CCEEFF" w:val="clear"/>
            <w:vAlign w:val="center"/>
          </w:tcPr>
          <w:p>
            <w:pPr>
              <w:pStyle w:val="TableContents"/>
              <w:spacing w:before="0" w:after="283"/>
              <w:jc w:val="right"/>
              <w:rPr/>
            </w:pPr>
            <w:r>
              <w:rPr/>
              <w:t>—  </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4"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104</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27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208</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87</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(expense) income, net</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3" w:type="dxa"/>
            <w:tcBorders/>
            <w:shd w:fill="CCEEFF" w:val="clear"/>
            <w:vAlign w:val="center"/>
          </w:tcPr>
          <w:p>
            <w:pPr>
              <w:pStyle w:val="TableContents"/>
              <w:spacing w:before="0" w:after="283"/>
              <w:jc w:val="right"/>
              <w:rPr/>
            </w:pPr>
            <w:r>
              <w:rPr/>
              <w:t>(62</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4" w:type="dxa"/>
            <w:tcBorders/>
            <w:shd w:fill="CCEEFF" w:val="clear"/>
            <w:vAlign w:val="center"/>
          </w:tcPr>
          <w:p>
            <w:pPr>
              <w:pStyle w:val="TableContents"/>
              <w:spacing w:before="0" w:after="283"/>
              <w:jc w:val="right"/>
              <w:rPr/>
            </w:pPr>
            <w:r>
              <w:rPr/>
              <w:t>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(117</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114</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other income, net</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42</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91</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201</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before income taxes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3" w:type="dxa"/>
            <w:tcBorders/>
            <w:shd w:fill="CCEEFF" w:val="clear"/>
            <w:vAlign w:val="center"/>
          </w:tcPr>
          <w:p>
            <w:pPr>
              <w:pStyle w:val="TableContents"/>
              <w:spacing w:before="0" w:after="283"/>
              <w:jc w:val="right"/>
              <w:rPr/>
            </w:pPr>
            <w:r>
              <w:rPr/>
              <w:t>(4,514</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4" w:type="dxa"/>
            <w:tcBorders/>
            <w:shd w:fill="CCEEFF" w:val="clear"/>
            <w:vAlign w:val="center"/>
          </w:tcPr>
          <w:p>
            <w:pPr>
              <w:pStyle w:val="TableContents"/>
              <w:spacing w:before="0" w:after="283"/>
              <w:jc w:val="right"/>
              <w:rPr/>
            </w:pPr>
            <w:r>
              <w:rPr/>
              <w:t>(8,392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(16,546</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(16,306</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Benefit from (provision for) income taxes</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21</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(53</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3" w:type="dxa"/>
            <w:tcBorders/>
            <w:shd w:fill="CCEEFF" w:val="clear"/>
            <w:vAlign w:val="center"/>
          </w:tcPr>
          <w:p>
            <w:pPr>
              <w:pStyle w:val="TableContents"/>
              <w:spacing w:before="0" w:after="283"/>
              <w:jc w:val="right"/>
              <w:rPr/>
            </w:pPr>
            <w:r>
              <w:rPr/>
              <w:t>(4,493</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4" w:type="dxa"/>
            <w:tcBorders/>
            <w:shd w:fill="CCEEFF" w:val="clear"/>
            <w:vAlign w:val="center"/>
          </w:tcPr>
          <w:p>
            <w:pPr>
              <w:pStyle w:val="TableContents"/>
              <w:spacing w:before="0" w:after="283"/>
              <w:jc w:val="right"/>
              <w:rPr/>
            </w:pPr>
            <w:r>
              <w:rPr/>
              <w:t>(8,392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(16,599</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(16,306</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common share – basic and diluted</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w:t>
            </w:r>
          </w:p>
        </w:tc>
        <w:tc>
          <w:tcPr>
            <w:tcW w:w="1263" w:type="dxa"/>
            <w:tcBorders/>
            <w:shd w:fill="auto" w:val="clear"/>
            <w:vAlign w:val="center"/>
          </w:tcPr>
          <w:p>
            <w:pPr>
              <w:pStyle w:val="TableContents"/>
              <w:spacing w:before="0" w:after="283"/>
              <w:jc w:val="right"/>
              <w:rPr/>
            </w:pPr>
            <w:r>
              <w:rPr/>
              <w:t>(0.31</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w:t>
            </w:r>
          </w:p>
        </w:tc>
        <w:tc>
          <w:tcPr>
            <w:tcW w:w="1264" w:type="dxa"/>
            <w:tcBorders/>
            <w:shd w:fill="auto" w:val="clear"/>
            <w:vAlign w:val="center"/>
          </w:tcPr>
          <w:p>
            <w:pPr>
              <w:pStyle w:val="TableContents"/>
              <w:spacing w:before="0" w:after="283"/>
              <w:jc w:val="right"/>
              <w:rPr/>
            </w:pPr>
            <w:r>
              <w:rPr/>
              <w:t>(0.75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w:t>
            </w:r>
          </w:p>
        </w:tc>
        <w:tc>
          <w:tcPr>
            <w:tcW w:w="1127" w:type="dxa"/>
            <w:tcBorders/>
            <w:shd w:fill="auto" w:val="clear"/>
            <w:vAlign w:val="center"/>
          </w:tcPr>
          <w:p>
            <w:pPr>
              <w:pStyle w:val="TableContents"/>
              <w:spacing w:before="0" w:after="283"/>
              <w:jc w:val="right"/>
              <w:rPr/>
            </w:pPr>
            <w:r>
              <w:rPr/>
              <w:t>(1.17</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w:t>
            </w:r>
          </w:p>
        </w:tc>
        <w:tc>
          <w:tcPr>
            <w:tcW w:w="1127" w:type="dxa"/>
            <w:tcBorders/>
            <w:shd w:fill="auto" w:val="clear"/>
            <w:vAlign w:val="center"/>
          </w:tcPr>
          <w:p>
            <w:pPr>
              <w:pStyle w:val="TableContents"/>
              <w:spacing w:before="0" w:after="283"/>
              <w:jc w:val="right"/>
              <w:rPr/>
            </w:pPr>
            <w:r>
              <w:rPr/>
              <w:t>(1.49</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number of common shares outstanding – basic and diluted</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3" w:type="dxa"/>
            <w:tcBorders/>
            <w:shd w:fill="CCEEFF" w:val="clear"/>
            <w:vAlign w:val="center"/>
          </w:tcPr>
          <w:p>
            <w:pPr>
              <w:pStyle w:val="TableContents"/>
              <w:spacing w:before="0" w:after="283"/>
              <w:jc w:val="right"/>
              <w:rPr/>
            </w:pPr>
            <w:r>
              <w:rPr/>
              <w:t>14,485,746</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4" w:type="dxa"/>
            <w:tcBorders/>
            <w:shd w:fill="CCEEFF" w:val="clear"/>
            <w:vAlign w:val="center"/>
          </w:tcPr>
          <w:p>
            <w:pPr>
              <w:pStyle w:val="TableContents"/>
              <w:spacing w:before="0" w:after="283"/>
              <w:jc w:val="right"/>
              <w:rPr/>
            </w:pPr>
            <w:r>
              <w:rPr/>
              <w:t>11,193,065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14,214,543</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jc w:val="right"/>
              <w:rPr/>
            </w:pPr>
            <w:r>
              <w:rPr/>
              <w:t>10,913,053</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(4,493</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(8,392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(16,599</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(16,306</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(loss) income:</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3"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64"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127"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(loss) gain on marketable securities</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jc w:val="right"/>
              <w:rPr/>
            </w:pPr>
            <w:r>
              <w:rPr/>
              <w:t>(30</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(15</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127" w:type="dxa"/>
            <w:tcBorders/>
            <w:shd w:fill="auto" w:val="clear"/>
            <w:vAlign w:val="center"/>
          </w:tcPr>
          <w:p>
            <w:pPr>
              <w:pStyle w:val="TableContents"/>
              <w:spacing w:before="0" w:after="283"/>
              <w:jc w:val="right"/>
              <w:rPr/>
            </w:pPr>
            <w:r>
              <w:rPr/>
              <w:t>1</w:t>
            </w:r>
          </w:p>
        </w:tc>
        <w:tc>
          <w:tcPr>
            <w:tcW w:w="174"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2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Comprehensive loss</w:t>
            </w:r>
          </w:p>
        </w:tc>
        <w:tc>
          <w:tcPr>
            <w:tcW w:w="12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3" w:type="dxa"/>
            <w:tcBorders/>
            <w:shd w:fill="CCEEFF" w:val="clear"/>
            <w:vAlign w:val="center"/>
          </w:tcPr>
          <w:p>
            <w:pPr>
              <w:pStyle w:val="TableContents"/>
              <w:spacing w:before="0" w:after="283"/>
              <w:jc w:val="right"/>
              <w:rPr/>
            </w:pPr>
            <w:r>
              <w:rPr/>
              <w:t>(4,523</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w:t>
            </w:r>
          </w:p>
        </w:tc>
        <w:tc>
          <w:tcPr>
            <w:tcW w:w="1264" w:type="dxa"/>
            <w:tcBorders/>
            <w:shd w:fill="CCEEFF" w:val="clear"/>
            <w:vAlign w:val="center"/>
          </w:tcPr>
          <w:p>
            <w:pPr>
              <w:pStyle w:val="TableContents"/>
              <w:spacing w:before="0" w:after="283"/>
              <w:jc w:val="right"/>
              <w:rPr/>
            </w:pPr>
            <w:r>
              <w:rPr/>
              <w:t>(8,406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(16,614</w:t>
            </w:r>
          </w:p>
        </w:tc>
        <w:tc>
          <w:tcPr>
            <w:tcW w:w="158"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127" w:type="dxa"/>
            <w:tcBorders/>
            <w:shd w:fill="CCEEFF" w:val="clear"/>
            <w:vAlign w:val="center"/>
          </w:tcPr>
          <w:p>
            <w:pPr>
              <w:pStyle w:val="TableContents"/>
              <w:spacing w:before="0" w:after="283"/>
              <w:jc w:val="right"/>
              <w:rPr/>
            </w:pPr>
            <w:r>
              <w:rPr/>
              <w:t>(16,305</w:t>
            </w:r>
          </w:p>
        </w:tc>
        <w:tc>
          <w:tcPr>
            <w:tcW w:w="174" w:type="dxa"/>
            <w:tcBorders/>
            <w:shd w:fill="CCEEFF"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8"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2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4" w:type="dxa"/>
            <w:tcBorders/>
            <w:shd w:fill="auto" w:val="clear"/>
            <w:vAlign w:val="center"/>
          </w:tcPr>
          <w:p>
            <w:pPr>
              <w:pStyle w:val="TableContents"/>
              <w:spacing w:before="0" w:after="283"/>
              <w:rPr/>
            </w:pPr>
            <w:r>
              <w:rPr/>
              <w:t> </w:t>
            </w:r>
          </w:p>
        </w:tc>
      </w:tr>
    </w:tbl>
    <w:p>
      <w:pPr>
        <w:pStyle w:val="TextBody"/>
        <w:spacing w:before="4000" w:after="0"/>
        <w:jc w:val="center"/>
        <w:rPr>
          <w:rFonts w:ascii="Times New Roman" w:hAnsi="Times New Roman"/>
          <w:spacing w:val="0"/>
          <w:sz w:val="20"/>
        </w:rPr>
      </w:pPr>
      <w:r>
        <w:rPr>
          <w:rFonts w:ascii="Times New Roman" w:hAnsi="Times New Roman"/>
          <w:spacing w:val="0"/>
          <w:sz w:val="20"/>
        </w:rPr>
        <w:t xml:space="preserve">The accompanying notes are an integral part of the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F-36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REDEEMABLE CONVERTIBLE PREFERRED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STOCK AND STOCKHOLDERS’ DEFICIT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data)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(Unaudited) </w:t>
      </w:r>
    </w:p>
    <w:p>
      <w:pPr>
        <w:pStyle w:val="TextBody"/>
        <w:spacing w:before="0" w:after="0"/>
        <w:ind w:left="0" w:right="0" w:hanging="0"/>
        <w:jc w:val="left"/>
        <w:rPr>
          <w:spacing w:val="0"/>
        </w:rPr>
      </w:pPr>
      <w:r>
        <w:rPr>
          <w:spacing w:val="0"/>
        </w:rPr>
        <w:t> </w:t>
      </w:r>
    </w:p>
    <w:tbl>
      <w:tblPr>
        <w:tblW w:w="16340" w:type="dxa"/>
        <w:jc w:val="left"/>
        <w:tblInd w:w="0" w:type="dxa"/>
        <w:tblCellMar>
          <w:top w:w="0" w:type="dxa"/>
          <w:left w:w="0" w:type="dxa"/>
          <w:bottom w:w="0" w:type="dxa"/>
          <w:right w:w="0" w:type="dxa"/>
        </w:tblCellMar>
      </w:tblPr>
      <w:tblGrid>
        <w:gridCol w:w="1100"/>
        <w:gridCol w:w="60"/>
        <w:gridCol w:w="60"/>
        <w:gridCol w:w="1100"/>
        <w:gridCol w:w="60"/>
        <w:gridCol w:w="60"/>
        <w:gridCol w:w="146"/>
        <w:gridCol w:w="714"/>
        <w:gridCol w:w="60"/>
        <w:gridCol w:w="60"/>
        <w:gridCol w:w="60"/>
        <w:gridCol w:w="1100"/>
        <w:gridCol w:w="60"/>
        <w:gridCol w:w="60"/>
        <w:gridCol w:w="146"/>
        <w:gridCol w:w="714"/>
        <w:gridCol w:w="60"/>
        <w:gridCol w:w="60"/>
        <w:gridCol w:w="60"/>
        <w:gridCol w:w="1100"/>
        <w:gridCol w:w="60"/>
        <w:gridCol w:w="60"/>
        <w:gridCol w:w="146"/>
        <w:gridCol w:w="714"/>
        <w:gridCol w:w="60"/>
        <w:gridCol w:w="60"/>
        <w:gridCol w:w="60"/>
        <w:gridCol w:w="1100"/>
        <w:gridCol w:w="60"/>
        <w:gridCol w:w="60"/>
        <w:gridCol w:w="231"/>
        <w:gridCol w:w="629"/>
        <w:gridCol w:w="60"/>
        <w:gridCol w:w="60"/>
        <w:gridCol w:w="220"/>
        <w:gridCol w:w="880"/>
        <w:gridCol w:w="60"/>
        <w:gridCol w:w="60"/>
        <w:gridCol w:w="433"/>
        <w:gridCol w:w="1177"/>
        <w:gridCol w:w="155"/>
        <w:gridCol w:w="60"/>
        <w:gridCol w:w="188"/>
        <w:gridCol w:w="1182"/>
        <w:gridCol w:w="155"/>
        <w:gridCol w:w="60"/>
        <w:gridCol w:w="184"/>
        <w:gridCol w:w="1156"/>
        <w:gridCol w:w="170"/>
      </w:tblGrid>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660" w:type="dxa"/>
            <w:gridSpan w:val="22"/>
            <w:tcBorders/>
            <w:shd w:fill="auto" w:val="clear"/>
            <w:vAlign w:val="center"/>
          </w:tcPr>
          <w:p>
            <w:pPr>
              <w:pStyle w:val="TableContents"/>
              <w:spacing w:before="0" w:after="0"/>
              <w:jc w:val="center"/>
              <w:rPr>
                <w:b/>
                <w:spacing w:val="0"/>
              </w:rPr>
            </w:pPr>
            <w:r>
              <w:rPr>
                <w:b/>
                <w:spacing w:val="0"/>
              </w:rPr>
              <w:t>Redeemable Convertible Preferred Stock</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00" w:type="dxa"/>
            <w:gridSpan w:val="2"/>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610" w:type="dxa"/>
            <w:gridSpan w:val="2"/>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370" w:type="dxa"/>
            <w:gridSpan w:val="2"/>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340" w:type="dxa"/>
            <w:gridSpan w:val="2"/>
            <w:tcBorders/>
            <w:shd w:fill="auto" w:val="clear"/>
            <w:vAlign w:val="center"/>
          </w:tcPr>
          <w:p>
            <w:pPr>
              <w:pStyle w:val="TableContents"/>
              <w:spacing w:before="0" w:after="0"/>
              <w:rPr>
                <w:spacing w:val="0"/>
              </w:rPr>
            </w:pPr>
            <w:r>
              <w:rPr>
                <w:spacing w:val="0"/>
              </w:rPr>
              <w:t> </w:t>
            </w:r>
          </w:p>
        </w:tc>
        <w:tc>
          <w:tcPr>
            <w:tcW w:w="170" w:type="dxa"/>
            <w:tcBorders/>
            <w:shd w:fill="auto" w:val="clear"/>
            <w:vAlign w:val="center"/>
          </w:tcPr>
          <w:p>
            <w:pPr>
              <w:pStyle w:val="TableContents"/>
              <w:spacing w:before="0" w:after="0"/>
              <w:rPr>
                <w:spacing w:val="0"/>
              </w:rPr>
            </w:pPr>
            <w:r>
              <w:rPr>
                <w:spacing w:val="0"/>
              </w:rPr>
              <w:t> </w:t>
            </w:r>
          </w:p>
        </w:tc>
      </w:tr>
      <w:tr>
        <w:trPr/>
        <w:tc>
          <w:tcPr>
            <w:tcW w:w="11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Series A</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Series B</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 xml:space="preserve">Series </w:t>
            </w:r>
          </w:p>
          <w:p>
            <w:pPr>
              <w:pStyle w:val="TableContents"/>
              <w:spacing w:before="0" w:after="0"/>
              <w:jc w:val="center"/>
              <w:rPr>
                <w:b/>
                <w:spacing w:val="0"/>
              </w:rPr>
            </w:pPr>
            <w:r>
              <w:rPr>
                <w:b/>
                <w:spacing w:val="0"/>
              </w:rPr>
              <w:t>B-1</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100"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60"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61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Other</w:t>
              <w:br/>
              <w:t>Comprehensive</w:t>
            </w:r>
          </w:p>
          <w:p>
            <w:pPr>
              <w:pStyle w:val="TableContents"/>
              <w:spacing w:before="0" w:after="0"/>
              <w:jc w:val="center"/>
              <w:rPr/>
            </w:pPr>
            <w:r>
              <w:rPr/>
            </w:r>
          </w:p>
          <w:p>
            <w:pPr>
              <w:pStyle w:val="TableContents"/>
              <w:spacing w:before="0" w:after="0"/>
              <w:jc w:val="center"/>
              <w:rPr>
                <w:b/>
                <w:spacing w:val="0"/>
              </w:rPr>
            </w:pPr>
            <w:r>
              <w:rPr>
                <w:b/>
                <w:spacing w:val="0"/>
              </w:rPr>
              <w:t>Income (Loss)</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37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340" w:type="dxa"/>
            <w:gridSpan w:val="2"/>
            <w:vMerge w:val="restart"/>
            <w:tcBorders/>
            <w:shd w:fill="auto" w:val="cle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Stockholders’</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70" w:type="dxa"/>
            <w:vMerge w:val="restart"/>
            <w:tcBorders/>
            <w:shd w:fill="auto" w:val="clear"/>
            <w:vAlign w:val="center"/>
          </w:tcPr>
          <w:p>
            <w:pPr>
              <w:pStyle w:val="TableContents"/>
              <w:spacing w:before="0" w:after="0"/>
              <w:rPr>
                <w:spacing w:val="0"/>
              </w:rPr>
            </w:pPr>
            <w:r>
              <w:rPr>
                <w:spacing w:val="0"/>
              </w:rPr>
              <w:t> </w:t>
            </w:r>
          </w:p>
        </w:tc>
      </w:tr>
      <w:tr>
        <w:trPr/>
        <w:tc>
          <w:tcPr>
            <w:tcW w:w="11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40"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CCEEFF"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Balance at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22,686,025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29,761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27,152,255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51,083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13,301,649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629" w:type="dxa"/>
            <w:tcBorders/>
            <w:shd w:fill="CCEEFF" w:val="clear"/>
            <w:vAlign w:val="center"/>
          </w:tcPr>
          <w:p>
            <w:pPr>
              <w:pStyle w:val="TableContents"/>
              <w:spacing w:before="0" w:after="283"/>
              <w:jc w:val="right"/>
              <w:rPr/>
            </w:pPr>
            <w:r>
              <w:rPr/>
              <w:t>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w:t>
            </w:r>
          </w:p>
        </w:tc>
        <w:tc>
          <w:tcPr>
            <w:tcW w:w="880" w:type="dxa"/>
            <w:tcBorders/>
            <w:shd w:fill="CCEEFF" w:val="clear"/>
            <w:vAlign w:val="center"/>
          </w:tcPr>
          <w:p>
            <w:pPr>
              <w:pStyle w:val="TableContents"/>
              <w:spacing w:before="0" w:after="283"/>
              <w:jc w:val="right"/>
              <w:rPr/>
            </w:pPr>
            <w:r>
              <w:rPr/>
              <w:t>5,127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w:t>
            </w:r>
          </w:p>
        </w:tc>
        <w:tc>
          <w:tcPr>
            <w:tcW w:w="1177" w:type="dxa"/>
            <w:tcBorders/>
            <w:shd w:fill="CCEEFF" w:val="clear"/>
            <w:vAlign w:val="center"/>
          </w:tcPr>
          <w:p>
            <w:pPr>
              <w:pStyle w:val="TableContents"/>
              <w:spacing w:before="0" w:after="283"/>
              <w:jc w:val="right"/>
              <w:rPr/>
            </w:pPr>
            <w:r>
              <w:rPr/>
              <w:t>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w:t>
            </w:r>
          </w:p>
        </w:tc>
        <w:tc>
          <w:tcPr>
            <w:tcW w:w="1182" w:type="dxa"/>
            <w:tcBorders/>
            <w:shd w:fill="CCEEFF" w:val="clear"/>
            <w:vAlign w:val="center"/>
          </w:tcPr>
          <w:p>
            <w:pPr>
              <w:pStyle w:val="TableContents"/>
              <w:spacing w:before="0" w:after="283"/>
              <w:jc w:val="right"/>
              <w:rPr/>
            </w:pPr>
            <w:r>
              <w:rPr/>
              <w:t>(103,101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1156" w:type="dxa"/>
            <w:tcBorders/>
            <w:shd w:fill="CCEEFF" w:val="clear"/>
            <w:vAlign w:val="center"/>
          </w:tcPr>
          <w:p>
            <w:pPr>
              <w:pStyle w:val="TableContents"/>
              <w:spacing w:before="0" w:after="283"/>
              <w:jc w:val="right"/>
              <w:rPr/>
            </w:pPr>
            <w:r>
              <w:rPr/>
              <w:t>(97,944</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Issuance of Series B redeemable convertible preferred stock, net of issuance costs of less than $0.1 million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22,686,025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29,990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Exercise of stock options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895,093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439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440</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Vesting of restricted common stock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2</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Stock 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950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950</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Other comprehensive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15</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(12,106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(12,106</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Balance at March 31,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55,700,000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55,700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45,372,050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59,751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27,152,255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51,083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14,196,742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629" w:type="dxa"/>
            <w:tcBorders/>
            <w:shd w:fill="auto" w:val="clear"/>
            <w:vAlign w:val="center"/>
          </w:tcPr>
          <w:p>
            <w:pPr>
              <w:pStyle w:val="TableContents"/>
              <w:spacing w:before="0" w:after="283"/>
              <w:jc w:val="right"/>
              <w:rPr/>
            </w:pPr>
            <w:r>
              <w:rPr/>
              <w:t>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w:t>
            </w:r>
          </w:p>
        </w:tc>
        <w:tc>
          <w:tcPr>
            <w:tcW w:w="880" w:type="dxa"/>
            <w:tcBorders/>
            <w:shd w:fill="auto" w:val="clear"/>
            <w:vAlign w:val="center"/>
          </w:tcPr>
          <w:p>
            <w:pPr>
              <w:pStyle w:val="TableContents"/>
              <w:spacing w:before="0" w:after="283"/>
              <w:jc w:val="right"/>
              <w:rPr/>
            </w:pPr>
            <w:r>
              <w:rPr/>
              <w:t>6,518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w:t>
            </w:r>
          </w:p>
        </w:tc>
        <w:tc>
          <w:tcPr>
            <w:tcW w:w="1177" w:type="dxa"/>
            <w:tcBorders/>
            <w:shd w:fill="auto" w:val="clear"/>
            <w:vAlign w:val="center"/>
          </w:tcPr>
          <w:p>
            <w:pPr>
              <w:pStyle w:val="TableContents"/>
              <w:spacing w:before="0" w:after="283"/>
              <w:jc w:val="right"/>
              <w:rPr/>
            </w:pPr>
            <w:r>
              <w:rPr/>
              <w:t>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w:t>
            </w:r>
          </w:p>
        </w:tc>
        <w:tc>
          <w:tcPr>
            <w:tcW w:w="1182" w:type="dxa"/>
            <w:tcBorders/>
            <w:shd w:fill="auto" w:val="clear"/>
            <w:vAlign w:val="center"/>
          </w:tcPr>
          <w:p>
            <w:pPr>
              <w:pStyle w:val="TableContents"/>
              <w:spacing w:before="0" w:after="283"/>
              <w:jc w:val="right"/>
              <w:rPr/>
            </w:pPr>
            <w:r>
              <w:rPr/>
              <w:t>(115,207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156" w:type="dxa"/>
            <w:tcBorders/>
            <w:shd w:fill="auto" w:val="clear"/>
            <w:vAlign w:val="center"/>
          </w:tcPr>
          <w:p>
            <w:pPr>
              <w:pStyle w:val="TableContents"/>
              <w:spacing w:before="0" w:after="283"/>
              <w:jc w:val="right"/>
              <w:rPr/>
            </w:pPr>
            <w:r>
              <w:rPr/>
              <w:t>(108,643</w:t>
            </w:r>
          </w:p>
        </w:tc>
        <w:tc>
          <w:tcPr>
            <w:tcW w:w="170" w:type="dxa"/>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2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Exercise of stock options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620,361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323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324</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Vesting of restricted common stock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Stock 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1,196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1,196</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Other comprehensive loss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(30</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(4,493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(4,493</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Balance at June 30,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55,700,000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55,700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45,372,050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59,751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27,152,255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51,083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14,817,103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629" w:type="dxa"/>
            <w:tcBorders/>
            <w:shd w:fill="auto" w:val="clear"/>
            <w:vAlign w:val="center"/>
          </w:tcPr>
          <w:p>
            <w:pPr>
              <w:pStyle w:val="TableContents"/>
              <w:spacing w:before="0" w:after="283"/>
              <w:jc w:val="right"/>
              <w:rPr/>
            </w:pPr>
            <w:r>
              <w:rPr/>
              <w:t>15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w:t>
            </w:r>
          </w:p>
        </w:tc>
        <w:tc>
          <w:tcPr>
            <w:tcW w:w="880" w:type="dxa"/>
            <w:tcBorders/>
            <w:shd w:fill="auto" w:val="clear"/>
            <w:vAlign w:val="center"/>
          </w:tcPr>
          <w:p>
            <w:pPr>
              <w:pStyle w:val="TableContents"/>
              <w:spacing w:before="0" w:after="283"/>
              <w:jc w:val="right"/>
              <w:rPr/>
            </w:pPr>
            <w:r>
              <w:rPr/>
              <w:t>8,040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w:t>
            </w:r>
          </w:p>
        </w:tc>
        <w:tc>
          <w:tcPr>
            <w:tcW w:w="1177"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w:t>
            </w:r>
          </w:p>
        </w:tc>
        <w:tc>
          <w:tcPr>
            <w:tcW w:w="1182" w:type="dxa"/>
            <w:tcBorders/>
            <w:shd w:fill="auto" w:val="clear"/>
            <w:vAlign w:val="center"/>
          </w:tcPr>
          <w:p>
            <w:pPr>
              <w:pStyle w:val="TableContents"/>
              <w:spacing w:before="0" w:after="283"/>
              <w:jc w:val="right"/>
              <w:rPr/>
            </w:pPr>
            <w:r>
              <w:rPr/>
              <w:t>(119,700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156" w:type="dxa"/>
            <w:tcBorders/>
            <w:shd w:fill="auto" w:val="clear"/>
            <w:vAlign w:val="center"/>
          </w:tcPr>
          <w:p>
            <w:pPr>
              <w:pStyle w:val="TableContents"/>
              <w:spacing w:before="0" w:after="283"/>
              <w:jc w:val="right"/>
              <w:rPr/>
            </w:pPr>
            <w:r>
              <w:rPr/>
              <w:t>(111,643</w:t>
            </w:r>
          </w:p>
        </w:tc>
        <w:tc>
          <w:tcPr>
            <w:tcW w:w="170" w:type="dxa"/>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2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F-37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CONSOLIDATED STATEMENTS OF REDEEMABLE CONVERTIBLE PREFERRED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STOCK AND STOCKHOLDERS’ DEFICIT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data)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(Unaudited) </w:t>
      </w:r>
    </w:p>
    <w:tbl>
      <w:tblPr>
        <w:tblW w:w="14340" w:type="dxa"/>
        <w:jc w:val="left"/>
        <w:tblInd w:w="0" w:type="dxa"/>
        <w:tblCellMar>
          <w:top w:w="0" w:type="dxa"/>
          <w:left w:w="0" w:type="dxa"/>
          <w:bottom w:w="0" w:type="dxa"/>
          <w:right w:w="0" w:type="dxa"/>
        </w:tblCellMar>
      </w:tblPr>
      <w:tblGrid>
        <w:gridCol w:w="1265"/>
        <w:gridCol w:w="60"/>
        <w:gridCol w:w="60"/>
        <w:gridCol w:w="1100"/>
        <w:gridCol w:w="60"/>
        <w:gridCol w:w="60"/>
        <w:gridCol w:w="146"/>
        <w:gridCol w:w="714"/>
        <w:gridCol w:w="60"/>
        <w:gridCol w:w="60"/>
        <w:gridCol w:w="60"/>
        <w:gridCol w:w="1100"/>
        <w:gridCol w:w="60"/>
        <w:gridCol w:w="60"/>
        <w:gridCol w:w="146"/>
        <w:gridCol w:w="714"/>
        <w:gridCol w:w="60"/>
        <w:gridCol w:w="60"/>
        <w:gridCol w:w="60"/>
        <w:gridCol w:w="1100"/>
        <w:gridCol w:w="155"/>
        <w:gridCol w:w="60"/>
        <w:gridCol w:w="231"/>
        <w:gridCol w:w="629"/>
        <w:gridCol w:w="60"/>
        <w:gridCol w:w="60"/>
        <w:gridCol w:w="220"/>
        <w:gridCol w:w="880"/>
        <w:gridCol w:w="60"/>
        <w:gridCol w:w="60"/>
        <w:gridCol w:w="433"/>
        <w:gridCol w:w="1177"/>
        <w:gridCol w:w="155"/>
        <w:gridCol w:w="60"/>
        <w:gridCol w:w="214"/>
        <w:gridCol w:w="1156"/>
        <w:gridCol w:w="155"/>
        <w:gridCol w:w="60"/>
        <w:gridCol w:w="209"/>
        <w:gridCol w:w="1131"/>
        <w:gridCol w:w="170"/>
      </w:tblGrid>
      <w:tr>
        <w:trPr/>
        <w:tc>
          <w:tcPr>
            <w:tcW w:w="1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755" w:type="dxa"/>
            <w:gridSpan w:val="22"/>
            <w:tcBorders/>
            <w:shd w:fill="auto" w:val="clear"/>
            <w:vAlign w:val="center"/>
          </w:tcPr>
          <w:p>
            <w:pPr>
              <w:pStyle w:val="TableContents"/>
              <w:spacing w:before="0" w:after="0"/>
              <w:jc w:val="center"/>
              <w:rPr>
                <w:b/>
                <w:spacing w:val="0"/>
              </w:rPr>
            </w:pPr>
            <w:r>
              <w:rPr>
                <w:b/>
                <w:spacing w:val="0"/>
              </w:rPr>
              <w:t>Redeemable Convertible Preferred Stock</w:t>
            </w:r>
          </w:p>
        </w:tc>
        <w:tc>
          <w:tcPr>
            <w:tcW w:w="60" w:type="dxa"/>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100"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pPr>
            <w:r>
              <w:rPr/>
            </w:r>
          </w:p>
          <w:p>
            <w:pPr>
              <w:pStyle w:val="TableContents"/>
              <w:spacing w:before="0" w:after="0"/>
              <w:jc w:val="center"/>
              <w:rPr>
                <w:b/>
                <w:spacing w:val="0"/>
              </w:rPr>
            </w:pPr>
            <w:r>
              <w:rPr>
                <w:b/>
                <w:spacing w:val="0"/>
              </w:rPr>
              <w:t>Paid-in</w:t>
            </w:r>
          </w:p>
          <w:p>
            <w:pPr>
              <w:pStyle w:val="TableContents"/>
              <w:spacing w:before="0" w:after="0"/>
              <w:jc w:val="center"/>
              <w:rPr/>
            </w:pPr>
            <w:r>
              <w:rPr/>
            </w:r>
          </w:p>
          <w:p>
            <w:pPr>
              <w:pStyle w:val="TableContents"/>
              <w:spacing w:before="0" w:after="0"/>
              <w:jc w:val="center"/>
              <w:rPr>
                <w:b/>
                <w:spacing w:val="0"/>
              </w:rPr>
            </w:pPr>
            <w:r>
              <w:rPr>
                <w:b/>
                <w:spacing w:val="0"/>
              </w:rPr>
              <w:t>Capital</w:t>
            </w:r>
          </w:p>
        </w:tc>
        <w:tc>
          <w:tcPr>
            <w:tcW w:w="60"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61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Other</w:t>
            </w:r>
          </w:p>
          <w:p>
            <w:pPr>
              <w:pStyle w:val="TableContents"/>
              <w:spacing w:before="0" w:after="0"/>
              <w:jc w:val="center"/>
              <w:rPr/>
            </w:pPr>
            <w:r>
              <w:rPr/>
            </w:r>
          </w:p>
          <w:p>
            <w:pPr>
              <w:pStyle w:val="TableContents"/>
              <w:spacing w:before="0" w:after="0"/>
              <w:jc w:val="center"/>
              <w:rPr>
                <w:b/>
                <w:spacing w:val="0"/>
              </w:rPr>
            </w:pPr>
            <w:r>
              <w:rPr>
                <w:b/>
                <w:spacing w:val="0"/>
              </w:rPr>
              <w:t>Comprehensive</w:t>
            </w:r>
          </w:p>
          <w:p>
            <w:pPr>
              <w:pStyle w:val="TableContents"/>
              <w:spacing w:before="0" w:after="0"/>
              <w:jc w:val="center"/>
              <w:rPr/>
            </w:pPr>
            <w:r>
              <w:rPr/>
            </w:r>
          </w:p>
          <w:p>
            <w:pPr>
              <w:pStyle w:val="TableContents"/>
              <w:spacing w:before="0" w:after="0"/>
              <w:jc w:val="center"/>
              <w:rPr>
                <w:b/>
                <w:spacing w:val="0"/>
              </w:rPr>
            </w:pPr>
            <w:r>
              <w:rPr>
                <w:b/>
                <w:spacing w:val="0"/>
              </w:rPr>
              <w:t>Income (Loss)</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370" w:type="dxa"/>
            <w:gridSpan w:val="2"/>
            <w:vMerge w:val="restart"/>
            <w:tcBorders/>
            <w:shd w:fill="auto" w:val="clear"/>
            <w:vAlign w:val="center"/>
          </w:tcPr>
          <w:p>
            <w:pPr>
              <w:pStyle w:val="TableContents"/>
              <w:spacing w:before="0" w:after="0"/>
              <w:jc w:val="center"/>
              <w:rPr>
                <w:b/>
                <w:spacing w:val="0"/>
              </w:rPr>
            </w:pPr>
            <w:r>
              <w:rPr>
                <w:b/>
                <w:spacing w:val="0"/>
              </w:rPr>
              <w:t>Accumulated</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340" w:type="dxa"/>
            <w:gridSpan w:val="2"/>
            <w:vMerge w:val="restart"/>
            <w:tcBorders/>
            <w:shd w:fill="auto" w:val="cle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Stockholders’</w:t>
            </w:r>
          </w:p>
          <w:p>
            <w:pPr>
              <w:pStyle w:val="TableContents"/>
              <w:spacing w:before="0" w:after="0"/>
              <w:jc w:val="center"/>
              <w:rPr/>
            </w:pPr>
            <w:r>
              <w:rPr/>
            </w:r>
          </w:p>
          <w:p>
            <w:pPr>
              <w:pStyle w:val="TableContents"/>
              <w:spacing w:before="0" w:after="0"/>
              <w:jc w:val="center"/>
              <w:rPr>
                <w:b/>
                <w:spacing w:val="0"/>
              </w:rPr>
            </w:pPr>
            <w:r>
              <w:rPr>
                <w:b/>
                <w:spacing w:val="0"/>
              </w:rPr>
              <w:t>Deficit</w:t>
            </w:r>
          </w:p>
        </w:tc>
        <w:tc>
          <w:tcPr>
            <w:tcW w:w="170" w:type="dxa"/>
            <w:vMerge w:val="restart"/>
            <w:tcBorders/>
            <w:shd w:fill="auto" w:val="clear"/>
            <w:vAlign w:val="center"/>
          </w:tcPr>
          <w:p>
            <w:pPr>
              <w:pStyle w:val="TableContents"/>
              <w:spacing w:before="0" w:after="0"/>
              <w:rPr>
                <w:spacing w:val="0"/>
              </w:rPr>
            </w:pPr>
            <w:r>
              <w:rPr>
                <w:spacing w:val="0"/>
              </w:rPr>
              <w:t> </w:t>
            </w:r>
          </w:p>
        </w:tc>
      </w:tr>
      <w:tr>
        <w:trPr/>
        <w:tc>
          <w:tcPr>
            <w:tcW w:w="126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Series A</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Series B</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235" w:type="dxa"/>
            <w:gridSpan w:val="6"/>
            <w:tcBorders/>
            <w:shd w:fill="auto" w:val="cle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0"/>
              <w:rPr>
                <w:spacing w:val="0"/>
              </w:rPr>
            </w:pPr>
            <w:r>
              <w:rPr>
                <w:spacing w:val="0"/>
              </w:rPr>
              <w:t> </w:t>
            </w:r>
          </w:p>
        </w:tc>
        <w:tc>
          <w:tcPr>
            <w:tcW w:w="6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40"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26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40"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December 31,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13,334,856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629" w:type="dxa"/>
            <w:tcBorders/>
            <w:shd w:fill="CCEEFF" w:val="clear"/>
            <w:vAlign w:val="center"/>
          </w:tcPr>
          <w:p>
            <w:pPr>
              <w:pStyle w:val="TableContents"/>
              <w:spacing w:before="0" w:after="283"/>
              <w:jc w:val="right"/>
              <w:rPr/>
            </w:pPr>
            <w:r>
              <w:rPr/>
              <w:t>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w:t>
            </w:r>
          </w:p>
        </w:tc>
        <w:tc>
          <w:tcPr>
            <w:tcW w:w="880" w:type="dxa"/>
            <w:tcBorders/>
            <w:shd w:fill="CCEEFF" w:val="clear"/>
            <w:vAlign w:val="center"/>
          </w:tcPr>
          <w:p>
            <w:pPr>
              <w:pStyle w:val="TableContents"/>
              <w:spacing w:before="0" w:after="283"/>
              <w:jc w:val="right"/>
              <w:rPr/>
            </w:pPr>
            <w:r>
              <w:rPr/>
              <w:t>3,311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w:t>
            </w:r>
          </w:p>
        </w:tc>
        <w:tc>
          <w:tcPr>
            <w:tcW w:w="1177" w:type="dxa"/>
            <w:tcBorders/>
            <w:shd w:fill="CCEEFF" w:val="clear"/>
            <w:vAlign w:val="center"/>
          </w:tcPr>
          <w:p>
            <w:pPr>
              <w:pStyle w:val="TableContents"/>
              <w:spacing w:before="0" w:after="283"/>
              <w:jc w:val="right"/>
              <w:rPr/>
            </w:pPr>
            <w:r>
              <w:rPr/>
              <w:t>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w:t>
            </w:r>
          </w:p>
        </w:tc>
        <w:tc>
          <w:tcPr>
            <w:tcW w:w="1156" w:type="dxa"/>
            <w:tcBorders/>
            <w:shd w:fill="CCEEFF" w:val="clear"/>
            <w:vAlign w:val="center"/>
          </w:tcPr>
          <w:p>
            <w:pPr>
              <w:pStyle w:val="TableContents"/>
              <w:spacing w:before="0" w:after="283"/>
              <w:jc w:val="right"/>
              <w:rPr/>
            </w:pPr>
            <w:r>
              <w:rPr/>
              <w:t>(51,129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w:t>
            </w:r>
          </w:p>
        </w:tc>
        <w:tc>
          <w:tcPr>
            <w:tcW w:w="1131" w:type="dxa"/>
            <w:tcBorders/>
            <w:shd w:fill="CCEEFF" w:val="clear"/>
            <w:vAlign w:val="center"/>
          </w:tcPr>
          <w:p>
            <w:pPr>
              <w:pStyle w:val="TableContents"/>
              <w:spacing w:before="0" w:after="283"/>
              <w:jc w:val="right"/>
              <w:rPr/>
            </w:pPr>
            <w:r>
              <w:rPr/>
              <w:t>(47,795</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Repurchase of restricted common stock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(75,000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Vesting of restricted common stock awards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3</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 based compensation expense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408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408</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15</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(7,914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(7,914</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March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13,259,856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w:t>
            </w:r>
          </w:p>
        </w:tc>
        <w:tc>
          <w:tcPr>
            <w:tcW w:w="629" w:type="dxa"/>
            <w:tcBorders/>
            <w:shd w:fill="CCEEFF" w:val="clear"/>
            <w:vAlign w:val="center"/>
          </w:tcPr>
          <w:p>
            <w:pPr>
              <w:pStyle w:val="TableContents"/>
              <w:spacing w:before="0" w:after="283"/>
              <w:jc w:val="right"/>
              <w:rPr/>
            </w:pPr>
            <w:r>
              <w:rPr/>
              <w:t>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w:t>
            </w:r>
          </w:p>
        </w:tc>
        <w:tc>
          <w:tcPr>
            <w:tcW w:w="880" w:type="dxa"/>
            <w:tcBorders/>
            <w:shd w:fill="CCEEFF" w:val="clear"/>
            <w:vAlign w:val="center"/>
          </w:tcPr>
          <w:p>
            <w:pPr>
              <w:pStyle w:val="TableContents"/>
              <w:spacing w:before="0" w:after="283"/>
              <w:jc w:val="right"/>
              <w:rPr/>
            </w:pPr>
            <w:r>
              <w:rPr/>
              <w:t>3,722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w:t>
            </w:r>
          </w:p>
        </w:tc>
        <w:tc>
          <w:tcPr>
            <w:tcW w:w="1177" w:type="dxa"/>
            <w:tcBorders/>
            <w:shd w:fill="CCEEFF" w:val="clear"/>
            <w:vAlign w:val="center"/>
          </w:tcPr>
          <w:p>
            <w:pPr>
              <w:pStyle w:val="TableContents"/>
              <w:spacing w:before="0" w:after="283"/>
              <w:jc w:val="right"/>
              <w:rPr/>
            </w:pPr>
            <w:r>
              <w:rPr/>
              <w:t>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w:t>
            </w:r>
          </w:p>
        </w:tc>
        <w:tc>
          <w:tcPr>
            <w:tcW w:w="1156" w:type="dxa"/>
            <w:tcBorders/>
            <w:shd w:fill="CCEEFF" w:val="clear"/>
            <w:vAlign w:val="center"/>
          </w:tcPr>
          <w:p>
            <w:pPr>
              <w:pStyle w:val="TableContents"/>
              <w:spacing w:before="0" w:after="283"/>
              <w:jc w:val="right"/>
              <w:rPr/>
            </w:pPr>
            <w:r>
              <w:rPr/>
              <w:t>(59,043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w:t>
            </w:r>
          </w:p>
        </w:tc>
        <w:tc>
          <w:tcPr>
            <w:tcW w:w="1131" w:type="dxa"/>
            <w:tcBorders/>
            <w:shd w:fill="CCEEFF" w:val="clear"/>
            <w:vAlign w:val="center"/>
          </w:tcPr>
          <w:p>
            <w:pPr>
              <w:pStyle w:val="TableContents"/>
              <w:spacing w:before="0" w:after="283"/>
              <w:jc w:val="right"/>
              <w:rPr/>
            </w:pPr>
            <w:r>
              <w:rPr/>
              <w:t>(55,283</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2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Issuance of Series </w:t>
            </w:r>
          </w:p>
          <w:p>
            <w:pPr>
              <w:pStyle w:val="TableContents"/>
              <w:spacing w:before="0" w:after="0"/>
              <w:rPr>
                <w:rFonts w:ascii="Times New Roman" w:hAnsi="Times New Roman"/>
                <w:spacing w:val="0"/>
                <w:sz w:val="20"/>
              </w:rPr>
            </w:pPr>
            <w:r>
              <w:rPr>
                <w:rFonts w:ascii="Times New Roman" w:hAnsi="Times New Roman"/>
                <w:spacing w:val="0"/>
                <w:sz w:val="20"/>
              </w:rPr>
              <w:t>B-1</w:t>
            </w:r>
          </w:p>
          <w:p>
            <w:pPr>
              <w:pStyle w:val="TableContents"/>
              <w:spacing w:before="0" w:after="0"/>
              <w:rPr>
                <w:rFonts w:ascii="Times New Roman" w:hAnsi="Times New Roman"/>
                <w:sz w:val="20"/>
              </w:rPr>
            </w:pPr>
            <w:r>
              <w:rPr>
                <w:rFonts w:ascii="Times New Roman" w:hAnsi="Times New Roman"/>
                <w:sz w:val="20"/>
              </w:rPr>
              <w:t>redeemable convertible preferred stock, net of issuance costs of less than $0.2 million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22,686,025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29,761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 of Stock Options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19,687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9</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Vesting of restricted common stock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3</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 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407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407</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loss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(14</w:t>
            </w:r>
          </w:p>
        </w:tc>
        <w:tc>
          <w:tcPr>
            <w:tcW w:w="170" w:type="dxa"/>
            <w:tcBorders/>
            <w:shd w:fill="auto" w:val="clear"/>
            <w:vAlign w:val="center"/>
          </w:tcPr>
          <w:p>
            <w:pPr>
              <w:pStyle w:val="TableContents"/>
              <w:spacing w:before="0" w:after="283"/>
              <w:rPr/>
            </w:pPr>
            <w:r>
              <w:rPr/>
              <w:t>) </w:t>
            </w:r>
          </w:p>
        </w:tc>
      </w:tr>
      <w:tr>
        <w:trPr/>
        <w:tc>
          <w:tcPr>
            <w:tcW w:w="12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156" w:type="dxa"/>
            <w:tcBorders/>
            <w:shd w:fill="CCEEFF" w:val="clear"/>
            <w:vAlign w:val="center"/>
          </w:tcPr>
          <w:p>
            <w:pPr>
              <w:pStyle w:val="TableContents"/>
              <w:spacing w:before="0" w:after="283"/>
              <w:jc w:val="right"/>
              <w:rPr/>
            </w:pPr>
            <w:r>
              <w:rPr/>
              <w:t>(8,392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(8,392</w:t>
            </w:r>
          </w:p>
        </w:tc>
        <w:tc>
          <w:tcPr>
            <w:tcW w:w="170" w:type="dxa"/>
            <w:tcBorders/>
            <w:shd w:fill="CCEEFF"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at June 30, 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55,700,000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55,700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22,686,025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29,761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13,279,543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w:t>
            </w:r>
          </w:p>
        </w:tc>
        <w:tc>
          <w:tcPr>
            <w:tcW w:w="629" w:type="dxa"/>
            <w:tcBorders/>
            <w:shd w:fill="auto" w:val="clear"/>
            <w:vAlign w:val="center"/>
          </w:tcPr>
          <w:p>
            <w:pPr>
              <w:pStyle w:val="TableContents"/>
              <w:spacing w:before="0" w:after="283"/>
              <w:jc w:val="right"/>
              <w:rPr/>
            </w:pPr>
            <w:r>
              <w:rPr/>
              <w:t>13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w:t>
            </w:r>
          </w:p>
        </w:tc>
        <w:tc>
          <w:tcPr>
            <w:tcW w:w="880" w:type="dxa"/>
            <w:tcBorders/>
            <w:shd w:fill="auto" w:val="clear"/>
            <w:vAlign w:val="center"/>
          </w:tcPr>
          <w:p>
            <w:pPr>
              <w:pStyle w:val="TableContents"/>
              <w:spacing w:before="0" w:after="283"/>
              <w:jc w:val="right"/>
              <w:rPr/>
            </w:pPr>
            <w:r>
              <w:rPr/>
              <w:t>4,141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w:t>
            </w:r>
          </w:p>
        </w:tc>
        <w:tc>
          <w:tcPr>
            <w:tcW w:w="1177" w:type="dxa"/>
            <w:tcBorders/>
            <w:shd w:fill="auto" w:val="clear"/>
            <w:vAlign w:val="center"/>
          </w:tcPr>
          <w:p>
            <w:pPr>
              <w:pStyle w:val="TableContents"/>
              <w:spacing w:before="0" w:after="283"/>
              <w:jc w:val="right"/>
              <w:rPr/>
            </w:pPr>
            <w:r>
              <w:rPr/>
              <w:t>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w:t>
            </w:r>
          </w:p>
        </w:tc>
        <w:tc>
          <w:tcPr>
            <w:tcW w:w="1156" w:type="dxa"/>
            <w:tcBorders/>
            <w:shd w:fill="auto" w:val="clear"/>
            <w:vAlign w:val="center"/>
          </w:tcPr>
          <w:p>
            <w:pPr>
              <w:pStyle w:val="TableContents"/>
              <w:spacing w:before="0" w:after="283"/>
              <w:jc w:val="right"/>
              <w:rPr/>
            </w:pPr>
            <w:r>
              <w:rPr/>
              <w:t>(67,435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w:t>
            </w:r>
          </w:p>
        </w:tc>
        <w:tc>
          <w:tcPr>
            <w:tcW w:w="1131" w:type="dxa"/>
            <w:tcBorders/>
            <w:shd w:fill="auto" w:val="clear"/>
            <w:vAlign w:val="center"/>
          </w:tcPr>
          <w:p>
            <w:pPr>
              <w:pStyle w:val="TableContents"/>
              <w:spacing w:before="0" w:after="283"/>
              <w:jc w:val="right"/>
              <w:rPr/>
            </w:pPr>
            <w:r>
              <w:rPr/>
              <w:t>(63,270</w:t>
            </w:r>
          </w:p>
        </w:tc>
        <w:tc>
          <w:tcPr>
            <w:tcW w:w="17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2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96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 unaudited condensed consolidated financial statements.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F-38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spacing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108"/>
        <w:gridCol w:w="120"/>
        <w:gridCol w:w="184"/>
        <w:gridCol w:w="1076"/>
        <w:gridCol w:w="203"/>
        <w:gridCol w:w="78"/>
        <w:gridCol w:w="184"/>
        <w:gridCol w:w="1078"/>
        <w:gridCol w:w="174"/>
      </w:tblGrid>
      <w:tr>
        <w:trPr/>
        <w:tc>
          <w:tcPr>
            <w:tcW w:w="71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03"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174" w:type="dxa"/>
            <w:tcBorders/>
            <w:shd w:fill="auto"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60" w:type="dxa"/>
            <w:gridSpan w:val="2"/>
            <w:tcBorders/>
            <w:shd w:fill="auto" w:val="clear"/>
            <w:vAlign w:val="center"/>
          </w:tcPr>
          <w:p>
            <w:pPr>
              <w:pStyle w:val="TableContents"/>
              <w:spacing w:before="0" w:after="0"/>
              <w:jc w:val="center"/>
              <w:rPr>
                <w:b/>
                <w:spacing w:val="0"/>
              </w:rPr>
            </w:pPr>
            <w:r>
              <w:rPr>
                <w:b/>
                <w:spacing w:val="0"/>
              </w:rPr>
              <w:t>2021</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62" w:type="dxa"/>
            <w:gridSpan w:val="2"/>
            <w:tcBorders/>
            <w:shd w:fill="auto" w:val="clear"/>
            <w:vAlign w:val="center"/>
          </w:tcPr>
          <w:p>
            <w:pPr>
              <w:pStyle w:val="TableContents"/>
              <w:spacing w:before="0" w:after="0"/>
              <w:jc w:val="center"/>
              <w:rPr>
                <w:b/>
                <w:spacing w:val="0"/>
              </w:rPr>
            </w:pPr>
            <w:r>
              <w:rPr>
                <w:b/>
                <w:spacing w:val="0"/>
              </w:rPr>
              <w:t>2020</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6" w:type="dxa"/>
            <w:tcBorders/>
            <w:shd w:fill="auto" w:val="clear"/>
            <w:vAlign w:val="center"/>
          </w:tcPr>
          <w:p>
            <w:pPr>
              <w:pStyle w:val="TableContents"/>
              <w:spacing w:before="0" w:after="283"/>
              <w:jc w:val="right"/>
              <w:rPr/>
            </w:pPr>
            <w:r>
              <w:rPr/>
              <w:t> </w:t>
            </w:r>
            <w:r>
              <w:rPr/>
              <w:t>(16,599</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8" w:type="dxa"/>
            <w:tcBorders/>
            <w:shd w:fill="auto" w:val="clear"/>
            <w:vAlign w:val="center"/>
          </w:tcPr>
          <w:p>
            <w:pPr>
              <w:pStyle w:val="TableContents"/>
              <w:spacing w:before="0" w:after="283"/>
              <w:jc w:val="right"/>
              <w:rPr/>
            </w:pPr>
            <w:r>
              <w:rPr/>
              <w:t> </w:t>
            </w:r>
            <w:r>
              <w:rPr/>
              <w:t>(16,306</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416</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341</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Noncash operating lease expense</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492</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442</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2,146</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815</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net</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118</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(98</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(395</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361</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long-term assets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13</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2,749</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1,440</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 and other liabilities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(78</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34</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liabilities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(454</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(377</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(9,539</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(9,775</w:t>
            </w:r>
          </w:p>
        </w:tc>
        <w:tc>
          <w:tcPr>
            <w:tcW w:w="174" w:type="dxa"/>
            <w:tcBorders/>
            <w:shd w:fill="auto"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1076" w:type="dxa"/>
            <w:tcBorders/>
            <w:shd w:fill="CCEEFF" w:val="clear"/>
            <w:vAlign w:val="center"/>
          </w:tcPr>
          <w:p>
            <w:pPr>
              <w:pStyle w:val="TableContents"/>
              <w:spacing w:before="0" w:after="283"/>
              <w:jc w:val="right"/>
              <w:rPr/>
            </w:pPr>
            <w:r>
              <w:rPr/>
              <w:t> </w:t>
            </w:r>
            <w:r>
              <w:rPr/>
              <w:t>(21,131</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1078" w:type="dxa"/>
            <w:tcBorders/>
            <w:shd w:fill="CCEEFF" w:val="clear"/>
            <w:vAlign w:val="center"/>
          </w:tcPr>
          <w:p>
            <w:pPr>
              <w:pStyle w:val="TableContents"/>
              <w:spacing w:before="0" w:after="283"/>
              <w:jc w:val="right"/>
              <w:rPr/>
            </w:pPr>
            <w:r>
              <w:rPr/>
              <w:t> </w:t>
            </w:r>
            <w:r>
              <w:rPr/>
              <w:t>(23,123</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 of property and equipment</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(367</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(518</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maturities of marketable securities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100,471</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16,327</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Purchases of marketable securities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(86,117</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(32,316</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(used in) investing activities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6" w:type="dxa"/>
            <w:tcBorders/>
            <w:shd w:fill="auto" w:val="clear"/>
            <w:vAlign w:val="center"/>
          </w:tcPr>
          <w:p>
            <w:pPr>
              <w:pStyle w:val="TableContents"/>
              <w:spacing w:before="0" w:after="283"/>
              <w:jc w:val="right"/>
              <w:rPr/>
            </w:pPr>
            <w:r>
              <w:rPr/>
              <w:t>13,987</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8" w:type="dxa"/>
            <w:tcBorders/>
            <w:shd w:fill="auto" w:val="clear"/>
            <w:vAlign w:val="center"/>
          </w:tcPr>
          <w:p>
            <w:pPr>
              <w:pStyle w:val="TableContents"/>
              <w:spacing w:before="0" w:after="283"/>
              <w:jc w:val="right"/>
              <w:rPr/>
            </w:pPr>
            <w:r>
              <w:rPr/>
              <w:t> </w:t>
            </w:r>
            <w:r>
              <w:rPr/>
              <w:t>(16,507</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issuance of preferred stock, net of issuance costs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29,990</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29,850</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issuance of common stock upon exercise of stock options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764</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9</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 of merger with BCTG and PIPE financing transaction costs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(1,089</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  </w:t>
            </w:r>
          </w:p>
        </w:tc>
        <w:tc>
          <w:tcPr>
            <w:tcW w:w="174" w:type="dxa"/>
            <w:tcBorders/>
            <w:shd w:fill="auto"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1076" w:type="dxa"/>
            <w:tcBorders/>
            <w:shd w:fill="CCEEFF" w:val="clear"/>
            <w:vAlign w:val="center"/>
          </w:tcPr>
          <w:p>
            <w:pPr>
              <w:pStyle w:val="TableContents"/>
              <w:spacing w:before="0" w:after="283"/>
              <w:jc w:val="right"/>
              <w:rPr/>
            </w:pPr>
            <w:r>
              <w:rPr/>
              <w:t>29,665</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1078" w:type="dxa"/>
            <w:tcBorders/>
            <w:shd w:fill="CCEEFF" w:val="clear"/>
            <w:vAlign w:val="center"/>
          </w:tcPr>
          <w:p>
            <w:pPr>
              <w:pStyle w:val="TableContents"/>
              <w:spacing w:before="0" w:after="283"/>
              <w:jc w:val="right"/>
              <w:rPr/>
            </w:pPr>
            <w:r>
              <w:rPr/>
              <w:t>29,859</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change in cash, cash equivalents and restricted cash</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6" w:type="dxa"/>
            <w:tcBorders/>
            <w:shd w:fill="auto" w:val="clear"/>
            <w:vAlign w:val="center"/>
          </w:tcPr>
          <w:p>
            <w:pPr>
              <w:pStyle w:val="TableContents"/>
              <w:spacing w:before="0" w:after="283"/>
              <w:jc w:val="right"/>
              <w:rPr/>
            </w:pPr>
            <w:r>
              <w:rPr/>
              <w:t>22,521</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8" w:type="dxa"/>
            <w:tcBorders/>
            <w:shd w:fill="auto" w:val="clear"/>
            <w:vAlign w:val="center"/>
          </w:tcPr>
          <w:p>
            <w:pPr>
              <w:pStyle w:val="TableContents"/>
              <w:spacing w:before="0" w:after="283"/>
              <w:jc w:val="right"/>
              <w:rPr/>
            </w:pPr>
            <w:r>
              <w:rPr/>
              <w:t>(9,771</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cash equivalents and restricted cash, beginning of period</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jc w:val="right"/>
              <w:rPr/>
            </w:pPr>
            <w:r>
              <w:rPr/>
              <w:t>30,660</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jc w:val="right"/>
              <w:rPr/>
            </w:pPr>
            <w:r>
              <w:rPr/>
              <w:t>25,168</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cash equivalents and restricted cash, end of period</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6" w:type="dxa"/>
            <w:tcBorders/>
            <w:shd w:fill="auto" w:val="clear"/>
            <w:vAlign w:val="center"/>
          </w:tcPr>
          <w:p>
            <w:pPr>
              <w:pStyle w:val="TableContents"/>
              <w:spacing w:before="0" w:after="283"/>
              <w:jc w:val="right"/>
              <w:rPr/>
            </w:pPr>
            <w:r>
              <w:rPr/>
              <w:t>53,181</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8" w:type="dxa"/>
            <w:tcBorders/>
            <w:shd w:fill="auto" w:val="clear"/>
            <w:vAlign w:val="center"/>
          </w:tcPr>
          <w:p>
            <w:pPr>
              <w:pStyle w:val="TableContents"/>
              <w:spacing w:before="0" w:after="283"/>
              <w:jc w:val="right"/>
              <w:rPr/>
            </w:pPr>
            <w:r>
              <w:rPr/>
              <w:t>15,397</w:t>
            </w:r>
          </w:p>
        </w:tc>
        <w:tc>
          <w:tcPr>
            <w:tcW w:w="174" w:type="dxa"/>
            <w:tcBorders/>
            <w:shd w:fill="auto"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Supplemental cash flow information:</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paid for leases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6" w:type="dxa"/>
            <w:tcBorders/>
            <w:shd w:fill="auto" w:val="clear"/>
            <w:vAlign w:val="center"/>
          </w:tcPr>
          <w:p>
            <w:pPr>
              <w:pStyle w:val="TableContents"/>
              <w:spacing w:before="0" w:after="283"/>
              <w:jc w:val="right"/>
              <w:rPr/>
            </w:pPr>
            <w:r>
              <w:rPr/>
              <w:t>907</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1078" w:type="dxa"/>
            <w:tcBorders/>
            <w:shd w:fill="auto" w:val="clear"/>
            <w:vAlign w:val="center"/>
          </w:tcPr>
          <w:p>
            <w:pPr>
              <w:pStyle w:val="TableContents"/>
              <w:spacing w:before="0" w:after="283"/>
              <w:jc w:val="right"/>
              <w:rPr/>
            </w:pPr>
            <w:r>
              <w:rPr/>
              <w:t>880</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Supplemental disclosure of noncash investing and financing activity:</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6"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1078"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r>
      <w:tr>
        <w:trPr/>
        <w:tc>
          <w:tcPr>
            <w:tcW w:w="7108"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Purchases of property and equipment included in accounts payable and accrued expenses</w:t>
            </w:r>
          </w:p>
        </w:tc>
        <w:tc>
          <w:tcPr>
            <w:tcW w:w="120"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6" w:type="dxa"/>
            <w:tcBorders/>
            <w:shd w:fill="auto" w:val="clear"/>
            <w:vAlign w:val="center"/>
          </w:tcPr>
          <w:p>
            <w:pPr>
              <w:pStyle w:val="TableContents"/>
              <w:spacing w:before="0" w:after="283"/>
              <w:jc w:val="right"/>
              <w:rPr/>
            </w:pPr>
            <w:r>
              <w:rPr/>
              <w:t>653</w:t>
            </w:r>
          </w:p>
        </w:tc>
        <w:tc>
          <w:tcPr>
            <w:tcW w:w="203"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w:t>
            </w:r>
          </w:p>
        </w:tc>
        <w:tc>
          <w:tcPr>
            <w:tcW w:w="1078" w:type="dxa"/>
            <w:tcBorders/>
            <w:shd w:fill="auto" w:val="clear"/>
            <w:vAlign w:val="center"/>
          </w:tcPr>
          <w:p>
            <w:pPr>
              <w:pStyle w:val="TableContents"/>
              <w:spacing w:before="0" w:after="283"/>
              <w:jc w:val="right"/>
              <w:rPr/>
            </w:pPr>
            <w:r>
              <w:rPr/>
              <w:t>48</w:t>
            </w:r>
          </w:p>
        </w:tc>
        <w:tc>
          <w:tcPr>
            <w:tcW w:w="174" w:type="dxa"/>
            <w:tcBorders/>
            <w:shd w:fill="auto" w:val="clear"/>
            <w:vAlign w:val="center"/>
          </w:tcPr>
          <w:p>
            <w:pPr>
              <w:pStyle w:val="TableContents"/>
              <w:spacing w:before="0" w:after="283"/>
              <w:rPr/>
            </w:pPr>
            <w:r>
              <w:rPr/>
              <w:t> </w:t>
            </w:r>
          </w:p>
        </w:tc>
      </w:tr>
      <w:tr>
        <w:trPr/>
        <w:tc>
          <w:tcPr>
            <w:tcW w:w="7108"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Merger with BCTG and PIPE financing deferred offering costs included in accounts payable and accrued expenses</w:t>
            </w:r>
          </w:p>
        </w:tc>
        <w:tc>
          <w:tcPr>
            <w:tcW w:w="120"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1076" w:type="dxa"/>
            <w:tcBorders/>
            <w:shd w:fill="CCEEFF" w:val="clear"/>
            <w:vAlign w:val="center"/>
          </w:tcPr>
          <w:p>
            <w:pPr>
              <w:pStyle w:val="TableContents"/>
              <w:spacing w:before="0" w:after="283"/>
              <w:jc w:val="right"/>
              <w:rPr/>
            </w:pPr>
            <w:r>
              <w:rPr/>
              <w:t>401</w:t>
            </w:r>
          </w:p>
        </w:tc>
        <w:tc>
          <w:tcPr>
            <w:tcW w:w="203"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w:t>
            </w:r>
          </w:p>
        </w:tc>
        <w:tc>
          <w:tcPr>
            <w:tcW w:w="1078" w:type="dxa"/>
            <w:tcBorders/>
            <w:shd w:fill="CCEEFF" w:val="clear"/>
            <w:vAlign w:val="center"/>
          </w:tcPr>
          <w:p>
            <w:pPr>
              <w:pStyle w:val="TableContents"/>
              <w:spacing w:before="0" w:after="283"/>
              <w:jc w:val="right"/>
              <w:rPr/>
            </w:pPr>
            <w:r>
              <w:rPr/>
              <w:t>—  </w:t>
            </w:r>
          </w:p>
        </w:tc>
        <w:tc>
          <w:tcPr>
            <w:tcW w:w="174" w:type="dxa"/>
            <w:tcBorders/>
            <w:shd w:fill="CCEEFF" w:val="clear"/>
            <w:vAlign w:val="center"/>
          </w:tcPr>
          <w:p>
            <w:pPr>
              <w:pStyle w:val="TableContents"/>
              <w:spacing w:before="0" w:after="283"/>
              <w:rPr/>
            </w:pPr>
            <w:r>
              <w:rPr/>
              <w:t> </w:t>
            </w:r>
          </w:p>
        </w:tc>
      </w:tr>
    </w:tbl>
    <w:p>
      <w:pPr>
        <w:pStyle w:val="TextBody"/>
        <w:spacing w:before="960" w:after="0"/>
        <w:jc w:val="center"/>
        <w:rPr>
          <w:rFonts w:ascii="Times New Roman" w:hAnsi="Times New Roman"/>
          <w:spacing w:val="0"/>
          <w:sz w:val="20"/>
        </w:rPr>
      </w:pPr>
      <w:r>
        <w:rPr>
          <w:rFonts w:ascii="Times New Roman" w:hAnsi="Times New Roman"/>
          <w:spacing w:val="0"/>
          <w:sz w:val="20"/>
        </w:rPr>
        <w:t xml:space="preserve">The accompanying notes are an integral part of the unaudited condensed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CONDENSED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(Unaudited)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    Nature of the Business and Basis of Presentation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Tango Therapeutics, Inc (“Tango” or the “Company”) is a precision oncology company committed to the discovery and development of novel new drugs in defined patient populations with high unmet medical need.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Since inception, the Company has generated recurring net losses, including net losses of $4.5 million and $16.6 million for the three and six months ended June 30, 2021, respectively, and net losses of $8.4 million and $16.3 million for the three and six months ended June 30, 2020, respectively. The Company had an accumulated deficit of $119.7 million as of June 30, 2021. Since inception and through the issuance date of these unaudited condensed consolidated financial statements, the Company has raised an aggregate of approximately $166.9 million of gross proceeds from the sale of preferred shares, approximately $352.9 million in gross proceeds through the closing of the BCTG Business Combination and PIPE Investment transactions and another $202.1 million through our collaboration with Gilead.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expects operating losses and negative cash flows from operations to continue for the foreseeable future as it continues to develop, manufacture and commercialize its products. As of June 30, 2021, and with the additional gross proceeds of approximately $352.9 million received on August 10, 2021 from the consummation of the BCTG Business Combination and PIPE Investment transactions, the Company expected that its cash, cash equivalents and marketable securities will be sufficient to fund its operating expenses and capital expenditure requirements for at least 12 months from the issuance date of the unaudited condensed consolidated financial statements. The future viability of the Company beyond that point may be dependent on its ability to raise additional capital to finance its operations.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with BCTG Acquisition Corporation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accounting principles generally accepted in the United States of America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Tango received gross proceeds of $166.8 million upon the closing of the Business Combination. Tango continues to operate under the current Tango management team. Subsequent to the closing of the Business Combination, an 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Subject to the terms of the merger agreement, upon the closing of the Business Combination (the “Effective Time”), each share of the Company’s redeemable convertible preferred stock (the “Preferred Stock”) issued and 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Impact of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COVID-19</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At the end of 2019, a novel strain of a virus named </w:t>
      </w:r>
    </w:p>
    <w:p>
      <w:pPr>
        <w:pStyle w:val="TextBody"/>
        <w:spacing w:before="120" w:after="0"/>
        <w:jc w:val="left"/>
        <w:rPr>
          <w:rFonts w:ascii="Times New Roman" w:hAnsi="Times New Roman"/>
          <w:spacing w:val="0"/>
          <w:sz w:val="20"/>
        </w:rPr>
      </w:pPr>
      <w:r>
        <w:rPr>
          <w:rFonts w:ascii="Times New Roman" w:hAnsi="Times New Roman"/>
          <w:spacing w:val="0"/>
          <w:sz w:val="20"/>
        </w:rPr>
        <w:t>SARS-CoV-2</w:t>
      </w:r>
    </w:p>
    <w:p>
      <w:pPr>
        <w:pStyle w:val="TextBody"/>
        <w:spacing w:before="120" w:after="0"/>
        <w:jc w:val="left"/>
        <w:rPr>
          <w:rFonts w:ascii="Times New Roman" w:hAnsi="Times New Roman"/>
          <w:sz w:val="20"/>
        </w:rPr>
      </w:pPr>
      <w:r>
        <w:rPr>
          <w:rFonts w:ascii="Times New Roman" w:hAnsi="Times New Roman"/>
          <w:sz w:val="20"/>
        </w:rPr>
        <w:t xml:space="preserve">(severe acute respiratory syndrome coronavirus 2), or coronavirus, which causes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including any novel variants such as the “Delta variant,”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globally could adversely impact the Company’s preclinical or clinical trial operations in the U.S., including its ability to recruit and retain patients and principal investigators and site staff who, as healthcare providers, may have heightened exposure to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if an outbreak occurs in their geography.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is monitoring the potential impact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pandemic on its business and financial statements. To date,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specific related event or circumstance that would require it to revise its estimates reflected in these condensed consolidated financial statements. The extent to which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actions taken to contain or treat it, and the duration and intensity of the related effects.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conformity with U.S. GAAP. The </w:t>
      </w:r>
    </w:p>
    <w:p>
      <w:pPr>
        <w:pStyle w:val="TextBody"/>
        <w:spacing w:before="120" w:after="0"/>
        <w:jc w:val="left"/>
        <w:rPr>
          <w:rFonts w:ascii="Times New Roman" w:hAnsi="Times New Roman"/>
          <w:spacing w:val="0"/>
          <w:sz w:val="20"/>
        </w:rPr>
      </w:pPr>
      <w:r>
        <w:rPr>
          <w:rFonts w:ascii="Times New Roman" w:hAnsi="Times New Roman"/>
          <w:spacing w:val="0"/>
          <w:sz w:val="20"/>
        </w:rPr>
        <w:t>year-end</w:t>
      </w:r>
    </w:p>
    <w:p>
      <w:pPr>
        <w:pStyle w:val="TextBody"/>
        <w:spacing w:before="120" w:after="0"/>
        <w:jc w:val="left"/>
        <w:rPr>
          <w:rFonts w:ascii="Times New Roman" w:hAnsi="Times New Roman"/>
          <w:sz w:val="20"/>
        </w:rPr>
      </w:pPr>
      <w:r>
        <w:rPr>
          <w:rFonts w:ascii="Times New Roman" w:hAnsi="Times New Roman"/>
          <w:sz w:val="20"/>
        </w:rPr>
        <w:t>balance sheet data was derived from audited financial statements, but do</w:t>
      </w:r>
    </w:p>
    <w:p>
      <w:pPr>
        <w:pStyle w:val="TextBody"/>
        <w:spacing w:before="120" w:after="0"/>
        <w:jc w:val="left"/>
        <w:rPr>
          <w:rFonts w:ascii="Times New Roman" w:hAnsi="Times New Roman"/>
          <w:sz w:val="20"/>
        </w:rPr>
      </w:pPr>
      <w:r>
        <w:rPr>
          <w:rFonts w:ascii="Times New Roman" w:hAnsi="Times New Roman"/>
          <w:sz w:val="20"/>
        </w:rPr>
        <w:t>e</w:t>
      </w:r>
    </w:p>
    <w:p>
      <w:pPr>
        <w:pStyle w:val="TextBody"/>
        <w:spacing w:before="120" w:after="0"/>
        <w:jc w:val="left"/>
        <w:rPr>
          <w:rFonts w:ascii="Times New Roman" w:hAnsi="Times New Roman"/>
          <w:sz w:val="20"/>
        </w:rPr>
      </w:pPr>
      <w:r>
        <w:rPr>
          <w:rFonts w:ascii="Times New Roman" w:hAnsi="Times New Roman"/>
          <w:sz w:val="20"/>
        </w:rPr>
        <w:t xml:space="preserve">s not include all disclosures required by U.S. GAAP. The accompanying unaudited condensed consolidated financial statements reflect the operations of Tango and its wholly owned subsidiary. All intercompany accounts and transactions have been eliminated. The functional and reporting currency of the Company and its subsidiary is the U.S. dollar.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the opinion of management, all adjustments necessary for a fair statement of the financial information, which are of a normal and recurring nature, have been made for the interim periods reported. Results of operations for the three and six months ended June 30, 2021 and 2020 are not necessarily indicative of the results for the year ending December 31, 2021, any other interim periods, or any future year or period. The unaudited condensed consolidated financial statements for the three and six months ended June 30, 2021 and 2020 have been prepared on the same basis as and should be read in conjunction with the audited consolidated financial statements and notes for the year ended December 31, 2020 included in the Company’s effective proxy statement/prospectus, on file with the SEC on July 16, 2021. </w:t>
      </w:r>
    </w:p>
    <w:p>
      <w:pPr>
        <w:pStyle w:val="TextBody"/>
        <w:widowControl/>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    Summary of Significant Accounting Policies</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Other than policies noted below, there have been no significant changes from the significant accounting policies disclosed in Note 2,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Summary of Significant Accounting Policies</w:t>
      </w:r>
    </w:p>
    <w:p>
      <w:pPr>
        <w:pStyle w:val="TextBody"/>
        <w:spacing w:before="120" w:after="0"/>
        <w:jc w:val="left"/>
        <w:rPr>
          <w:rFonts w:ascii="Times New Roman" w:hAnsi="Times New Roman"/>
          <w:sz w:val="20"/>
        </w:rPr>
      </w:pPr>
      <w:r>
        <w:rPr>
          <w:rFonts w:ascii="Times New Roman" w:hAnsi="Times New Roman"/>
          <w:sz w:val="20"/>
        </w:rPr>
        <w:t xml:space="preserve">, of the audited consolidated financial statements and notes for the year ended December 31, 2020 included in the Company’s effective proxy statement/prospectus, on file with the SEC on July 16, 2021.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Pronouncements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In December 2019, the FASB issued ASU </w:t>
      </w:r>
    </w:p>
    <w:p>
      <w:pPr>
        <w:pStyle w:val="TextBody"/>
        <w:spacing w:before="120" w:after="0"/>
        <w:jc w:val="left"/>
        <w:rPr>
          <w:rFonts w:ascii="Times New Roman" w:hAnsi="Times New Roman"/>
          <w:spacing w:val="0"/>
          <w:sz w:val="20"/>
        </w:rPr>
      </w:pPr>
      <w:r>
        <w:rPr>
          <w:rFonts w:ascii="Times New Roman" w:hAnsi="Times New Roman"/>
          <w:spacing w:val="0"/>
          <w:sz w:val="20"/>
        </w:rPr>
        <w:t>2019-12,</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Simplifying the Accounting for Income Taxes,</w:t>
      </w:r>
    </w:p>
    <w:p>
      <w:pPr>
        <w:pStyle w:val="TextBody"/>
        <w:spacing w:before="120" w:after="0"/>
        <w:jc w:val="left"/>
        <w:rPr>
          <w:rFonts w:ascii="Times New Roman" w:hAnsi="Times New Roman"/>
          <w:sz w:val="20"/>
        </w:rPr>
      </w:pPr>
      <w:r>
        <w:rPr>
          <w:rFonts w:ascii="Times New Roman" w:hAnsi="Times New Roman"/>
          <w:sz w:val="20"/>
        </w:rPr>
        <w:t xml:space="preserve">(“ASC 740”). The ASU enhances and simplifies various aspects of the income tax accounting guidance in ASC 740, including requirements related to hybrid tax regimes, the tax basis </w:t>
      </w:r>
    </w:p>
    <w:p>
      <w:pPr>
        <w:pStyle w:val="TextBody"/>
        <w:spacing w:before="120" w:after="0"/>
        <w:jc w:val="left"/>
        <w:rPr>
          <w:rFonts w:ascii="Times New Roman" w:hAnsi="Times New Roman"/>
          <w:spacing w:val="0"/>
          <w:sz w:val="20"/>
        </w:rPr>
      </w:pPr>
      <w:r>
        <w:rPr>
          <w:rFonts w:ascii="Times New Roman" w:hAnsi="Times New Roman"/>
          <w:spacing w:val="0"/>
          <w:sz w:val="20"/>
        </w:rPr>
        <w:t>step-up</w:t>
      </w:r>
    </w:p>
    <w:p>
      <w:pPr>
        <w:pStyle w:val="TextBody"/>
        <w:spacing w:before="120" w:after="0"/>
        <w:jc w:val="left"/>
        <w:rPr>
          <w:rFonts w:ascii="Times New Roman" w:hAnsi="Times New Roman"/>
          <w:sz w:val="20"/>
        </w:rPr>
      </w:pPr>
      <w:r>
        <w:rPr>
          <w:rFonts w:ascii="Times New Roman" w:hAnsi="Times New Roman"/>
          <w:sz w:val="20"/>
        </w:rPr>
        <w:t xml:space="preserve">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w:t>
      </w:r>
    </w:p>
    <w:p>
      <w:pPr>
        <w:pStyle w:val="TextBody"/>
        <w:spacing w:before="120" w:after="0"/>
        <w:jc w:val="left"/>
        <w:rPr>
          <w:rFonts w:ascii="Times New Roman" w:hAnsi="Times New Roman"/>
          <w:spacing w:val="0"/>
          <w:sz w:val="20"/>
        </w:rPr>
      </w:pPr>
      <w:r>
        <w:rPr>
          <w:rFonts w:ascii="Times New Roman" w:hAnsi="Times New Roman"/>
          <w:spacing w:val="0"/>
          <w:sz w:val="20"/>
        </w:rPr>
        <w:t>year-to-date</w:t>
      </w:r>
    </w:p>
    <w:p>
      <w:pPr>
        <w:pStyle w:val="TextBody"/>
        <w:spacing w:before="120" w:after="0"/>
        <w:jc w:val="left"/>
        <w:rPr>
          <w:rFonts w:ascii="Times New Roman" w:hAnsi="Times New Roman"/>
          <w:sz w:val="20"/>
        </w:rPr>
      </w:pPr>
      <w:r>
        <w:rPr>
          <w:rFonts w:ascii="Times New Roman" w:hAnsi="Times New Roman"/>
          <w:sz w:val="20"/>
        </w:rPr>
        <w:t xml:space="preserve">loss limitation in interim-period tax accounting. This guidance is effective for the Company for annual and interim periods beginning after December 31, 2020; however, early adoption was permitted The Company adopted this standard as of January 1, 2021 on a prospective basis. The adoption did not have a material impact on the Company’s condensed consolidated financial statements.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In August 2020,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2020-06,</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w:t>
      </w:r>
    </w:p>
    <w:p>
      <w:pPr>
        <w:pStyle w:val="TextBody"/>
        <w:spacing w:before="240" w:after="0"/>
        <w:jc w:val="left"/>
        <w:rPr>
          <w:caps w:val="false"/>
          <w:smallCaps w:val="false"/>
          <w:spacing w:val="0"/>
        </w:rPr>
      </w:pPr>
      <w:r>
        <w:rPr>
          <w:caps w:val="false"/>
          <w:smallCaps w:val="false"/>
          <w:spacing w:val="0"/>
        </w:rPr>
        <w:t xml:space="preserve"> — </w:t>
      </w:r>
      <w:r>
        <w:rPr>
          <w:rFonts w:ascii="Times New Roman" w:hAnsi="Times New Roman"/>
          <w:i/>
          <w:caps w:val="false"/>
          <w:smallCaps w:val="false"/>
          <w:spacing w:val="0"/>
          <w:sz w:val="20"/>
        </w:rPr>
        <w:t>Debt with Conversion and Other Options (Subtopic</w:t>
      </w:r>
    </w:p>
    <w:p>
      <w:pPr>
        <w:pStyle w:val="TextBody"/>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470-20)</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and Derivatives and Hedging</w:t>
      </w:r>
    </w:p>
    <w:p>
      <w:pPr>
        <w:pStyle w:val="TextBody"/>
        <w:spacing w:before="240" w:after="0"/>
        <w:jc w:val="left"/>
        <w:rPr>
          <w:caps w:val="false"/>
          <w:smallCaps w:val="false"/>
          <w:spacing w:val="0"/>
        </w:rPr>
      </w:pPr>
      <w:r>
        <w:rPr>
          <w:caps w:val="false"/>
          <w:smallCaps w:val="false"/>
          <w:spacing w:val="0"/>
        </w:rPr>
        <w:t xml:space="preserve"> — </w:t>
      </w:r>
      <w:r>
        <w:rPr>
          <w:rFonts w:ascii="Times New Roman" w:hAnsi="Times New Roman"/>
          <w:i/>
          <w:caps w:val="false"/>
          <w:smallCaps w:val="false"/>
          <w:spacing w:val="0"/>
          <w:sz w:val="20"/>
        </w:rPr>
        <w:t>Contracts in Entity’s Own Equity (Subtopic 815</w:t>
      </w:r>
    </w:p>
    <w:p>
      <w:pPr>
        <w:pStyle w:val="TextBody"/>
        <w:spacing w:before="240" w:after="0"/>
        <w:jc w:val="left"/>
        <w:rPr>
          <w:caps w:val="false"/>
          <w:smallCaps w:val="false"/>
          <w:spacing w:val="0"/>
        </w:rPr>
      </w:pPr>
      <w:r>
        <w:rPr>
          <w:caps w:val="false"/>
          <w:smallCaps w:val="false"/>
          <w:spacing w:val="0"/>
        </w:rPr>
        <w:t xml:space="preserve"> — </w:t>
      </w:r>
      <w:r>
        <w:rPr>
          <w:rFonts w:ascii="Times New Roman" w:hAnsi="Times New Roman"/>
          <w:i/>
          <w:caps w:val="false"/>
          <w:smallCaps w:val="false"/>
          <w:spacing w:val="0"/>
          <w:sz w:val="20"/>
        </w:rPr>
        <w:t>40)</w:t>
      </w:r>
    </w:p>
    <w:p>
      <w:pPr>
        <w:pStyle w:val="TextBody"/>
        <w:spacing w:before="240" w:after="0"/>
        <w:jc w:val="left"/>
        <w:rPr>
          <w:rFonts w:ascii="Times New Roman" w:hAnsi="Times New Roman"/>
          <w:sz w:val="20"/>
        </w:rPr>
      </w:pPr>
      <w:r>
        <w:rPr>
          <w:rFonts w:ascii="Times New Roman" w:hAnsi="Times New Roman"/>
          <w:sz w:val="20"/>
        </w:rPr>
        <w:t xml:space="preserve">. The amendments in this update affect entities that issue convertible instruments 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jc w:val="center"/>
        <w:rPr/>
      </w:pPr>
      <w:r>
        <w:rPr/>
      </w:r>
    </w:p>
    <w:p>
      <w:pPr>
        <w:pStyle w:val="TextBody"/>
        <w:spacing w:before="0" w:after="0"/>
        <w:ind w:left="0" w:right="0" w:hanging="0"/>
        <w:jc w:val="left"/>
        <w:rPr/>
      </w:pPr>
      <w:hyperlink w:anchor="toc">
        <w:r>
          <w:rPr>
            <w:rStyle w:val="InternetLink"/>
            <w:b/>
            <w:sz w:val="20"/>
          </w:rPr>
          <w:t>Table of Contents</w:t>
        </w:r>
      </w:hyperlink>
    </w:p>
    <w:p>
      <w:pPr>
        <w:pStyle w:val="TextBody"/>
        <w:spacing w:before="0" w:after="0"/>
        <w:jc w:val="left"/>
        <w:rPr/>
      </w:pPr>
      <w:r>
        <w:rPr/>
        <w:t>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settled in cash or shares impact the diluted earnings per share (“EPS”) computation. Early adoption is permitted, but no earlier than fiscal years beginning after December 15, 2020, including interim periods within those fiscal years. The Company elected to early adopt this guidance on January 1, 2021. The Company issued the second tranche of its redeemable convertible Series B preferred stock in March 2021 at an original issue price of $1.32 per share, which would have resulted in the recognition of a beneficial conversion feature of $28.4 million prior to the adoption of ASU </w:t>
      </w:r>
    </w:p>
    <w:p>
      <w:pPr>
        <w:pStyle w:val="TextBody"/>
        <w:spacing w:before="240" w:after="0"/>
        <w:jc w:val="left"/>
        <w:rPr>
          <w:rFonts w:ascii="Times New Roman" w:hAnsi="Times New Roman"/>
          <w:spacing w:val="0"/>
          <w:sz w:val="20"/>
        </w:rPr>
      </w:pPr>
      <w:r>
        <w:rPr>
          <w:rFonts w:ascii="Times New Roman" w:hAnsi="Times New Roman"/>
          <w:spacing w:val="0"/>
          <w:sz w:val="20"/>
        </w:rPr>
        <w:t>2020-06.</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 </w:t>
      </w:r>
    </w:p>
    <w:p>
      <w:pPr>
        <w:pStyle w:val="TextBody"/>
        <w:spacing w:before="120" w:after="0"/>
        <w:ind w:left="0" w:right="0" w:hanging="0"/>
        <w:jc w:val="left"/>
        <w:rPr/>
      </w:pPr>
      <w:r>
        <w:rPr/>
        <w:t>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3.    Collaboration Agreements </w:t>
      </w:r>
    </w:p>
    <w:p>
      <w:pPr>
        <w:pStyle w:val="TextBody"/>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2018 Gilead Agreement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In 2018, Gilead paid the Company a $50.0 million </w:t>
      </w:r>
    </w:p>
    <w:p>
      <w:pPr>
        <w:pStyle w:val="TextBody"/>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spacing w:before="240" w:after="0"/>
        <w:jc w:val="left"/>
        <w:rPr>
          <w:rFonts w:ascii="Times New Roman" w:hAnsi="Times New Roman"/>
          <w:sz w:val="20"/>
        </w:rPr>
      </w:pPr>
      <w:r>
        <w:rPr>
          <w:rFonts w:ascii="Times New Roman" w:hAnsi="Times New Roman"/>
          <w:sz w:val="20"/>
        </w:rPr>
        <w:t xml:space="preserve">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w:t>
      </w:r>
    </w:p>
    <w:p>
      <w:pPr>
        <w:pStyle w:val="TextBody"/>
        <w:spacing w:before="240" w:after="0"/>
        <w:jc w:val="left"/>
        <w:rPr>
          <w:rFonts w:ascii="Times New Roman" w:hAnsi="Times New Roman"/>
          <w:spacing w:val="0"/>
          <w:sz w:val="20"/>
        </w:rPr>
      </w:pPr>
      <w:r>
        <w:rPr>
          <w:rFonts w:ascii="Times New Roman" w:hAnsi="Times New Roman"/>
          <w:spacing w:val="0"/>
          <w:sz w:val="20"/>
        </w:rPr>
        <w:t>co-develop</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pacing w:val="0"/>
          <w:sz w:val="20"/>
        </w:rPr>
      </w:pPr>
      <w:r>
        <w:rPr>
          <w:rFonts w:ascii="Times New Roman" w:hAnsi="Times New Roman"/>
          <w:spacing w:val="0"/>
          <w:sz w:val="20"/>
        </w:rPr>
        <w:t>co-promote</w:t>
      </w:r>
    </w:p>
    <w:p>
      <w:pPr>
        <w:pStyle w:val="TextBody"/>
        <w:spacing w:before="240" w:after="0"/>
        <w:jc w:val="left"/>
        <w:rPr>
          <w:rFonts w:ascii="Times New Roman" w:hAnsi="Times New Roman"/>
          <w:sz w:val="20"/>
        </w:rPr>
      </w:pPr>
      <w:r>
        <w:rPr>
          <w:rFonts w:ascii="Times New Roman" w:hAnsi="Times New Roman"/>
          <w:sz w:val="20"/>
        </w:rPr>
        <w:t xml:space="preserve">certain programs licensed by Gilead in the U.S. and was eligible to receive royalties on </w:t>
      </w:r>
    </w:p>
    <w:p>
      <w:pPr>
        <w:pStyle w:val="TextBody"/>
        <w:spacing w:before="240" w:after="0"/>
        <w:jc w:val="left"/>
        <w:rPr>
          <w:rFonts w:ascii="Times New Roman" w:hAnsi="Times New Roman"/>
          <w:spacing w:val="0"/>
          <w:sz w:val="20"/>
        </w:rPr>
      </w:pPr>
      <w:r>
        <w:rPr>
          <w:rFonts w:ascii="Times New Roman" w:hAnsi="Times New Roman"/>
          <w:spacing w:val="0"/>
          <w:sz w:val="20"/>
        </w:rPr>
        <w:t>ex-U.S.</w:t>
      </w:r>
    </w:p>
    <w:p>
      <w:pPr>
        <w:pStyle w:val="TextBody"/>
        <w:spacing w:before="240" w:after="0"/>
        <w:jc w:val="left"/>
        <w:rPr>
          <w:rFonts w:ascii="Times New Roman" w:hAnsi="Times New Roman"/>
          <w:sz w:val="20"/>
        </w:rPr>
      </w:pPr>
      <w:r>
        <w:rPr>
          <w:rFonts w:ascii="Times New Roman" w:hAnsi="Times New Roman"/>
          <w:sz w:val="20"/>
        </w:rPr>
        <w:t xml:space="preserve">sales.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Amended Gilead Agreement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In August 2020, Gilead made an equity investment of $20.0 million into the Company as a participant in the Company’s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preferred stock offering. At the time of the original investment, as well as of the December 31, 2020 balance sheet date, Gilead maintains an ownership of less than 10% of the Company and is thus not considered to be a related party to the Company.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rPr/>
      </w:pPr>
      <w:r>
        <w:rPr/>
      </w:r>
    </w:p>
    <w:p>
      <w:pPr>
        <w:pStyle w:val="TextBody"/>
        <w:spacing w:before="0" w:after="0"/>
        <w:ind w:left="0" w:right="0" w:hanging="0"/>
        <w:jc w:val="left"/>
        <w:rPr/>
      </w:pPr>
      <w:hyperlink w:anchor="toc">
        <w:r>
          <w:rPr>
            <w:rStyle w:val="InternetLink"/>
            <w:b/>
            <w:sz w:val="20"/>
          </w:rPr>
          <w:t>Table of Contents</w:t>
        </w:r>
      </w:hyperlink>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 </w:t>
      </w:r>
    </w:p>
    <w:p>
      <w:pPr>
        <w:pStyle w:val="TextBody"/>
        <w:spacing w:before="0" w:after="0"/>
        <w:jc w:val="left"/>
        <w:rPr>
          <w:spacing w:val="0"/>
        </w:rPr>
      </w:pPr>
      <w:r>
        <w:rPr>
          <w:spacing w:val="0"/>
        </w:rPr>
        <w:t> </w:t>
      </w:r>
    </w:p>
    <w:tbl>
      <w:tblPr>
        <w:tblW w:w="6010" w:type="dxa"/>
        <w:jc w:val="left"/>
        <w:tblInd w:w="0" w:type="dxa"/>
        <w:tblCellMar>
          <w:top w:w="0" w:type="dxa"/>
          <w:left w:w="0" w:type="dxa"/>
          <w:bottom w:w="0" w:type="dxa"/>
          <w:right w:w="0" w:type="dxa"/>
        </w:tblCellMar>
      </w:tblPr>
      <w:tblGrid>
        <w:gridCol w:w="75"/>
        <w:gridCol w:w="110"/>
        <w:gridCol w:w="60"/>
        <w:gridCol w:w="5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received upfront, </w:t>
            </w:r>
          </w:p>
          <w:p>
            <w:pPr>
              <w:pStyle w:val="TableContents"/>
              <w:spacing w:before="0" w:after="0"/>
              <w:jc w:val="left"/>
              <w:rPr>
                <w:rFonts w:ascii="Times New Roman" w:hAnsi="Times New Roman"/>
                <w:spacing w:val="0"/>
                <w:sz w:val="20"/>
              </w:rPr>
            </w:pPr>
            <w:r>
              <w:rPr>
                <w:rFonts w:ascii="Times New Roman" w:hAnsi="Times New Roman"/>
                <w:spacing w:val="0"/>
                <w:sz w:val="20"/>
              </w:rPr>
              <w:t>non-refundable</w:t>
            </w:r>
          </w:p>
          <w:p>
            <w:pPr>
              <w:pStyle w:val="TableContents"/>
              <w:spacing w:before="0" w:after="0"/>
              <w:jc w:val="left"/>
              <w:rPr>
                <w:rFonts w:ascii="Times New Roman" w:hAnsi="Times New Roman"/>
                <w:sz w:val="20"/>
              </w:rPr>
            </w:pPr>
            <w:r>
              <w:rPr>
                <w:rFonts w:ascii="Times New Roman" w:hAnsi="Times New Roman"/>
                <w:sz w:val="20"/>
              </w:rPr>
              <w:t>consideration of $</w:t>
            </w:r>
          </w:p>
          <w:p>
            <w:pPr>
              <w:pStyle w:val="TableContents"/>
              <w:spacing w:before="0" w:after="0"/>
              <w:jc w:val="left"/>
              <w:rPr>
                <w:rFonts w:ascii="Times New Roman" w:hAnsi="Times New Roman"/>
                <w:spacing w:val="0"/>
                <w:sz w:val="20"/>
              </w:rPr>
            </w:pPr>
            <w:r>
              <w:rPr>
                <w:rFonts w:ascii="Times New Roman" w:hAnsi="Times New Roman"/>
                <w:spacing w:val="0"/>
                <w:sz w:val="20"/>
              </w:rPr>
              <w:t>125.0 </w:t>
            </w:r>
          </w:p>
          <w:p>
            <w:pPr>
              <w:pStyle w:val="TableContents"/>
              <w:spacing w:before="0" w:after="0"/>
              <w:jc w:val="left"/>
              <w:rPr>
                <w:rFonts w:ascii="Times New Roman" w:hAnsi="Times New Roman"/>
                <w:sz w:val="20"/>
              </w:rPr>
            </w:pPr>
            <w:r>
              <w:rPr>
                <w:rFonts w:ascii="Times New Roman" w:hAnsi="Times New Roman"/>
                <w:sz w:val="20"/>
              </w:rPr>
              <w:t xml:space="preserve">million from Gilead upon execution of the Gilead Agreement in 2020;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term of the 2018 Gilead Agreement ended on the date the Gilead Agreement was executed. The Gilead Agreement has a research term of seven years;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Gilead expanded its option to license up to 15 programs for which Gilead may obtain exclusive, worldwide licenses to develop and commercialize therapies, subject to applicable license fees;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Prior to exercising its option to license a program, Gilead may “extend” such program, in which case Gilead will pay research extension fees and the Company will continue to collaborate with Gilead to discover and develop programs, potentially through early clinical development. </w:t>
            </w:r>
          </w:p>
        </w:tc>
      </w:tr>
    </w:tbl>
    <w:p>
      <w:pPr>
        <w:pStyle w:val="TextBody"/>
        <w:spacing w:before="0" w:after="0"/>
        <w:jc w:val="left"/>
        <w:rPr>
          <w:spacing w:val="0"/>
        </w:rPr>
      </w:pPr>
      <w:r>
        <w:rPr>
          <w:spacing w:val="0"/>
        </w:rPr>
        <w:t> </w:t>
      </w:r>
    </w:p>
    <w:tbl>
      <w:tblPr>
        <w:tblW w:w="9955" w:type="dxa"/>
        <w:jc w:val="left"/>
        <w:tblInd w:w="0" w:type="dxa"/>
        <w:tblCellMar>
          <w:top w:w="0" w:type="dxa"/>
          <w:left w:w="0" w:type="dxa"/>
          <w:bottom w:w="0" w:type="dxa"/>
          <w:right w:w="0" w:type="dxa"/>
        </w:tblCellMar>
      </w:tblPr>
      <w:tblGrid>
        <w:gridCol w:w="75"/>
        <w:gridCol w:w="110"/>
        <w:gridCol w:w="60"/>
        <w:gridCol w:w="9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For up to five programs licensed by Gilead, the Company has the option to </w:t>
            </w:r>
          </w:p>
          <w:p>
            <w:pPr>
              <w:pStyle w:val="TableContents"/>
              <w:spacing w:before="0" w:after="0"/>
              <w:jc w:val="left"/>
              <w:rPr>
                <w:rFonts w:ascii="Times New Roman" w:hAnsi="Times New Roman"/>
                <w:spacing w:val="0"/>
                <w:sz w:val="20"/>
              </w:rPr>
            </w:pPr>
            <w:r>
              <w:rPr>
                <w:rFonts w:ascii="Times New Roman" w:hAnsi="Times New Roman"/>
                <w:spacing w:val="0"/>
                <w:sz w:val="20"/>
              </w:rPr>
              <w:t>co-develop</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co-promote</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lead product in the U.S., subject to certain exceptions, and is eligible to receive tiered royalties in the first decile on </w:t>
            </w:r>
          </w:p>
          <w:p>
            <w:pPr>
              <w:pStyle w:val="TableContents"/>
              <w:spacing w:before="0" w:after="0"/>
              <w:jc w:val="left"/>
              <w:rPr>
                <w:rFonts w:ascii="Times New Roman" w:hAnsi="Times New Roman"/>
                <w:spacing w:val="0"/>
                <w:sz w:val="20"/>
              </w:rPr>
            </w:pPr>
            <w:r>
              <w:rPr>
                <w:rFonts w:ascii="Times New Roman" w:hAnsi="Times New Roman"/>
                <w:spacing w:val="0"/>
                <w:sz w:val="20"/>
              </w:rPr>
              <w:t>ex-U.S.</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sales.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is eligible to receive up to $410.0 million per program in license, research extension, and clinical, regulatory, and commercial milestones.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w:t>
      </w:r>
    </w:p>
    <w:p>
      <w:pPr>
        <w:pStyle w:val="TextBody"/>
        <w:spacing w:before="240" w:after="0"/>
        <w:jc w:val="left"/>
        <w:rPr>
          <w:rFonts w:ascii="Times New Roman" w:hAnsi="Times New Roman"/>
          <w:spacing w:val="0"/>
          <w:sz w:val="20"/>
        </w:rPr>
      </w:pPr>
      <w:r>
        <w:rPr>
          <w:rFonts w:ascii="Times New Roman" w:hAnsi="Times New Roman"/>
          <w:spacing w:val="0"/>
          <w:sz w:val="20"/>
        </w:rPr>
        <w:t>catch-up</w:t>
      </w:r>
    </w:p>
    <w:p>
      <w:pPr>
        <w:pStyle w:val="TextBody"/>
        <w:spacing w:before="240" w:after="0"/>
        <w:jc w:val="left"/>
        <w:rPr>
          <w:rFonts w:ascii="Times New Roman" w:hAnsi="Times New Roman"/>
          <w:sz w:val="20"/>
        </w:rPr>
      </w:pPr>
      <w:r>
        <w:rPr>
          <w:rFonts w:ascii="Times New Roman" w:hAnsi="Times New Roman"/>
          <w:sz w:val="20"/>
        </w:rPr>
        <w:t xml:space="preserve">adjustment was recorded during the third quarter of 2020 resulting in a reduction of $11.3 million of revenue previously recognized through the date of the Gilead Agreement.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w:t>
      </w:r>
    </w:p>
    <w:p>
      <w:pPr>
        <w:pStyle w:val="TextBody"/>
        <w:spacing w:before="240" w:after="0"/>
        <w:jc w:val="left"/>
        <w:rPr>
          <w:rFonts w:ascii="Times New Roman" w:hAnsi="Times New Roman"/>
          <w:spacing w:val="0"/>
          <w:sz w:val="20"/>
        </w:rPr>
      </w:pPr>
      <w:r>
        <w:rPr>
          <w:rFonts w:ascii="Times New Roman" w:hAnsi="Times New Roman"/>
          <w:spacing w:val="0"/>
          <w:sz w:val="20"/>
        </w:rPr>
        <w:t>on-going</w:t>
      </w:r>
    </w:p>
    <w:p>
      <w:pPr>
        <w:pStyle w:val="TextBody"/>
        <w:spacing w:before="240" w:after="0"/>
        <w:jc w:val="left"/>
        <w:rPr>
          <w:rFonts w:ascii="Times New Roman" w:hAnsi="Times New Roman"/>
          <w:sz w:val="20"/>
        </w:rPr>
      </w:pPr>
      <w:r>
        <w:rPr>
          <w:rFonts w:ascii="Times New Roman" w:hAnsi="Times New Roman"/>
          <w:sz w:val="20"/>
        </w:rPr>
        <w:t xml:space="preserve">research plan.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April 2021, Gilead licensed a program for a $11.0 million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Gilead Revenue Recognized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total transaction price allocated to the combined performance obligation under the Gilead Agreement was $187.0 million at June 30, 2021. The total transaction price was comprised of the $50.0 million upfront payment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rPr/>
      </w:pPr>
      <w:r>
        <w:rPr/>
      </w:r>
    </w:p>
    <w:p>
      <w:pPr>
        <w:pStyle w:val="TextBody"/>
        <w:spacing w:before="0" w:after="0"/>
        <w:ind w:left="0" w:right="0" w:hanging="0"/>
        <w:jc w:val="left"/>
        <w:rPr/>
      </w:pPr>
      <w:hyperlink w:anchor="toc">
        <w:r>
          <w:rPr>
            <w:rStyle w:val="InternetLink"/>
            <w:b/>
            <w:sz w:val="20"/>
          </w:rPr>
          <w:t>Table of Contents</w:t>
        </w:r>
      </w:hyperlink>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pursuant to the 2018 Gilead Agreement, the $125.0 million upfront payment pursuant to the Gilead Agreement, and the $12.0 million pursuant to the research extension fee in December 2020. During the three and six months ended June 30, 2021, the Company recognized $7.2 million and $13.5 million, respectively, and during the three and six months ended June 30, 2020, the Company recognized $4.7 million and $9.1 million, respectively, of revenue associated with the Gilead Agreements based on performance completed during each period. During the three and six months ended June 30, 2021, the Company recognized revenue of $11.0 million, associated with the payments received in the second quarter of 2021 pursuant to the April 2021 program license. During the three and six months ended June 30, 2020, the Company recognized revenue of $0.3 million and $0.7 million, respectively, associated with the payments rec</w:t>
      </w:r>
    </w:p>
    <w:p>
      <w:pPr>
        <w:pStyle w:val="TextBody"/>
        <w:spacing w:before="120" w:after="0"/>
        <w:jc w:val="left"/>
        <w:rPr>
          <w:rFonts w:ascii="Times New Roman" w:hAnsi="Times New Roman"/>
          <w:spacing w:val="0"/>
          <w:sz w:val="20"/>
        </w:rPr>
      </w:pPr>
      <w:r>
        <w:rPr>
          <w:rFonts w:ascii="Times New Roman" w:hAnsi="Times New Roman"/>
          <w:spacing w:val="0"/>
          <w:sz w:val="20"/>
        </w:rPr>
        <w:t>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2021 and December 31, 2020, the Company had short-term deferred revenue of $24.5 million and $32.0 million, respectively, and long-term deferred revenue of $118.7 million and $120.8 million, respectively, related to the Gilead collaboration. The remaining long-term revenue is expected to be recognized proportionally to the completed obligations over an expected remaining contractual term of approximately 6.1 years.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Amounts due to the Company that have not yet been received are recorded as accounts receivable and amounts received that have not yet been recognized as revenue are recorded as deferred revenue on the Company’s condensed consolidated balance sheet.</w:t>
      </w:r>
    </w:p>
    <w:p>
      <w:pPr>
        <w:pStyle w:val="TextBody"/>
        <w:spacing w:before="240" w:after="0"/>
        <w:jc w:val="left"/>
        <w:rPr>
          <w:rFonts w:ascii="Times New Roman" w:hAnsi="Times New Roman"/>
          <w:spacing w:val="0"/>
          <w:sz w:val="20"/>
        </w:rPr>
      </w:pPr>
      <w:r>
        <w:rPr>
          <w:rFonts w:ascii="Times New Roman" w:hAnsi="Times New Roman"/>
          <w:spacing w:val="0"/>
          <w:sz w:val="20"/>
        </w:rPr>
        <w:t>As of June 30, 2021, $4.0 million of the total research extension fee amount of $12.0 million had been received, $2.0 million had been recorded as accounts receivable and the remaining $6.0 million was determined to be conditional upon the satisfaction of additional research obligations, and thus a contract asset.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contract asset balance is presented net of the deferred revenue contract liability.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Costs incurred pursuant to the Gilead Agreements are recorded as research and development expense.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4.    Fair Value Measurements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tables present information about the Company’s financial assets measured at fair value on a recurring basis: </w:t>
      </w:r>
    </w:p>
    <w:p>
      <w:pPr>
        <w:pStyle w:val="TextBody"/>
        <w:spacing w:before="0" w:after="0"/>
        <w:jc w:val="left"/>
        <w:rPr>
          <w:spacing w:val="0"/>
        </w:rPr>
      </w:pPr>
      <w:r>
        <w:rPr>
          <w:spacing w:val="0"/>
        </w:rPr>
        <w:t> </w:t>
      </w:r>
    </w:p>
    <w:tbl>
      <w:tblPr>
        <w:tblW w:w="6745" w:type="dxa"/>
        <w:jc w:val="left"/>
        <w:tblInd w:w="0" w:type="dxa"/>
        <w:tblCellMar>
          <w:top w:w="0" w:type="dxa"/>
          <w:left w:w="0" w:type="dxa"/>
          <w:bottom w:w="0" w:type="dxa"/>
          <w:right w:w="0" w:type="dxa"/>
        </w:tblCellMar>
      </w:tblPr>
      <w:tblGrid>
        <w:gridCol w:w="2555"/>
        <w:gridCol w:w="120"/>
        <w:gridCol w:w="140"/>
        <w:gridCol w:w="680"/>
        <w:gridCol w:w="60"/>
        <w:gridCol w:w="120"/>
        <w:gridCol w:w="140"/>
        <w:gridCol w:w="800"/>
        <w:gridCol w:w="60"/>
        <w:gridCol w:w="120"/>
        <w:gridCol w:w="182"/>
        <w:gridCol w:w="573"/>
        <w:gridCol w:w="60"/>
        <w:gridCol w:w="120"/>
        <w:gridCol w:w="140"/>
        <w:gridCol w:w="800"/>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Market Value Measurements</w:t>
              <w:br/>
              <w:t>as of June 30, 2021</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30,440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jc w:val="right"/>
              <w:rPr/>
            </w:pPr>
            <w:r>
              <w:rPr/>
              <w:t> —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30,440</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126,953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132,953</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government agency bonds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20,499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20,499</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30,440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147,452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177,892</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F-45 </w:t>
      </w:r>
    </w:p>
    <w:p>
      <w:pPr>
        <w:pStyle w:val="HorizontalLine"/>
        <w:rPr/>
      </w:pPr>
      <w:r>
        <w:rPr/>
      </w:r>
    </w:p>
    <w:p>
      <w:pPr>
        <w:pStyle w:val="TextBody"/>
        <w:spacing w:before="0" w:after="0"/>
        <w:ind w:left="0" w:right="0" w:hanging="0"/>
        <w:jc w:val="left"/>
        <w:rPr/>
      </w:pPr>
      <w:hyperlink w:anchor="toc">
        <w:r>
          <w:rPr>
            <w:rStyle w:val="InternetLink"/>
            <w:b/>
            <w:sz w:val="20"/>
          </w:rPr>
          <w:t>Table of Contents</w:t>
        </w:r>
      </w:hyperlink>
    </w:p>
    <w:tbl>
      <w:tblPr>
        <w:tblW w:w="6745" w:type="dxa"/>
        <w:jc w:val="left"/>
        <w:tblInd w:w="0" w:type="dxa"/>
        <w:tblCellMar>
          <w:top w:w="0" w:type="dxa"/>
          <w:left w:w="0" w:type="dxa"/>
          <w:bottom w:w="0" w:type="dxa"/>
          <w:right w:w="0" w:type="dxa"/>
        </w:tblCellMar>
      </w:tblPr>
      <w:tblGrid>
        <w:gridCol w:w="2555"/>
        <w:gridCol w:w="120"/>
        <w:gridCol w:w="140"/>
        <w:gridCol w:w="680"/>
        <w:gridCol w:w="60"/>
        <w:gridCol w:w="120"/>
        <w:gridCol w:w="140"/>
        <w:gridCol w:w="800"/>
        <w:gridCol w:w="60"/>
        <w:gridCol w:w="120"/>
        <w:gridCol w:w="182"/>
        <w:gridCol w:w="573"/>
        <w:gridCol w:w="60"/>
        <w:gridCol w:w="120"/>
        <w:gridCol w:w="140"/>
        <w:gridCol w:w="800"/>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Market Value Measurements</w:t>
              <w:br/>
              <w:t>as of December 31, 2020</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Level 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12,698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w:t>
            </w:r>
          </w:p>
        </w:tc>
        <w:tc>
          <w:tcPr>
            <w:tcW w:w="573" w:type="dxa"/>
            <w:tcBorders/>
            <w:shd w:fill="auto" w:val="clear"/>
            <w:vAlign w:val="center"/>
          </w:tcPr>
          <w:p>
            <w:pPr>
              <w:pStyle w:val="TableContents"/>
              <w:spacing w:before="0" w:after="283"/>
              <w:jc w:val="right"/>
              <w:rPr/>
            </w:pPr>
            <w:r>
              <w:rPr/>
              <w:t> —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12,698</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7,175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7,175</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131,939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131,939</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government agency bonds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57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30,000</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7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12,698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169,114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w:t>
            </w:r>
          </w:p>
        </w:tc>
        <w:tc>
          <w:tcPr>
            <w:tcW w:w="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181,812</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7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There were no transfers between fair value levels during the six months ended June 30, 2021.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5.    Marketable Securities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Company values its marketable securities using independent pricing services which normally derive security prices from recently reported trades for identical or similar securities, making adjustments based on significant obs</w:t>
      </w:r>
    </w:p>
    <w:p>
      <w:pPr>
        <w:pStyle w:val="TextBody"/>
        <w:spacing w:before="120" w:after="0"/>
        <w:jc w:val="left"/>
        <w:rPr>
          <w:rFonts w:ascii="Times New Roman" w:hAnsi="Times New Roman"/>
          <w:spacing w:val="0"/>
          <w:sz w:val="20"/>
        </w:rPr>
      </w:pPr>
      <w:r>
        <w:rPr>
          <w:rFonts w:ascii="Times New Roman" w:hAnsi="Times New Roman"/>
          <w:spacing w:val="0"/>
          <w:sz w:val="20"/>
        </w:rPr>
        <w:t>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rvable transactions. At each balance sheet date, observable market inputs may include trade information, broker or dealer quotes, bids, offers or a combination of these data sources.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The following table summarizes the Company’s marketable debt securities, classified as </w:t>
      </w:r>
    </w:p>
    <w:p>
      <w:pPr>
        <w:pStyle w:val="TextBody"/>
        <w:spacing w:before="240" w:after="0"/>
        <w:jc w:val="left"/>
        <w:rPr>
          <w:rFonts w:ascii="Times New Roman" w:hAnsi="Times New Roman"/>
          <w:spacing w:val="0"/>
          <w:sz w:val="20"/>
        </w:rPr>
      </w:pPr>
      <w:r>
        <w:rPr>
          <w:rFonts w:ascii="Times New Roman" w:hAnsi="Times New Roman"/>
          <w:spacing w:val="0"/>
          <w:sz w:val="20"/>
        </w:rPr>
        <w:t>available-for-sale:</w:t>
      </w:r>
    </w:p>
    <w:p>
      <w:pPr>
        <w:pStyle w:val="TextBody"/>
        <w:spacing w:before="240" w:after="0"/>
        <w:jc w:val="left"/>
        <w:rPr/>
      </w:pPr>
      <w:r>
        <w:rPr/>
        <w:t> </w:t>
      </w:r>
    </w:p>
    <w:p>
      <w:pPr>
        <w:pStyle w:val="TextBody"/>
        <w:spacing w:before="0" w:after="0"/>
        <w:ind w:left="0" w:right="0" w:hanging="0"/>
        <w:jc w:val="left"/>
        <w:rPr>
          <w:spacing w:val="0"/>
        </w:rPr>
      </w:pPr>
      <w:r>
        <w:rPr>
          <w:spacing w:val="0"/>
        </w:rPr>
        <w:t> </w:t>
      </w:r>
    </w:p>
    <w:tbl>
      <w:tblPr>
        <w:tblW w:w="8330" w:type="dxa"/>
        <w:jc w:val="left"/>
        <w:tblInd w:w="0" w:type="dxa"/>
        <w:tblCellMar>
          <w:top w:w="0" w:type="dxa"/>
          <w:left w:w="0" w:type="dxa"/>
          <w:bottom w:w="0" w:type="dxa"/>
          <w:right w:w="0" w:type="dxa"/>
        </w:tblCellMar>
      </w:tblPr>
      <w:tblGrid>
        <w:gridCol w:w="2555"/>
        <w:gridCol w:w="120"/>
        <w:gridCol w:w="185"/>
        <w:gridCol w:w="1057"/>
        <w:gridCol w:w="79"/>
        <w:gridCol w:w="158"/>
        <w:gridCol w:w="343"/>
        <w:gridCol w:w="787"/>
        <w:gridCol w:w="79"/>
        <w:gridCol w:w="158"/>
        <w:gridCol w:w="295"/>
        <w:gridCol w:w="835"/>
        <w:gridCol w:w="204"/>
        <w:gridCol w:w="158"/>
        <w:gridCol w:w="185"/>
        <w:gridCol w:w="1057"/>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80"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 Measurements as of June 30, 2021</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Amortized</w:t>
              <w:br/>
              <w:t>Cost</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w:t>
              <w:br/>
              <w:t>Unrealized</w:t>
              <w:br/>
              <w:t>Gains</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w:t>
              <w:br/>
              <w:t>Unrealized</w:t>
              <w:br/>
              <w:t>Loss</w:t>
            </w:r>
          </w:p>
        </w:tc>
        <w:tc>
          <w:tcPr>
            <w:tcW w:w="204"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w:t>
              <w:br/>
              <w:t>Value</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80" w:type="dxa"/>
            <w:gridSpan w:val="14"/>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57"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rPr/>
            </w:pPr>
            <w:r>
              <w:rPr/>
              <w:t> </w:t>
            </w:r>
          </w:p>
        </w:tc>
        <w:tc>
          <w:tcPr>
            <w:tcW w:w="787"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5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w:t>
            </w:r>
          </w:p>
        </w:tc>
        <w:tc>
          <w:tcPr>
            <w:tcW w:w="1057" w:type="dxa"/>
            <w:tcBorders/>
            <w:shd w:fill="auto" w:val="clear"/>
            <w:vAlign w:val="center"/>
          </w:tcPr>
          <w:p>
            <w:pPr>
              <w:pStyle w:val="TableContents"/>
              <w:spacing w:before="0" w:after="283"/>
              <w:jc w:val="right"/>
              <w:rPr/>
            </w:pPr>
            <w:r>
              <w:rPr/>
              <w:t>126,954</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w:t>
            </w:r>
          </w:p>
        </w:tc>
        <w:tc>
          <w:tcPr>
            <w:tcW w:w="787" w:type="dxa"/>
            <w:tcBorders/>
            <w:shd w:fill="auto" w:val="clear"/>
            <w:vAlign w:val="center"/>
          </w:tcPr>
          <w:p>
            <w:pPr>
              <w:pStyle w:val="TableContents"/>
              <w:spacing w:before="0" w:after="283"/>
              <w:jc w:val="right"/>
              <w:rPr/>
            </w:pPr>
            <w:r>
              <w:rPr/>
              <w:t>5</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w:t>
            </w:r>
          </w:p>
        </w:tc>
        <w:tc>
          <w:tcPr>
            <w:tcW w:w="835" w:type="dxa"/>
            <w:tcBorders/>
            <w:shd w:fill="auto" w:val="clear"/>
            <w:vAlign w:val="center"/>
          </w:tcPr>
          <w:p>
            <w:pPr>
              <w:pStyle w:val="TableContents"/>
              <w:spacing w:before="0" w:after="283"/>
              <w:jc w:val="right"/>
              <w:rPr/>
            </w:pPr>
            <w:r>
              <w:rPr/>
              <w:t> </w:t>
            </w:r>
            <w:r>
              <w:rPr/>
              <w:t>(6</w:t>
            </w:r>
          </w:p>
        </w:tc>
        <w:tc>
          <w:tcPr>
            <w:tcW w:w="204"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w:t>
            </w:r>
          </w:p>
        </w:tc>
        <w:tc>
          <w:tcPr>
            <w:tcW w:w="1057" w:type="dxa"/>
            <w:tcBorders/>
            <w:shd w:fill="auto" w:val="clear"/>
            <w:vAlign w:val="center"/>
          </w:tcPr>
          <w:p>
            <w:pPr>
              <w:pStyle w:val="TableContents"/>
              <w:spacing w:before="0" w:after="283"/>
              <w:jc w:val="right"/>
              <w:rPr/>
            </w:pPr>
            <w:r>
              <w:rPr/>
              <w:t>126,953</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government agency bonds</w:t>
            </w:r>
          </w:p>
        </w:tc>
        <w:tc>
          <w:tcPr>
            <w:tcW w:w="12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57" w:type="dxa"/>
            <w:tcBorders/>
            <w:shd w:fill="CCEEFF" w:val="clear"/>
            <w:vAlign w:val="center"/>
          </w:tcPr>
          <w:p>
            <w:pPr>
              <w:pStyle w:val="TableContents"/>
              <w:spacing w:before="0" w:after="283"/>
              <w:jc w:val="right"/>
              <w:rPr/>
            </w:pPr>
            <w:r>
              <w:rPr/>
              <w:t>20,496</w:t>
            </w:r>
          </w:p>
        </w:tc>
        <w:tc>
          <w:tcPr>
            <w:tcW w:w="79"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rPr/>
            </w:pPr>
            <w:r>
              <w:rPr/>
              <w:t> </w:t>
            </w:r>
          </w:p>
        </w:tc>
        <w:tc>
          <w:tcPr>
            <w:tcW w:w="787" w:type="dxa"/>
            <w:tcBorders/>
            <w:shd w:fill="CCEEFF" w:val="clear"/>
            <w:vAlign w:val="center"/>
          </w:tcPr>
          <w:p>
            <w:pPr>
              <w:pStyle w:val="TableContents"/>
              <w:spacing w:before="0" w:after="283"/>
              <w:jc w:val="right"/>
              <w:rPr/>
            </w:pPr>
            <w:r>
              <w:rPr/>
              <w:t>9</w:t>
            </w:r>
          </w:p>
        </w:tc>
        <w:tc>
          <w:tcPr>
            <w:tcW w:w="79"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29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(6</w:t>
            </w:r>
          </w:p>
        </w:tc>
        <w:tc>
          <w:tcPr>
            <w:tcW w:w="204"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1057" w:type="dxa"/>
            <w:tcBorders/>
            <w:shd w:fill="CCEEFF" w:val="clear"/>
            <w:vAlign w:val="center"/>
          </w:tcPr>
          <w:p>
            <w:pPr>
              <w:pStyle w:val="TableContents"/>
              <w:spacing w:before="0" w:after="283"/>
              <w:jc w:val="right"/>
              <w:rPr/>
            </w:pPr>
            <w:r>
              <w:rPr/>
              <w:t>20,499</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04"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w:t>
            </w:r>
          </w:p>
        </w:tc>
        <w:tc>
          <w:tcPr>
            <w:tcW w:w="1057" w:type="dxa"/>
            <w:tcBorders/>
            <w:shd w:fill="auto" w:val="clear"/>
            <w:vAlign w:val="center"/>
          </w:tcPr>
          <w:p>
            <w:pPr>
              <w:pStyle w:val="TableContents"/>
              <w:spacing w:before="0" w:after="283"/>
              <w:jc w:val="right"/>
              <w:rPr/>
            </w:pPr>
            <w:r>
              <w:rPr/>
              <w:t>147,450</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w:t>
            </w:r>
          </w:p>
        </w:tc>
        <w:tc>
          <w:tcPr>
            <w:tcW w:w="787" w:type="dxa"/>
            <w:tcBorders/>
            <w:shd w:fill="auto" w:val="clear"/>
            <w:vAlign w:val="center"/>
          </w:tcPr>
          <w:p>
            <w:pPr>
              <w:pStyle w:val="TableContents"/>
              <w:spacing w:before="0" w:after="283"/>
              <w:jc w:val="right"/>
              <w:rPr/>
            </w:pPr>
            <w:r>
              <w:rPr/>
              <w:t> </w:t>
            </w:r>
            <w:r>
              <w:rPr/>
              <w:t>14</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w:t>
            </w:r>
          </w:p>
        </w:tc>
        <w:tc>
          <w:tcPr>
            <w:tcW w:w="835" w:type="dxa"/>
            <w:tcBorders/>
            <w:shd w:fill="auto" w:val="clear"/>
            <w:vAlign w:val="center"/>
          </w:tcPr>
          <w:p>
            <w:pPr>
              <w:pStyle w:val="TableContents"/>
              <w:spacing w:before="0" w:after="283"/>
              <w:jc w:val="right"/>
              <w:rPr/>
            </w:pPr>
            <w:r>
              <w:rPr/>
              <w:t> </w:t>
            </w:r>
            <w:r>
              <w:rPr/>
              <w:t>(12</w:t>
            </w:r>
          </w:p>
        </w:tc>
        <w:tc>
          <w:tcPr>
            <w:tcW w:w="204"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w:t>
            </w:r>
          </w:p>
        </w:tc>
        <w:tc>
          <w:tcPr>
            <w:tcW w:w="1057" w:type="dxa"/>
            <w:tcBorders/>
            <w:shd w:fill="auto" w:val="clear"/>
            <w:vAlign w:val="center"/>
          </w:tcPr>
          <w:p>
            <w:pPr>
              <w:pStyle w:val="TableContents"/>
              <w:spacing w:before="0" w:after="283"/>
              <w:jc w:val="right"/>
              <w:rPr/>
            </w:pPr>
            <w:r>
              <w:rPr/>
              <w:t>147,452</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8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9"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04"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8626" w:type="dxa"/>
        <w:jc w:val="left"/>
        <w:tblInd w:w="0" w:type="dxa"/>
        <w:tblCellMar>
          <w:top w:w="0" w:type="dxa"/>
          <w:left w:w="0" w:type="dxa"/>
          <w:bottom w:w="0" w:type="dxa"/>
          <w:right w:w="0" w:type="dxa"/>
        </w:tblCellMar>
      </w:tblPr>
      <w:tblGrid>
        <w:gridCol w:w="2555"/>
        <w:gridCol w:w="120"/>
        <w:gridCol w:w="209"/>
        <w:gridCol w:w="1197"/>
        <w:gridCol w:w="89"/>
        <w:gridCol w:w="179"/>
        <w:gridCol w:w="343"/>
        <w:gridCol w:w="787"/>
        <w:gridCol w:w="89"/>
        <w:gridCol w:w="179"/>
        <w:gridCol w:w="272"/>
        <w:gridCol w:w="858"/>
        <w:gridCol w:w="89"/>
        <w:gridCol w:w="179"/>
        <w:gridCol w:w="209"/>
        <w:gridCol w:w="1197"/>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876"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 Measurements as of December 31, 2020</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Amortized</w:t>
              <w:br/>
              <w:t>Cost</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w:t>
              <w:br/>
              <w:t>Unrealized</w:t>
              <w:br/>
              <w:t>Gains</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Gross</w:t>
              <w:br/>
              <w:t>Unrealized</w:t>
              <w:br/>
              <w:t>Loss</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40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w:t>
              <w:br/>
              <w:t>Value</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876" w:type="dxa"/>
            <w:gridSpan w:val="14"/>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97"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rPr/>
            </w:pPr>
            <w:r>
              <w:rPr/>
              <w:t> </w:t>
            </w:r>
          </w:p>
        </w:tc>
        <w:tc>
          <w:tcPr>
            <w:tcW w:w="787"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858"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9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w:t>
            </w:r>
          </w:p>
        </w:tc>
        <w:tc>
          <w:tcPr>
            <w:tcW w:w="1197" w:type="dxa"/>
            <w:tcBorders/>
            <w:shd w:fill="auto" w:val="clear"/>
            <w:vAlign w:val="center"/>
          </w:tcPr>
          <w:p>
            <w:pPr>
              <w:pStyle w:val="TableContents"/>
              <w:spacing w:before="0" w:after="283"/>
              <w:jc w:val="right"/>
              <w:rPr/>
            </w:pPr>
            <w:r>
              <w:rPr/>
              <w:t>131,927</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w:t>
            </w:r>
          </w:p>
        </w:tc>
        <w:tc>
          <w:tcPr>
            <w:tcW w:w="787" w:type="dxa"/>
            <w:tcBorders/>
            <w:shd w:fill="auto" w:val="clear"/>
            <w:vAlign w:val="center"/>
          </w:tcPr>
          <w:p>
            <w:pPr>
              <w:pStyle w:val="TableContents"/>
              <w:spacing w:before="0" w:after="283"/>
              <w:jc w:val="right"/>
              <w:rPr/>
            </w:pPr>
            <w:r>
              <w:rPr/>
              <w:t> </w:t>
            </w:r>
            <w:r>
              <w:rPr/>
              <w:t>12</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858" w:type="dxa"/>
            <w:tcBorders/>
            <w:shd w:fill="auto" w:val="clear"/>
            <w:vAlign w:val="center"/>
          </w:tcPr>
          <w:p>
            <w:pPr>
              <w:pStyle w:val="TableContents"/>
              <w:spacing w:before="0" w:after="283"/>
              <w:jc w:val="right"/>
              <w:rPr/>
            </w:pPr>
            <w:r>
              <w:rPr/>
              <w:t> —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w:t>
            </w:r>
          </w:p>
        </w:tc>
        <w:tc>
          <w:tcPr>
            <w:tcW w:w="1197" w:type="dxa"/>
            <w:tcBorders/>
            <w:shd w:fill="auto" w:val="clear"/>
            <w:vAlign w:val="center"/>
          </w:tcPr>
          <w:p>
            <w:pPr>
              <w:pStyle w:val="TableContents"/>
              <w:spacing w:before="0" w:after="283"/>
              <w:jc w:val="right"/>
              <w:rPr/>
            </w:pPr>
            <w:r>
              <w:rPr/>
              <w:t>131,939</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government agency bonds</w:t>
            </w:r>
          </w:p>
        </w:tc>
        <w:tc>
          <w:tcPr>
            <w:tcW w:w="12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97" w:type="dxa"/>
            <w:tcBorders/>
            <w:shd w:fill="CCEEFF" w:val="clear"/>
            <w:vAlign w:val="center"/>
          </w:tcPr>
          <w:p>
            <w:pPr>
              <w:pStyle w:val="TableContents"/>
              <w:spacing w:before="0" w:after="283"/>
              <w:jc w:val="right"/>
              <w:rPr/>
            </w:pPr>
            <w:r>
              <w:rPr/>
              <w:t>29,995</w:t>
            </w:r>
          </w:p>
        </w:tc>
        <w:tc>
          <w:tcPr>
            <w:tcW w:w="89"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343" w:type="dxa"/>
            <w:tcBorders/>
            <w:shd w:fill="CCEEFF" w:val="clear"/>
            <w:vAlign w:val="center"/>
          </w:tcPr>
          <w:p>
            <w:pPr>
              <w:pStyle w:val="TableContents"/>
              <w:spacing w:before="0" w:after="283"/>
              <w:rPr/>
            </w:pPr>
            <w:r>
              <w:rPr/>
              <w:t> </w:t>
            </w:r>
          </w:p>
        </w:tc>
        <w:tc>
          <w:tcPr>
            <w:tcW w:w="787" w:type="dxa"/>
            <w:tcBorders/>
            <w:shd w:fill="CCEEFF" w:val="clear"/>
            <w:vAlign w:val="center"/>
          </w:tcPr>
          <w:p>
            <w:pPr>
              <w:pStyle w:val="TableContents"/>
              <w:spacing w:before="0" w:after="283"/>
              <w:jc w:val="right"/>
              <w:rPr/>
            </w:pPr>
            <w:r>
              <w:rPr/>
              <w:t>5</w:t>
            </w:r>
          </w:p>
        </w:tc>
        <w:tc>
          <w:tcPr>
            <w:tcW w:w="89"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858" w:type="dxa"/>
            <w:tcBorders/>
            <w:shd w:fill="CCEEFF" w:val="clear"/>
            <w:vAlign w:val="center"/>
          </w:tcPr>
          <w:p>
            <w:pPr>
              <w:pStyle w:val="TableContents"/>
              <w:spacing w:before="0" w:after="283"/>
              <w:jc w:val="right"/>
              <w:rPr/>
            </w:pPr>
            <w:r>
              <w:rPr/>
              <w:t>—  </w:t>
            </w:r>
          </w:p>
        </w:tc>
        <w:tc>
          <w:tcPr>
            <w:tcW w:w="89"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1197" w:type="dxa"/>
            <w:tcBorders/>
            <w:shd w:fill="CCEEFF" w:val="clear"/>
            <w:vAlign w:val="center"/>
          </w:tcPr>
          <w:p>
            <w:pPr>
              <w:pStyle w:val="TableContents"/>
              <w:spacing w:before="0" w:after="283"/>
              <w:jc w:val="right"/>
              <w:rPr/>
            </w:pPr>
            <w:r>
              <w:rPr/>
              <w:t>30,000</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w:t>
            </w:r>
          </w:p>
        </w:tc>
        <w:tc>
          <w:tcPr>
            <w:tcW w:w="1197" w:type="dxa"/>
            <w:tcBorders/>
            <w:shd w:fill="auto" w:val="clear"/>
            <w:vAlign w:val="center"/>
          </w:tcPr>
          <w:p>
            <w:pPr>
              <w:pStyle w:val="TableContents"/>
              <w:spacing w:before="0" w:after="283"/>
              <w:jc w:val="right"/>
              <w:rPr/>
            </w:pPr>
            <w:r>
              <w:rPr/>
              <w:t>161,922</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w:t>
            </w:r>
          </w:p>
        </w:tc>
        <w:tc>
          <w:tcPr>
            <w:tcW w:w="787" w:type="dxa"/>
            <w:tcBorders/>
            <w:shd w:fill="auto" w:val="clear"/>
            <w:vAlign w:val="center"/>
          </w:tcPr>
          <w:p>
            <w:pPr>
              <w:pStyle w:val="TableContents"/>
              <w:spacing w:before="0" w:after="283"/>
              <w:jc w:val="right"/>
              <w:rPr/>
            </w:pPr>
            <w:r>
              <w:rPr/>
              <w:t>17</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w:t>
            </w:r>
          </w:p>
        </w:tc>
        <w:tc>
          <w:tcPr>
            <w:tcW w:w="858" w:type="dxa"/>
            <w:tcBorders/>
            <w:shd w:fill="auto" w:val="cle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w:t>
            </w:r>
          </w:p>
        </w:tc>
        <w:tc>
          <w:tcPr>
            <w:tcW w:w="1197" w:type="dxa"/>
            <w:tcBorders/>
            <w:shd w:fill="auto" w:val="clear"/>
            <w:vAlign w:val="center"/>
          </w:tcPr>
          <w:p>
            <w:pPr>
              <w:pStyle w:val="TableContents"/>
              <w:spacing w:before="0" w:after="283"/>
              <w:jc w:val="right"/>
              <w:rPr/>
            </w:pPr>
            <w:r>
              <w:rPr/>
              <w:t>161,939</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8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5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holds investment grade marketable securities, and none were considered to be in an unrealized loss position as of June 30, 2021 and December 31, 2020. As a result, the Company did not record any reserves for credit losses related to its marketable debt securities during the periods then ended. Marketable securities include $0.1 million in accrued interest at June 30, 2021 and December 31, 2020.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6.    Supplemental Balance Sheet Information </w:t>
      </w:r>
    </w:p>
    <w:p>
      <w:pPr>
        <w:pStyle w:val="TextBody"/>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Property and equipment, net as of June 30, 2021 and December 31, 2020 consists of the following: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F-46 </w:t>
      </w:r>
    </w:p>
    <w:p>
      <w:pPr>
        <w:pStyle w:val="HorizontalLine"/>
        <w:jc w:val="center"/>
        <w:rPr/>
      </w:pPr>
      <w:r>
        <w:rPr/>
      </w:r>
    </w:p>
    <w:p>
      <w:pPr>
        <w:pStyle w:val="TextBody"/>
        <w:spacing w:before="0" w:after="0"/>
        <w:ind w:left="0" w:right="0" w:hanging="0"/>
        <w:jc w:val="left"/>
        <w:rPr/>
      </w:pPr>
      <w:hyperlink w:anchor="toc">
        <w:r>
          <w:rPr>
            <w:rStyle w:val="InternetLink"/>
            <w:b/>
            <w:sz w:val="20"/>
          </w:rPr>
          <w:t>Table of Contents</w:t>
        </w:r>
      </w:hyperlink>
    </w:p>
    <w:tbl>
      <w:tblPr>
        <w:tblW w:w="5500" w:type="dxa"/>
        <w:jc w:val="left"/>
        <w:tblInd w:w="0" w:type="dxa"/>
        <w:tblCellMar>
          <w:top w:w="0" w:type="dxa"/>
          <w:left w:w="0" w:type="dxa"/>
          <w:bottom w:w="0" w:type="dxa"/>
          <w:right w:w="0" w:type="dxa"/>
        </w:tblCellMar>
      </w:tblPr>
      <w:tblGrid>
        <w:gridCol w:w="2645"/>
        <w:gridCol w:w="120"/>
        <w:gridCol w:w="158"/>
        <w:gridCol w:w="717"/>
        <w:gridCol w:w="155"/>
        <w:gridCol w:w="120"/>
        <w:gridCol w:w="255"/>
        <w:gridCol w:w="1160"/>
        <w:gridCol w:w="17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June 30,</w:t>
              <w:b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br/>
              <w:t>2020</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6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 thousands)</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Laboratory equipment</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w:t>
            </w:r>
          </w:p>
        </w:tc>
        <w:tc>
          <w:tcPr>
            <w:tcW w:w="717" w:type="dxa"/>
            <w:tcBorders/>
            <w:shd w:fill="CCEEFF" w:val="clear"/>
            <w:vAlign w:val="center"/>
          </w:tcPr>
          <w:p>
            <w:pPr>
              <w:pStyle w:val="TableContents"/>
              <w:spacing w:before="0" w:after="283"/>
              <w:jc w:val="right"/>
              <w:rPr/>
            </w:pPr>
            <w:r>
              <w:rPr/>
              <w:t>5,337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4,580</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Computer equipment</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172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172</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Computer software</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125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125</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Furniture and fixtures</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459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384</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246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246</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Construction in process</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158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6,497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5,507</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depreciation</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(2,100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(1,684</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w:t>
            </w:r>
          </w:p>
        </w:tc>
        <w:tc>
          <w:tcPr>
            <w:tcW w:w="717" w:type="dxa"/>
            <w:tcBorders/>
            <w:shd w:fill="CCEEFF" w:val="clear"/>
            <w:vAlign w:val="center"/>
          </w:tcPr>
          <w:p>
            <w:pPr>
              <w:pStyle w:val="TableContents"/>
              <w:spacing w:before="0" w:after="283"/>
              <w:jc w:val="right"/>
              <w:rPr/>
            </w:pPr>
            <w:r>
              <w:rPr/>
              <w:t>4,397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5"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3,823</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Depreciation expense was $0.2 million for each of the three months ended June 30, 2021 and 2020 and $0.4 million and $0.3 million for the six months ended June 30, 2021 and 2020, respectively.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Expenses and Other Current Liabilities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Accrued expenses and other current liabilities as of June 30, 2021 and December 31, 2020 include the following: </w:t>
      </w:r>
    </w:p>
    <w:p>
      <w:pPr>
        <w:pStyle w:val="TextBody"/>
        <w:spacing w:before="0" w:after="0"/>
        <w:jc w:val="left"/>
        <w:rPr>
          <w:spacing w:val="0"/>
        </w:rPr>
      </w:pPr>
      <w:r>
        <w:rPr>
          <w:spacing w:val="0"/>
        </w:rPr>
        <w:t> </w:t>
      </w:r>
    </w:p>
    <w:tbl>
      <w:tblPr>
        <w:tblW w:w="6840" w:type="dxa"/>
        <w:jc w:val="left"/>
        <w:tblInd w:w="0" w:type="dxa"/>
        <w:tblCellMar>
          <w:top w:w="0" w:type="dxa"/>
          <w:left w:w="0" w:type="dxa"/>
          <w:bottom w:w="0" w:type="dxa"/>
          <w:right w:w="0" w:type="dxa"/>
        </w:tblCellMar>
      </w:tblPr>
      <w:tblGrid>
        <w:gridCol w:w="4175"/>
        <w:gridCol w:w="120"/>
        <w:gridCol w:w="161"/>
        <w:gridCol w:w="714"/>
        <w:gridCol w:w="60"/>
        <w:gridCol w:w="120"/>
        <w:gridCol w:w="260"/>
        <w:gridCol w:w="1155"/>
        <w:gridCol w:w="75"/>
      </w:tblGrid>
      <w:tr>
        <w:trPr/>
        <w:tc>
          <w:tcPr>
            <w:tcW w:w="4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June 30,</w:t>
              <w:b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December 31,</w:t>
              <w:br/>
              <w:t>2020</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Payroll and employee-related costs</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w:t>
            </w:r>
          </w:p>
        </w:tc>
        <w:tc>
          <w:tcPr>
            <w:tcW w:w="714" w:type="dxa"/>
            <w:tcBorders/>
            <w:shd w:fill="CCEEFF" w:val="clear"/>
            <w:vAlign w:val="center"/>
          </w:tcPr>
          <w:p>
            <w:pPr>
              <w:pStyle w:val="TableContents"/>
              <w:spacing w:before="0" w:after="283"/>
              <w:jc w:val="right"/>
              <w:rPr/>
            </w:pPr>
            <w:r>
              <w:rPr/>
              <w:t> </w:t>
            </w:r>
            <w:r>
              <w:rPr/>
              <w:t>2,046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w:t>
            </w:r>
          </w:p>
        </w:tc>
        <w:tc>
          <w:tcPr>
            <w:tcW w:w="1155" w:type="dxa"/>
            <w:tcBorders/>
            <w:shd w:fill="CCEEFF" w:val="clear"/>
            <w:vAlign w:val="center"/>
          </w:tcPr>
          <w:p>
            <w:pPr>
              <w:pStyle w:val="TableContents"/>
              <w:spacing w:before="0" w:after="283"/>
              <w:jc w:val="right"/>
              <w:rPr/>
            </w:pPr>
            <w:r>
              <w:rPr/>
              <w:t> </w:t>
            </w:r>
            <w:r>
              <w:rPr/>
              <w:t>2,652</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 costs</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3,691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155" w:type="dxa"/>
            <w:tcBorders/>
            <w:shd w:fill="auto" w:val="clear"/>
            <w:vAlign w:val="center"/>
          </w:tcPr>
          <w:p>
            <w:pPr>
              <w:pStyle w:val="TableContents"/>
              <w:spacing w:before="0" w:after="283"/>
              <w:jc w:val="right"/>
              <w:rPr/>
            </w:pPr>
            <w:r>
              <w:rPr/>
              <w:t>2,695</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697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 </w:t>
            </w:r>
          </w:p>
        </w:tc>
        <w:tc>
          <w:tcPr>
            <w:tcW w:w="1155" w:type="dxa"/>
            <w:tcBorders/>
            <w:shd w:fill="CCEEFF" w:val="clear"/>
            <w:vAlign w:val="center"/>
          </w:tcPr>
          <w:p>
            <w:pPr>
              <w:pStyle w:val="TableContents"/>
              <w:spacing w:before="0" w:after="283"/>
              <w:jc w:val="right"/>
              <w:rPr/>
            </w:pPr>
            <w:r>
              <w:rPr/>
              <w:t>793</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accrued expenses and other current liabilities</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w:t>
            </w:r>
          </w:p>
        </w:tc>
        <w:tc>
          <w:tcPr>
            <w:tcW w:w="714" w:type="dxa"/>
            <w:tcBorders/>
            <w:shd w:fill="auto" w:val="clear"/>
            <w:vAlign w:val="center"/>
          </w:tcPr>
          <w:p>
            <w:pPr>
              <w:pStyle w:val="TableContents"/>
              <w:spacing w:before="0" w:after="283"/>
              <w:jc w:val="right"/>
              <w:rPr/>
            </w:pPr>
            <w:r>
              <w:rPr/>
              <w:t>6,434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w:t>
            </w:r>
          </w:p>
        </w:tc>
        <w:tc>
          <w:tcPr>
            <w:tcW w:w="1155" w:type="dxa"/>
            <w:tcBorders/>
            <w:shd w:fill="auto" w:val="clear"/>
            <w:vAlign w:val="center"/>
          </w:tcPr>
          <w:p>
            <w:pPr>
              <w:pStyle w:val="TableContents"/>
              <w:spacing w:before="0" w:after="283"/>
              <w:jc w:val="right"/>
              <w:rPr/>
            </w:pPr>
            <w:r>
              <w:rPr/>
              <w:t>6,140</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Cash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both June 30, 2021 and June 30, 2020, the Company maintained a restricted cash balance of $2.3 million, all of which was related to security deposits associated with the Company’s facility leases. The cash will remain restricted in accordance with the lease agreements absent the event of a lease termination of modification. The reconciliation of cash and cash equivalents and restricted cash to amounts presented in the condensed consolidated statements of cash flows are as follows: </w:t>
      </w:r>
    </w:p>
    <w:p>
      <w:pPr>
        <w:pStyle w:val="TextBody"/>
        <w:spacing w:before="0" w:after="0"/>
        <w:jc w:val="left"/>
        <w:rPr>
          <w:spacing w:val="0"/>
        </w:rPr>
      </w:pPr>
      <w:r>
        <w:rPr>
          <w:spacing w:val="0"/>
        </w:rPr>
        <w:t> </w:t>
      </w:r>
    </w:p>
    <w:tbl>
      <w:tblPr>
        <w:tblW w:w="5560" w:type="dxa"/>
        <w:jc w:val="left"/>
        <w:tblInd w:w="0" w:type="dxa"/>
        <w:tblCellMar>
          <w:top w:w="0" w:type="dxa"/>
          <w:left w:w="0" w:type="dxa"/>
          <w:bottom w:w="0" w:type="dxa"/>
          <w:right w:w="0" w:type="dxa"/>
        </w:tblCellMar>
      </w:tblPr>
      <w:tblGrid>
        <w:gridCol w:w="3425"/>
        <w:gridCol w:w="120"/>
        <w:gridCol w:w="140"/>
        <w:gridCol w:w="740"/>
        <w:gridCol w:w="60"/>
        <w:gridCol w:w="120"/>
        <w:gridCol w:w="140"/>
        <w:gridCol w:w="740"/>
        <w:gridCol w:w="75"/>
      </w:tblGrid>
      <w:tr>
        <w:trPr/>
        <w:tc>
          <w:tcPr>
            <w:tcW w:w="3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June 30,</w:t>
              <w:b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June 30,</w:t>
              <w:br/>
              <w:t>2020</w:t>
            </w:r>
          </w:p>
        </w:tc>
        <w:tc>
          <w:tcPr>
            <w:tcW w:w="7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4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50,902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13,118</w:t>
            </w:r>
          </w:p>
        </w:tc>
        <w:tc>
          <w:tcPr>
            <w:tcW w:w="75"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2,279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2,279</w:t>
            </w:r>
          </w:p>
        </w:tc>
        <w:tc>
          <w:tcPr>
            <w:tcW w:w="7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cash equivalents and restricted 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53,181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15,397</w:t>
            </w:r>
          </w:p>
        </w:tc>
        <w:tc>
          <w:tcPr>
            <w:tcW w:w="75"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7.    Commitments and Contingencies</w:t>
      </w:r>
    </w:p>
    <w:p>
      <w:pPr>
        <w:pStyle w:val="TextBody"/>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Collaboration Agreement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In September 2017, the Company entered into a Research Collaboration Agreement (the “HitGen Agreement”) with HitGen Ltd (“HitGen”). Under the terms of the HitGen Agreement, HitGen would use its </w:t>
      </w:r>
    </w:p>
    <w:p>
      <w:pPr>
        <w:pStyle w:val="TextBody"/>
        <w:spacing w:before="120" w:after="0"/>
        <w:jc w:val="left"/>
        <w:rPr>
          <w:rFonts w:ascii="Times New Roman" w:hAnsi="Times New Roman"/>
          <w:spacing w:val="0"/>
          <w:sz w:val="20"/>
        </w:rPr>
      </w:pPr>
      <w:r>
        <w:rPr>
          <w:rFonts w:ascii="Times New Roman" w:hAnsi="Times New Roman"/>
          <w:spacing w:val="0"/>
          <w:sz w:val="20"/>
        </w:rPr>
        <w:t>DNA-encoded</w:t>
      </w:r>
    </w:p>
    <w:p>
      <w:pPr>
        <w:pStyle w:val="TextBody"/>
        <w:spacing w:before="120" w:after="0"/>
        <w:jc w:val="left"/>
        <w:rPr>
          <w:rFonts w:ascii="Times New Roman" w:hAnsi="Times New Roman"/>
          <w:sz w:val="20"/>
        </w:rPr>
      </w:pPr>
      <w:r>
        <w:rPr>
          <w:rFonts w:ascii="Times New Roman" w:hAnsi="Times New Roman"/>
          <w:sz w:val="20"/>
        </w:rPr>
        <w:t xml:space="preserve">library technology to screen up to three targets and deliver to the Company the structures of certain compounds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F-47 </w:t>
      </w:r>
    </w:p>
    <w:p>
      <w:pPr>
        <w:pStyle w:val="HorizontalLine"/>
        <w:jc w:val="center"/>
        <w:rPr/>
      </w:pPr>
      <w:r>
        <w:rPr/>
      </w:r>
    </w:p>
    <w:p>
      <w:pPr>
        <w:pStyle w:val="TextBody"/>
        <w:spacing w:before="0" w:after="0"/>
        <w:ind w:left="0" w:right="0" w:hanging="0"/>
        <w:jc w:val="left"/>
        <w:rPr/>
      </w:pPr>
      <w:hyperlink w:anchor="toc">
        <w:r>
          <w:rPr>
            <w:rStyle w:val="InternetLink"/>
            <w:b/>
            <w:sz w:val="20"/>
          </w:rPr>
          <w:t>Table of Contents</w:t>
        </w:r>
      </w:hyperlink>
    </w:p>
    <w:p>
      <w:pPr>
        <w:pStyle w:val="TextBody"/>
        <w:spacing w:before="120" w:after="0"/>
        <w:ind w:left="0" w:right="0" w:hanging="0"/>
        <w:jc w:val="left"/>
        <w:rPr>
          <w:rFonts w:ascii="Times New Roman" w:hAnsi="Times New Roman"/>
          <w:sz w:val="20"/>
        </w:rPr>
      </w:pPr>
      <w:r>
        <w:rPr>
          <w:rFonts w:ascii="Times New Roman" w:hAnsi="Times New Roman"/>
          <w:sz w:val="20"/>
        </w:rPr>
        <w:t xml:space="preserve">that bind to the targets. The Company would provide certain materials containing each target for purposes of the screen. The Company could have been obligated to make certain milestone payments. The Company and HitGen mutually agreed to terminate the HitGen Agreement in March 2021. No milestones were achieved or paid upon the termination of the agreement.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Guarantees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Litigation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from time to time, may be party to litigation arising in the ordinary course of business. The company was not subject to any material legal proceedings as of June 30, 2021, and no material legal proceedings are currently pending or threatened.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8.    Redeemable Convertible Preferred Stock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Pursuant to the initial closing of the Series A stock purchase agreement, the Company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 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22,686,025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 </w:t>
      </w:r>
    </w:p>
    <w:p>
      <w:pPr>
        <w:pStyle w:val="TextBody"/>
        <w:spacing w:before="240" w:after="0"/>
        <w:ind w:left="0" w:right="0" w:hanging="0"/>
        <w:jc w:val="left"/>
        <w:rPr>
          <w:rFonts w:ascii="Times New Roman" w:hAnsi="Times New Roman"/>
          <w:sz w:val="20"/>
        </w:rPr>
      </w:pPr>
      <w:r>
        <w:rPr>
          <w:rFonts w:ascii="Times New Roman" w:hAnsi="Times New Roman"/>
          <w:sz w:val="20"/>
        </w:rPr>
        <w:t xml:space="preserve">In August 2020, the Company executed a stock purchase agreement to sell shares of redeemable convertible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preferred stock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The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stock purchase agreement allows for the issuance of up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F-48 </w:t>
      </w:r>
    </w:p>
    <w:p>
      <w:pPr>
        <w:pStyle w:val="HorizontalLine"/>
        <w:jc w:val="center"/>
        <w:rPr/>
      </w:pPr>
      <w:r>
        <w:rPr/>
      </w:r>
    </w:p>
    <w:p>
      <w:pPr>
        <w:pStyle w:val="TextBody"/>
        <w:spacing w:before="0" w:after="0"/>
        <w:ind w:left="0" w:right="0" w:hanging="0"/>
        <w:jc w:val="left"/>
        <w:rPr/>
      </w:pPr>
      <w:hyperlink w:anchor="toc">
        <w:r>
          <w:rPr>
            <w:rStyle w:val="InternetLink"/>
            <w:b/>
            <w:sz w:val="20"/>
          </w:rPr>
          <w:t>Table of Contents</w:t>
        </w:r>
      </w:hyperlink>
    </w:p>
    <w:p>
      <w:pPr>
        <w:pStyle w:val="TextBody"/>
        <w:spacing w:before="240" w:after="0"/>
        <w:ind w:left="0" w:right="0" w:hanging="0"/>
        <w:jc w:val="left"/>
        <w:rPr>
          <w:rFonts w:ascii="Times New Roman" w:hAnsi="Times New Roman"/>
          <w:sz w:val="20"/>
        </w:rPr>
      </w:pPr>
      <w:r>
        <w:rPr>
          <w:rFonts w:ascii="Times New Roman" w:hAnsi="Times New Roman"/>
          <w:sz w:val="20"/>
        </w:rPr>
        <w:t xml:space="preserve">to 27,152,255 shares. All 27,152,255 shares of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were issued at a price of $1.89 per share in August 2020. Proceeds from this issuance was $51.1 million, net of $0.1 million in issuance costs.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As of June 30, 2021 and December 31, 2020, redeemable convertible preferred stock consisted of the following (in thousands, except share amounts): </w:t>
      </w:r>
    </w:p>
    <w:p>
      <w:pPr>
        <w:pStyle w:val="TextBody"/>
        <w:spacing w:before="0" w:after="0"/>
        <w:jc w:val="left"/>
        <w:rPr>
          <w:spacing w:val="0"/>
        </w:rPr>
      </w:pPr>
      <w:r>
        <w:rPr>
          <w:spacing w:val="0"/>
        </w:rPr>
        <w:t> </w:t>
      </w:r>
    </w:p>
    <w:tbl>
      <w:tblPr>
        <w:tblW w:w="7635" w:type="dxa"/>
        <w:jc w:val="left"/>
        <w:tblInd w:w="0" w:type="dxa"/>
        <w:tblCellMar>
          <w:top w:w="0" w:type="dxa"/>
          <w:left w:w="0" w:type="dxa"/>
          <w:bottom w:w="0" w:type="dxa"/>
          <w:right w:w="0" w:type="dxa"/>
        </w:tblCellMar>
      </w:tblPr>
      <w:tblGrid>
        <w:gridCol w:w="695"/>
        <w:gridCol w:w="120"/>
        <w:gridCol w:w="60"/>
        <w:gridCol w:w="1220"/>
        <w:gridCol w:w="60"/>
        <w:gridCol w:w="120"/>
        <w:gridCol w:w="60"/>
        <w:gridCol w:w="1220"/>
        <w:gridCol w:w="60"/>
        <w:gridCol w:w="120"/>
        <w:gridCol w:w="143"/>
        <w:gridCol w:w="822"/>
        <w:gridCol w:w="60"/>
        <w:gridCol w:w="120"/>
        <w:gridCol w:w="170"/>
        <w:gridCol w:w="1050"/>
        <w:gridCol w:w="60"/>
        <w:gridCol w:w="120"/>
        <w:gridCol w:w="60"/>
        <w:gridCol w:w="1220"/>
        <w:gridCol w:w="75"/>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45" w:type="dxa"/>
            <w:gridSpan w:val="18"/>
            <w:tcBorders/>
            <w:shd w:fill="auto" w:val="clear"/>
            <w:vAlign w:val="center"/>
          </w:tcPr>
          <w:p>
            <w:pPr>
              <w:pStyle w:val="TableContents"/>
              <w:spacing w:before="0" w:after="0"/>
              <w:jc w:val="center"/>
              <w:rPr>
                <w:b/>
                <w:spacing w:val="0"/>
              </w:rPr>
            </w:pPr>
            <w:r>
              <w:rPr>
                <w:b/>
                <w:spacing w:val="0"/>
              </w:rPr>
              <w:t>June 30, 2021</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Preferred</w:t>
              <w:br/>
              <w:t>Stock</w:t>
              <w:br/>
              <w:t>Authorized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Preferred</w:t>
              <w:br/>
              <w:t>Stock</w:t>
              <w:br/>
              <w:t>Issued and</w:t>
              <w:br/>
              <w:t>Outstanding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0"/>
              <w:jc w:val="center"/>
              <w:rPr>
                <w:b/>
                <w:spacing w:val="0"/>
              </w:rPr>
            </w:pPr>
            <w:r>
              <w:rPr>
                <w:b/>
                <w:spacing w:val="0"/>
              </w:rPr>
              <w:t>Carrying</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shd w:fill="auto" w:val="clear"/>
            <w:vAlign w:val="center"/>
          </w:tcPr>
          <w:p>
            <w:pPr>
              <w:pStyle w:val="TableContents"/>
              <w:spacing w:before="0" w:after="0"/>
              <w:jc w:val="center"/>
              <w:rPr>
                <w:b/>
                <w:spacing w:val="0"/>
              </w:rPr>
            </w:pPr>
            <w:r>
              <w:rPr>
                <w:b/>
                <w:spacing w:val="0"/>
              </w:rPr>
              <w:t>Liquidation</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Common</w:t>
              <w:br/>
              <w:t>Stock</w:t>
              <w:br/>
              <w:t>Issuable</w:t>
              <w:br/>
              <w:t>Upon</w:t>
              <w:br/>
              <w:t>Conversion</w:t>
            </w:r>
          </w:p>
        </w:tc>
        <w:tc>
          <w:tcPr>
            <w:tcW w:w="75" w:type="dxa"/>
            <w:tcBorders/>
            <w:shd w:fill="auto" w:val="clear"/>
            <w:vAlign w:val="center"/>
          </w:tcPr>
          <w:p>
            <w:pPr>
              <w:pStyle w:val="TableContents"/>
              <w:spacing w:before="0" w:after="283"/>
              <w:rPr/>
            </w:pPr>
            <w:r>
              <w:rPr/>
              <w:t> </w:t>
            </w:r>
          </w:p>
        </w:tc>
      </w:tr>
      <w:tr>
        <w:trPr/>
        <w:tc>
          <w:tcPr>
            <w:tcW w:w="6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A</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822"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50"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55,700,000</w:t>
            </w:r>
          </w:p>
        </w:tc>
        <w:tc>
          <w:tcPr>
            <w:tcW w:w="75" w:type="dxa"/>
            <w:tcBorders/>
            <w:shd w:fill="CCEEFF"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B</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45,372,050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45,372,050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22" w:type="dxa"/>
            <w:tcBorders/>
            <w:shd w:fill="auto" w:val="clear"/>
            <w:vAlign w:val="center"/>
          </w:tcPr>
          <w:p>
            <w:pPr>
              <w:pStyle w:val="TableContents"/>
              <w:spacing w:before="0" w:after="283"/>
              <w:jc w:val="right"/>
              <w:rPr/>
            </w:pPr>
            <w:r>
              <w:rPr/>
              <w:t>59,751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60,000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45,372,050</w:t>
            </w:r>
          </w:p>
        </w:tc>
        <w:tc>
          <w:tcPr>
            <w:tcW w:w="75" w:type="dxa"/>
            <w:tcBorders/>
            <w:shd w:fill="auto" w:val="clear"/>
            <w:vAlign w:val="center"/>
          </w:tcPr>
          <w:p>
            <w:pPr>
              <w:pStyle w:val="TableContents"/>
              <w:spacing w:before="0" w:after="283"/>
              <w:rPr/>
            </w:pPr>
            <w:r>
              <w:rPr/>
              <w:t> </w:t>
            </w:r>
          </w:p>
        </w:tc>
      </w:tr>
      <w:tr>
        <w:trPr/>
        <w:tc>
          <w:tcPr>
            <w:tcW w:w="6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Series </w:t>
            </w:r>
          </w:p>
          <w:p>
            <w:pPr>
              <w:pStyle w:val="TableContents"/>
              <w:spacing w:before="0" w:after="0"/>
              <w:rPr>
                <w:rFonts w:ascii="Times New Roman" w:hAnsi="Times New Roman"/>
                <w:spacing w:val="0"/>
                <w:sz w:val="20"/>
              </w:rPr>
            </w:pPr>
            <w:r>
              <w:rPr>
                <w:rFonts w:ascii="Times New Roman" w:hAnsi="Times New Roman"/>
                <w:spacing w:val="0"/>
                <w:sz w:val="20"/>
              </w:rPr>
              <w:t>B-1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27,152,255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27,152,255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jc w:val="right"/>
              <w:rPr/>
            </w:pPr>
            <w:r>
              <w:rPr/>
              <w:t>51,083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51,182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27,152,255</w:t>
            </w:r>
          </w:p>
        </w:tc>
        <w:tc>
          <w:tcPr>
            <w:tcW w:w="75" w:type="dxa"/>
            <w:tcBorders/>
            <w:shd w:fill="CCEEFF"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128,224,305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128,224,305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w:t>
            </w:r>
          </w:p>
        </w:tc>
        <w:tc>
          <w:tcPr>
            <w:tcW w:w="822" w:type="dxa"/>
            <w:tcBorders/>
            <w:shd w:fill="auto" w:val="clear"/>
            <w:vAlign w:val="center"/>
          </w:tcPr>
          <w:p>
            <w:pPr>
              <w:pStyle w:val="TableContents"/>
              <w:spacing w:before="0" w:after="283"/>
              <w:jc w:val="right"/>
              <w:rPr/>
            </w:pPr>
            <w:r>
              <w:rPr/>
              <w:t>166,534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50" w:type="dxa"/>
            <w:tcBorders/>
            <w:shd w:fill="auto" w:val="clear"/>
            <w:vAlign w:val="center"/>
          </w:tcPr>
          <w:p>
            <w:pPr>
              <w:pStyle w:val="TableContents"/>
              <w:spacing w:before="0" w:after="283"/>
              <w:jc w:val="right"/>
              <w:rPr/>
            </w:pPr>
            <w:r>
              <w:rPr/>
              <w:t> </w:t>
            </w:r>
            <w:r>
              <w:rPr/>
              <w:t>136,882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128,224,305</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7635" w:type="dxa"/>
        <w:jc w:val="left"/>
        <w:tblInd w:w="0" w:type="dxa"/>
        <w:tblCellMar>
          <w:top w:w="0" w:type="dxa"/>
          <w:left w:w="0" w:type="dxa"/>
          <w:bottom w:w="0" w:type="dxa"/>
          <w:right w:w="0" w:type="dxa"/>
        </w:tblCellMar>
      </w:tblPr>
      <w:tblGrid>
        <w:gridCol w:w="695"/>
        <w:gridCol w:w="120"/>
        <w:gridCol w:w="60"/>
        <w:gridCol w:w="1220"/>
        <w:gridCol w:w="60"/>
        <w:gridCol w:w="120"/>
        <w:gridCol w:w="60"/>
        <w:gridCol w:w="1220"/>
        <w:gridCol w:w="60"/>
        <w:gridCol w:w="120"/>
        <w:gridCol w:w="143"/>
        <w:gridCol w:w="822"/>
        <w:gridCol w:w="60"/>
        <w:gridCol w:w="120"/>
        <w:gridCol w:w="170"/>
        <w:gridCol w:w="1050"/>
        <w:gridCol w:w="60"/>
        <w:gridCol w:w="120"/>
        <w:gridCol w:w="60"/>
        <w:gridCol w:w="1220"/>
        <w:gridCol w:w="75"/>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45" w:type="dxa"/>
            <w:gridSpan w:val="18"/>
            <w:tcBorders/>
            <w:shd w:fill="auto" w:val="clear"/>
            <w:vAlign w:val="center"/>
          </w:tcPr>
          <w:p>
            <w:pPr>
              <w:pStyle w:val="TableContents"/>
              <w:spacing w:before="0" w:after="0"/>
              <w:jc w:val="center"/>
              <w:rPr>
                <w:b/>
                <w:spacing w:val="0"/>
              </w:rPr>
            </w:pPr>
            <w:r>
              <w:rPr>
                <w:b/>
                <w:spacing w:val="0"/>
              </w:rPr>
              <w:t>December 31, 2020</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Preferred</w:t>
              <w:br/>
              <w:t>Stock</w:t>
              <w:br/>
              <w:t>Authorized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Preferred</w:t>
              <w:br/>
              <w:t>Stock</w:t>
              <w:br/>
              <w:t>Issued and</w:t>
              <w:br/>
              <w:t>Outstanding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0"/>
              <w:jc w:val="center"/>
              <w:rPr>
                <w:b/>
                <w:spacing w:val="0"/>
              </w:rPr>
            </w:pPr>
            <w:r>
              <w:rPr>
                <w:b/>
                <w:spacing w:val="0"/>
              </w:rPr>
              <w:t>Carrying</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shd w:fill="auto" w:val="clear"/>
            <w:vAlign w:val="center"/>
          </w:tcPr>
          <w:p>
            <w:pPr>
              <w:pStyle w:val="TableContents"/>
              <w:spacing w:before="0" w:after="0"/>
              <w:jc w:val="center"/>
              <w:rPr>
                <w:b/>
                <w:spacing w:val="0"/>
              </w:rPr>
            </w:pPr>
            <w:r>
              <w:rPr>
                <w:b/>
                <w:spacing w:val="0"/>
              </w:rPr>
              <w:t>Liquidation</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0"/>
              <w:jc w:val="center"/>
              <w:rPr>
                <w:b/>
                <w:spacing w:val="0"/>
              </w:rPr>
            </w:pPr>
            <w:r>
              <w:rPr>
                <w:b/>
                <w:spacing w:val="0"/>
              </w:rPr>
              <w:t>Common</w:t>
              <w:br/>
              <w:t>Stock</w:t>
              <w:br/>
              <w:t>Issuable</w:t>
              <w:br/>
              <w:t>Upon</w:t>
              <w:br/>
              <w:t>Conversion</w:t>
            </w:r>
          </w:p>
        </w:tc>
        <w:tc>
          <w:tcPr>
            <w:tcW w:w="75" w:type="dxa"/>
            <w:tcBorders/>
            <w:shd w:fill="auto" w:val="clear"/>
            <w:vAlign w:val="center"/>
          </w:tcPr>
          <w:p>
            <w:pPr>
              <w:pStyle w:val="TableContents"/>
              <w:spacing w:before="0" w:after="283"/>
              <w:rPr/>
            </w:pPr>
            <w:r>
              <w:rPr/>
              <w:t> </w:t>
            </w:r>
          </w:p>
        </w:tc>
      </w:tr>
      <w:tr>
        <w:trPr/>
        <w:tc>
          <w:tcPr>
            <w:tcW w:w="6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A</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822"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50"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55,700,000</w:t>
            </w:r>
          </w:p>
        </w:tc>
        <w:tc>
          <w:tcPr>
            <w:tcW w:w="75" w:type="dxa"/>
            <w:tcBorders/>
            <w:shd w:fill="CCEEFF"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B</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45,372,050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22,686,025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22" w:type="dxa"/>
            <w:tcBorders/>
            <w:shd w:fill="auto" w:val="clear"/>
            <w:vAlign w:val="center"/>
          </w:tcPr>
          <w:p>
            <w:pPr>
              <w:pStyle w:val="TableContents"/>
              <w:spacing w:before="0" w:after="283"/>
              <w:jc w:val="right"/>
              <w:rPr/>
            </w:pPr>
            <w:r>
              <w:rPr/>
              <w:t>29,761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30,000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22,686,025</w:t>
            </w:r>
          </w:p>
        </w:tc>
        <w:tc>
          <w:tcPr>
            <w:tcW w:w="75" w:type="dxa"/>
            <w:tcBorders/>
            <w:shd w:fill="auto" w:val="clear"/>
            <w:vAlign w:val="center"/>
          </w:tcPr>
          <w:p>
            <w:pPr>
              <w:pStyle w:val="TableContents"/>
              <w:spacing w:before="0" w:after="283"/>
              <w:rPr/>
            </w:pPr>
            <w:r>
              <w:rPr/>
              <w:t> </w:t>
            </w:r>
          </w:p>
        </w:tc>
      </w:tr>
      <w:tr>
        <w:trPr/>
        <w:tc>
          <w:tcPr>
            <w:tcW w:w="6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Series </w:t>
            </w:r>
          </w:p>
          <w:p>
            <w:pPr>
              <w:pStyle w:val="TableContents"/>
              <w:spacing w:before="0" w:after="0"/>
              <w:rPr>
                <w:rFonts w:ascii="Times New Roman" w:hAnsi="Times New Roman"/>
                <w:spacing w:val="0"/>
                <w:sz w:val="20"/>
              </w:rPr>
            </w:pPr>
            <w:r>
              <w:rPr>
                <w:rFonts w:ascii="Times New Roman" w:hAnsi="Times New Roman"/>
                <w:spacing w:val="0"/>
                <w:sz w:val="20"/>
              </w:rPr>
              <w:t>B-1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27,152,255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27,152,255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jc w:val="right"/>
              <w:rPr/>
            </w:pPr>
            <w:r>
              <w:rPr/>
              <w:t>51,083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51,182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27,152,255</w:t>
            </w:r>
          </w:p>
        </w:tc>
        <w:tc>
          <w:tcPr>
            <w:tcW w:w="75" w:type="dxa"/>
            <w:tcBorders/>
            <w:shd w:fill="CCEEFF"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128,224,305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105,538,280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w:t>
            </w:r>
          </w:p>
        </w:tc>
        <w:tc>
          <w:tcPr>
            <w:tcW w:w="822" w:type="dxa"/>
            <w:tcBorders/>
            <w:shd w:fill="auto" w:val="clear"/>
            <w:vAlign w:val="center"/>
          </w:tcPr>
          <w:p>
            <w:pPr>
              <w:pStyle w:val="TableContents"/>
              <w:spacing w:before="0" w:after="283"/>
              <w:jc w:val="right"/>
              <w:rPr/>
            </w:pPr>
            <w:r>
              <w:rPr/>
              <w:t>136,544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50" w:type="dxa"/>
            <w:tcBorders/>
            <w:shd w:fill="auto" w:val="clear"/>
            <w:vAlign w:val="center"/>
          </w:tcPr>
          <w:p>
            <w:pPr>
              <w:pStyle w:val="TableContents"/>
              <w:spacing w:before="0" w:after="283"/>
              <w:jc w:val="right"/>
              <w:rPr/>
            </w:pPr>
            <w:r>
              <w:rPr/>
              <w:t> </w:t>
            </w:r>
            <w:r>
              <w:rPr/>
              <w:t>136,882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105,538,280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rights, preferences and privileges of the Company’s redeemable convertible preferred stock are as follows: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 Value Per Share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par value of all preferred stock is $0.001 per share.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Future Tranche Right Feature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Rights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event of any liquidation event, deemed liquidation event, dissolution or winding up of the Company, the holders of preferred stock then outstanding shall receive a distribution prior to any distribution to the common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F-49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convertible preferred stock is $1.89 per share. Certain terms exist to protect the conversion rights of the holders of the convertible preferred stock in the event of the issuance of additional shares of common stock or a merger or reorganization of the Company.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On or after March 31, 2023, upon the vote or written consent of the holders of the Series A, Series B, and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Company has a stock-based compensation plan under which stock options, restricted stock awards (“RSAs”), unrestricted stock awards, restricted stock units, or any combination of the forgoing may be granted to eligible employees, officers, directors, consultants, or other key persons who provide services to the Company. The Company recorded stock-based compensation expense in the following expense categories in its accompanying condensed consolidated statements of operations: </w:t>
      </w:r>
    </w:p>
    <w:p>
      <w:pPr>
        <w:pStyle w:val="TextBody"/>
        <w:spacing w:before="0" w:after="0"/>
        <w:jc w:val="left"/>
        <w:rPr>
          <w:spacing w:val="0"/>
        </w:rPr>
      </w:pPr>
      <w:r>
        <w:rPr>
          <w:spacing w:val="0"/>
        </w:rPr>
        <w:t> </w:t>
      </w:r>
    </w:p>
    <w:tbl>
      <w:tblPr>
        <w:tblW w:w="8786" w:type="dxa"/>
        <w:jc w:val="left"/>
        <w:tblInd w:w="0" w:type="dxa"/>
        <w:tblCellMar>
          <w:top w:w="0" w:type="dxa"/>
          <w:left w:w="0" w:type="dxa"/>
          <w:bottom w:w="0" w:type="dxa"/>
          <w:right w:w="0" w:type="dxa"/>
        </w:tblCellMar>
      </w:tblPr>
      <w:tblGrid>
        <w:gridCol w:w="2225"/>
        <w:gridCol w:w="240"/>
        <w:gridCol w:w="276"/>
        <w:gridCol w:w="1107"/>
        <w:gridCol w:w="118"/>
        <w:gridCol w:w="474"/>
        <w:gridCol w:w="276"/>
        <w:gridCol w:w="872"/>
        <w:gridCol w:w="60"/>
        <w:gridCol w:w="240"/>
        <w:gridCol w:w="250"/>
        <w:gridCol w:w="1001"/>
        <w:gridCol w:w="107"/>
        <w:gridCol w:w="429"/>
        <w:gridCol w:w="250"/>
        <w:gridCol w:w="786"/>
        <w:gridCol w:w="75"/>
      </w:tblGrid>
      <w:tr>
        <w:trPr/>
        <w:tc>
          <w:tcPr>
            <w:tcW w:w="22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2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3123" w:type="dxa"/>
            <w:gridSpan w:val="6"/>
            <w:tcBorders/>
            <w:shd w:fill="auto" w:val="clear"/>
            <w:vAlign w:val="center"/>
          </w:tcPr>
          <w:p>
            <w:pPr>
              <w:pStyle w:val="TableContents"/>
              <w:spacing w:before="0" w:after="0"/>
              <w:jc w:val="center"/>
              <w:rPr>
                <w:b/>
                <w:spacing w:val="0"/>
              </w:rPr>
            </w:pPr>
            <w:r>
              <w:rPr>
                <w:b/>
                <w:spacing w:val="0"/>
              </w:rPr>
              <w:t>Three Months Ended June 30,</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823" w:type="dxa"/>
            <w:gridSpan w:val="6"/>
            <w:tcBorders/>
            <w:shd w:fill="auto" w:val="clear"/>
            <w:vAlign w:val="center"/>
          </w:tcPr>
          <w:p>
            <w:pPr>
              <w:pStyle w:val="TableContents"/>
              <w:spacing w:before="0" w:after="0"/>
              <w:jc w:val="center"/>
              <w:rPr>
                <w:b/>
                <w:spacing w:val="0"/>
              </w:rPr>
            </w:pPr>
            <w:r>
              <w:rPr>
                <w:b/>
                <w:spacing w:val="0"/>
              </w:rPr>
              <w:t>Six Months Ended June 30,</w:t>
            </w:r>
          </w:p>
        </w:tc>
        <w:tc>
          <w:tcPr>
            <w:tcW w:w="75"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383" w:type="dxa"/>
            <w:gridSpan w:val="2"/>
            <w:tcBorders/>
            <w:shd w:fill="auto" w:val="clear"/>
            <w:vAlign w:val="center"/>
          </w:tcPr>
          <w:p>
            <w:pPr>
              <w:pStyle w:val="TableContents"/>
              <w:spacing w:before="0" w:after="0"/>
              <w:jc w:val="center"/>
              <w:rPr>
                <w:spacing w:val="0"/>
              </w:rPr>
            </w:pPr>
            <w:r>
              <w:rPr>
                <w:spacing w:val="0"/>
              </w:rPr>
              <w:t>    </w:t>
            </w:r>
            <w:r>
              <w:rPr>
                <w:b/>
                <w:spacing w:val="0"/>
              </w:rPr>
              <w:t>2021    </w:t>
            </w:r>
          </w:p>
        </w:tc>
        <w:tc>
          <w:tcPr>
            <w:tcW w:w="118"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1148" w:type="dxa"/>
            <w:gridSpan w:val="2"/>
            <w:tcBorders/>
            <w:shd w:fill="auto" w:val="clear"/>
            <w:vAlign w:val="center"/>
          </w:tcPr>
          <w:p>
            <w:pPr>
              <w:pStyle w:val="TableContents"/>
              <w:spacing w:before="0" w:after="0"/>
              <w:jc w:val="center"/>
              <w:rPr>
                <w:spacing w:val="0"/>
              </w:rPr>
            </w:pPr>
            <w:r>
              <w:rPr>
                <w:spacing w:val="0"/>
              </w:rPr>
              <w:t>    </w:t>
            </w:r>
            <w:r>
              <w:rPr>
                <w:b/>
                <w:spacing w:val="0"/>
              </w:rPr>
              <w:t>2020    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251" w:type="dxa"/>
            <w:gridSpan w:val="2"/>
            <w:tcBorders/>
            <w:shd w:fill="auto" w:val="clear"/>
            <w:vAlign w:val="center"/>
          </w:tcPr>
          <w:p>
            <w:pPr>
              <w:pStyle w:val="TableContents"/>
              <w:spacing w:before="0" w:after="0"/>
              <w:jc w:val="center"/>
              <w:rPr>
                <w:spacing w:val="0"/>
              </w:rPr>
            </w:pPr>
            <w:r>
              <w:rPr>
                <w:spacing w:val="0"/>
              </w:rPr>
              <w:t>    </w:t>
            </w:r>
            <w:r>
              <w:rPr>
                <w:b/>
                <w:spacing w:val="0"/>
              </w:rPr>
              <w:t>2021    </w:t>
            </w:r>
          </w:p>
        </w:tc>
        <w:tc>
          <w:tcPr>
            <w:tcW w:w="107"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1036" w:type="dxa"/>
            <w:gridSpan w:val="2"/>
            <w:tcBorders/>
            <w:shd w:fill="auto" w:val="clear"/>
            <w:vAlign w:val="center"/>
          </w:tcPr>
          <w:p>
            <w:pPr>
              <w:pStyle w:val="TableContents"/>
              <w:spacing w:before="0" w:after="0"/>
              <w:jc w:val="center"/>
              <w:rPr>
                <w:spacing w:val="0"/>
              </w:rPr>
            </w:pPr>
            <w:r>
              <w:rPr>
                <w:spacing w:val="0"/>
              </w:rPr>
              <w:t>    </w:t>
            </w:r>
            <w:r>
              <w:rPr>
                <w:b/>
                <w:spacing w:val="0"/>
              </w:rPr>
              <w:t>2020    </w:t>
            </w:r>
          </w:p>
        </w:tc>
        <w:tc>
          <w:tcPr>
            <w:tcW w:w="75"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6246" w:type="dxa"/>
            <w:gridSpan w:val="14"/>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24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1107" w:type="dxa"/>
            <w:tcBorders/>
            <w:shd w:fill="CCEEFF" w:val="clear"/>
            <w:vAlign w:val="center"/>
          </w:tcPr>
          <w:p>
            <w:pPr>
              <w:pStyle w:val="TableContents"/>
              <w:spacing w:before="0" w:after="283"/>
              <w:jc w:val="right"/>
              <w:rPr/>
            </w:pPr>
            <w:r>
              <w:rPr/>
              <w:t>552</w:t>
            </w:r>
          </w:p>
        </w:tc>
        <w:tc>
          <w:tcPr>
            <w:tcW w:w="118" w:type="dxa"/>
            <w:tcBorders/>
            <w:shd w:fill="CCEEFF" w:val="clear"/>
            <w:vAlign w:val="center"/>
          </w:tcPr>
          <w:p>
            <w:pPr>
              <w:pStyle w:val="TableContents"/>
              <w:spacing w:before="0" w:after="283"/>
              <w:rPr/>
            </w:pPr>
            <w:r>
              <w:rPr/>
              <w:t> </w:t>
            </w:r>
          </w:p>
        </w:tc>
        <w:tc>
          <w:tcPr>
            <w:tcW w:w="474"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872" w:type="dxa"/>
            <w:tcBorders/>
            <w:shd w:fill="CCEEFF" w:val="clear"/>
            <w:vAlign w:val="center"/>
          </w:tcPr>
          <w:p>
            <w:pPr>
              <w:pStyle w:val="TableContents"/>
              <w:spacing w:before="0" w:after="283"/>
              <w:jc w:val="right"/>
              <w:rPr/>
            </w:pPr>
            <w:r>
              <w:rPr/>
              <w:t> </w:t>
            </w:r>
            <w:r>
              <w:rPr/>
              <w:t>230</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250" w:type="dxa"/>
            <w:tcBorders/>
            <w:shd w:fill="CCEEFF" w:val="clear"/>
            <w:vAlign w:val="center"/>
          </w:tcPr>
          <w:p>
            <w:pPr>
              <w:pStyle w:val="TableContents"/>
              <w:spacing w:before="0" w:after="283"/>
              <w:rPr/>
            </w:pPr>
            <w:r>
              <w:rPr/>
              <w:t>$</w:t>
            </w:r>
          </w:p>
        </w:tc>
        <w:tc>
          <w:tcPr>
            <w:tcW w:w="1001" w:type="dxa"/>
            <w:tcBorders/>
            <w:shd w:fill="CCEEFF" w:val="clear"/>
            <w:vAlign w:val="center"/>
          </w:tcPr>
          <w:p>
            <w:pPr>
              <w:pStyle w:val="TableContents"/>
              <w:spacing w:before="0" w:after="283"/>
              <w:jc w:val="right"/>
              <w:rPr/>
            </w:pPr>
            <w:r>
              <w:rPr/>
              <w:t>1,012</w:t>
            </w:r>
          </w:p>
        </w:tc>
        <w:tc>
          <w:tcPr>
            <w:tcW w:w="107" w:type="dxa"/>
            <w:tcBorders/>
            <w:shd w:fill="CCEEFF" w:val="clear"/>
            <w:vAlign w:val="center"/>
          </w:tcPr>
          <w:p>
            <w:pPr>
              <w:pStyle w:val="TableContents"/>
              <w:spacing w:before="0" w:after="283"/>
              <w:rPr/>
            </w:pPr>
            <w:r>
              <w:rPr/>
              <w:t> </w:t>
            </w:r>
          </w:p>
        </w:tc>
        <w:tc>
          <w:tcPr>
            <w:tcW w:w="429" w:type="dxa"/>
            <w:tcBorders/>
            <w:shd w:fill="CCEEFF" w:val="clear"/>
            <w:vAlign w:val="center"/>
          </w:tcPr>
          <w:p>
            <w:pPr>
              <w:pStyle w:val="TableContents"/>
              <w:spacing w:before="0" w:after="283"/>
              <w:rPr/>
            </w:pPr>
            <w:r>
              <w:rPr/>
              <w:t>  </w:t>
            </w:r>
          </w:p>
        </w:tc>
        <w:tc>
          <w:tcPr>
            <w:tcW w:w="250" w:type="dxa"/>
            <w:tcBorders/>
            <w:shd w:fill="CCEEFF" w:val="clear"/>
            <w:vAlign w:val="center"/>
          </w:tcPr>
          <w:p>
            <w:pPr>
              <w:pStyle w:val="TableContents"/>
              <w:spacing w:before="0" w:after="283"/>
              <w:rPr/>
            </w:pPr>
            <w:r>
              <w:rPr/>
              <w:t>$</w:t>
            </w:r>
          </w:p>
        </w:tc>
        <w:tc>
          <w:tcPr>
            <w:tcW w:w="786" w:type="dxa"/>
            <w:tcBorders/>
            <w:shd w:fill="CCEEFF" w:val="clear"/>
            <w:vAlign w:val="center"/>
          </w:tcPr>
          <w:p>
            <w:pPr>
              <w:pStyle w:val="TableContents"/>
              <w:spacing w:before="0" w:after="283"/>
              <w:jc w:val="right"/>
              <w:rPr/>
            </w:pPr>
            <w:r>
              <w:rPr/>
              <w:t>449</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24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644</w:t>
            </w:r>
          </w:p>
        </w:tc>
        <w:tc>
          <w:tcPr>
            <w:tcW w:w="118"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872" w:type="dxa"/>
            <w:tcBorders/>
            <w:shd w:fill="auto" w:val="clear"/>
            <w:vAlign w:val="center"/>
          </w:tcPr>
          <w:p>
            <w:pPr>
              <w:pStyle w:val="TableContents"/>
              <w:spacing w:before="0" w:after="283"/>
              <w:jc w:val="right"/>
              <w:rPr/>
            </w:pPr>
            <w:r>
              <w:rPr/>
              <w:t>177</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1" w:type="dxa"/>
            <w:tcBorders/>
            <w:shd w:fill="auto" w:val="clear"/>
            <w:vAlign w:val="center"/>
          </w:tcPr>
          <w:p>
            <w:pPr>
              <w:pStyle w:val="TableContents"/>
              <w:spacing w:before="0" w:after="283"/>
              <w:jc w:val="right"/>
              <w:rPr/>
            </w:pPr>
            <w:r>
              <w:rPr/>
              <w:t>1,134</w:t>
            </w:r>
          </w:p>
        </w:tc>
        <w:tc>
          <w:tcPr>
            <w:tcW w:w="107"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786" w:type="dxa"/>
            <w:tcBorders/>
            <w:shd w:fill="auto" w:val="clear"/>
            <w:vAlign w:val="center"/>
          </w:tcPr>
          <w:p>
            <w:pPr>
              <w:pStyle w:val="TableContents"/>
              <w:spacing w:before="0" w:after="283"/>
              <w:jc w:val="right"/>
              <w:rPr/>
            </w:pPr>
            <w:r>
              <w:rPr/>
              <w:t>366</w:t>
            </w:r>
          </w:p>
        </w:tc>
        <w:tc>
          <w:tcPr>
            <w:tcW w:w="75"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8"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7"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8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240"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1107" w:type="dxa"/>
            <w:tcBorders/>
            <w:shd w:fill="CCEEFF" w:val="clear"/>
            <w:vAlign w:val="center"/>
          </w:tcPr>
          <w:p>
            <w:pPr>
              <w:pStyle w:val="TableContents"/>
              <w:spacing w:before="0" w:after="283"/>
              <w:jc w:val="right"/>
              <w:rPr/>
            </w:pPr>
            <w:r>
              <w:rPr/>
              <w:t>1,196</w:t>
            </w:r>
          </w:p>
        </w:tc>
        <w:tc>
          <w:tcPr>
            <w:tcW w:w="118" w:type="dxa"/>
            <w:tcBorders/>
            <w:shd w:fill="CCEEFF" w:val="clear"/>
            <w:vAlign w:val="center"/>
          </w:tcPr>
          <w:p>
            <w:pPr>
              <w:pStyle w:val="TableContents"/>
              <w:spacing w:before="0" w:after="283"/>
              <w:rPr/>
            </w:pPr>
            <w:r>
              <w:rPr/>
              <w:t> </w:t>
            </w:r>
          </w:p>
        </w:tc>
        <w:tc>
          <w:tcPr>
            <w:tcW w:w="474" w:type="dxa"/>
            <w:tcBorders/>
            <w:shd w:fill="CCEEFF" w:val="clear"/>
            <w:vAlign w:val="center"/>
          </w:tcPr>
          <w:p>
            <w:pPr>
              <w:pStyle w:val="TableContents"/>
              <w:spacing w:before="0" w:after="283"/>
              <w:rPr/>
            </w:pPr>
            <w:r>
              <w:rPr/>
              <w:t>  </w:t>
            </w:r>
          </w:p>
        </w:tc>
        <w:tc>
          <w:tcPr>
            <w:tcW w:w="276" w:type="dxa"/>
            <w:tcBorders/>
            <w:shd w:fill="CCEEFF" w:val="clear"/>
            <w:vAlign w:val="center"/>
          </w:tcPr>
          <w:p>
            <w:pPr>
              <w:pStyle w:val="TableContents"/>
              <w:spacing w:before="0" w:after="283"/>
              <w:rPr/>
            </w:pPr>
            <w:r>
              <w:rPr/>
              <w:t>$</w:t>
            </w:r>
          </w:p>
        </w:tc>
        <w:tc>
          <w:tcPr>
            <w:tcW w:w="872" w:type="dxa"/>
            <w:tcBorders/>
            <w:shd w:fill="CCEEFF" w:val="clear"/>
            <w:vAlign w:val="center"/>
          </w:tcPr>
          <w:p>
            <w:pPr>
              <w:pStyle w:val="TableContents"/>
              <w:spacing w:before="0" w:after="283"/>
              <w:jc w:val="right"/>
              <w:rPr/>
            </w:pPr>
            <w:r>
              <w:rPr/>
              <w:t>407</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250" w:type="dxa"/>
            <w:tcBorders/>
            <w:shd w:fill="CCEEFF" w:val="clear"/>
            <w:vAlign w:val="center"/>
          </w:tcPr>
          <w:p>
            <w:pPr>
              <w:pStyle w:val="TableContents"/>
              <w:spacing w:before="0" w:after="283"/>
              <w:rPr/>
            </w:pPr>
            <w:r>
              <w:rPr/>
              <w:t>$</w:t>
            </w:r>
          </w:p>
        </w:tc>
        <w:tc>
          <w:tcPr>
            <w:tcW w:w="1001" w:type="dxa"/>
            <w:tcBorders/>
            <w:shd w:fill="CCEEFF" w:val="clear"/>
            <w:vAlign w:val="center"/>
          </w:tcPr>
          <w:p>
            <w:pPr>
              <w:pStyle w:val="TableContents"/>
              <w:spacing w:before="0" w:after="283"/>
              <w:jc w:val="right"/>
              <w:rPr/>
            </w:pPr>
            <w:r>
              <w:rPr/>
              <w:t>2,146</w:t>
            </w:r>
          </w:p>
        </w:tc>
        <w:tc>
          <w:tcPr>
            <w:tcW w:w="107" w:type="dxa"/>
            <w:tcBorders/>
            <w:shd w:fill="CCEEFF" w:val="clear"/>
            <w:vAlign w:val="center"/>
          </w:tcPr>
          <w:p>
            <w:pPr>
              <w:pStyle w:val="TableContents"/>
              <w:spacing w:before="0" w:after="283"/>
              <w:rPr/>
            </w:pPr>
            <w:r>
              <w:rPr/>
              <w:t> </w:t>
            </w:r>
          </w:p>
        </w:tc>
        <w:tc>
          <w:tcPr>
            <w:tcW w:w="429" w:type="dxa"/>
            <w:tcBorders/>
            <w:shd w:fill="CCEEFF" w:val="clear"/>
            <w:vAlign w:val="center"/>
          </w:tcPr>
          <w:p>
            <w:pPr>
              <w:pStyle w:val="TableContents"/>
              <w:spacing w:before="0" w:after="283"/>
              <w:rPr/>
            </w:pPr>
            <w:r>
              <w:rPr/>
              <w:t>  </w:t>
            </w:r>
          </w:p>
        </w:tc>
        <w:tc>
          <w:tcPr>
            <w:tcW w:w="250" w:type="dxa"/>
            <w:tcBorders/>
            <w:shd w:fill="CCEEFF" w:val="clear"/>
            <w:vAlign w:val="center"/>
          </w:tcPr>
          <w:p>
            <w:pPr>
              <w:pStyle w:val="TableContents"/>
              <w:spacing w:before="0" w:after="283"/>
              <w:rPr/>
            </w:pPr>
            <w:r>
              <w:rPr/>
              <w:t>$</w:t>
            </w:r>
          </w:p>
        </w:tc>
        <w:tc>
          <w:tcPr>
            <w:tcW w:w="786" w:type="dxa"/>
            <w:tcBorders/>
            <w:shd w:fill="CCEEFF" w:val="clear"/>
            <w:vAlign w:val="center"/>
          </w:tcPr>
          <w:p>
            <w:pPr>
              <w:pStyle w:val="TableContents"/>
              <w:spacing w:before="0" w:after="283"/>
              <w:jc w:val="right"/>
              <w:rPr/>
            </w:pPr>
            <w:r>
              <w:rPr/>
              <w:t> </w:t>
            </w:r>
            <w:r>
              <w:rPr/>
              <w:t>815</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 w:type="dxa"/>
            <w:tcBorders/>
            <w:shd w:fill="auto" w:val="clear"/>
            <w:vAlign w:val="center"/>
          </w:tcPr>
          <w:p>
            <w:pPr>
              <w:pStyle w:val="TableContents"/>
              <w:spacing w:before="0" w:after="283"/>
              <w:rPr/>
            </w:pPr>
            <w:r>
              <w:rPr/>
              <w:t> </w:t>
            </w:r>
          </w:p>
        </w:tc>
        <w:tc>
          <w:tcPr>
            <w:tcW w:w="474" w:type="dxa"/>
            <w:tcBorders/>
            <w:shd w:fill="auto" w:val="clear"/>
            <w:vAlign w:val="center"/>
          </w:tcPr>
          <w:p>
            <w:pPr>
              <w:pStyle w:val="TableContents"/>
              <w:spacing w:before="0" w:after="283"/>
              <w:rPr/>
            </w:pPr>
            <w:r>
              <w:rPr/>
              <w:t>  </w:t>
            </w:r>
          </w:p>
        </w:tc>
        <w:tc>
          <w:tcPr>
            <w:tcW w:w="27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7"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8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F-50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 Activity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 summarizes the stock option activity of the Company’s 2017 Plan for the six months ended June 30, 2021: </w:t>
      </w:r>
    </w:p>
    <w:p>
      <w:pPr>
        <w:pStyle w:val="TextBody"/>
        <w:spacing w:before="0" w:after="0"/>
        <w:jc w:val="left"/>
        <w:rPr>
          <w:spacing w:val="0"/>
        </w:rPr>
      </w:pPr>
      <w:r>
        <w:rPr>
          <w:spacing w:val="0"/>
        </w:rPr>
        <w:t> </w:t>
      </w:r>
    </w:p>
    <w:tbl>
      <w:tblPr>
        <w:tblW w:w="9305" w:type="dxa"/>
        <w:jc w:val="left"/>
        <w:tblInd w:w="0" w:type="dxa"/>
        <w:tblCellMar>
          <w:top w:w="0" w:type="dxa"/>
          <w:left w:w="0" w:type="dxa"/>
          <w:bottom w:w="0" w:type="dxa"/>
          <w:right w:w="0" w:type="dxa"/>
        </w:tblCellMar>
      </w:tblPr>
      <w:tblGrid>
        <w:gridCol w:w="3830"/>
        <w:gridCol w:w="120"/>
        <w:gridCol w:w="60"/>
        <w:gridCol w:w="1100"/>
        <w:gridCol w:w="155"/>
        <w:gridCol w:w="120"/>
        <w:gridCol w:w="217"/>
        <w:gridCol w:w="778"/>
        <w:gridCol w:w="60"/>
        <w:gridCol w:w="120"/>
        <w:gridCol w:w="150"/>
        <w:gridCol w:w="1100"/>
        <w:gridCol w:w="60"/>
        <w:gridCol w:w="120"/>
        <w:gridCol w:w="140"/>
        <w:gridCol w:w="1100"/>
        <w:gridCol w:w="75"/>
      </w:tblGrid>
      <w:tr>
        <w:trPr/>
        <w:tc>
          <w:tcPr>
            <w:tcW w:w="3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Number of</w:t>
              <w:br/>
              <w:t>shares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0"/>
              <w:jc w:val="center"/>
              <w:rPr>
                <w:b/>
                <w:spacing w:val="0"/>
              </w:rPr>
            </w:pPr>
            <w:r>
              <w:rPr>
                <w:b/>
                <w:spacing w:val="0"/>
              </w:rPr>
              <w:t>Weighted</w:t>
              <w:br/>
              <w:t>Average</w:t>
              <w:br/>
              <w:t>Exercise</w:t>
              <w:br/>
              <w:t>Price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0" w:type="dxa"/>
            <w:gridSpan w:val="2"/>
            <w:tcBorders/>
            <w:shd w:fill="auto" w:val="clear"/>
            <w:vAlign w:val="center"/>
          </w:tcPr>
          <w:p>
            <w:pPr>
              <w:pStyle w:val="TableContents"/>
              <w:spacing w:before="0" w:after="0"/>
              <w:jc w:val="center"/>
              <w:rPr>
                <w:b/>
                <w:spacing w:val="0"/>
              </w:rPr>
            </w:pPr>
            <w:r>
              <w:rPr>
                <w:b/>
                <w:spacing w:val="0"/>
              </w:rPr>
              <w:t>Weighted</w:t>
              <w:br/>
              <w:t>Average</w:t>
              <w:br/>
              <w:t>Contractual</w:t>
              <w:br/>
              <w:t>Term</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Aggregate</w:t>
              <w:br/>
              <w:t>Intrinsic</w:t>
              <w:br/>
              <w:t>Value</w:t>
            </w:r>
          </w:p>
        </w:tc>
        <w:tc>
          <w:tcPr>
            <w:tcW w:w="75" w:type="dxa"/>
            <w:tcBorders/>
            <w:shd w:fill="auto"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280"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 years)</w:t>
            </w:r>
          </w:p>
        </w:tc>
        <w:tc>
          <w:tcPr>
            <w:tcW w:w="75" w:type="dxa"/>
            <w:tcBorders/>
            <w:shd w:fill="auto"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Options outstanding as of December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11,952,362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w:t>
            </w:r>
          </w:p>
        </w:tc>
        <w:tc>
          <w:tcPr>
            <w:tcW w:w="778" w:type="dxa"/>
            <w:tcBorders/>
            <w:shd w:fill="CCEEFF" w:val="clear"/>
            <w:vAlign w:val="center"/>
          </w:tcPr>
          <w:p>
            <w:pPr>
              <w:pStyle w:val="TableContents"/>
              <w:spacing w:before="0" w:after="283"/>
              <w:jc w:val="right"/>
              <w:rPr/>
            </w:pPr>
            <w:r>
              <w:rPr/>
              <w:t> </w:t>
            </w:r>
            <w:r>
              <w:rPr/>
              <w:t>0.64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6,625,511</w:t>
            </w:r>
          </w:p>
        </w:tc>
        <w:tc>
          <w:tcPr>
            <w:tcW w:w="75"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8,625,312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w:t>
            </w:r>
          </w:p>
        </w:tc>
        <w:tc>
          <w:tcPr>
            <w:tcW w:w="778" w:type="dxa"/>
            <w:tcBorders/>
            <w:shd w:fill="auto" w:val="clear"/>
            <w:vAlign w:val="center"/>
          </w:tcPr>
          <w:p>
            <w:pPr>
              <w:pStyle w:val="TableContents"/>
              <w:spacing w:before="0" w:after="283"/>
              <w:jc w:val="right"/>
              <w:rPr/>
            </w:pPr>
            <w:r>
              <w:rPr/>
              <w:t>1.56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(1,515,454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w:t>
            </w:r>
          </w:p>
        </w:tc>
        <w:tc>
          <w:tcPr>
            <w:tcW w:w="778" w:type="dxa"/>
            <w:tcBorders/>
            <w:shd w:fill="CCEEFF" w:val="clear"/>
            <w:vAlign w:val="center"/>
          </w:tcPr>
          <w:p>
            <w:pPr>
              <w:pStyle w:val="TableContents"/>
              <w:spacing w:before="0" w:after="283"/>
              <w:jc w:val="right"/>
              <w:rPr/>
            </w:pPr>
            <w:r>
              <w:rPr/>
              <w:t>0.50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Cancelled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(158,924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w:t>
            </w:r>
          </w:p>
        </w:tc>
        <w:tc>
          <w:tcPr>
            <w:tcW w:w="778" w:type="dxa"/>
            <w:tcBorders/>
            <w:shd w:fill="auto" w:val="clear"/>
            <w:vAlign w:val="center"/>
          </w:tcPr>
          <w:p>
            <w:pPr>
              <w:pStyle w:val="TableContents"/>
              <w:spacing w:before="0" w:after="283"/>
              <w:jc w:val="right"/>
              <w:rPr/>
            </w:pPr>
            <w:r>
              <w:rPr/>
              <w:t>1.22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7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Options outstanding as of June 30,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18,903,296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w:t>
            </w:r>
          </w:p>
        </w:tc>
        <w:tc>
          <w:tcPr>
            <w:tcW w:w="778" w:type="dxa"/>
            <w:tcBorders/>
            <w:shd w:fill="CCEEFF" w:val="clear"/>
            <w:vAlign w:val="center"/>
          </w:tcPr>
          <w:p>
            <w:pPr>
              <w:pStyle w:val="TableContents"/>
              <w:spacing w:before="0" w:after="283"/>
              <w:jc w:val="right"/>
              <w:rPr/>
            </w:pPr>
            <w:r>
              <w:rPr/>
              <w:t>1.06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44,555,609</w:t>
            </w:r>
          </w:p>
        </w:tc>
        <w:tc>
          <w:tcPr>
            <w:tcW w:w="75"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Options exercisable as of June 30,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3,864,800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w:t>
            </w:r>
          </w:p>
        </w:tc>
        <w:tc>
          <w:tcPr>
            <w:tcW w:w="778" w:type="dxa"/>
            <w:tcBorders/>
            <w:shd w:fill="auto" w:val="clear"/>
            <w:vAlign w:val="center"/>
          </w:tcPr>
          <w:p>
            <w:pPr>
              <w:pStyle w:val="TableContents"/>
              <w:spacing w:before="0" w:after="283"/>
              <w:jc w:val="right"/>
              <w:rPr/>
            </w:pPr>
            <w:r>
              <w:rPr/>
              <w:t>0.58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7.87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10,973,189</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As of June 30, 2021, total unrecognized compensation expense related to stock options was $13.7 million, which the Company expects to recognize over a remaining weighted-average period of 3.1 years.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During the six months ended June 30, 2021, 739,618 RSAs vested. Stock-based compensation expense attributable to RSAs during the six months ended June 30, 2021 totaled $0.3 million. </w:t>
      </w:r>
    </w:p>
    <w:p>
      <w:pPr>
        <w:pStyle w:val="TextBody"/>
        <w:spacing w:before="0" w:after="0"/>
        <w:jc w:val="center"/>
        <w:rPr/>
      </w:pPr>
      <w:r>
        <w:rPr/>
        <w:t>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10.    Net Loss Per Share</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Basic and diluted net loss per share attributable to common stockholders was calculated as follows: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903"/>
        <w:gridCol w:w="120"/>
        <w:gridCol w:w="149"/>
        <w:gridCol w:w="1177"/>
        <w:gridCol w:w="165"/>
        <w:gridCol w:w="128"/>
        <w:gridCol w:w="149"/>
        <w:gridCol w:w="1177"/>
        <w:gridCol w:w="155"/>
        <w:gridCol w:w="120"/>
        <w:gridCol w:w="141"/>
        <w:gridCol w:w="1114"/>
        <w:gridCol w:w="156"/>
        <w:gridCol w:w="121"/>
        <w:gridCol w:w="141"/>
        <w:gridCol w:w="1114"/>
        <w:gridCol w:w="175"/>
      </w:tblGrid>
      <w:tr>
        <w:trPr/>
        <w:tc>
          <w:tcPr>
            <w:tcW w:w="39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39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Three Months Ended June 30,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8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Six Months Ended June 30,</w:t>
            </w:r>
          </w:p>
        </w:tc>
        <w:tc>
          <w:tcPr>
            <w:tcW w:w="175" w:type="dxa"/>
            <w:tcBorders/>
            <w:shd w:fill="auto"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07"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(in thousands, except per share data)</w:t>
            </w:r>
          </w:p>
        </w:tc>
        <w:tc>
          <w:tcPr>
            <w:tcW w:w="175" w:type="dxa"/>
            <w:tcBorders/>
            <w:shd w:fill="auto"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2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326"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2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75" w:type="dxa"/>
            <w:tcBorders/>
            <w:shd w:fill="auto" w:val="clear"/>
            <w:vAlign w:val="center"/>
          </w:tcPr>
          <w:p>
            <w:pPr>
              <w:pStyle w:val="TableContents"/>
              <w:spacing w:before="0" w:after="283"/>
              <w:rPr/>
            </w:pPr>
            <w:r>
              <w:rPr/>
              <w:t> </w:t>
            </w:r>
          </w:p>
        </w:tc>
      </w:tr>
      <w:tr>
        <w:trPr/>
        <w:tc>
          <w:tcPr>
            <w:tcW w:w="39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1177" w:type="dxa"/>
            <w:tcBorders/>
            <w:shd w:fill="auto" w:val="clear"/>
            <w:vAlign w:val="center"/>
          </w:tcPr>
          <w:p>
            <w:pPr>
              <w:pStyle w:val="TableContents"/>
              <w:spacing w:before="0" w:after="283"/>
              <w:jc w:val="right"/>
              <w:rPr/>
            </w:pPr>
            <w:r>
              <w:rPr/>
              <w:t>(4,493</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1177" w:type="dxa"/>
            <w:tcBorders/>
            <w:shd w:fill="auto" w:val="clear"/>
            <w:vAlign w:val="center"/>
          </w:tcPr>
          <w:p>
            <w:pPr>
              <w:pStyle w:val="TableContents"/>
              <w:spacing w:before="0" w:after="283"/>
              <w:jc w:val="right"/>
              <w:rPr/>
            </w:pPr>
            <w:r>
              <w:rPr/>
              <w:t>(8,392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w:t>
            </w:r>
          </w:p>
        </w:tc>
        <w:tc>
          <w:tcPr>
            <w:tcW w:w="1114" w:type="dxa"/>
            <w:tcBorders/>
            <w:shd w:fill="auto" w:val="clear"/>
            <w:vAlign w:val="center"/>
          </w:tcPr>
          <w:p>
            <w:pPr>
              <w:pStyle w:val="TableContents"/>
              <w:spacing w:before="0" w:after="283"/>
              <w:jc w:val="right"/>
              <w:rPr/>
            </w:pPr>
            <w:r>
              <w:rPr/>
              <w:t>(16,599</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w:t>
            </w:r>
          </w:p>
        </w:tc>
        <w:tc>
          <w:tcPr>
            <w:tcW w:w="1114" w:type="dxa"/>
            <w:tcBorders/>
            <w:shd w:fill="auto" w:val="clear"/>
            <w:vAlign w:val="center"/>
          </w:tcPr>
          <w:p>
            <w:pPr>
              <w:pStyle w:val="TableContents"/>
              <w:spacing w:before="0" w:after="283"/>
              <w:jc w:val="right"/>
              <w:rPr/>
            </w:pPr>
            <w:r>
              <w:rPr/>
              <w:t>(16,306</w:t>
            </w:r>
          </w:p>
        </w:tc>
        <w:tc>
          <w:tcPr>
            <w:tcW w:w="175" w:type="dxa"/>
            <w:tcBorders/>
            <w:shd w:fill="auto"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5" w:type="dxa"/>
            <w:tcBorders/>
            <w:shd w:fill="auto" w:val="clear"/>
            <w:vAlign w:val="center"/>
          </w:tcPr>
          <w:p>
            <w:pPr>
              <w:pStyle w:val="TableContents"/>
              <w:spacing w:before="0" w:after="283"/>
              <w:rPr/>
            </w:pPr>
            <w:r>
              <w:rPr/>
              <w:t> </w:t>
            </w:r>
          </w:p>
        </w:tc>
      </w:tr>
      <w:tr>
        <w:trPr/>
        <w:tc>
          <w:tcPr>
            <w:tcW w:w="39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common stockholders – basic and diluted</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(4,493</w:t>
            </w:r>
          </w:p>
        </w:tc>
        <w:tc>
          <w:tcPr>
            <w:tcW w:w="165"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(8,392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(16,599</w:t>
            </w:r>
          </w:p>
        </w:tc>
        <w:tc>
          <w:tcPr>
            <w:tcW w:w="156"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(16,306</w:t>
            </w:r>
          </w:p>
        </w:tc>
        <w:tc>
          <w:tcPr>
            <w:tcW w:w="175" w:type="dxa"/>
            <w:tcBorders/>
            <w:shd w:fill="CCEEFF"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5" w:type="dxa"/>
            <w:tcBorders/>
            <w:shd w:fill="auto"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Denominator:</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r>
      <w:tr>
        <w:trPr/>
        <w:tc>
          <w:tcPr>
            <w:tcW w:w="39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common stock outstanding – basic and diluted</w:t>
            </w:r>
          </w:p>
        </w:tc>
        <w:tc>
          <w:tcPr>
            <w:tcW w:w="12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14,485,746</w:t>
            </w:r>
          </w:p>
        </w:tc>
        <w:tc>
          <w:tcPr>
            <w:tcW w:w="165"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11,193,065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14,214,543</w:t>
            </w:r>
          </w:p>
        </w:tc>
        <w:tc>
          <w:tcPr>
            <w:tcW w:w="156"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10,913,053</w:t>
            </w:r>
          </w:p>
        </w:tc>
        <w:tc>
          <w:tcPr>
            <w:tcW w:w="175" w:type="dxa"/>
            <w:tcBorders/>
            <w:shd w:fill="CCEEFF"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5" w:type="dxa"/>
            <w:tcBorders/>
            <w:shd w:fill="auto"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share attributable to common stockholders – basic and diluted</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1177" w:type="dxa"/>
            <w:tcBorders/>
            <w:shd w:fill="auto" w:val="clear"/>
            <w:vAlign w:val="center"/>
          </w:tcPr>
          <w:p>
            <w:pPr>
              <w:pStyle w:val="TableContents"/>
              <w:spacing w:before="0" w:after="283"/>
              <w:jc w:val="right"/>
              <w:rPr/>
            </w:pPr>
            <w:r>
              <w:rPr/>
              <w:t>(0.31</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1177" w:type="dxa"/>
            <w:tcBorders/>
            <w:shd w:fill="auto" w:val="clear"/>
            <w:vAlign w:val="center"/>
          </w:tcPr>
          <w:p>
            <w:pPr>
              <w:pStyle w:val="TableContents"/>
              <w:spacing w:before="0" w:after="283"/>
              <w:jc w:val="right"/>
              <w:rPr/>
            </w:pPr>
            <w:r>
              <w:rPr/>
              <w:t>(0.75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w:t>
            </w:r>
          </w:p>
        </w:tc>
        <w:tc>
          <w:tcPr>
            <w:tcW w:w="1114" w:type="dxa"/>
            <w:tcBorders/>
            <w:shd w:fill="auto" w:val="clear"/>
            <w:vAlign w:val="center"/>
          </w:tcPr>
          <w:p>
            <w:pPr>
              <w:pStyle w:val="TableContents"/>
              <w:spacing w:before="0" w:after="283"/>
              <w:jc w:val="right"/>
              <w:rPr/>
            </w:pPr>
            <w:r>
              <w:rPr/>
              <w:t>(1.17</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w:t>
            </w:r>
          </w:p>
        </w:tc>
        <w:tc>
          <w:tcPr>
            <w:tcW w:w="1114" w:type="dxa"/>
            <w:tcBorders/>
            <w:shd w:fill="auto" w:val="clear"/>
            <w:vAlign w:val="center"/>
          </w:tcPr>
          <w:p>
            <w:pPr>
              <w:pStyle w:val="TableContents"/>
              <w:spacing w:before="0" w:after="283"/>
              <w:jc w:val="right"/>
              <w:rPr/>
            </w:pPr>
            <w:r>
              <w:rPr/>
              <w:t>(1.49</w:t>
            </w:r>
          </w:p>
        </w:tc>
        <w:tc>
          <w:tcPr>
            <w:tcW w:w="175" w:type="dxa"/>
            <w:tcBorders/>
            <w:shd w:fill="auto" w:val="clear"/>
            <w:vAlign w:val="center"/>
          </w:tcPr>
          <w:p>
            <w:pPr>
              <w:pStyle w:val="TableContents"/>
              <w:spacing w:before="0" w:after="283"/>
              <w:rPr/>
            </w:pPr>
            <w:r>
              <w:rPr/>
              <w:t>) </w:t>
            </w:r>
          </w:p>
        </w:tc>
      </w:tr>
      <w:tr>
        <w:trPr/>
        <w:tc>
          <w:tcPr>
            <w:tcW w:w="39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5"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F-51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at each period end, from the computation of diluted net loss per share attributable to common stockholders for the periods indicated because including them would have had an anti-dilutive effect: </w:t>
      </w:r>
    </w:p>
    <w:p>
      <w:pPr>
        <w:pStyle w:val="TextBody"/>
        <w:spacing w:before="0" w:after="0"/>
        <w:jc w:val="left"/>
        <w:rPr>
          <w:spacing w:val="0"/>
        </w:rPr>
      </w:pPr>
      <w:r>
        <w:rPr>
          <w:spacing w:val="0"/>
        </w:rPr>
        <w:t> </w:t>
      </w:r>
    </w:p>
    <w:tbl>
      <w:tblPr>
        <w:tblW w:w="7695" w:type="dxa"/>
        <w:jc w:val="left"/>
        <w:tblInd w:w="0" w:type="dxa"/>
        <w:tblCellMar>
          <w:top w:w="0" w:type="dxa"/>
          <w:left w:w="0" w:type="dxa"/>
          <w:bottom w:w="0" w:type="dxa"/>
          <w:right w:w="0" w:type="dxa"/>
        </w:tblCellMar>
      </w:tblPr>
      <w:tblGrid>
        <w:gridCol w:w="4880"/>
        <w:gridCol w:w="120"/>
        <w:gridCol w:w="60"/>
        <w:gridCol w:w="1220"/>
        <w:gridCol w:w="60"/>
        <w:gridCol w:w="120"/>
        <w:gridCol w:w="60"/>
        <w:gridCol w:w="1100"/>
        <w:gridCol w:w="75"/>
      </w:tblGrid>
      <w:tr>
        <w:trPr/>
        <w:tc>
          <w:tcPr>
            <w:tcW w:w="4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2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June 30,</w:t>
            </w:r>
          </w:p>
        </w:tc>
        <w:tc>
          <w:tcPr>
            <w:tcW w:w="7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5" w:type="dxa"/>
            <w:tcBorders/>
            <w:shd w:fill="auto"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128,224,305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78,386,025</w:t>
            </w:r>
          </w:p>
        </w:tc>
        <w:tc>
          <w:tcPr>
            <w:tcW w:w="75" w:type="dxa"/>
            <w:tcBorders/>
            <w:shd w:fill="CCEEFF"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 options to purchase common stock</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18,903,296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11,475,430</w:t>
            </w:r>
          </w:p>
        </w:tc>
        <w:tc>
          <w:tcPr>
            <w:tcW w:w="75" w:type="dxa"/>
            <w:tcBorders/>
            <w:shd w:fill="auto"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restricted common stock</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16,250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1,764,036</w:t>
            </w:r>
          </w:p>
        </w:tc>
        <w:tc>
          <w:tcPr>
            <w:tcW w:w="75" w:type="dxa"/>
            <w:tcBorders/>
            <w:shd w:fill="CCEEFF"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60" w:type="dxa"/>
            <w:tcBorders>
              <w:bottom w:val="double" w:sz="6" w:space="0" w:color="000000"/>
            </w:tcBorders>
            <w:shd w:fill="auto" w:val="clear"/>
            <w:tcMar>
              <w:bottom w:w="28" w:type="dxa"/>
            </w:tcMar>
            <w:vAlign w:val="center"/>
          </w:tcPr>
          <w:p>
            <w:pPr>
              <w:pStyle w:val="TableContents"/>
              <w:spacing w:before="0" w:after="283"/>
              <w:rPr/>
            </w:pPr>
            <w:r>
              <w:rPr/>
              <w:t> </w:t>
            </w:r>
          </w:p>
        </w:tc>
        <w:tc>
          <w:tcPr>
            <w:tcW w:w="1220" w:type="dxa"/>
            <w:tcBorders>
              <w:bottom w:val="double" w:sz="6" w:space="0" w:color="000000"/>
            </w:tcBorders>
            <w:shd w:fill="auto" w:val="clear"/>
            <w:tcMar>
              <w:bottom w:w="28" w:type="dxa"/>
            </w:tcMar>
            <w:vAlign w:val="center"/>
          </w:tcPr>
          <w:p>
            <w:pPr>
              <w:pStyle w:val="TableContents"/>
              <w:spacing w:before="0" w:after="283"/>
              <w:jc w:val="right"/>
              <w:rPr/>
            </w:pPr>
            <w:r>
              <w:rPr/>
              <w:t>147,143,851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bottom w:val="double" w:sz="6" w:space="0" w:color="000000"/>
            </w:tcBorders>
            <w:shd w:fill="auto" w:val="clear"/>
            <w:tcMar>
              <w:bottom w:w="28" w:type="dxa"/>
            </w:tcMar>
            <w:vAlign w:val="center"/>
          </w:tcPr>
          <w:p>
            <w:pPr>
              <w:pStyle w:val="TableContents"/>
              <w:spacing w:before="0" w:after="283"/>
              <w:rPr/>
            </w:pPr>
            <w:r>
              <w:rPr/>
              <w:t> </w:t>
            </w:r>
          </w:p>
        </w:tc>
        <w:tc>
          <w:tcPr>
            <w:tcW w:w="1100" w:type="dxa"/>
            <w:tcBorders>
              <w:bottom w:val="double" w:sz="6" w:space="0" w:color="000000"/>
            </w:tcBorders>
            <w:shd w:fill="auto" w:val="clear"/>
            <w:tcMar>
              <w:bottom w:w="28" w:type="dxa"/>
            </w:tcMar>
            <w:vAlign w:val="center"/>
          </w:tcPr>
          <w:p>
            <w:pPr>
              <w:pStyle w:val="TableContents"/>
              <w:spacing w:before="0" w:after="283"/>
              <w:jc w:val="right"/>
              <w:rPr/>
            </w:pPr>
            <w:r>
              <w:rPr/>
              <w:t>91,625,491</w:t>
            </w:r>
          </w:p>
        </w:tc>
        <w:tc>
          <w:tcPr>
            <w:tcW w:w="75"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11.    Income Taxes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Company’s effective income tax rate was (0.3)% and 0.0% for the three months ended June 30, 2021 and 2020, respectively, and was (0.3)% and 0.0% for the six months ended June 30, 2021 and 2020, respectively. The benefit from income taxes was $21 thousand and $0 for the three months ended June 30, 2021 and 2020, respectively, and the provision for income taxes was $53 thousand and $0 for the six months ended June 30, 2021 and 2020, respectively. The change in the benefit from and provision for income taxes for the three and six months ended June 30, 2021, respectively, compared to the three and six months ended June 30, 2020 was primarily due to taxable deferred revenue partially offset by the utilization of federal and state net operating losses and federal and state tax credits.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The effective income tax rate for the three and six months ended June 30, 2021 and 2020 differed from the federal statutory rate primarily due to the valuation allowance maintained against the Company’s deferred tax assets.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12.    Subsequent Events </w:t>
      </w:r>
    </w:p>
    <w:p>
      <w:pPr>
        <w:pStyle w:val="TextBody"/>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with BCTG Acquisition Corporation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Tango received gross proceeds of $166.8 million upon the closing of the Business Combination. Tango continues to operate under the current Tango management team. Subsequent to the closing of the Business Combination, an 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 </w:t>
      </w:r>
    </w:p>
    <w:p>
      <w:pPr>
        <w:pStyle w:val="TextBody"/>
        <w:spacing w:before="240" w:after="0"/>
        <w:jc w:val="left"/>
        <w:rPr>
          <w:rFonts w:ascii="Times New Roman" w:hAnsi="Times New Roman"/>
          <w:spacing w:val="0"/>
          <w:sz w:val="20"/>
        </w:rPr>
      </w:pPr>
      <w:r>
        <w:rPr>
          <w:rFonts w:ascii="Times New Roman" w:hAnsi="Times New Roman"/>
          <w:spacing w:val="0"/>
          <w:sz w:val="20"/>
        </w:rPr>
        <w:t>Subject to the terms of the merger agreement, upon the closing of the Business Combination (the “Effective Time”), each share of the Company’s redeemable convertible preferred stock (the “Preferred Stock”) issued an</w:t>
      </w:r>
    </w:p>
    <w:p>
      <w:pPr>
        <w:pStyle w:val="TextBody"/>
        <w:spacing w:before="240" w:after="0"/>
        <w:jc w:val="left"/>
        <w:rPr>
          <w:rFonts w:ascii="Times New Roman" w:hAnsi="Times New Roman"/>
          <w:spacing w:val="0"/>
          <w:sz w:val="20"/>
        </w:rPr>
      </w:pPr>
      <w:r>
        <w:rPr>
          <w:rFonts w:ascii="Times New Roman" w:hAnsi="Times New Roman"/>
          <w:spacing w:val="0"/>
          <w:sz w:val="20"/>
        </w:rPr>
        <w:t>d</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F-52 </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In connection with the preparation of the consolidated financial statements, the Company evaluated the events subsequent to the balance sheet date of June 30, 2021 through August 13, 2021, the date the unaudited condensed consolidated financial statements were available for issuance, and determined that all material transactions have been recorded and disclosed. </w:t>
      </w:r>
    </w:p>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F-53 </w:t>
      </w:r>
    </w:p>
    <w:p>
      <w:pPr>
        <w:pStyle w:val="HorizontalLine"/>
        <w:rPr/>
      </w:pPr>
      <w:r>
        <w:rPr/>
      </w:r>
    </w:p>
    <w:p>
      <w:pPr>
        <w:pStyle w:val="TextBody"/>
        <w:spacing w:before="0" w:after="0"/>
        <w:jc w:val="left"/>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Board of Directors and Shareholders of Tango Therapeutics, Inc.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Opinion on the Financial Statements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Tango Therapeutics, Inc. and its subsidiary (the “Company”) as of December 31, 2020 and 2019,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December 31, 2019, and the results of its operations and its cash flows for the years then ended in conformity with accounting principles generally accepted in the United States of America.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for Opinion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 PricewaterhouseCoopers LLP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Boston, Massachusetts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April 12,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2017.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F-54 </w:t>
      </w:r>
    </w:p>
    <w:p>
      <w:pPr>
        <w:pStyle w:val="HorizontalLine"/>
        <w:rPr/>
      </w:pPr>
      <w:r>
        <w:rPr/>
      </w:r>
    </w:p>
    <w:p>
      <w:pPr>
        <w:pStyle w:val="TextBody"/>
        <w:spacing w:before="0" w:after="0"/>
        <w:ind w:left="0" w:right="0" w:hanging="0"/>
        <w:jc w:val="left"/>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CONSOLIDATED BALANCE SHEETS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8105"/>
        <w:gridCol w:w="120"/>
        <w:gridCol w:w="125"/>
        <w:gridCol w:w="755"/>
        <w:gridCol w:w="125"/>
        <w:gridCol w:w="60"/>
        <w:gridCol w:w="125"/>
        <w:gridCol w:w="650"/>
        <w:gridCol w:w="140"/>
      </w:tblGrid>
      <w:tr>
        <w:trPr/>
        <w:tc>
          <w:tcPr>
            <w:tcW w:w="8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r>
      <w:tr>
        <w:trPr/>
        <w:tc>
          <w:tcPr>
            <w:tcW w:w="8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0" w:type="dxa"/>
            <w:gridSpan w:val="6"/>
            <w:tcBorders/>
            <w:shd w:fill="auto" w:val="clear"/>
            <w:vAlign w:val="center"/>
          </w:tcPr>
          <w:p>
            <w:pPr>
              <w:pStyle w:val="TableContents"/>
              <w:spacing w:before="0" w:after="0"/>
              <w:jc w:val="center"/>
              <w:rPr>
                <w:b/>
                <w:spacing w:val="0"/>
              </w:rPr>
            </w:pPr>
            <w:r>
              <w:rPr>
                <w:b/>
                <w:spacing w:val="0"/>
              </w:rPr>
              <w:t>December 31,</w:t>
            </w:r>
          </w:p>
        </w:tc>
        <w:tc>
          <w:tcPr>
            <w:tcW w:w="140" w:type="dxa"/>
            <w:tcBorders/>
            <w:shd w:fill="auto" w:val="clear"/>
            <w:vAlign w:val="center"/>
          </w:tcPr>
          <w:p>
            <w:pPr>
              <w:pStyle w:val="TableContents"/>
              <w:spacing w:before="0" w:after="283"/>
              <w:rPr/>
            </w:pPr>
            <w:r>
              <w:rPr/>
              <w:t> </w:t>
            </w:r>
          </w:p>
        </w:tc>
      </w:tr>
      <w:tr>
        <w:trPr/>
        <w:tc>
          <w:tcPr>
            <w:tcW w:w="8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shd w:fill="auto" w:val="clear"/>
            <w:vAlign w:val="center"/>
          </w:tcPr>
          <w:p>
            <w:pPr>
              <w:pStyle w:val="TableContents"/>
              <w:spacing w:before="0" w:after="0"/>
              <w:jc w:val="center"/>
              <w:rPr>
                <w:b/>
                <w:spacing w:val="0"/>
              </w:rPr>
            </w:pPr>
            <w:r>
              <w:rPr>
                <w:b/>
                <w:spacing w:val="0"/>
              </w:rPr>
              <w:t>2020</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0"/>
              <w:jc w:val="center"/>
              <w:rPr>
                <w:b/>
                <w:spacing w:val="0"/>
              </w:rPr>
            </w:pPr>
            <w:r>
              <w:rPr>
                <w:b/>
                <w:spacing w:val="0"/>
              </w:rPr>
              <w:t>2019</w:t>
            </w:r>
          </w:p>
        </w:tc>
        <w:tc>
          <w:tcPr>
            <w:tcW w:w="140" w:type="dxa"/>
            <w:tcBorders/>
            <w:shd w:fill="auto"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lineRule="atLeast" w:line="240"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0"/>
              <w:rPr>
                <w:spacing w:val="0"/>
              </w:rPr>
            </w:pPr>
            <w:r>
              <w:rPr>
                <w:spacing w:val="0"/>
              </w:rPr>
              <w:t> </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0"/>
              <w:rPr>
                <w:spacing w:val="0"/>
              </w:rPr>
            </w:pPr>
            <w:r>
              <w:rPr>
                <w:spacing w:val="0"/>
              </w:rPr>
              <w:t> </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sz w:val="20"/>
              </w:rPr>
            </w:pPr>
            <w:r>
              <w:rPr>
                <w:spacing w:val="0"/>
                <w:sz w:val="20"/>
              </w:rPr>
              <w:t>$</w:t>
            </w:r>
          </w:p>
        </w:tc>
        <w:tc>
          <w:tcPr>
            <w:tcW w:w="755" w:type="dxa"/>
            <w:tcBorders/>
            <w:shd w:fill="CCEEFF" w:val="clear"/>
            <w:vAlign w:val="center"/>
          </w:tcPr>
          <w:p>
            <w:pPr>
              <w:pStyle w:val="TableContents"/>
              <w:spacing w:lineRule="atLeast" w:line="200" w:before="0" w:after="283"/>
              <w:jc w:val="right"/>
              <w:rPr>
                <w:sz w:val="20"/>
              </w:rPr>
            </w:pPr>
            <w:r>
              <w:rPr>
                <w:sz w:val="20"/>
              </w:rPr>
              <w:t>28,381</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sz w:val="20"/>
              </w:rPr>
            </w:pPr>
            <w:r>
              <w:rPr>
                <w:spacing w:val="0"/>
                <w:sz w:val="20"/>
              </w:rPr>
              <w:t>$</w:t>
            </w:r>
          </w:p>
        </w:tc>
        <w:tc>
          <w:tcPr>
            <w:tcW w:w="650" w:type="dxa"/>
            <w:tcBorders/>
            <w:shd w:fill="CCEEFF" w:val="clear"/>
            <w:vAlign w:val="center"/>
          </w:tcPr>
          <w:p>
            <w:pPr>
              <w:pStyle w:val="TableContents"/>
              <w:spacing w:lineRule="atLeast" w:line="200" w:before="0" w:after="283"/>
              <w:jc w:val="right"/>
              <w:rPr>
                <w:sz w:val="20"/>
              </w:rPr>
            </w:pPr>
            <w:r>
              <w:rPr>
                <w:sz w:val="20"/>
              </w:rPr>
              <w:t>22,889</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Marketable securities</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161,939</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17,536</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Accounts receivable</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2,000</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0"/>
              <w:jc w:val="right"/>
              <w:rPr/>
            </w:pPr>
            <w:r>
              <w:rPr/>
              <w:t>—</w:t>
            </w:r>
          </w:p>
          <w:p>
            <w:pPr>
              <w:pStyle w:val="TableContents"/>
              <w:spacing w:lineRule="atLeast" w:line="200" w:before="0" w:after="0"/>
              <w:jc w:val="right"/>
              <w:rPr>
                <w:spacing w:val="0"/>
              </w:rPr>
            </w:pPr>
            <w:r>
              <w:rPr>
                <w:spacing w:val="0"/>
              </w:rPr>
              <w:t>  </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1,312</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1,231</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 w:type="dxa"/>
            <w:tcBorders/>
            <w:shd w:fill="auto" w:val="clear"/>
            <w:vAlign w:val="center"/>
          </w:tcPr>
          <w:p>
            <w:pPr>
              <w:pStyle w:val="TableContents"/>
              <w:spacing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193,632</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41,656</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3,823</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3,442</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 xml:space="preserve">Operating lease </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right-of-use</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7,480</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8,387</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Restricted cash</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2,279</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2,279</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Other assets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38</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0"/>
              <w:jc w:val="right"/>
              <w:rPr/>
            </w:pPr>
            <w:r>
              <w:rPr/>
              <w:t>—</w:t>
            </w:r>
          </w:p>
          <w:p>
            <w:pPr>
              <w:pStyle w:val="TableContents"/>
              <w:spacing w:lineRule="atLeast" w:line="200" w:before="0" w:after="0"/>
              <w:jc w:val="right"/>
              <w:rPr>
                <w:spacing w:val="0"/>
              </w:rPr>
            </w:pPr>
            <w:r>
              <w:rPr>
                <w:spacing w:val="0"/>
              </w:rPr>
              <w:t>  </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 w:type="dxa"/>
            <w:tcBorders/>
            <w:shd w:fill="auto" w:val="clear"/>
            <w:vAlign w:val="center"/>
          </w:tcPr>
          <w:p>
            <w:pPr>
              <w:pStyle w:val="TableContents"/>
              <w:spacing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sz w:val="20"/>
              </w:rPr>
            </w:pPr>
            <w:r>
              <w:rPr>
                <w:spacing w:val="0"/>
                <w:sz w:val="20"/>
              </w:rPr>
              <w:t>$</w:t>
            </w:r>
          </w:p>
        </w:tc>
        <w:tc>
          <w:tcPr>
            <w:tcW w:w="755" w:type="dxa"/>
            <w:tcBorders/>
            <w:shd w:fill="auto" w:val="clear"/>
            <w:vAlign w:val="center"/>
          </w:tcPr>
          <w:p>
            <w:pPr>
              <w:pStyle w:val="TableContents"/>
              <w:spacing w:lineRule="atLeast" w:line="200" w:before="0" w:after="283"/>
              <w:jc w:val="right"/>
              <w:rPr>
                <w:sz w:val="20"/>
              </w:rPr>
            </w:pPr>
            <w:r>
              <w:rPr>
                <w:sz w:val="20"/>
              </w:rPr>
              <w:t>207,252</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sz w:val="20"/>
              </w:rPr>
            </w:pPr>
            <w:r>
              <w:rPr>
                <w:spacing w:val="0"/>
                <w:sz w:val="20"/>
              </w:rPr>
              <w:t>$</w:t>
            </w:r>
          </w:p>
        </w:tc>
        <w:tc>
          <w:tcPr>
            <w:tcW w:w="650" w:type="dxa"/>
            <w:tcBorders/>
            <w:shd w:fill="auto" w:val="clear"/>
            <w:vAlign w:val="center"/>
          </w:tcPr>
          <w:p>
            <w:pPr>
              <w:pStyle w:val="TableContents"/>
              <w:spacing w:lineRule="atLeast" w:line="200" w:before="0" w:after="283"/>
              <w:jc w:val="right"/>
              <w:rPr>
                <w:sz w:val="20"/>
              </w:rPr>
            </w:pPr>
            <w:r>
              <w:rPr>
                <w:sz w:val="20"/>
              </w:rPr>
              <w:t>55,764</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 w:type="dxa"/>
            <w:tcBorders/>
            <w:shd w:fill="auto" w:val="clear"/>
            <w:vAlign w:val="center"/>
          </w:tcPr>
          <w:p>
            <w:pPr>
              <w:pStyle w:val="TableContents"/>
              <w:spacing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b/>
                <w:spacing w:val="0"/>
                <w:sz w:val="20"/>
              </w:rPr>
            </w:pPr>
            <w:r>
              <w:rPr>
                <w:rFonts w:ascii="Times New Roman" w:hAnsi="Times New Roman"/>
                <w:b/>
                <w:spacing w:val="0"/>
                <w:sz w:val="20"/>
              </w:rPr>
              <w:t>Liabilities, Redeemable Convertible Preferred Stock and Stockholders’ Deficit</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0"/>
              <w:rPr>
                <w:spacing w:val="0"/>
              </w:rPr>
            </w:pPr>
            <w:r>
              <w:rPr>
                <w:spacing w:val="0"/>
              </w:rPr>
              <w:t> </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Current liabilities:</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0"/>
              <w:rPr>
                <w:spacing w:val="0"/>
              </w:rPr>
            </w:pPr>
            <w:r>
              <w:rPr>
                <w:spacing w:val="0"/>
              </w:rPr>
              <w:t> </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sz w:val="20"/>
              </w:rPr>
            </w:pPr>
            <w:r>
              <w:rPr>
                <w:spacing w:val="0"/>
                <w:sz w:val="20"/>
              </w:rPr>
              <w:t>$</w:t>
            </w:r>
          </w:p>
        </w:tc>
        <w:tc>
          <w:tcPr>
            <w:tcW w:w="755" w:type="dxa"/>
            <w:tcBorders/>
            <w:shd w:fill="CCEEFF" w:val="clear"/>
            <w:vAlign w:val="center"/>
          </w:tcPr>
          <w:p>
            <w:pPr>
              <w:pStyle w:val="TableContents"/>
              <w:spacing w:lineRule="atLeast" w:line="200" w:before="0" w:after="283"/>
              <w:jc w:val="right"/>
              <w:rPr>
                <w:sz w:val="20"/>
              </w:rPr>
            </w:pPr>
            <w:r>
              <w:rPr>
                <w:sz w:val="20"/>
              </w:rPr>
              <w:t>1,841</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sz w:val="20"/>
              </w:rPr>
            </w:pPr>
            <w:r>
              <w:rPr>
                <w:spacing w:val="0"/>
                <w:sz w:val="20"/>
              </w:rPr>
              <w:t>$</w:t>
            </w:r>
          </w:p>
        </w:tc>
        <w:tc>
          <w:tcPr>
            <w:tcW w:w="650" w:type="dxa"/>
            <w:tcBorders/>
            <w:shd w:fill="CCEEFF" w:val="clear"/>
            <w:vAlign w:val="center"/>
          </w:tcPr>
          <w:p>
            <w:pPr>
              <w:pStyle w:val="TableContents"/>
              <w:spacing w:lineRule="atLeast" w:line="200" w:before="0" w:after="283"/>
              <w:jc w:val="right"/>
              <w:rPr>
                <w:sz w:val="20"/>
              </w:rPr>
            </w:pPr>
            <w:r>
              <w:rPr>
                <w:sz w:val="20"/>
              </w:rPr>
              <w:t>670</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6,140</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4,932</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Operating lease liabilities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959</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655</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31,977</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19,594</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 w:type="dxa"/>
            <w:tcBorders/>
            <w:shd w:fill="auto" w:val="clear"/>
            <w:vAlign w:val="center"/>
          </w:tcPr>
          <w:p>
            <w:pPr>
              <w:pStyle w:val="TableContents"/>
              <w:spacing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40,917</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25,851</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Operating lease liabilities, net of current portion</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6,925</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7,884</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Deferred revenue, net of current portion</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120,805</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14,106</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Other long-term liabilities</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5</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18</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 w:type="dxa"/>
            <w:tcBorders/>
            <w:shd w:fill="auto" w:val="clear"/>
            <w:vAlign w:val="center"/>
          </w:tcPr>
          <w:p>
            <w:pPr>
              <w:pStyle w:val="TableContents"/>
              <w:spacing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168,652</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47,859</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Commitments and contingencies (Note 8)</w:t>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0"/>
              <w:rPr>
                <w:spacing w:val="0"/>
              </w:rPr>
            </w:pPr>
            <w:r>
              <w:rPr>
                <w:spacing w:val="0"/>
              </w:rPr>
              <w:t> </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Redeemable convertible preferred stock:</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0"/>
              <w:rPr>
                <w:spacing w:val="0"/>
              </w:rPr>
            </w:pPr>
            <w:r>
              <w:rPr>
                <w:spacing w:val="0"/>
              </w:rPr>
              <w:t> </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Series A redeemable convertible preferred stock, $0.001 par value, 55,700,000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shares authorized, issued, and outstanding at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2019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respectively; liquidation preferences of $55,700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at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2019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respectively</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55,700</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55,700</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Series B redeemable convertible preferred stock, $0.001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par value, 45,372,050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shares authorized at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2019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respectively; 22,686,025</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shares issued and outstanding at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2019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respectively; liquidation preferences of $30,000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at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2019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respectively</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29,761</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0"/>
              <w:jc w:val="right"/>
              <w:rPr/>
            </w:pPr>
            <w:r>
              <w:rPr/>
              <w:t>—</w:t>
            </w:r>
          </w:p>
          <w:p>
            <w:pPr>
              <w:pStyle w:val="TableContents"/>
              <w:spacing w:lineRule="atLeast" w:line="200" w:before="0" w:after="0"/>
              <w:jc w:val="right"/>
              <w:rPr>
                <w:spacing w:val="0"/>
              </w:rPr>
            </w:pPr>
            <w:r>
              <w:rPr>
                <w:spacing w:val="0"/>
              </w:rPr>
              <w:t>  </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 xml:space="preserve">Series </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B-1</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redeemable convertible preferred stock, $0.001 par value, 27,152,255 and 0 shares authorized, issued, and outstanding at December 31</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and 2019</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 respectively; liquidation preferences of $51,182 and $0 at December 31</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and 2019</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 respectively</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51,083</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0"/>
              <w:jc w:val="right"/>
              <w:rPr/>
            </w:pPr>
            <w:r>
              <w:rPr/>
              <w:t>—</w:t>
            </w:r>
          </w:p>
          <w:p>
            <w:pPr>
              <w:pStyle w:val="TableContents"/>
              <w:spacing w:lineRule="atLeast" w:line="200" w:before="0" w:after="0"/>
              <w:jc w:val="right"/>
              <w:rPr>
                <w:spacing w:val="0"/>
              </w:rPr>
            </w:pPr>
            <w:r>
              <w:rPr>
                <w:spacing w:val="0"/>
              </w:rPr>
              <w:t>  </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Stockholders’ deficit:</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0"/>
              <w:rPr>
                <w:spacing w:val="0"/>
              </w:rPr>
            </w:pPr>
            <w:r>
              <w:rPr>
                <w:spacing w:val="0"/>
              </w:rPr>
              <w:t> </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Common stock, $0.001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par value; 166,000,000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80,800,000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shares authorized at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2019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respectively; 13,301,649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13,334,856</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shares issued and outstanding as of December 31</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2020</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and 2019</w:t>
            </w:r>
          </w:p>
          <w:p>
            <w:pPr>
              <w:pStyle w:val="TableContents"/>
              <w:spacing w:lineRule="atLeast" w:line="200" w:before="0" w:after="0"/>
              <w:rPr>
                <w:rFonts w:ascii="Times New Roman" w:hAnsi="Times New Roman"/>
                <w:spacing w:val="0"/>
                <w:sz w:val="20"/>
              </w:rPr>
            </w:pPr>
            <w:r>
              <w:rPr>
                <w:rFonts w:ascii="Times New Roman" w:hAnsi="Times New Roman"/>
                <w:spacing w:val="0"/>
                <w:sz w:val="20"/>
              </w:rPr>
              <w:t>, respectively</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13</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13</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 xml:space="preserve">Additional </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paid-in</w:t>
            </w:r>
          </w:p>
          <w:p>
            <w:pPr>
              <w:pStyle w:val="TableContents"/>
              <w:spacing w:lineRule="atLeast" w:line="240" w:before="0" w:after="0"/>
              <w:rPr>
                <w:rFonts w:ascii="Times New Roman" w:hAnsi="Times New Roman"/>
                <w:spacing w:val="0"/>
                <w:sz w:val="20"/>
              </w:rPr>
            </w:pPr>
            <w:r>
              <w:rPr>
                <w:rFonts w:ascii="Times New Roman" w:hAnsi="Times New Roman"/>
                <w:spacing w:val="0"/>
                <w:sz w:val="20"/>
              </w:rPr>
              <w:t>capital</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5,127</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3,311</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Accumulated other comprehensive income</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17</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10</w:t>
            </w:r>
          </w:p>
        </w:tc>
        <w:tc>
          <w:tcPr>
            <w:tcW w:w="140" w:type="dxa"/>
            <w:tcBorders/>
            <w:shd w:fill="auto" w:val="clear"/>
            <w:vAlign w:val="center"/>
          </w:tcPr>
          <w:p>
            <w:pPr>
              <w:pStyle w:val="TableContents"/>
              <w:spacing w:lineRule="atLeast" w:line="200"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755" w:type="dxa"/>
            <w:tcBorders/>
            <w:shd w:fill="CCEEFF" w:val="clear"/>
            <w:vAlign w:val="center"/>
          </w:tcPr>
          <w:p>
            <w:pPr>
              <w:pStyle w:val="TableContents"/>
              <w:spacing w:lineRule="atLeast" w:line="200" w:before="0" w:after="283"/>
              <w:jc w:val="right"/>
              <w:rPr>
                <w:sz w:val="20"/>
              </w:rPr>
            </w:pPr>
            <w:r>
              <w:rPr>
                <w:sz w:val="20"/>
              </w:rPr>
              <w:t>(103,101</w:t>
            </w:r>
          </w:p>
        </w:tc>
        <w:tc>
          <w:tcPr>
            <w:tcW w:w="125" w:type="dxa"/>
            <w:tcBorders/>
            <w:shd w:fill="CCEEFF" w:val="clear"/>
            <w:vAlign w:val="center"/>
          </w:tcPr>
          <w:p>
            <w:pPr>
              <w:pStyle w:val="TableContents"/>
              <w:spacing w:lineRule="atLeast" w:line="200" w:before="0" w:after="0"/>
              <w:rPr>
                <w:spacing w:val="0"/>
                <w:sz w:val="20"/>
              </w:rPr>
            </w:pPr>
            <w:r>
              <w:rPr>
                <w:spacing w:val="0"/>
                <w:sz w:val="2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50" w:type="dxa"/>
            <w:tcBorders/>
            <w:shd w:fill="CCEEFF" w:val="clear"/>
            <w:vAlign w:val="center"/>
          </w:tcPr>
          <w:p>
            <w:pPr>
              <w:pStyle w:val="TableContents"/>
              <w:spacing w:lineRule="atLeast" w:line="200" w:before="0" w:after="283"/>
              <w:jc w:val="right"/>
              <w:rPr>
                <w:sz w:val="20"/>
              </w:rPr>
            </w:pPr>
            <w:r>
              <w:rPr>
                <w:sz w:val="20"/>
              </w:rPr>
              <w:t>(51,129</w:t>
            </w:r>
          </w:p>
        </w:tc>
        <w:tc>
          <w:tcPr>
            <w:tcW w:w="140" w:type="dxa"/>
            <w:tcBorders/>
            <w:shd w:fill="CCEEFF" w:val="clear"/>
            <w:vAlign w:val="center"/>
          </w:tcPr>
          <w:p>
            <w:pPr>
              <w:pStyle w:val="TableContents"/>
              <w:spacing w:lineRule="atLeast" w:line="200" w:before="0" w:after="0"/>
              <w:rPr>
                <w:spacing w:val="0"/>
                <w:sz w:val="20"/>
              </w:rPr>
            </w:pPr>
            <w:r>
              <w:rPr>
                <w:spacing w:val="0"/>
                <w:sz w:val="20"/>
              </w:rPr>
              <w:t>) </w:t>
            </w:r>
          </w:p>
        </w:tc>
      </w:tr>
      <w:tr>
        <w:trPr/>
        <w:tc>
          <w:tcPr>
            <w:tcW w:w="81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 w:type="dxa"/>
            <w:tcBorders/>
            <w:shd w:fill="auto" w:val="clear"/>
            <w:vAlign w:val="center"/>
          </w:tcPr>
          <w:p>
            <w:pPr>
              <w:pStyle w:val="TableContents"/>
              <w:spacing w:before="0" w:after="0"/>
              <w:rPr>
                <w:spacing w:val="0"/>
              </w:rPr>
            </w:pPr>
            <w:r>
              <w:rPr>
                <w:spacing w:val="0"/>
              </w:rPr>
              <w:t> </w:t>
            </w:r>
          </w:p>
        </w:tc>
      </w:tr>
      <w:tr>
        <w:trPr/>
        <w:tc>
          <w:tcPr>
            <w:tcW w:w="8105" w:type="dxa"/>
            <w:tcBorders/>
            <w:shd w:fill="auto"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Total stockholders’ deficit</w:t>
            </w:r>
          </w:p>
        </w:tc>
        <w:tc>
          <w:tcPr>
            <w:tcW w:w="12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755" w:type="dxa"/>
            <w:tcBorders/>
            <w:shd w:fill="auto" w:val="clear"/>
            <w:vAlign w:val="center"/>
          </w:tcPr>
          <w:p>
            <w:pPr>
              <w:pStyle w:val="TableContents"/>
              <w:spacing w:lineRule="atLeast" w:line="200" w:before="0" w:after="283"/>
              <w:jc w:val="right"/>
              <w:rPr>
                <w:sz w:val="20"/>
              </w:rPr>
            </w:pPr>
            <w:r>
              <w:rPr>
                <w:sz w:val="20"/>
              </w:rPr>
              <w:t>(97,944</w:t>
            </w:r>
          </w:p>
        </w:tc>
        <w:tc>
          <w:tcPr>
            <w:tcW w:w="125" w:type="dxa"/>
            <w:tcBorders/>
            <w:shd w:fill="auto" w:val="clear"/>
            <w:vAlign w:val="center"/>
          </w:tcPr>
          <w:p>
            <w:pPr>
              <w:pStyle w:val="TableContents"/>
              <w:spacing w:lineRule="atLeast" w:line="200" w:before="0" w:after="0"/>
              <w:rPr>
                <w:spacing w:val="0"/>
                <w:sz w:val="20"/>
              </w:rPr>
            </w:pPr>
            <w:r>
              <w:rPr>
                <w:spacing w:val="0"/>
                <w:sz w:val="20"/>
              </w:rPr>
              <w:t>) </w:t>
            </w:r>
          </w:p>
        </w:tc>
        <w:tc>
          <w:tcPr>
            <w:tcW w:w="60" w:type="dxa"/>
            <w:tcBorders/>
            <w:shd w:fill="auto" w:val="clear"/>
            <w:vAlign w:val="center"/>
          </w:tcPr>
          <w:p>
            <w:pPr>
              <w:pStyle w:val="TableContents"/>
              <w:spacing w:lineRule="atLeast" w:line="200" w:before="0" w:after="0"/>
              <w:rPr>
                <w:spacing w:val="0"/>
              </w:rPr>
            </w:pPr>
            <w:r>
              <w:rPr>
                <w:spacing w:val="0"/>
              </w:rPr>
              <w:t> </w:t>
            </w:r>
          </w:p>
        </w:tc>
        <w:tc>
          <w:tcPr>
            <w:tcW w:w="125" w:type="dxa"/>
            <w:tcBorders/>
            <w:shd w:fill="auto" w:val="clear"/>
            <w:vAlign w:val="center"/>
          </w:tcPr>
          <w:p>
            <w:pPr>
              <w:pStyle w:val="TableContents"/>
              <w:spacing w:lineRule="atLeast" w:line="200" w:before="0" w:after="0"/>
              <w:rPr>
                <w:spacing w:val="0"/>
              </w:rPr>
            </w:pPr>
            <w:r>
              <w:rPr>
                <w:spacing w:val="0"/>
              </w:rPr>
              <w:t> </w:t>
            </w:r>
          </w:p>
        </w:tc>
        <w:tc>
          <w:tcPr>
            <w:tcW w:w="650" w:type="dxa"/>
            <w:tcBorders/>
            <w:shd w:fill="auto" w:val="clear"/>
            <w:vAlign w:val="center"/>
          </w:tcPr>
          <w:p>
            <w:pPr>
              <w:pStyle w:val="TableContents"/>
              <w:spacing w:lineRule="atLeast" w:line="200" w:before="0" w:after="283"/>
              <w:jc w:val="right"/>
              <w:rPr>
                <w:sz w:val="20"/>
              </w:rPr>
            </w:pPr>
            <w:r>
              <w:rPr>
                <w:sz w:val="20"/>
              </w:rPr>
              <w:t>(47,795</w:t>
            </w:r>
          </w:p>
        </w:tc>
        <w:tc>
          <w:tcPr>
            <w:tcW w:w="140" w:type="dxa"/>
            <w:tcBorders/>
            <w:shd w:fill="auto" w:val="clear"/>
            <w:vAlign w:val="center"/>
          </w:tcPr>
          <w:p>
            <w:pPr>
              <w:pStyle w:val="TableContents"/>
              <w:spacing w:lineRule="atLeast" w:line="200" w:before="0" w:after="0"/>
              <w:rPr>
                <w:spacing w:val="0"/>
                <w:sz w:val="20"/>
              </w:rPr>
            </w:pPr>
            <w:r>
              <w:rPr>
                <w:spacing w:val="0"/>
                <w:sz w:val="20"/>
              </w:rPr>
              <w:t>) </w:t>
            </w:r>
          </w:p>
        </w:tc>
      </w:tr>
      <w:tr>
        <w:trPr/>
        <w:tc>
          <w:tcPr>
            <w:tcW w:w="81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 w:type="dxa"/>
            <w:tcBorders/>
            <w:shd w:fill="auto" w:val="clear"/>
            <w:vAlign w:val="center"/>
          </w:tcPr>
          <w:p>
            <w:pPr>
              <w:pStyle w:val="TableContents"/>
              <w:spacing w:before="0" w:after="0"/>
              <w:rPr>
                <w:spacing w:val="0"/>
              </w:rPr>
            </w:pPr>
            <w:r>
              <w:rPr>
                <w:spacing w:val="0"/>
              </w:rPr>
              <w:t> </w:t>
            </w:r>
          </w:p>
        </w:tc>
      </w:tr>
      <w:tr>
        <w:trPr/>
        <w:tc>
          <w:tcPr>
            <w:tcW w:w="8105" w:type="dxa"/>
            <w:tcBorders/>
            <w:shd w:fill="CCEEFF" w:val="clear"/>
            <w:vAlign w:val="center"/>
          </w:tcPr>
          <w:p>
            <w:pPr>
              <w:pStyle w:val="TableContents"/>
              <w:spacing w:lineRule="atLeast" w:line="240" w:before="0" w:after="0"/>
              <w:rPr>
                <w:rFonts w:ascii="Times New Roman" w:hAnsi="Times New Roman"/>
                <w:spacing w:val="0"/>
                <w:sz w:val="20"/>
              </w:rPr>
            </w:pPr>
            <w:r>
              <w:rPr>
                <w:rFonts w:ascii="Times New Roman" w:hAnsi="Times New Roman"/>
                <w:spacing w:val="0"/>
                <w:sz w:val="20"/>
              </w:rPr>
              <w:t>Total liabilities, redeemable convertible preferred stock and stockholders’ deficit</w:t>
            </w:r>
          </w:p>
        </w:tc>
        <w:tc>
          <w:tcPr>
            <w:tcW w:w="12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sz w:val="20"/>
              </w:rPr>
            </w:pPr>
            <w:r>
              <w:rPr>
                <w:spacing w:val="0"/>
                <w:sz w:val="20"/>
              </w:rPr>
              <w:t>$</w:t>
            </w:r>
          </w:p>
        </w:tc>
        <w:tc>
          <w:tcPr>
            <w:tcW w:w="755" w:type="dxa"/>
            <w:tcBorders/>
            <w:shd w:fill="CCEEFF" w:val="clear"/>
            <w:vAlign w:val="center"/>
          </w:tcPr>
          <w:p>
            <w:pPr>
              <w:pStyle w:val="TableContents"/>
              <w:spacing w:lineRule="atLeast" w:line="200" w:before="0" w:after="283"/>
              <w:jc w:val="right"/>
              <w:rPr>
                <w:sz w:val="20"/>
              </w:rPr>
            </w:pPr>
            <w:r>
              <w:rPr>
                <w:sz w:val="20"/>
              </w:rPr>
              <w:t>207,252</w:t>
            </w:r>
          </w:p>
        </w:tc>
        <w:tc>
          <w:tcPr>
            <w:tcW w:w="125" w:type="dxa"/>
            <w:tcBorders/>
            <w:shd w:fill="CCEEFF" w:val="clear"/>
            <w:vAlign w:val="center"/>
          </w:tcPr>
          <w:p>
            <w:pPr>
              <w:pStyle w:val="TableContents"/>
              <w:spacing w:lineRule="atLeast" w:line="200" w:before="0" w:after="0"/>
              <w:rPr>
                <w:spacing w:val="0"/>
              </w:rPr>
            </w:pPr>
            <w:r>
              <w:rPr>
                <w:spacing w:val="0"/>
              </w:rPr>
              <w:t> </w:t>
            </w:r>
          </w:p>
        </w:tc>
        <w:tc>
          <w:tcPr>
            <w:tcW w:w="60" w:type="dxa"/>
            <w:tcBorders/>
            <w:shd w:fill="CCEEFF" w:val="clear"/>
            <w:vAlign w:val="center"/>
          </w:tcPr>
          <w:p>
            <w:pPr>
              <w:pStyle w:val="TableContents"/>
              <w:spacing w:lineRule="atLeast" w:line="200" w:before="0" w:after="0"/>
              <w:rPr>
                <w:spacing w:val="0"/>
              </w:rPr>
            </w:pPr>
            <w:r>
              <w:rPr>
                <w:spacing w:val="0"/>
              </w:rPr>
              <w:t> </w:t>
            </w:r>
          </w:p>
        </w:tc>
        <w:tc>
          <w:tcPr>
            <w:tcW w:w="125" w:type="dxa"/>
            <w:tcBorders/>
            <w:shd w:fill="CCEEFF" w:val="clear"/>
            <w:vAlign w:val="center"/>
          </w:tcPr>
          <w:p>
            <w:pPr>
              <w:pStyle w:val="TableContents"/>
              <w:spacing w:lineRule="atLeast" w:line="200" w:before="0" w:after="0"/>
              <w:rPr>
                <w:spacing w:val="0"/>
                <w:sz w:val="20"/>
              </w:rPr>
            </w:pPr>
            <w:r>
              <w:rPr>
                <w:spacing w:val="0"/>
                <w:sz w:val="20"/>
              </w:rPr>
              <w:t>$</w:t>
            </w:r>
          </w:p>
        </w:tc>
        <w:tc>
          <w:tcPr>
            <w:tcW w:w="650" w:type="dxa"/>
            <w:tcBorders/>
            <w:shd w:fill="CCEEFF" w:val="clear"/>
            <w:vAlign w:val="center"/>
          </w:tcPr>
          <w:p>
            <w:pPr>
              <w:pStyle w:val="TableContents"/>
              <w:spacing w:lineRule="atLeast" w:line="200" w:before="0" w:after="283"/>
              <w:jc w:val="right"/>
              <w:rPr>
                <w:sz w:val="20"/>
              </w:rPr>
            </w:pPr>
            <w:r>
              <w:rPr>
                <w:sz w:val="20"/>
              </w:rPr>
              <w:t>55,764</w:t>
            </w:r>
          </w:p>
        </w:tc>
        <w:tc>
          <w:tcPr>
            <w:tcW w:w="140" w:type="dxa"/>
            <w:tcBorders/>
            <w:shd w:fill="CCEEFF" w:val="clear"/>
            <w:vAlign w:val="center"/>
          </w:tcPr>
          <w:p>
            <w:pPr>
              <w:pStyle w:val="TableContents"/>
              <w:spacing w:lineRule="atLeast" w:line="200" w:before="0" w:after="0"/>
              <w:rPr>
                <w:spacing w:val="0"/>
              </w:rPr>
            </w:pPr>
            <w:r>
              <w:rPr>
                <w:spacing w:val="0"/>
              </w:rPr>
              <w:t> </w:t>
            </w:r>
          </w:p>
        </w:tc>
      </w:tr>
      <w:tr>
        <w:trPr/>
        <w:tc>
          <w:tcPr>
            <w:tcW w:w="8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F-55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CONSOLIDATED STATEMENTS OF OPERATIONS AND COMPREHENSIVE LOSS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9281" w:type="dxa"/>
        <w:jc w:val="left"/>
        <w:tblInd w:w="0" w:type="dxa"/>
        <w:tblCellMar>
          <w:top w:w="0" w:type="dxa"/>
          <w:left w:w="0" w:type="dxa"/>
          <w:bottom w:w="0" w:type="dxa"/>
          <w:right w:w="0" w:type="dxa"/>
        </w:tblCellMar>
      </w:tblPr>
      <w:tblGrid>
        <w:gridCol w:w="6275"/>
        <w:gridCol w:w="120"/>
        <w:gridCol w:w="147"/>
        <w:gridCol w:w="1161"/>
        <w:gridCol w:w="163"/>
        <w:gridCol w:w="63"/>
        <w:gridCol w:w="147"/>
        <w:gridCol w:w="1035"/>
        <w:gridCol w:w="170"/>
      </w:tblGrid>
      <w:tr>
        <w:trPr/>
        <w:tc>
          <w:tcPr>
            <w:tcW w:w="6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6" w:type="dxa"/>
            <w:gridSpan w:val="6"/>
            <w:tcBorders/>
            <w:shd w:fill="auto" w:val="cle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8" w:type="dxa"/>
            <w:gridSpan w:val="2"/>
            <w:tcBorders/>
            <w:shd w:fill="auto" w:val="clear"/>
            <w:vAlign w:val="center"/>
          </w:tcPr>
          <w:p>
            <w:pPr>
              <w:pStyle w:val="TableContents"/>
              <w:spacing w:before="0" w:after="0"/>
              <w:jc w:val="center"/>
              <w:rPr>
                <w:b/>
                <w:spacing w:val="0"/>
              </w:rPr>
            </w:pPr>
            <w:r>
              <w:rPr>
                <w:b/>
                <w:spacing w:val="0"/>
              </w:rPr>
              <w:t>2020</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182" w:type="dxa"/>
            <w:gridSpan w:val="2"/>
            <w:tcBorders/>
            <w:shd w:fill="auto" w:val="clear"/>
            <w:vAlign w:val="center"/>
          </w:tcPr>
          <w:p>
            <w:pPr>
              <w:pStyle w:val="TableContents"/>
              <w:spacing w:before="0" w:after="0"/>
              <w:jc w:val="center"/>
              <w:rPr>
                <w:b/>
                <w:spacing w:val="0"/>
              </w:rPr>
            </w:pPr>
            <w:r>
              <w:rPr>
                <w:b/>
                <w:spacing w:val="0"/>
              </w:rPr>
              <w:t>2019</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Collaboration revenue</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161" w:type="dxa"/>
            <w:tcBorders/>
            <w:shd w:fill="CCEEFF" w:val="clear"/>
            <w:vAlign w:val="center"/>
          </w:tcPr>
          <w:p>
            <w:pPr>
              <w:pStyle w:val="TableContents"/>
              <w:spacing w:before="0" w:after="283"/>
              <w:jc w:val="right"/>
              <w:rPr/>
            </w:pPr>
            <w:r>
              <w:rPr/>
              <w:t>7,656</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035" w:type="dxa"/>
            <w:tcBorders/>
            <w:shd w:fill="CCEEFF" w:val="clear"/>
            <w:vAlign w:val="center"/>
          </w:tcPr>
          <w:p>
            <w:pPr>
              <w:pStyle w:val="TableContents"/>
              <w:spacing w:before="0" w:after="283"/>
              <w:jc w:val="right"/>
              <w:rPr/>
            </w:pPr>
            <w:r>
              <w:rPr/>
              <w:t>24,649</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61"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right"/>
              <w:rPr/>
            </w:pPr>
            <w:r>
              <w:rPr/>
              <w:t>49,991</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32,274</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61" w:type="dxa"/>
            <w:tcBorders/>
            <w:shd w:fill="auto" w:val="clear"/>
            <w:vAlign w:val="center"/>
          </w:tcPr>
          <w:p>
            <w:pPr>
              <w:pStyle w:val="TableContents"/>
              <w:spacing w:before="0" w:after="283"/>
              <w:jc w:val="right"/>
              <w:rPr/>
            </w:pPr>
            <w:r>
              <w:rPr/>
              <w:t>9,865</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7,537</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expenses</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right"/>
              <w:rPr/>
            </w:pPr>
            <w:r>
              <w:rPr/>
              <w:t>59,856</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39,811</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from operations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61" w:type="dxa"/>
            <w:tcBorders/>
            <w:shd w:fill="auto" w:val="clear"/>
            <w:vAlign w:val="center"/>
          </w:tcPr>
          <w:p>
            <w:pPr>
              <w:pStyle w:val="TableContents"/>
              <w:spacing w:before="0" w:after="283"/>
              <w:jc w:val="right"/>
              <w:rPr/>
            </w:pPr>
            <w:r>
              <w:rPr/>
              <w:t>(52,200</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(15,162</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61" w:type="dxa"/>
            <w:tcBorders/>
            <w:shd w:fill="auto" w:val="clear"/>
            <w:vAlign w:val="center"/>
          </w:tcPr>
          <w:p>
            <w:pPr>
              <w:pStyle w:val="TableContents"/>
              <w:spacing w:before="0" w:after="283"/>
              <w:jc w:val="right"/>
              <w:rPr/>
            </w:pPr>
            <w:r>
              <w:rPr/>
              <w:t>108</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684</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right"/>
              <w:rPr/>
            </w:pPr>
            <w:r>
              <w:rPr/>
              <w:t>120</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383</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other income, net</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61" w:type="dxa"/>
            <w:tcBorders/>
            <w:shd w:fill="auto" w:val="clear"/>
            <w:vAlign w:val="center"/>
          </w:tcPr>
          <w:p>
            <w:pPr>
              <w:pStyle w:val="TableContents"/>
              <w:spacing w:before="0" w:after="283"/>
              <w:jc w:val="right"/>
              <w:rPr/>
            </w:pPr>
            <w:r>
              <w:rPr/>
              <w:t>228</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1,067</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161" w:type="dxa"/>
            <w:tcBorders/>
            <w:shd w:fill="CCEEFF" w:val="clear"/>
            <w:vAlign w:val="center"/>
          </w:tcPr>
          <w:p>
            <w:pPr>
              <w:pStyle w:val="TableContents"/>
              <w:spacing w:before="0" w:after="283"/>
              <w:jc w:val="right"/>
              <w:rPr/>
            </w:pPr>
            <w:r>
              <w:rPr/>
              <w:t>(51,972</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035" w:type="dxa"/>
            <w:tcBorders/>
            <w:shd w:fill="CCEEFF" w:val="clear"/>
            <w:vAlign w:val="center"/>
          </w:tcPr>
          <w:p>
            <w:pPr>
              <w:pStyle w:val="TableContents"/>
              <w:spacing w:before="0" w:after="283"/>
              <w:jc w:val="right"/>
              <w:rPr/>
            </w:pPr>
            <w:r>
              <w:rPr/>
              <w:t>(14,095</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common share – basic and diluted</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w:t>
            </w:r>
          </w:p>
        </w:tc>
        <w:tc>
          <w:tcPr>
            <w:tcW w:w="1161" w:type="dxa"/>
            <w:tcBorders/>
            <w:shd w:fill="auto" w:val="clear"/>
            <w:vAlign w:val="center"/>
          </w:tcPr>
          <w:p>
            <w:pPr>
              <w:pStyle w:val="TableContents"/>
              <w:spacing w:before="0" w:after="283"/>
              <w:jc w:val="right"/>
              <w:rPr/>
            </w:pPr>
            <w:r>
              <w:rPr/>
              <w:t>(4.53</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w:t>
            </w:r>
          </w:p>
        </w:tc>
        <w:tc>
          <w:tcPr>
            <w:tcW w:w="1035" w:type="dxa"/>
            <w:tcBorders/>
            <w:shd w:fill="auto" w:val="clear"/>
            <w:vAlign w:val="center"/>
          </w:tcPr>
          <w:p>
            <w:pPr>
              <w:pStyle w:val="TableContents"/>
              <w:spacing w:before="0" w:after="283"/>
              <w:jc w:val="right"/>
              <w:rPr/>
            </w:pPr>
            <w:r>
              <w:rPr/>
              <w:t>(1.57</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number of common shares outstanding – basic and diluted</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right"/>
              <w:rPr/>
            </w:pPr>
            <w:r>
              <w:rPr/>
              <w:t>11,461,011</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8,985,710</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w:t>
            </w:r>
          </w:p>
        </w:tc>
        <w:tc>
          <w:tcPr>
            <w:tcW w:w="1161" w:type="dxa"/>
            <w:tcBorders/>
            <w:shd w:fill="auto" w:val="clear"/>
            <w:vAlign w:val="center"/>
          </w:tcPr>
          <w:p>
            <w:pPr>
              <w:pStyle w:val="TableContents"/>
              <w:spacing w:before="0" w:after="283"/>
              <w:jc w:val="right"/>
              <w:rPr/>
            </w:pPr>
            <w:r>
              <w:rPr/>
              <w:t>(51,972</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w:t>
            </w:r>
          </w:p>
        </w:tc>
        <w:tc>
          <w:tcPr>
            <w:tcW w:w="1035" w:type="dxa"/>
            <w:tcBorders/>
            <w:shd w:fill="auto" w:val="clear"/>
            <w:vAlign w:val="center"/>
          </w:tcPr>
          <w:p>
            <w:pPr>
              <w:pStyle w:val="TableContents"/>
              <w:spacing w:before="0" w:after="283"/>
              <w:jc w:val="right"/>
              <w:rPr/>
            </w:pPr>
            <w:r>
              <w:rPr/>
              <w:t>(14,095</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income:</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gain on marketable securities</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161" w:type="dxa"/>
            <w:tcBorders/>
            <w:shd w:fill="auto" w:val="clear"/>
            <w:vAlign w:val="center"/>
          </w:tcPr>
          <w:p>
            <w:pPr>
              <w:pStyle w:val="TableContents"/>
              <w:spacing w:before="0" w:after="283"/>
              <w:jc w:val="right"/>
              <w:rPr/>
            </w:pPr>
            <w:r>
              <w:rPr/>
              <w:t>7</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17</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Comprehensive loss</w:t>
            </w:r>
          </w:p>
        </w:tc>
        <w:tc>
          <w:tcPr>
            <w:tcW w:w="120"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161" w:type="dxa"/>
            <w:tcBorders/>
            <w:shd w:fill="CCEEFF" w:val="clear"/>
            <w:vAlign w:val="center"/>
          </w:tcPr>
          <w:p>
            <w:pPr>
              <w:pStyle w:val="TableContents"/>
              <w:spacing w:before="0" w:after="283"/>
              <w:jc w:val="right"/>
              <w:rPr/>
            </w:pPr>
            <w:r>
              <w:rPr/>
              <w:t>(51,965</w:t>
            </w:r>
          </w:p>
        </w:tc>
        <w:tc>
          <w:tcPr>
            <w:tcW w:w="163"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147" w:type="dxa"/>
            <w:tcBorders/>
            <w:shd w:fill="CCEEFF" w:val="clear"/>
            <w:vAlign w:val="center"/>
          </w:tcPr>
          <w:p>
            <w:pPr>
              <w:pStyle w:val="TableContents"/>
              <w:spacing w:before="0" w:after="283"/>
              <w:rPr/>
            </w:pPr>
            <w:r>
              <w:rPr/>
              <w:t>$</w:t>
            </w:r>
          </w:p>
        </w:tc>
        <w:tc>
          <w:tcPr>
            <w:tcW w:w="1035" w:type="dxa"/>
            <w:tcBorders/>
            <w:shd w:fill="CCEEFF" w:val="clear"/>
            <w:vAlign w:val="center"/>
          </w:tcPr>
          <w:p>
            <w:pPr>
              <w:pStyle w:val="TableContents"/>
              <w:spacing w:before="0" w:after="283"/>
              <w:jc w:val="right"/>
              <w:rPr/>
            </w:pPr>
            <w:r>
              <w:rPr/>
              <w:t>(14,078</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3"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56</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CONSOLIDATED STATEMENTS OF REDEEMABLE CONVERTIBLE PREFERRED STOCK AND STOCKHOLDERS’ DEFICIT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(in thousands, except share data) </w:t>
      </w:r>
    </w:p>
    <w:p>
      <w:pPr>
        <w:pStyle w:val="TextBody"/>
        <w:spacing w:before="0" w:after="0"/>
        <w:jc w:val="left"/>
        <w:rPr>
          <w:spacing w:val="0"/>
        </w:rPr>
      </w:pPr>
      <w:r>
        <w:rPr>
          <w:spacing w:val="0"/>
        </w:rPr>
        <w:t> </w:t>
      </w:r>
    </w:p>
    <w:tbl>
      <w:tblPr>
        <w:tblW w:w="16605" w:type="dxa"/>
        <w:jc w:val="left"/>
        <w:tblInd w:w="0" w:type="dxa"/>
        <w:tblCellMar>
          <w:top w:w="0" w:type="dxa"/>
          <w:left w:w="0" w:type="dxa"/>
          <w:bottom w:w="0" w:type="dxa"/>
          <w:right w:w="0" w:type="dxa"/>
        </w:tblCellMar>
      </w:tblPr>
      <w:tblGrid>
        <w:gridCol w:w="1100"/>
        <w:gridCol w:w="60"/>
        <w:gridCol w:w="60"/>
        <w:gridCol w:w="1100"/>
        <w:gridCol w:w="60"/>
        <w:gridCol w:w="60"/>
        <w:gridCol w:w="146"/>
        <w:gridCol w:w="714"/>
        <w:gridCol w:w="60"/>
        <w:gridCol w:w="60"/>
        <w:gridCol w:w="60"/>
        <w:gridCol w:w="1100"/>
        <w:gridCol w:w="60"/>
        <w:gridCol w:w="60"/>
        <w:gridCol w:w="146"/>
        <w:gridCol w:w="714"/>
        <w:gridCol w:w="60"/>
        <w:gridCol w:w="60"/>
        <w:gridCol w:w="60"/>
        <w:gridCol w:w="1100"/>
        <w:gridCol w:w="60"/>
        <w:gridCol w:w="60"/>
        <w:gridCol w:w="146"/>
        <w:gridCol w:w="714"/>
        <w:gridCol w:w="60"/>
        <w:gridCol w:w="60"/>
        <w:gridCol w:w="60"/>
        <w:gridCol w:w="1100"/>
        <w:gridCol w:w="155"/>
        <w:gridCol w:w="60"/>
        <w:gridCol w:w="231"/>
        <w:gridCol w:w="629"/>
        <w:gridCol w:w="155"/>
        <w:gridCol w:w="60"/>
        <w:gridCol w:w="220"/>
        <w:gridCol w:w="880"/>
        <w:gridCol w:w="60"/>
        <w:gridCol w:w="60"/>
        <w:gridCol w:w="433"/>
        <w:gridCol w:w="1177"/>
        <w:gridCol w:w="155"/>
        <w:gridCol w:w="60"/>
        <w:gridCol w:w="188"/>
        <w:gridCol w:w="1182"/>
        <w:gridCol w:w="155"/>
        <w:gridCol w:w="60"/>
        <w:gridCol w:w="221"/>
        <w:gridCol w:w="1194"/>
        <w:gridCol w:w="170"/>
      </w:tblGrid>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660" w:type="dxa"/>
            <w:gridSpan w:val="22"/>
            <w:tcBorders/>
            <w:shd w:fill="auto" w:val="clear"/>
            <w:vAlign w:val="center"/>
          </w:tcPr>
          <w:p>
            <w:pPr>
              <w:pStyle w:val="TableContents"/>
              <w:spacing w:before="0" w:after="0"/>
              <w:jc w:val="center"/>
              <w:rPr>
                <w:b/>
                <w:spacing w:val="0"/>
              </w:rPr>
            </w:pPr>
            <w:r>
              <w:rPr>
                <w:b/>
                <w:spacing w:val="0"/>
              </w:rPr>
              <w:t>Redeemable Convertible Preferred Stock</w:t>
            </w:r>
          </w:p>
        </w:tc>
        <w:tc>
          <w:tcPr>
            <w:tcW w:w="60" w:type="dxa"/>
            <w:tcBorders/>
            <w:shd w:fill="auto" w:val="clear"/>
            <w:vAlign w:val="center"/>
          </w:tcPr>
          <w:p>
            <w:pPr>
              <w:pStyle w:val="TableContents"/>
              <w:spacing w:before="0" w:after="0"/>
              <w:rPr>
                <w:spacing w:val="0"/>
              </w:rPr>
            </w:pPr>
            <w:r>
              <w:rPr>
                <w:spacing w:val="0"/>
              </w:rPr>
              <w:t> </w:t>
            </w:r>
          </w:p>
        </w:tc>
        <w:tc>
          <w:tcPr>
            <w:tcW w:w="60" w:type="dxa"/>
            <w:tcBorders>
              <w:left w:val="single" w:sz="6" w:space="0" w:color="000000"/>
            </w:tcBorders>
            <w:shd w:fill="auto" w:val="clear"/>
            <w:tcMar>
              <w:left w:w="28" w:type="dxa"/>
            </w:tcMar>
            <w:vAlign w:val="center"/>
          </w:tcPr>
          <w:p>
            <w:pPr>
              <w:pStyle w:val="TableContents"/>
              <w:spacing w:before="0" w:after="0"/>
              <w:rPr>
                <w:spacing w:val="0"/>
              </w:rPr>
            </w:pPr>
            <w:r>
              <w:rPr>
                <w:spacing w:val="0"/>
              </w:rPr>
              <w:t> </w:t>
            </w:r>
          </w:p>
        </w:tc>
        <w:tc>
          <w:tcPr>
            <w:tcW w:w="2235" w:type="dxa"/>
            <w:gridSpan w:val="6"/>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100" w:type="dxa"/>
            <w:gridSpan w:val="2"/>
            <w:vMerge w:val="restart"/>
            <w:tcBorders/>
            <w:shd w:fill="auto" w:val="clear"/>
            <w:vAlign w:val="center"/>
          </w:tcPr>
          <w:p>
            <w:pPr>
              <w:pStyle w:val="TableContents"/>
              <w:spacing w:before="0" w:after="0"/>
              <w:jc w:val="center"/>
              <w:rPr>
                <w:b/>
                <w:spacing w:val="0"/>
              </w:rPr>
            </w:pPr>
            <w:r>
              <w:rPr>
                <w:b/>
                <w:spacing w:val="0"/>
              </w:rPr>
              <w:t>Additional</w:t>
            </w:r>
          </w:p>
          <w:p>
            <w:pPr>
              <w:pStyle w:val="TableContents"/>
              <w:spacing w:before="0" w:after="0"/>
              <w:jc w:val="center"/>
              <w:rPr>
                <w:b/>
                <w:spacing w:val="0"/>
              </w:rPr>
            </w:pPr>
            <w:r>
              <w:rPr>
                <w:b/>
                <w:spacing w:val="0"/>
              </w:rPr>
              <w:t>Paid-in</w:t>
            </w:r>
          </w:p>
          <w:p>
            <w:pPr>
              <w:pStyle w:val="TableContents"/>
              <w:spacing w:before="0" w:after="0"/>
              <w:jc w:val="center"/>
              <w:rPr>
                <w:b/>
                <w:spacing w:val="0"/>
              </w:rPr>
            </w:pPr>
            <w:r>
              <w:rPr>
                <w:b/>
                <w:spacing w:val="0"/>
              </w:rPr>
              <w:br/>
              <w:t>Capital</w:t>
            </w:r>
          </w:p>
        </w:tc>
        <w:tc>
          <w:tcPr>
            <w:tcW w:w="60"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610" w:type="dxa"/>
            <w:gridSpan w:val="2"/>
            <w:vMerge w:val="restart"/>
            <w:tcBorders/>
            <w:shd w:fill="auto" w:val="clear"/>
            <w:vAlign w:val="center"/>
          </w:tcPr>
          <w:p>
            <w:pPr>
              <w:pStyle w:val="TableContents"/>
              <w:spacing w:before="0" w:after="0"/>
              <w:jc w:val="center"/>
              <w:rPr>
                <w:b/>
                <w:spacing w:val="0"/>
              </w:rPr>
            </w:pPr>
            <w:r>
              <w:rPr>
                <w:b/>
                <w:spacing w:val="0"/>
              </w:rPr>
              <w:t>Accumulated</w:t>
              <w:br/>
              <w:t>Other</w:t>
              <w:br/>
              <w:t>Comprehensive</w:t>
              <w:br/>
              <w:t>Income</w:t>
              <w:br/>
              <w:t>(Loss)</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370" w:type="dxa"/>
            <w:gridSpan w:val="2"/>
            <w:vMerge w:val="restart"/>
            <w:tcBorders/>
            <w:shd w:fill="auto" w:val="clear"/>
            <w:vAlign w:val="center"/>
          </w:tcPr>
          <w:p>
            <w:pPr>
              <w:pStyle w:val="TableContents"/>
              <w:spacing w:before="0" w:after="0"/>
              <w:jc w:val="center"/>
              <w:rPr>
                <w:b/>
                <w:spacing w:val="0"/>
              </w:rPr>
            </w:pPr>
            <w:r>
              <w:rPr>
                <w:b/>
                <w:spacing w:val="0"/>
              </w:rPr>
              <w:t>Accumulated</w:t>
              <w:br/>
              <w:t>Deficit</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415" w:type="dxa"/>
            <w:gridSpan w:val="2"/>
            <w:vMerge w:val="restart"/>
            <w:tcBorders/>
            <w:shd w:fill="auto" w:val="clear"/>
            <w:vAlign w:val="center"/>
          </w:tcPr>
          <w:p>
            <w:pPr>
              <w:pStyle w:val="TableContents"/>
              <w:spacing w:before="0" w:after="0"/>
              <w:jc w:val="center"/>
              <w:rPr>
                <w:b/>
                <w:spacing w:val="0"/>
              </w:rPr>
            </w:pPr>
            <w:r>
              <w:rPr>
                <w:b/>
                <w:spacing w:val="0"/>
              </w:rPr>
              <w:t>Total</w:t>
              <w:br/>
              <w:t>Stockholders’</w:t>
              <w:br/>
              <w:t>Deficit</w:t>
            </w:r>
          </w:p>
        </w:tc>
        <w:tc>
          <w:tcPr>
            <w:tcW w:w="170" w:type="dxa"/>
            <w:vMerge w:val="restart"/>
            <w:tcBorders/>
            <w:shd w:fill="auto" w:val="clear"/>
            <w:vAlign w:val="center"/>
          </w:tcPr>
          <w:p>
            <w:pPr>
              <w:pStyle w:val="TableContents"/>
              <w:spacing w:before="0" w:after="0"/>
              <w:rPr>
                <w:spacing w:val="0"/>
              </w:rPr>
            </w:pPr>
            <w:r>
              <w:rPr>
                <w:spacing w:val="0"/>
              </w:rPr>
              <w:t> </w:t>
            </w:r>
          </w:p>
        </w:tc>
      </w:tr>
      <w:tr>
        <w:trPr/>
        <w:tc>
          <w:tcPr>
            <w:tcW w:w="11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Series A</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Series B</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140" w:type="dxa"/>
            <w:gridSpan w:val="6"/>
            <w:tcBorders/>
            <w:shd w:fill="auto" w:val="clear"/>
            <w:vAlign w:val="center"/>
          </w:tcPr>
          <w:p>
            <w:pPr>
              <w:pStyle w:val="TableContents"/>
              <w:spacing w:before="0" w:after="0"/>
              <w:jc w:val="center"/>
              <w:rPr>
                <w:b/>
                <w:spacing w:val="0"/>
              </w:rPr>
            </w:pPr>
            <w:r>
              <w:rPr>
                <w:b/>
                <w:spacing w:val="0"/>
              </w:rPr>
              <w:t xml:space="preserve">Series </w:t>
            </w:r>
          </w:p>
          <w:p>
            <w:pPr>
              <w:pStyle w:val="TableContents"/>
              <w:spacing w:before="0" w:after="0"/>
              <w:jc w:val="center"/>
              <w:rPr>
                <w:b/>
                <w:spacing w:val="0"/>
              </w:rPr>
            </w:pPr>
            <w:r>
              <w:rPr>
                <w:b/>
                <w:spacing w:val="0"/>
              </w:rPr>
              <w:t>B-1</w:t>
            </w:r>
          </w:p>
        </w:tc>
        <w:tc>
          <w:tcPr>
            <w:tcW w:w="60" w:type="dxa"/>
            <w:tcBorders/>
            <w:shd w:fill="auto" w:val="clear"/>
            <w:vAlign w:val="center"/>
          </w:tcPr>
          <w:p>
            <w:pPr>
              <w:pStyle w:val="TableContents"/>
              <w:spacing w:before="0" w:after="0"/>
              <w:rPr>
                <w:spacing w:val="0"/>
              </w:rPr>
            </w:pPr>
            <w:r>
              <w:rPr>
                <w:spacing w:val="0"/>
              </w:rPr>
              <w:t> </w:t>
            </w:r>
          </w:p>
        </w:tc>
        <w:tc>
          <w:tcPr>
            <w:tcW w:w="60" w:type="dxa"/>
            <w:tcBorders>
              <w:left w:val="single" w:sz="6" w:space="0" w:color="000000"/>
            </w:tcBorders>
            <w:shd w:fill="auto" w:val="clear"/>
            <w:tcMar>
              <w:left w:w="28" w:type="dxa"/>
            </w:tcMar>
            <w:vAlign w:val="center"/>
          </w:tcPr>
          <w:p>
            <w:pPr>
              <w:pStyle w:val="TableContents"/>
              <w:spacing w:before="0" w:after="0"/>
              <w:rPr>
                <w:spacing w:val="0"/>
              </w:rPr>
            </w:pPr>
            <w:r>
              <w:rPr>
                <w:spacing w:val="0"/>
              </w:rPr>
              <w:t> </w:t>
            </w:r>
          </w:p>
        </w:tc>
        <w:tc>
          <w:tcPr>
            <w:tcW w:w="2235" w:type="dxa"/>
            <w:gridSpan w:val="6"/>
            <w:tcBorders/>
            <w:shd w:fill="auto" w:val="clear"/>
            <w:vAlign w:val="center"/>
          </w:tcPr>
          <w:p>
            <w:pPr>
              <w:pStyle w:val="TableContents"/>
              <w:spacing w:before="0" w:after="0"/>
              <w:jc w:val="center"/>
              <w:rPr>
                <w:b/>
                <w:spacing w:val="0"/>
              </w:rPr>
            </w:pPr>
            <w:r>
              <w:rPr>
                <w:b/>
                <w:spacing w:val="0"/>
              </w:rPr>
              <w:t>Common Stock</w:t>
            </w:r>
          </w:p>
        </w:tc>
        <w:tc>
          <w:tcPr>
            <w:tcW w:w="155" w:type="dxa"/>
            <w:tcBorders/>
            <w:shd w:fill="auto" w:val="clear"/>
            <w:vAlign w:val="center"/>
          </w:tcPr>
          <w:p>
            <w:pPr>
              <w:pStyle w:val="TableContents"/>
              <w:spacing w:before="0" w:after="0"/>
              <w:rPr>
                <w:spacing w:val="0"/>
              </w:rPr>
            </w:pPr>
            <w:r>
              <w:rPr>
                <w:spacing w:val="0"/>
              </w:rPr>
              <w:t> </w:t>
            </w:r>
          </w:p>
        </w:tc>
        <w:tc>
          <w:tcPr>
            <w:tcW w:w="6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15"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1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60" w:type="dxa"/>
            <w:tcBorders/>
            <w:shd w:fill="auto" w:val="clear"/>
            <w:vAlign w:val="center"/>
          </w:tcPr>
          <w:p>
            <w:pPr>
              <w:pStyle w:val="TableContents"/>
              <w:spacing w:before="0" w:after="0"/>
              <w:rPr>
                <w:spacing w:val="0"/>
              </w:rPr>
            </w:pPr>
            <w:r>
              <w:rPr>
                <w:spacing w:val="0"/>
              </w:rPr>
              <w:t> </w:t>
            </w:r>
          </w:p>
        </w:tc>
        <w:tc>
          <w:tcPr>
            <w:tcW w:w="60" w:type="dxa"/>
            <w:tcBorders>
              <w:left w:val="single" w:sz="6" w:space="0" w:color="000000"/>
            </w:tcBorders>
            <w:shd w:fill="auto" w:val="clear"/>
            <w:tcMar>
              <w:left w:w="28" w:type="dxa"/>
            </w:tcMar>
            <w:vAlign w:val="center"/>
          </w:tcPr>
          <w:p>
            <w:pPr>
              <w:pStyle w:val="TableContents"/>
              <w:spacing w:before="0" w:after="0"/>
              <w:rPr>
                <w:spacing w:val="0"/>
              </w:rPr>
            </w:pPr>
            <w:r>
              <w:rPr>
                <w:spacing w:val="0"/>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60" w:type="dxa"/>
            <w:gridSpan w:val="2"/>
            <w:tcBorders/>
            <w:shd w:fill="auto" w:val="clear"/>
            <w:vAlign w:val="center"/>
          </w:tcPr>
          <w:p>
            <w:pPr>
              <w:pStyle w:val="TableContents"/>
              <w:spacing w:before="0" w:after="0"/>
              <w:jc w:val="center"/>
              <w:rPr>
                <w:b/>
                <w:spacing w:val="0"/>
              </w:rPr>
            </w:pPr>
            <w:r>
              <w:rPr>
                <w:b/>
                <w:spacing w:val="0"/>
              </w:rPr>
              <w:t>Amount</w:t>
            </w:r>
          </w:p>
        </w:tc>
        <w:tc>
          <w:tcPr>
            <w:tcW w:w="155" w:type="dxa"/>
            <w:tcBorders/>
            <w:shd w:fill="auto" w:val="clear"/>
            <w:vAlign w:val="center"/>
          </w:tcPr>
          <w:p>
            <w:pPr>
              <w:pStyle w:val="TableContents"/>
              <w:spacing w:before="0" w:after="0"/>
              <w:rPr>
                <w:spacing w:val="0"/>
              </w:rPr>
            </w:pPr>
            <w:r>
              <w:rPr>
                <w:spacing w:val="0"/>
              </w:rPr>
              <w:t> </w:t>
            </w:r>
          </w:p>
        </w:tc>
        <w:tc>
          <w:tcPr>
            <w:tcW w:w="60" w:type="dxa"/>
            <w:vMerge w:val="continue"/>
            <w:tcBorders/>
            <w:shd w:fill="auto" w:val="clear"/>
            <w:vAlign w:val="center"/>
          </w:tcPr>
          <w:p>
            <w:pPr>
              <w:pStyle w:val="Normal"/>
              <w:rPr/>
            </w:pPr>
            <w:r>
              <w:rPr/>
            </w:r>
          </w:p>
        </w:tc>
        <w:tc>
          <w:tcPr>
            <w:tcW w:w="110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15"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CCEEFF"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Balance at December 31, 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44,700,000</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b/>
                <w:spacing w:val="0"/>
              </w:rPr>
            </w:pPr>
            <w:r>
              <w:rPr>
                <w:b/>
                <w:spacing w:val="0"/>
              </w:rPr>
              <w:t>$</w:t>
            </w:r>
          </w:p>
        </w:tc>
        <w:tc>
          <w:tcPr>
            <w:tcW w:w="714" w:type="dxa"/>
            <w:tcBorders/>
            <w:shd w:fill="CCEEFF" w:val="clear"/>
            <w:vAlign w:val="center"/>
          </w:tcPr>
          <w:p>
            <w:pPr>
              <w:pStyle w:val="TableContents"/>
              <w:spacing w:before="0" w:after="0"/>
              <w:jc w:val="right"/>
              <w:rPr>
                <w:b/>
                <w:spacing w:val="0"/>
              </w:rPr>
            </w:pPr>
            <w:r>
              <w:rPr>
                <w:b/>
                <w:spacing w:val="0"/>
              </w:rPr>
              <w:t>44,700</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b/>
                <w:spacing w:val="0"/>
              </w:rPr>
            </w:pPr>
            <w:r>
              <w:rPr>
                <w:b/>
                <w:spacing w:val="0"/>
              </w:rPr>
              <w:t>$</w:t>
            </w:r>
          </w:p>
        </w:tc>
        <w:tc>
          <w:tcPr>
            <w:tcW w:w="714"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b/>
                <w:spacing w:val="0"/>
              </w:rPr>
            </w:pPr>
            <w:r>
              <w:rPr>
                <w:b/>
                <w:spacing w:val="0"/>
              </w:rPr>
              <w:t>$</w:t>
            </w:r>
          </w:p>
        </w:tc>
        <w:tc>
          <w:tcPr>
            <w:tcW w:w="714"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14,522,360</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0"/>
              <w:rPr>
                <w:b/>
                <w:spacing w:val="0"/>
              </w:rPr>
            </w:pPr>
            <w:r>
              <w:rPr>
                <w:b/>
                <w:spacing w:val="0"/>
              </w:rPr>
              <w:t>$</w:t>
            </w:r>
          </w:p>
        </w:tc>
        <w:tc>
          <w:tcPr>
            <w:tcW w:w="629" w:type="dxa"/>
            <w:tcBorders/>
            <w:shd w:fill="CCEEFF" w:val="clear"/>
            <w:vAlign w:val="center"/>
          </w:tcPr>
          <w:p>
            <w:pPr>
              <w:pStyle w:val="TableContents"/>
              <w:spacing w:before="0" w:after="0"/>
              <w:jc w:val="right"/>
              <w:rPr>
                <w:b/>
                <w:spacing w:val="0"/>
              </w:rPr>
            </w:pPr>
            <w:r>
              <w:rPr>
                <w:b/>
                <w:spacing w:val="0"/>
              </w:rPr>
              <w:t>14</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0"/>
              <w:rPr>
                <w:b/>
                <w:spacing w:val="0"/>
              </w:rPr>
            </w:pPr>
            <w:r>
              <w:rPr>
                <w:b/>
                <w:spacing w:val="0"/>
              </w:rPr>
              <w:t>$</w:t>
            </w:r>
          </w:p>
        </w:tc>
        <w:tc>
          <w:tcPr>
            <w:tcW w:w="880" w:type="dxa"/>
            <w:tcBorders/>
            <w:shd w:fill="CCEEFF" w:val="clear"/>
            <w:vAlign w:val="center"/>
          </w:tcPr>
          <w:p>
            <w:pPr>
              <w:pStyle w:val="TableContents"/>
              <w:spacing w:before="0" w:after="0"/>
              <w:jc w:val="right"/>
              <w:rPr>
                <w:b/>
                <w:spacing w:val="0"/>
              </w:rPr>
            </w:pPr>
            <w:r>
              <w:rPr>
                <w:b/>
                <w:spacing w:val="0"/>
              </w:rPr>
              <w:t>1,601</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0"/>
              <w:rPr>
                <w:b/>
                <w:spacing w:val="0"/>
              </w:rPr>
            </w:pPr>
            <w:r>
              <w:rPr>
                <w:b/>
                <w:spacing w:val="0"/>
              </w:rPr>
              <w:t>$</w:t>
            </w:r>
          </w:p>
        </w:tc>
        <w:tc>
          <w:tcPr>
            <w:tcW w:w="1177" w:type="dxa"/>
            <w:tcBorders/>
            <w:shd w:fill="CCEEFF" w:val="clear"/>
            <w:vAlign w:val="center"/>
          </w:tcPr>
          <w:p>
            <w:pPr>
              <w:pStyle w:val="TableContents"/>
              <w:spacing w:before="0" w:after="0"/>
              <w:jc w:val="right"/>
              <w:rPr>
                <w:b/>
                <w:spacing w:val="0"/>
              </w:rPr>
            </w:pPr>
            <w:r>
              <w:rPr>
                <w:b/>
                <w:spacing w:val="0"/>
              </w:rPr>
              <w:t>(7</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0"/>
              <w:rPr>
                <w:b/>
                <w:spacing w:val="0"/>
              </w:rPr>
            </w:pPr>
            <w:r>
              <w:rPr>
                <w:b/>
                <w:spacing w:val="0"/>
              </w:rPr>
              <w:t>$</w:t>
            </w:r>
          </w:p>
        </w:tc>
        <w:tc>
          <w:tcPr>
            <w:tcW w:w="1182" w:type="dxa"/>
            <w:tcBorders/>
            <w:shd w:fill="CCEEFF" w:val="clear"/>
            <w:vAlign w:val="center"/>
          </w:tcPr>
          <w:p>
            <w:pPr>
              <w:pStyle w:val="TableContents"/>
              <w:spacing w:before="0" w:after="0"/>
              <w:jc w:val="right"/>
              <w:rPr>
                <w:b/>
                <w:spacing w:val="0"/>
              </w:rPr>
            </w:pPr>
            <w:r>
              <w:rPr>
                <w:b/>
                <w:spacing w:val="0"/>
              </w:rPr>
              <w:t>(37,034</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0"/>
              <w:rPr>
                <w:b/>
                <w:spacing w:val="0"/>
              </w:rPr>
            </w:pPr>
            <w:r>
              <w:rPr>
                <w:b/>
                <w:spacing w:val="0"/>
              </w:rPr>
              <w:t>$</w:t>
            </w:r>
          </w:p>
        </w:tc>
        <w:tc>
          <w:tcPr>
            <w:tcW w:w="1194" w:type="dxa"/>
            <w:tcBorders/>
            <w:shd w:fill="CCEEFF" w:val="clear"/>
            <w:vAlign w:val="center"/>
          </w:tcPr>
          <w:p>
            <w:pPr>
              <w:pStyle w:val="TableContents"/>
              <w:spacing w:before="0" w:after="0"/>
              <w:jc w:val="right"/>
              <w:rPr>
                <w:b/>
                <w:spacing w:val="0"/>
              </w:rPr>
            </w:pPr>
            <w:r>
              <w:rPr>
                <w:b/>
                <w:spacing w:val="0"/>
              </w:rPr>
              <w:t>(35,426</w:t>
            </w:r>
          </w:p>
        </w:tc>
        <w:tc>
          <w:tcPr>
            <w:tcW w:w="170" w:type="dxa"/>
            <w:tcBorders/>
            <w:shd w:fill="CCEEFF" w:val="clear"/>
            <w:vAlign w:val="center"/>
          </w:tcPr>
          <w:p>
            <w:pPr>
              <w:pStyle w:val="TableContents"/>
              <w:spacing w:before="0" w:after="0"/>
              <w:rPr>
                <w:b/>
                <w:spacing w:val="0"/>
              </w:rPr>
            </w:pPr>
            <w:r>
              <w:rPr>
                <w:b/>
                <w:spacing w:val="0"/>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Issuance of Series A redeemable convertible preferred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11,000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Vesting of restricted common stock awards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94" w:type="dxa"/>
            <w:tcBorders/>
            <w:shd w:fill="CCEEFF" w:val="clear"/>
            <w:vAlign w:val="center"/>
          </w:tcPr>
          <w:p>
            <w:pPr>
              <w:pStyle w:val="TableContents"/>
              <w:spacing w:before="0" w:after="283"/>
              <w:jc w:val="right"/>
              <w:rPr/>
            </w:pPr>
            <w:r>
              <w:rPr/>
              <w:t>15</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Repurchases of restricted common stock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(1,187,504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Stock 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1,694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94" w:type="dxa"/>
            <w:tcBorders/>
            <w:shd w:fill="CCEEFF" w:val="clear"/>
            <w:vAlign w:val="center"/>
          </w:tcPr>
          <w:p>
            <w:pPr>
              <w:pStyle w:val="TableContents"/>
              <w:spacing w:before="0" w:after="283"/>
              <w:jc w:val="right"/>
              <w:rPr/>
            </w:pPr>
            <w:r>
              <w:rPr/>
              <w:t>1,694</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Other comprehensive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jc w:val="right"/>
              <w:rPr/>
            </w:pPr>
            <w:r>
              <w:rPr/>
              <w:t>17</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(14,095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94" w:type="dxa"/>
            <w:tcBorders/>
            <w:shd w:fill="CCEEFF" w:val="clear"/>
            <w:vAlign w:val="center"/>
          </w:tcPr>
          <w:p>
            <w:pPr>
              <w:pStyle w:val="TableContents"/>
              <w:spacing w:before="0" w:after="283"/>
              <w:jc w:val="right"/>
              <w:rPr/>
            </w:pPr>
            <w:r>
              <w:rPr/>
              <w:t>(14,095</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Balance at December 31, 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b/>
                <w:spacing w:val="0"/>
              </w:rPr>
            </w:pPr>
            <w:r>
              <w:rPr>
                <w:b/>
                <w:spacing w:val="0"/>
              </w:rPr>
              <w:t>55,700,000</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714" w:type="dxa"/>
            <w:tcBorders/>
            <w:shd w:fill="auto" w:val="clear"/>
            <w:vAlign w:val="center"/>
          </w:tcPr>
          <w:p>
            <w:pPr>
              <w:pStyle w:val="TableContents"/>
              <w:spacing w:before="0" w:after="0"/>
              <w:jc w:val="right"/>
              <w:rPr>
                <w:b/>
                <w:spacing w:val="0"/>
              </w:rPr>
            </w:pPr>
            <w:r>
              <w:rPr>
                <w:b/>
                <w:spacing w:val="0"/>
              </w:rPr>
              <w:t>55,700</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714"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rPr>
            </w:pPr>
            <w:r>
              <w:rPr>
                <w:spacing w:val="0"/>
              </w:rPr>
              <w:t> </w:t>
            </w:r>
          </w:p>
        </w:tc>
        <w:tc>
          <w:tcPr>
            <w:tcW w:w="714"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b/>
                <w:spacing w:val="0"/>
              </w:rPr>
            </w:pPr>
            <w:r>
              <w:rPr>
                <w:b/>
                <w:spacing w:val="0"/>
              </w:rPr>
              <w:t>13,334,856</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rPr>
            </w:pPr>
            <w:r>
              <w:rPr>
                <w:spacing w:val="0"/>
              </w:rPr>
              <w:t> </w:t>
            </w:r>
          </w:p>
        </w:tc>
        <w:tc>
          <w:tcPr>
            <w:tcW w:w="629" w:type="dxa"/>
            <w:tcBorders/>
            <w:shd w:fill="auto" w:val="clear"/>
            <w:vAlign w:val="center"/>
          </w:tcPr>
          <w:p>
            <w:pPr>
              <w:pStyle w:val="TableContents"/>
              <w:spacing w:before="0" w:after="0"/>
              <w:jc w:val="right"/>
              <w:rPr>
                <w:b/>
                <w:spacing w:val="0"/>
              </w:rPr>
            </w:pPr>
            <w:r>
              <w:rPr>
                <w:b/>
                <w:spacing w:val="0"/>
              </w:rPr>
              <w:t>13</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rPr>
            </w:pPr>
            <w:r>
              <w:rPr>
                <w:spacing w:val="0"/>
              </w:rPr>
              <w:t> </w:t>
            </w:r>
          </w:p>
        </w:tc>
        <w:tc>
          <w:tcPr>
            <w:tcW w:w="880" w:type="dxa"/>
            <w:tcBorders/>
            <w:shd w:fill="auto" w:val="clear"/>
            <w:vAlign w:val="center"/>
          </w:tcPr>
          <w:p>
            <w:pPr>
              <w:pStyle w:val="TableContents"/>
              <w:spacing w:before="0" w:after="0"/>
              <w:jc w:val="right"/>
              <w:rPr>
                <w:b/>
                <w:spacing w:val="0"/>
              </w:rPr>
            </w:pPr>
            <w:r>
              <w:rPr>
                <w:b/>
                <w:spacing w:val="0"/>
              </w:rPr>
              <w:t>3,311</w:t>
            </w:r>
          </w:p>
        </w:tc>
        <w:tc>
          <w:tcPr>
            <w:tcW w:w="6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rPr>
            </w:pPr>
            <w:r>
              <w:rPr>
                <w:spacing w:val="0"/>
              </w:rPr>
              <w:t> </w:t>
            </w:r>
          </w:p>
        </w:tc>
        <w:tc>
          <w:tcPr>
            <w:tcW w:w="1177" w:type="dxa"/>
            <w:tcBorders/>
            <w:shd w:fill="auto" w:val="clear"/>
            <w:vAlign w:val="center"/>
          </w:tcPr>
          <w:p>
            <w:pPr>
              <w:pStyle w:val="TableContents"/>
              <w:spacing w:before="0" w:after="0"/>
              <w:jc w:val="right"/>
              <w:rPr>
                <w:b/>
                <w:spacing w:val="0"/>
              </w:rPr>
            </w:pPr>
            <w:r>
              <w:rPr>
                <w:b/>
                <w:spacing w:val="0"/>
              </w:rPr>
              <w:t>10</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rPr>
            </w:pPr>
            <w:r>
              <w:rPr>
                <w:spacing w:val="0"/>
              </w:rPr>
              <w:t> </w:t>
            </w:r>
          </w:p>
        </w:tc>
        <w:tc>
          <w:tcPr>
            <w:tcW w:w="1182" w:type="dxa"/>
            <w:tcBorders/>
            <w:shd w:fill="auto" w:val="clear"/>
            <w:vAlign w:val="center"/>
          </w:tcPr>
          <w:p>
            <w:pPr>
              <w:pStyle w:val="TableContents"/>
              <w:spacing w:before="0" w:after="0"/>
              <w:jc w:val="right"/>
              <w:rPr>
                <w:b/>
                <w:spacing w:val="0"/>
              </w:rPr>
            </w:pPr>
            <w:r>
              <w:rPr>
                <w:b/>
                <w:spacing w:val="0"/>
              </w:rPr>
              <w:t>(51,129</w:t>
            </w:r>
          </w:p>
        </w:tc>
        <w:tc>
          <w:tcPr>
            <w:tcW w:w="155" w:type="dxa"/>
            <w:tcBorders/>
            <w:shd w:fill="auto" w:val="clear"/>
            <w:vAlign w:val="center"/>
          </w:tcPr>
          <w:p>
            <w:pPr>
              <w:pStyle w:val="TableContents"/>
              <w:spacing w:before="0" w:after="0"/>
              <w:rPr>
                <w:b/>
                <w:spacing w:val="0"/>
              </w:rPr>
            </w:pPr>
            <w:r>
              <w:rPr>
                <w:b/>
                <w:spacing w:val="0"/>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spacing w:val="0"/>
              </w:rPr>
            </w:pPr>
            <w:r>
              <w:rPr>
                <w:spacing w:val="0"/>
              </w:rPr>
              <w:t> </w:t>
            </w:r>
          </w:p>
        </w:tc>
        <w:tc>
          <w:tcPr>
            <w:tcW w:w="1194" w:type="dxa"/>
            <w:tcBorders/>
            <w:shd w:fill="auto" w:val="clear"/>
            <w:vAlign w:val="center"/>
          </w:tcPr>
          <w:p>
            <w:pPr>
              <w:pStyle w:val="TableContents"/>
              <w:spacing w:before="0" w:after="0"/>
              <w:jc w:val="right"/>
              <w:rPr>
                <w:b/>
                <w:spacing w:val="0"/>
              </w:rPr>
            </w:pPr>
            <w:r>
              <w:rPr>
                <w:b/>
                <w:spacing w:val="0"/>
              </w:rPr>
              <w:t>(47,795</w:t>
            </w:r>
          </w:p>
        </w:tc>
        <w:tc>
          <w:tcPr>
            <w:tcW w:w="170" w:type="dxa"/>
            <w:tcBorders/>
            <w:shd w:fill="auto" w:val="clear"/>
            <w:vAlign w:val="center"/>
          </w:tcPr>
          <w:p>
            <w:pPr>
              <w:pStyle w:val="TableContents"/>
              <w:spacing w:before="0" w:after="0"/>
              <w:rPr>
                <w:b/>
                <w:spacing w:val="0"/>
              </w:rPr>
            </w:pPr>
            <w:r>
              <w:rPr>
                <w:b/>
                <w:spacing w:val="0"/>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Issuance of Series B redeemable convertible preferred stock, net of issuance costs of $0.2 million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22,686,025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29,761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94"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 xml:space="preserve">Issuance of Series </w:t>
            </w:r>
          </w:p>
          <w:p>
            <w:pPr>
              <w:pStyle w:val="TableContents"/>
              <w:spacing w:before="0" w:after="0"/>
              <w:rPr>
                <w:rFonts w:ascii="Times New Roman" w:hAnsi="Times New Roman"/>
                <w:spacing w:val="0"/>
                <w:sz w:val="18"/>
              </w:rPr>
            </w:pPr>
            <w:r>
              <w:rPr>
                <w:rFonts w:ascii="Times New Roman" w:hAnsi="Times New Roman"/>
                <w:spacing w:val="0"/>
                <w:sz w:val="18"/>
              </w:rPr>
              <w:t>B-1</w:t>
            </w:r>
          </w:p>
          <w:p>
            <w:pPr>
              <w:pStyle w:val="TableContents"/>
              <w:spacing w:before="0" w:after="0"/>
              <w:rPr>
                <w:rFonts w:ascii="Times New Roman" w:hAnsi="Times New Roman"/>
                <w:sz w:val="18"/>
              </w:rPr>
            </w:pPr>
            <w:r>
              <w:rPr>
                <w:rFonts w:ascii="Times New Roman" w:hAnsi="Times New Roman"/>
                <w:sz w:val="18"/>
              </w:rPr>
              <w:t>redeemable convertible preferred stock, net of issuance costs of $0.1 million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27,152,255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51,083</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Exercise of stock options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81,870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94" w:type="dxa"/>
            <w:tcBorders/>
            <w:shd w:fill="CCEEFF" w:val="clear"/>
            <w:vAlign w:val="center"/>
          </w:tcPr>
          <w:p>
            <w:pPr>
              <w:pStyle w:val="TableContents"/>
              <w:spacing w:before="0" w:after="283"/>
              <w:jc w:val="right"/>
              <w:rPr/>
            </w:pPr>
            <w:r>
              <w:rPr/>
              <w:t>40</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Vesting of restricted common stock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jc w:val="right"/>
              <w:rPr/>
            </w:pPr>
            <w:r>
              <w:rPr/>
              <w:t>12</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Repurchases of restricted common stock awards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(115,077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94"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Stock based compensation expense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1,764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jc w:val="right"/>
              <w:rPr/>
            </w:pPr>
            <w:r>
              <w:rPr/>
              <w:t>1,764</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Other comprehensive income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rPr/>
            </w:pPr>
            <w:r>
              <w:rPr/>
              <w:t> </w:t>
            </w:r>
          </w:p>
        </w:tc>
        <w:tc>
          <w:tcPr>
            <w:tcW w:w="118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94" w:type="dxa"/>
            <w:tcBorders/>
            <w:shd w:fill="CCEEFF" w:val="clear"/>
            <w:vAlign w:val="center"/>
          </w:tcPr>
          <w:p>
            <w:pPr>
              <w:pStyle w:val="TableContents"/>
              <w:spacing w:before="0" w:after="283"/>
              <w:jc w:val="right"/>
              <w:rPr/>
            </w:pPr>
            <w:r>
              <w:rPr/>
              <w:t>7</w:t>
            </w:r>
          </w:p>
        </w:tc>
        <w:tc>
          <w:tcPr>
            <w:tcW w:w="170"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Net loss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71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62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8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182" w:type="dxa"/>
            <w:tcBorders/>
            <w:shd w:fill="auto" w:val="clear"/>
            <w:vAlign w:val="center"/>
          </w:tcPr>
          <w:p>
            <w:pPr>
              <w:pStyle w:val="TableContents"/>
              <w:spacing w:before="0" w:after="283"/>
              <w:jc w:val="right"/>
              <w:rPr/>
            </w:pPr>
            <w:r>
              <w:rPr/>
              <w:t>(51,972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jc w:val="right"/>
              <w:rPr/>
            </w:pPr>
            <w:r>
              <w:rPr/>
              <w:t>(51,972</w:t>
            </w:r>
          </w:p>
        </w:tc>
        <w:tc>
          <w:tcPr>
            <w:tcW w:w="170" w:type="dxa"/>
            <w:tcBorders/>
            <w:shd w:fill="auto"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1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9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Balance at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55,700,000</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b/>
                <w:spacing w:val="0"/>
              </w:rPr>
            </w:pPr>
            <w:r>
              <w:rPr>
                <w:b/>
                <w:spacing w:val="0"/>
              </w:rPr>
              <w:t>$</w:t>
            </w:r>
          </w:p>
        </w:tc>
        <w:tc>
          <w:tcPr>
            <w:tcW w:w="714" w:type="dxa"/>
            <w:tcBorders/>
            <w:shd w:fill="CCEEFF" w:val="clear"/>
            <w:vAlign w:val="center"/>
          </w:tcPr>
          <w:p>
            <w:pPr>
              <w:pStyle w:val="TableContents"/>
              <w:spacing w:before="0" w:after="0"/>
              <w:jc w:val="right"/>
              <w:rPr>
                <w:b/>
                <w:spacing w:val="0"/>
              </w:rPr>
            </w:pPr>
            <w:r>
              <w:rPr>
                <w:b/>
                <w:spacing w:val="0"/>
              </w:rPr>
              <w:t>55,700</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22,686,025</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b/>
                <w:spacing w:val="0"/>
              </w:rPr>
            </w:pPr>
            <w:r>
              <w:rPr>
                <w:b/>
                <w:spacing w:val="0"/>
              </w:rPr>
              <w:t>$</w:t>
            </w:r>
          </w:p>
        </w:tc>
        <w:tc>
          <w:tcPr>
            <w:tcW w:w="714" w:type="dxa"/>
            <w:tcBorders/>
            <w:shd w:fill="CCEEFF" w:val="clear"/>
            <w:vAlign w:val="center"/>
          </w:tcPr>
          <w:p>
            <w:pPr>
              <w:pStyle w:val="TableContents"/>
              <w:spacing w:before="0" w:after="0"/>
              <w:jc w:val="right"/>
              <w:rPr>
                <w:b/>
                <w:spacing w:val="0"/>
              </w:rPr>
            </w:pPr>
            <w:r>
              <w:rPr>
                <w:b/>
                <w:spacing w:val="0"/>
              </w:rPr>
              <w:t>29,761</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27,152,255</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0"/>
              <w:rPr>
                <w:b/>
                <w:spacing w:val="0"/>
              </w:rPr>
            </w:pPr>
            <w:r>
              <w:rPr>
                <w:b/>
                <w:spacing w:val="0"/>
              </w:rPr>
              <w:t>$</w:t>
            </w:r>
          </w:p>
        </w:tc>
        <w:tc>
          <w:tcPr>
            <w:tcW w:w="714" w:type="dxa"/>
            <w:tcBorders/>
            <w:shd w:fill="CCEEFF" w:val="clear"/>
            <w:vAlign w:val="center"/>
          </w:tcPr>
          <w:p>
            <w:pPr>
              <w:pStyle w:val="TableContents"/>
              <w:spacing w:before="0" w:after="0"/>
              <w:jc w:val="right"/>
              <w:rPr>
                <w:b/>
                <w:spacing w:val="0"/>
              </w:rPr>
            </w:pPr>
            <w:r>
              <w:rPr>
                <w:b/>
                <w:spacing w:val="0"/>
              </w:rPr>
              <w:t>51,083</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left w:val="single" w:sz="6" w:space="0" w:color="000000"/>
            </w:tcBorders>
            <w:shd w:fill="CCEEFF" w:val="clear"/>
            <w:tcMar>
              <w:left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0"/>
              <w:jc w:val="right"/>
              <w:rPr>
                <w:b/>
                <w:spacing w:val="0"/>
              </w:rPr>
            </w:pPr>
            <w:r>
              <w:rPr>
                <w:b/>
                <w:spacing w:val="0"/>
              </w:rPr>
              <w:t>13,301,649</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0"/>
              <w:rPr>
                <w:b/>
                <w:spacing w:val="0"/>
              </w:rPr>
            </w:pPr>
            <w:r>
              <w:rPr>
                <w:b/>
                <w:spacing w:val="0"/>
              </w:rPr>
              <w:t>$</w:t>
            </w:r>
          </w:p>
        </w:tc>
        <w:tc>
          <w:tcPr>
            <w:tcW w:w="629" w:type="dxa"/>
            <w:tcBorders/>
            <w:shd w:fill="CCEEFF" w:val="clear"/>
            <w:vAlign w:val="center"/>
          </w:tcPr>
          <w:p>
            <w:pPr>
              <w:pStyle w:val="TableContents"/>
              <w:spacing w:before="0" w:after="0"/>
              <w:jc w:val="right"/>
              <w:rPr>
                <w:b/>
                <w:spacing w:val="0"/>
              </w:rPr>
            </w:pPr>
            <w:r>
              <w:rPr>
                <w:b/>
                <w:spacing w:val="0"/>
              </w:rPr>
              <w:t>13</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0"/>
              <w:rPr>
                <w:b/>
                <w:spacing w:val="0"/>
              </w:rPr>
            </w:pPr>
            <w:r>
              <w:rPr>
                <w:b/>
                <w:spacing w:val="0"/>
              </w:rPr>
              <w:t>$</w:t>
            </w:r>
          </w:p>
        </w:tc>
        <w:tc>
          <w:tcPr>
            <w:tcW w:w="880" w:type="dxa"/>
            <w:tcBorders/>
            <w:shd w:fill="CCEEFF" w:val="clear"/>
            <w:vAlign w:val="center"/>
          </w:tcPr>
          <w:p>
            <w:pPr>
              <w:pStyle w:val="TableContents"/>
              <w:spacing w:before="0" w:after="0"/>
              <w:jc w:val="right"/>
              <w:rPr>
                <w:b/>
                <w:spacing w:val="0"/>
              </w:rPr>
            </w:pPr>
            <w:r>
              <w:rPr>
                <w:b/>
                <w:spacing w:val="0"/>
              </w:rPr>
              <w:t>5,127</w:t>
            </w:r>
          </w:p>
        </w:tc>
        <w:tc>
          <w:tcPr>
            <w:tcW w:w="6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0"/>
              <w:rPr>
                <w:b/>
                <w:spacing w:val="0"/>
              </w:rPr>
            </w:pPr>
            <w:r>
              <w:rPr>
                <w:b/>
                <w:spacing w:val="0"/>
              </w:rPr>
              <w:t>$</w:t>
            </w:r>
          </w:p>
        </w:tc>
        <w:tc>
          <w:tcPr>
            <w:tcW w:w="1177" w:type="dxa"/>
            <w:tcBorders/>
            <w:shd w:fill="CCEEFF" w:val="clear"/>
            <w:vAlign w:val="center"/>
          </w:tcPr>
          <w:p>
            <w:pPr>
              <w:pStyle w:val="TableContents"/>
              <w:spacing w:before="0" w:after="0"/>
              <w:jc w:val="right"/>
              <w:rPr>
                <w:b/>
                <w:spacing w:val="0"/>
              </w:rPr>
            </w:pPr>
            <w:r>
              <w:rPr>
                <w:b/>
                <w:spacing w:val="0"/>
              </w:rPr>
              <w:t>17</w:t>
            </w:r>
          </w:p>
        </w:tc>
        <w:tc>
          <w:tcPr>
            <w:tcW w:w="155"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0"/>
              <w:rPr>
                <w:b/>
                <w:spacing w:val="0"/>
              </w:rPr>
            </w:pPr>
            <w:r>
              <w:rPr>
                <w:b/>
                <w:spacing w:val="0"/>
              </w:rPr>
              <w:t>$</w:t>
            </w:r>
          </w:p>
        </w:tc>
        <w:tc>
          <w:tcPr>
            <w:tcW w:w="1182" w:type="dxa"/>
            <w:tcBorders/>
            <w:shd w:fill="CCEEFF" w:val="clear"/>
            <w:vAlign w:val="center"/>
          </w:tcPr>
          <w:p>
            <w:pPr>
              <w:pStyle w:val="TableContents"/>
              <w:spacing w:before="0" w:after="0"/>
              <w:jc w:val="right"/>
              <w:rPr>
                <w:b/>
                <w:spacing w:val="0"/>
              </w:rPr>
            </w:pPr>
            <w:r>
              <w:rPr>
                <w:b/>
                <w:spacing w:val="0"/>
              </w:rPr>
              <w:t>(103,101</w:t>
            </w:r>
          </w:p>
        </w:tc>
        <w:tc>
          <w:tcPr>
            <w:tcW w:w="155" w:type="dxa"/>
            <w:tcBorders/>
            <w:shd w:fill="CCEEFF" w:val="clear"/>
            <w:vAlign w:val="center"/>
          </w:tcPr>
          <w:p>
            <w:pPr>
              <w:pStyle w:val="TableContents"/>
              <w:spacing w:before="0" w:after="0"/>
              <w:rPr>
                <w:b/>
                <w:spacing w:val="0"/>
              </w:rPr>
            </w:pPr>
            <w:r>
              <w:rPr>
                <w:b/>
                <w:spacing w:val="0"/>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0"/>
              <w:rPr>
                <w:b/>
                <w:spacing w:val="0"/>
              </w:rPr>
            </w:pPr>
            <w:r>
              <w:rPr>
                <w:b/>
                <w:spacing w:val="0"/>
              </w:rPr>
              <w:t>$</w:t>
            </w:r>
          </w:p>
        </w:tc>
        <w:tc>
          <w:tcPr>
            <w:tcW w:w="1194" w:type="dxa"/>
            <w:tcBorders/>
            <w:shd w:fill="CCEEFF" w:val="clear"/>
            <w:vAlign w:val="center"/>
          </w:tcPr>
          <w:p>
            <w:pPr>
              <w:pStyle w:val="TableContents"/>
              <w:spacing w:before="0" w:after="0"/>
              <w:jc w:val="right"/>
              <w:rPr>
                <w:b/>
                <w:spacing w:val="0"/>
              </w:rPr>
            </w:pPr>
            <w:r>
              <w:rPr>
                <w:b/>
                <w:spacing w:val="0"/>
              </w:rPr>
              <w:t>(97,944</w:t>
            </w:r>
          </w:p>
        </w:tc>
        <w:tc>
          <w:tcPr>
            <w:tcW w:w="170" w:type="dxa"/>
            <w:tcBorders/>
            <w:shd w:fill="CCEEFF" w:val="clear"/>
            <w:vAlign w:val="center"/>
          </w:tcPr>
          <w:p>
            <w:pPr>
              <w:pStyle w:val="TableContents"/>
              <w:spacing w:before="0" w:after="0"/>
              <w:rPr>
                <w:b/>
                <w:spacing w:val="0"/>
              </w:rPr>
            </w:pPr>
            <w:r>
              <w:rPr>
                <w:b/>
                <w:spacing w:val="0"/>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1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2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9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57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(in thousands)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790"/>
        <w:gridCol w:w="120"/>
        <w:gridCol w:w="140"/>
        <w:gridCol w:w="875"/>
        <w:gridCol w:w="155"/>
        <w:gridCol w:w="60"/>
        <w:gridCol w:w="140"/>
        <w:gridCol w:w="755"/>
        <w:gridCol w:w="170"/>
      </w:tblGrid>
      <w:tr>
        <w:trPr/>
        <w:tc>
          <w:tcPr>
            <w:tcW w:w="7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7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125" w:type="dxa"/>
            <w:gridSpan w:val="6"/>
            <w:tcBorders/>
            <w:shd w:fill="auto" w:val="clear"/>
            <w:vAlign w:val="center"/>
          </w:tcPr>
          <w:p>
            <w:pPr>
              <w:pStyle w:val="TableContents"/>
              <w:spacing w:before="0" w:after="0"/>
              <w:jc w:val="center"/>
              <w:rPr>
                <w:b/>
                <w:spacing w:val="0"/>
              </w:rPr>
            </w:pPr>
            <w:r>
              <w:rPr>
                <w:b/>
                <w:spacing w:val="0"/>
              </w:rPr>
              <w:t>Year Ended</w:t>
              <w:b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77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95" w:type="dxa"/>
            <w:gridSpan w:val="2"/>
            <w:tcBorders/>
            <w:shd w:fill="auto" w:val="clear"/>
            <w:vAlign w:val="center"/>
          </w:tcPr>
          <w:p>
            <w:pPr>
              <w:pStyle w:val="TableContents"/>
              <w:spacing w:before="0" w:after="0"/>
              <w:jc w:val="center"/>
              <w:rPr>
                <w:b/>
                <w:spacing w:val="0"/>
              </w:rPr>
            </w:pPr>
            <w:r>
              <w:rPr>
                <w:b/>
                <w:spacing w:val="0"/>
              </w:rPr>
              <w:t>2019</w:t>
            </w:r>
          </w:p>
        </w:tc>
        <w:tc>
          <w:tcPr>
            <w:tcW w:w="170" w:type="dxa"/>
            <w:tcBorders/>
            <w:shd w:fill="auto" w:val="clear"/>
            <w:vAlign w:val="center"/>
          </w:tcPr>
          <w:p>
            <w:pPr>
              <w:pStyle w:val="TableContents"/>
              <w:spacing w:before="0" w:after="0"/>
              <w:rPr>
                <w:spacing w:val="0"/>
              </w:rPr>
            </w:pPr>
            <w:r>
              <w:rPr>
                <w:spacing w:val="0"/>
              </w:rPr>
              <w:t> </w:t>
            </w:r>
          </w:p>
        </w:tc>
      </w:tr>
      <w:tr>
        <w:trPr/>
        <w:tc>
          <w:tcPr>
            <w:tcW w:w="7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79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(51,972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(14,095</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Adjustments to reconcile net loss to net cash provided by (used in)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643</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Noncash operating lease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831</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Stock-based compensation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1,764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1,694</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(347</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receivable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(590</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(976</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 and other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2,964</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(678</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119,081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(14,249</w:t>
            </w:r>
          </w:p>
        </w:tc>
        <w:tc>
          <w:tcPr>
            <w:tcW w:w="170" w:type="dxa"/>
            <w:tcBorders/>
            <w:shd w:fill="auto"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(used in)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70,074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(24,803</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 of property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(1,817</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maturities of marketable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63,220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35,246</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Purchases of marketable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(207,540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(32,581</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provided by investing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(145,466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848</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issuance of preferred stock, net of issuance costs of $0.3 million and $0 during the periods ended December 31, 2020 and 2019,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80,844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11,000</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issuance of common stock upon exercise of stock options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80,884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11,000</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change in cash, cash equivalents and 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5,492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(12,955</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cash equivalents and restricted cash, beginning of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25,168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38,123</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Cash, cash equivalents and restricted cash, end of period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30,660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25,168</w:t>
            </w:r>
          </w:p>
        </w:tc>
        <w:tc>
          <w:tcPr>
            <w:tcW w:w="170" w:type="dxa"/>
            <w:tcBorders/>
            <w:shd w:fill="auto"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Supplemental cash flow information: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paid for leases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1,782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1,735</w:t>
            </w:r>
          </w:p>
        </w:tc>
        <w:tc>
          <w:tcPr>
            <w:tcW w:w="170" w:type="dxa"/>
            <w:tcBorders/>
            <w:shd w:fill="auto" w:val="clear"/>
            <w:vAlign w:val="center"/>
          </w:tcPr>
          <w:p>
            <w:pPr>
              <w:pStyle w:val="TableContents"/>
              <w:spacing w:before="0" w:after="283"/>
              <w:rPr/>
            </w:pPr>
            <w:r>
              <w:rPr/>
              <w:t> </w:t>
            </w:r>
          </w:p>
        </w:tc>
      </w:tr>
      <w:tr>
        <w:trPr/>
        <w:tc>
          <w:tcPr>
            <w:tcW w:w="779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Supplemental disclosure of noncash investing and financing activity: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7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Purchases of property and equipment included in accounts payable and accrued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58</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1. Nature of the Business and Basis of Presentation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Tango Therapeutics, Inc (“Tango” or the “Company”) is a precision oncology company committed to the discovery and development of novel new drugs in defined patient populations with high unmet medical need.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Since inception, the Company has generated recurring net losses, including a net loss of $52.0 million and $14.1 million for the years ended December 31, 2020 and 2019, respectively. The Company had an accumulated deficit of $103.1 million and $51.1 million as of December 31, 2020 and 2019, respectively. Since inception and through the issuance date of these consolidated financial statements, the Company has raised an aggregate of approximately $166.9 million of gross proceeds from the sale of preferred shares.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expects operating losses and negative cash flows from operations to continue for the foreseeable future as it continues to develop, manufacture and commercialize its products. As of April 12, 2021, the issuance date of the consolidated financial statements for the year ended December 31, 2020, the Company expected that its cash, cash equivalents and marketable securities, and the $30.0 of additional proceeds from the closing of the second tranche of the Series B convertible preferred stock purchase agreement (see Note 14) received in March 2021, will be sufficient to fund its operating expenses and capital expenditure requirements for at least 12 months from the issuance date of the annual consolidated financial statements. The future viability of the Company beyond that point may be dependent on its ability to raise additional capital to finance its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with BCTG Acquisition Corporation (Unaudited) </w:t>
      </w:r>
    </w:p>
    <w:p>
      <w:pPr>
        <w:pStyle w:val="TextBody"/>
        <w:spacing w:before="120" w:after="0"/>
        <w:jc w:val="left"/>
        <w:rPr>
          <w:rFonts w:ascii="Times New Roman" w:hAnsi="Times New Roman"/>
          <w:spacing w:val="0"/>
          <w:sz w:val="20"/>
        </w:rPr>
      </w:pPr>
      <w:r>
        <w:rPr>
          <w:rFonts w:ascii="Times New Roman" w:hAnsi="Times New Roman"/>
          <w:spacing w:val="0"/>
          <w:sz w:val="20"/>
        </w:rPr>
        <w:t>On April 13, 2021, the Company and BCTG Acquisition Corp. (“BCTG”) signed a definitive merger agreement, which will result in BCTG acquiring 100% of the Company’s issued and outstanding equity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59</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1. Nature of the Business and Basis of Presentation(cont.)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Impact of COVID-19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 </w:t>
      </w:r>
    </w:p>
    <w:p>
      <w:pPr>
        <w:pStyle w:val="TextBody"/>
        <w:spacing w:before="240" w:after="0"/>
        <w:jc w:val="left"/>
        <w:rPr>
          <w:rFonts w:ascii="Times New Roman" w:hAnsi="Times New Roman"/>
          <w:spacing w:val="0"/>
          <w:sz w:val="20"/>
        </w:rPr>
      </w:pPr>
      <w:r>
        <w:rPr>
          <w:rFonts w:ascii="Times New Roman" w:hAnsi="Times New Roman"/>
          <w:spacing w:val="0"/>
          <w:sz w:val="20"/>
        </w:rPr>
        <w:t>The Company is monitoring the potential impact of the COVID-19 pandemic on its business and financial statements. To date, COVID-19 has not had a material impact on operations, and the Company has not incurred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60</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 Nature of the Business and Basis of Presentation(cont.)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significant delays related to its research and development programs. Additionally, the Company has not incurred impairment losses in the carrying values of its assets as a result of the pandemic and it is not aware of any specific related event or circumstance that would require it to revise its estimates reflected in these consolidated financial statements. The extent to which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actions taken to contain or treat it, and the duration and intensity of the related effects.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subsidiary. All intercompany accounts and transactions have been eliminated. The functional and reporting currency of the Company and its subsidiary is the U.S. dollar.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common shares and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related to COVID-19. Actual results may differ from these estimates under different assumptions or conditions. Changes in estimates are reflected in reported results in the period in which they become known.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Information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Equivalents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All highly liquid marketable securities purchased with an original maturity date of 90 days or less at the date of purchase are considered to be cash equivalents. Cash equivalents consisted of money market funds and U.S Treasury bills as of December 31, 2020 and 2019.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61</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jc w:val="left"/>
        <w:rPr/>
      </w:pPr>
      <w:r>
        <w:rPr/>
        <w:t> </w:t>
      </w:r>
    </w:p>
    <w:p>
      <w:pPr>
        <w:pStyle w:val="TextBody"/>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Investments in Marketable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w:t>
      </w:r>
    </w:p>
    <w:p>
      <w:pPr>
        <w:pStyle w:val="TextBody"/>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Accordingly, these investments are recorded at fair value, which is based on quoted market prices. Unrealized gains and losses are reported as a component of accumulated other comprehensive income (loss) in stockholders’ equity (deficit). Amortization and accretion of premiums and discounts are recorded in interest income. Realized gains and losses and declines in value determined to be other than temporary are based on the specific identification method and are included as a component of other income, net in the consolidated statements of operations. </w:t>
      </w:r>
    </w:p>
    <w:p>
      <w:pPr>
        <w:pStyle w:val="TextBody"/>
        <w:spacing w:before="240" w:after="0"/>
        <w:jc w:val="left"/>
        <w:rPr>
          <w:rFonts w:ascii="Times New Roman" w:hAnsi="Times New Roman"/>
          <w:sz w:val="20"/>
        </w:rPr>
      </w:pPr>
      <w:r>
        <w:rPr>
          <w:rFonts w:ascii="Times New Roman" w:hAnsi="Times New Roman"/>
          <w:sz w:val="20"/>
        </w:rPr>
        <w:t xml:space="preserve">The Company evaluates its investments with unrealized losses for impairment. When assessing investments for unrealized declines in value, the Company considers whether the decline in value is related to a credit loss or </w:t>
      </w:r>
    </w:p>
    <w:p>
      <w:pPr>
        <w:pStyle w:val="TextBody"/>
        <w:spacing w:before="240" w:after="0"/>
        <w:jc w:val="left"/>
        <w:rPr>
          <w:rFonts w:ascii="Times New Roman" w:hAnsi="Times New Roman"/>
          <w:spacing w:val="0"/>
          <w:sz w:val="20"/>
        </w:rPr>
      </w:pPr>
      <w:r>
        <w:rPr>
          <w:rFonts w:ascii="Times New Roman" w:hAnsi="Times New Roman"/>
          <w:spacing w:val="0"/>
          <w:sz w:val="20"/>
        </w:rPr>
        <w:t>non-credit</w:t>
      </w:r>
    </w:p>
    <w:p>
      <w:pPr>
        <w:pStyle w:val="TextBody"/>
        <w:spacing w:before="240" w:after="0"/>
        <w:jc w:val="left"/>
        <w:rPr>
          <w:rFonts w:ascii="Times New Roman" w:hAnsi="Times New Roman"/>
          <w:sz w:val="20"/>
        </w:rPr>
      </w:pPr>
      <w:r>
        <w:rPr>
          <w:rFonts w:ascii="Times New Roman" w:hAnsi="Times New Roman"/>
          <w:sz w:val="20"/>
        </w:rPr>
        <w:t xml:space="preserve">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w:t>
      </w:r>
    </w:p>
    <w:p>
      <w:pPr>
        <w:pStyle w:val="TextBody"/>
        <w:spacing w:before="240" w:after="0"/>
        <w:jc w:val="left"/>
        <w:rPr>
          <w:rFonts w:ascii="Times New Roman" w:hAnsi="Times New Roman"/>
          <w:spacing w:val="0"/>
          <w:sz w:val="20"/>
        </w:rPr>
      </w:pPr>
      <w:r>
        <w:rPr>
          <w:rFonts w:ascii="Times New Roman" w:hAnsi="Times New Roman"/>
          <w:spacing w:val="0"/>
          <w:sz w:val="20"/>
        </w:rPr>
        <w:t>non-credit</w:t>
      </w:r>
    </w:p>
    <w:p>
      <w:pPr>
        <w:pStyle w:val="TextBody"/>
        <w:spacing w:before="240" w:after="0"/>
        <w:jc w:val="left"/>
        <w:rPr>
          <w:rFonts w:ascii="Times New Roman" w:hAnsi="Times New Roman"/>
          <w:sz w:val="20"/>
        </w:rPr>
      </w:pPr>
      <w:r>
        <w:rPr>
          <w:rFonts w:ascii="Times New Roman" w:hAnsi="Times New Roman"/>
          <w:sz w:val="20"/>
        </w:rPr>
        <w:t xml:space="preserve">losses, the Company reduces the investment to fair value through a charge to the statement of comprehensive loss, reported as a component of accumulated other comprehensive income (loss) in stockholders’ equity. No such credit losses were recorded during the periods presented. </w:t>
      </w:r>
    </w:p>
    <w:p>
      <w:pPr>
        <w:pStyle w:val="TextBody"/>
        <w:spacing w:before="240" w:after="0"/>
        <w:jc w:val="left"/>
        <w:rPr>
          <w:rFonts w:ascii="Times New Roman" w:hAnsi="Times New Roman"/>
          <w:sz w:val="20"/>
        </w:rPr>
      </w:pPr>
      <w:r>
        <w:rPr>
          <w:rFonts w:ascii="Times New Roman" w:hAnsi="Times New Roman"/>
          <w:sz w:val="20"/>
        </w:rPr>
        <w:t xml:space="preserve">Prior to the early adoption of ASU </w:t>
      </w:r>
    </w:p>
    <w:p>
      <w:pPr>
        <w:pStyle w:val="TextBody"/>
        <w:spacing w:before="240" w:after="0"/>
        <w:jc w:val="left"/>
        <w:rPr>
          <w:rFonts w:ascii="Times New Roman" w:hAnsi="Times New Roman"/>
          <w:spacing w:val="0"/>
          <w:sz w:val="20"/>
        </w:rPr>
      </w:pPr>
      <w:r>
        <w:rPr>
          <w:rFonts w:ascii="Times New Roman" w:hAnsi="Times New Roman"/>
          <w:spacing w:val="0"/>
          <w:sz w:val="20"/>
        </w:rPr>
        <w:t>2016-13</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Financial Instruments — Credit Losses (Topic 326), Measurement of Credit Losses on Financial Instruments,</w:t>
      </w:r>
    </w:p>
    <w:p>
      <w:pPr>
        <w:pStyle w:val="TextBody"/>
        <w:spacing w:before="240" w:after="0"/>
        <w:jc w:val="left"/>
        <w:rPr>
          <w:rFonts w:ascii="Times New Roman" w:hAnsi="Times New Roman"/>
          <w:sz w:val="20"/>
        </w:rPr>
      </w:pPr>
      <w:r>
        <w:rPr>
          <w:rFonts w:ascii="Times New Roman" w:hAnsi="Times New Roman"/>
          <w:sz w:val="20"/>
        </w:rPr>
        <w:t xml:space="preserve">on January 1, 2020, the Company evaluated its investments with unrealized losses for other-than-temporary impairment. If any adjustment to fair value reflected a decline in the value of the investment that the Company considered to be “other than temporary,” the Company would reduce the investment to fair value through a charge to the consolidated statements of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1 — Fair values are determined utilizing prices (unadjusted) in active markets for identical assets or liabilities that the Company has the ability to access.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2 — Fair values are determined by utilizing quoted prices for identical or similar assets and liabilities in active markets or other market observable inputs such as interest rates, yield curves, and foreign currency spot rates.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3 — Prices or valuations that require inputs that are both significant to the fair value measurement and unobservable. </w:t>
            </w:r>
          </w:p>
        </w:tc>
      </w:tr>
    </w:tbl>
    <w:p>
      <w:pPr>
        <w:pStyle w:val="TextBody"/>
        <w:spacing w:before="0" w:after="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F-62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fair value of the Company’s cash equivalents and marketable securities are determined according to the fair value hierarchy described above (see Note 4). The carrying values of the Company’s accounts receivable, accounts payable and accrued expenses approximate their fair values due to the short-term nature of these assets and liabilities.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and Significant Suppliers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2020 and 2019.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Company relies, and expects to continue to rely, on a small number of vendors to perform research activities that continue to progress its product candidates for its development programs. These programs could be adversely affected by a significant interruption in the related processes of these vendors.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Cash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Cash accounts with any type of restriction are considered restricted cash and are classified on the balance sheet based on the length of the restrictive obligation. As of both December 31, 2020 and 2019, the Company recorded restricted cash of $2.3 million, all of which was related to security deposits associated with the Company’s facility leases in Boston, Massachusetts and Cambridge, Massachusetts, and is recorded as long term in its balance sheet because the deposit is required for the duration of the lease which is greater than a year.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reconciliation of cash and cash equivalents and restricted cash to amounts presented in the consolidated statements of cash flows are as follows: </w:t>
      </w:r>
    </w:p>
    <w:p>
      <w:pPr>
        <w:pStyle w:val="TextBody"/>
        <w:spacing w:before="0" w:after="0"/>
        <w:jc w:val="left"/>
        <w:rPr>
          <w:spacing w:val="0"/>
        </w:rPr>
      </w:pPr>
      <w:r>
        <w:rPr>
          <w:spacing w:val="0"/>
        </w:rPr>
        <w:t> </w:t>
      </w:r>
    </w:p>
    <w:tbl>
      <w:tblPr>
        <w:tblW w:w="5440" w:type="dxa"/>
        <w:jc w:val="left"/>
        <w:tblInd w:w="0" w:type="dxa"/>
        <w:tblCellMar>
          <w:top w:w="0" w:type="dxa"/>
          <w:left w:w="0" w:type="dxa"/>
          <w:bottom w:w="0" w:type="dxa"/>
          <w:right w:w="0" w:type="dxa"/>
        </w:tblCellMar>
      </w:tblPr>
      <w:tblGrid>
        <w:gridCol w:w="3425"/>
        <w:gridCol w:w="120"/>
        <w:gridCol w:w="140"/>
        <w:gridCol w:w="680"/>
        <w:gridCol w:w="60"/>
        <w:gridCol w:w="120"/>
        <w:gridCol w:w="140"/>
        <w:gridCol w:w="680"/>
        <w:gridCol w:w="75"/>
      </w:tblGrid>
      <w:tr>
        <w:trPr/>
        <w:tc>
          <w:tcPr>
            <w:tcW w:w="3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0" w:type="dxa"/>
            <w:gridSpan w:val="6"/>
            <w:tcBorders/>
            <w:shd w:fill="auto" w:val="cle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2019</w:t>
            </w:r>
          </w:p>
        </w:tc>
        <w:tc>
          <w:tcPr>
            <w:tcW w:w="7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0" w:type="dxa"/>
            <w:gridSpan w:val="6"/>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28,381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22,889</w:t>
            </w:r>
          </w:p>
        </w:tc>
        <w:tc>
          <w:tcPr>
            <w:tcW w:w="75"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2,279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2,279</w:t>
            </w:r>
          </w:p>
        </w:tc>
        <w:tc>
          <w:tcPr>
            <w:tcW w:w="7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cash equivalents and restricted 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30,660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25,168</w:t>
            </w:r>
          </w:p>
        </w:tc>
        <w:tc>
          <w:tcPr>
            <w:tcW w:w="75"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Property and equipment are stated at cost less accumulated depreciation and amortization. Depreciation and amortization expense is recognized using the straight-line method over the estimated useful lives of each asset.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F-63 </w:t>
      </w:r>
    </w:p>
    <w:p>
      <w:pPr>
        <w:pStyle w:val="HorizontalLine"/>
        <w:jc w:val="center"/>
        <w:rPr/>
      </w:pPr>
      <w:r>
        <w:rPr/>
      </w:r>
    </w:p>
    <w:p>
      <w:pPr>
        <w:pStyle w:val="TextBody"/>
        <w:spacing w:before="0" w:after="0"/>
        <w:ind w:left="0" w:right="0" w:hanging="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Estimated useful lives are periodically assessed to determine if changes are appropriate. The estimated useful lives of the Company’s property and equipment are as follows: </w:t>
      </w:r>
    </w:p>
    <w:p>
      <w:pPr>
        <w:pStyle w:val="TextBody"/>
        <w:spacing w:before="0" w:after="0"/>
        <w:jc w:val="left"/>
        <w:rPr>
          <w:spacing w:val="0"/>
        </w:rPr>
      </w:pPr>
      <w:r>
        <w:rPr>
          <w:spacing w:val="0"/>
        </w:rPr>
        <w:t> </w:t>
      </w:r>
    </w:p>
    <w:tbl>
      <w:tblPr>
        <w:tblW w:w="6235" w:type="dxa"/>
        <w:jc w:val="left"/>
        <w:tblInd w:w="0" w:type="dxa"/>
        <w:tblCellMar>
          <w:top w:w="0" w:type="dxa"/>
          <w:left w:w="0" w:type="dxa"/>
          <w:bottom w:w="0" w:type="dxa"/>
          <w:right w:w="0" w:type="dxa"/>
        </w:tblCellMar>
      </w:tblPr>
      <w:tblGrid>
        <w:gridCol w:w="2075"/>
        <w:gridCol w:w="60"/>
        <w:gridCol w:w="4100"/>
      </w:tblGrid>
      <w:tr>
        <w:trPr/>
        <w:tc>
          <w:tcPr>
            <w:tcW w:w="20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Asset</w:t>
            </w:r>
          </w:p>
        </w:tc>
        <w:tc>
          <w:tcPr>
            <w:tcW w:w="60"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Estimated useful life</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Computer equipment</w:t>
            </w:r>
          </w:p>
        </w:tc>
        <w:tc>
          <w:tcPr>
            <w:tcW w:w="60" w:type="dxa"/>
            <w:tcBorders/>
            <w:shd w:fill="CCEEFF" w:val="clear"/>
            <w:vAlign w:val="center"/>
          </w:tcPr>
          <w:p>
            <w:pPr>
              <w:pStyle w:val="TableContents"/>
              <w:spacing w:before="0" w:after="283"/>
              <w:rPr/>
            </w:pPr>
            <w:r>
              <w:rPr/>
              <w:t> </w:t>
            </w:r>
          </w:p>
        </w:tc>
        <w:tc>
          <w:tcPr>
            <w:tcW w:w="4100" w:type="dxa"/>
            <w:tcBorders/>
            <w:shd w:fill="CCEEFF" w:val="clear"/>
            <w:vAlign w:val="center"/>
          </w:tcPr>
          <w:p>
            <w:pPr>
              <w:pStyle w:val="TableContents"/>
              <w:spacing w:before="0" w:after="283"/>
              <w:jc w:val="center"/>
              <w:rPr/>
            </w:pPr>
            <w:r>
              <w:rPr/>
              <w:t>3 years</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Computer software</w:t>
            </w:r>
          </w:p>
        </w:tc>
        <w:tc>
          <w:tcPr>
            <w:tcW w:w="60"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283"/>
              <w:jc w:val="center"/>
              <w:rPr/>
            </w:pPr>
            <w:r>
              <w:rPr/>
              <w:t>5 years</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Office equipment</w:t>
            </w:r>
          </w:p>
        </w:tc>
        <w:tc>
          <w:tcPr>
            <w:tcW w:w="60" w:type="dxa"/>
            <w:tcBorders/>
            <w:shd w:fill="CCEEFF" w:val="clear"/>
            <w:vAlign w:val="center"/>
          </w:tcPr>
          <w:p>
            <w:pPr>
              <w:pStyle w:val="TableContents"/>
              <w:spacing w:before="0" w:after="283"/>
              <w:rPr/>
            </w:pPr>
            <w:r>
              <w:rPr/>
              <w:t> </w:t>
            </w:r>
          </w:p>
        </w:tc>
        <w:tc>
          <w:tcPr>
            <w:tcW w:w="4100" w:type="dxa"/>
            <w:tcBorders/>
            <w:shd w:fill="CCEEFF" w:val="clear"/>
            <w:vAlign w:val="center"/>
          </w:tcPr>
          <w:p>
            <w:pPr>
              <w:pStyle w:val="TableContents"/>
              <w:spacing w:before="0" w:after="283"/>
              <w:jc w:val="center"/>
              <w:rPr/>
            </w:pPr>
            <w:r>
              <w:rPr/>
              <w:t>5 years</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Furniture and fixtures</w:t>
            </w:r>
          </w:p>
        </w:tc>
        <w:tc>
          <w:tcPr>
            <w:tcW w:w="60"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283"/>
              <w:jc w:val="center"/>
              <w:rPr/>
            </w:pPr>
            <w:r>
              <w:rPr/>
              <w:t>7 years</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Laboratory equipment</w:t>
            </w:r>
          </w:p>
        </w:tc>
        <w:tc>
          <w:tcPr>
            <w:tcW w:w="60" w:type="dxa"/>
            <w:tcBorders/>
            <w:shd w:fill="CCEEFF" w:val="clear"/>
            <w:vAlign w:val="center"/>
          </w:tcPr>
          <w:p>
            <w:pPr>
              <w:pStyle w:val="TableContents"/>
              <w:spacing w:before="0" w:after="283"/>
              <w:rPr/>
            </w:pPr>
            <w:r>
              <w:rPr/>
              <w:t> </w:t>
            </w:r>
          </w:p>
        </w:tc>
        <w:tc>
          <w:tcPr>
            <w:tcW w:w="4100" w:type="dxa"/>
            <w:tcBorders/>
            <w:shd w:fill="CCEEFF" w:val="clear"/>
            <w:vAlign w:val="center"/>
          </w:tcPr>
          <w:p>
            <w:pPr>
              <w:pStyle w:val="TableContents"/>
              <w:spacing w:before="0" w:after="283"/>
              <w:jc w:val="center"/>
              <w:rPr/>
            </w:pPr>
            <w:r>
              <w:rPr/>
              <w:t>7 years</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Leasehold improvements</w:t>
            </w:r>
          </w:p>
        </w:tc>
        <w:tc>
          <w:tcPr>
            <w:tcW w:w="60"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283"/>
              <w:jc w:val="center"/>
              <w:rPr/>
            </w:pPr>
            <w:r>
              <w:rPr/>
              <w:t>Shorter of remaining lease term or 10 years</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 </w:t>
      </w:r>
    </w:p>
    <w:p>
      <w:pPr>
        <w:pStyle w:val="TextBody"/>
        <w:spacing w:before="240" w:after="0"/>
        <w:jc w:val="left"/>
        <w:rPr>
          <w:rFonts w:ascii="Times New Roman" w:hAnsi="Times New Roman"/>
          <w:sz w:val="20"/>
        </w:rPr>
      </w:pPr>
      <w:r>
        <w:rPr>
          <w:rFonts w:ascii="Times New Roman" w:hAnsi="Times New Roman"/>
          <w:sz w:val="20"/>
        </w:rPr>
        <w:t xml:space="preserve">Costs for assets not yet placed into service are capitalized as </w:t>
      </w:r>
    </w:p>
    <w:p>
      <w:pPr>
        <w:pStyle w:val="TextBody"/>
        <w:spacing w:before="240" w:after="0"/>
        <w:jc w:val="left"/>
        <w:rPr>
          <w:rFonts w:ascii="Times New Roman" w:hAnsi="Times New Roman"/>
          <w:spacing w:val="0"/>
          <w:sz w:val="20"/>
        </w:rPr>
      </w:pPr>
      <w:r>
        <w:rPr>
          <w:rFonts w:ascii="Times New Roman" w:hAnsi="Times New Roman"/>
          <w:spacing w:val="0"/>
          <w:sz w:val="20"/>
        </w:rPr>
        <w:t>construction-in-progress</w:t>
      </w:r>
    </w:p>
    <w:p>
      <w:pPr>
        <w:pStyle w:val="TextBody"/>
        <w:spacing w:before="240" w:after="0"/>
        <w:jc w:val="left"/>
        <w:rPr>
          <w:rFonts w:ascii="Times New Roman" w:hAnsi="Times New Roman"/>
          <w:sz w:val="20"/>
        </w:rPr>
      </w:pPr>
      <w:r>
        <w:rPr>
          <w:rFonts w:ascii="Times New Roman" w:hAnsi="Times New Roman"/>
          <w:sz w:val="20"/>
        </w:rPr>
        <w:t xml:space="preserve">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Leases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leases in accordance with ASC Topic 842,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w:t>
      </w:r>
    </w:p>
    <w:p>
      <w:pPr>
        <w:pStyle w:val="TextBody"/>
        <w:spacing w:before="120" w:after="0"/>
        <w:jc w:val="left"/>
        <w:rPr>
          <w:rFonts w:ascii="Times New Roman" w:hAnsi="Times New Roman"/>
          <w:sz w:val="20"/>
        </w:rPr>
      </w:pPr>
      <w:r>
        <w:rPr>
          <w:rFonts w:ascii="Times New Roman" w:hAnsi="Times New Roman"/>
          <w:sz w:val="20"/>
        </w:rPr>
        <w:t xml:space="preserve">, which it early adopted on January 1, 2018. </w:t>
      </w:r>
    </w:p>
    <w:p>
      <w:pPr>
        <w:pStyle w:val="TextBody"/>
        <w:spacing w:before="240" w:after="0"/>
        <w:jc w:val="left"/>
        <w:rPr>
          <w:rFonts w:ascii="Times New Roman" w:hAnsi="Times New Roman"/>
          <w:sz w:val="20"/>
        </w:rPr>
      </w:pPr>
      <w:r>
        <w:rPr>
          <w:rFonts w:ascii="Times New Roman" w:hAnsi="Times New Roman"/>
          <w:sz w:val="20"/>
        </w:rPr>
        <w:t xml:space="preserve">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z w:val="20"/>
        </w:rPr>
      </w:pPr>
      <w:r>
        <w:rPr>
          <w:rFonts w:ascii="Times New Roman" w:hAnsi="Times New Roman"/>
          <w:sz w:val="20"/>
        </w:rPr>
        <w:t xml:space="preserve">assets are recorded on the balance sheet based at the present value of lease payments over the expected lease term. Leases with an initial term of 12 months or less are not recorded on the balance sheet. Lease expense is recognized over the expected term on a straight-line basis. </w:t>
      </w:r>
    </w:p>
    <w:p>
      <w:pPr>
        <w:pStyle w:val="TextBody"/>
        <w:spacing w:before="240" w:after="0"/>
        <w:jc w:val="left"/>
        <w:rPr>
          <w:rFonts w:ascii="Times New Roman" w:hAnsi="Times New Roman"/>
          <w:sz w:val="20"/>
        </w:rPr>
      </w:pPr>
      <w:r>
        <w:rPr>
          <w:rFonts w:ascii="Times New Roman" w:hAnsi="Times New Roman"/>
          <w:sz w:val="20"/>
        </w:rPr>
        <w:t xml:space="preserve">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z w:val="20"/>
        </w:rPr>
      </w:pPr>
      <w:r>
        <w:rPr>
          <w:rFonts w:ascii="Times New Roman" w:hAnsi="Times New Roman"/>
          <w:sz w:val="20"/>
        </w:rPr>
        <w:t xml:space="preserve">asset may be required for items such as initial direct costs paid or incentives received.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elected to account for lease and </w:t>
      </w:r>
    </w:p>
    <w:p>
      <w:pPr>
        <w:pStyle w:val="TextBody"/>
        <w:spacing w:before="240" w:after="0"/>
        <w:jc w:val="left"/>
        <w:rPr>
          <w:rFonts w:ascii="Times New Roman" w:hAnsi="Times New Roman"/>
          <w:spacing w:val="0"/>
          <w:sz w:val="20"/>
        </w:rPr>
      </w:pPr>
      <w:r>
        <w:rPr>
          <w:rFonts w:ascii="Times New Roman" w:hAnsi="Times New Roman"/>
          <w:spacing w:val="0"/>
          <w:sz w:val="20"/>
        </w:rPr>
        <w:t>non-lease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components as a single lease component, however </w:t>
      </w:r>
    </w:p>
    <w:p>
      <w:pPr>
        <w:pStyle w:val="TextBody"/>
        <w:spacing w:before="240" w:after="0"/>
        <w:jc w:val="left"/>
        <w:rPr>
          <w:rFonts w:ascii="Times New Roman" w:hAnsi="Times New Roman"/>
          <w:spacing w:val="0"/>
          <w:sz w:val="20"/>
        </w:rPr>
      </w:pPr>
      <w:r>
        <w:rPr>
          <w:rFonts w:ascii="Times New Roman" w:hAnsi="Times New Roman"/>
          <w:spacing w:val="0"/>
          <w:sz w:val="20"/>
        </w:rPr>
        <w:t>non-lease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components that are variable, such as common area maintenance and utilities, are generally paid separately from rent based on actual costs incurred and therefore are not included in the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asset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F-64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operating lease liability and are reflected as an expense in the period incurred. The Company’s lease terms often include renewal options. The amounts determined for the Company’s </w:t>
      </w:r>
    </w:p>
    <w:p>
      <w:pPr>
        <w:pStyle w:val="TextBody"/>
        <w:spacing w:before="0" w:after="0"/>
        <w:jc w:val="left"/>
        <w:rPr>
          <w:rFonts w:ascii="Times New Roman" w:hAnsi="Times New Roman"/>
          <w:spacing w:val="0"/>
          <w:sz w:val="20"/>
        </w:rPr>
      </w:pPr>
      <w:r>
        <w:rPr>
          <w:rFonts w:ascii="Times New Roman" w:hAnsi="Times New Roman"/>
          <w:spacing w:val="0"/>
          <w:sz w:val="20"/>
        </w:rPr>
        <w:t>right-of-use</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assets and lease liabilities generally do not assume that any renewal options or any early-termination provisions, if any, are exercised, unless it is reasonably certain that the Company will exercise such options.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revenues are generated through its license and collaboration agreements with Gilead. Refer to Note 3, “Collaboration Agreements.” </w:t>
      </w:r>
    </w:p>
    <w:p>
      <w:pPr>
        <w:pStyle w:val="TextBody"/>
        <w:spacing w:before="240" w:after="0"/>
        <w:jc w:val="left"/>
        <w:rPr>
          <w:rFonts w:ascii="Times New Roman" w:hAnsi="Times New Roman"/>
          <w:sz w:val="20"/>
        </w:rPr>
      </w:pPr>
      <w:r>
        <w:rPr>
          <w:rFonts w:ascii="Times New Roman" w:hAnsi="Times New Roman"/>
          <w:sz w:val="20"/>
        </w:rPr>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Effective January 1, 2017, the Company early adopted ASC Topic 606,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(“ASC 606”), and related amendments using the retrospective transition method, which had no impact on the Company’s financial statements. This standard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determining the appropriate amount of revenue to be recognized as the Company fulfills its obligations under active agreements, the Company must use its judgment to determine: (a) the number of performance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F-65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Exclusive License Rights</w:t>
      </w:r>
    </w:p>
    <w:p>
      <w:pPr>
        <w:pStyle w:val="TextBody"/>
        <w:spacing w:before="240" w:after="0"/>
        <w:jc w:val="left"/>
        <w:rPr/>
      </w:pPr>
      <w:r>
        <w:rPr/>
        <w:t xml:space="preserve"> — </w:t>
      </w:r>
      <w:r>
        <w:rPr>
          <w:rFonts w:ascii="Times New Roman" w:hAnsi="Times New Roman"/>
          <w:sz w:val="20"/>
        </w:rPr>
        <w:t xml:space="preserve">If the license to the Company’s intellectual property is determined to be distinct from the other promises or performance obligations identified in the arrangement, which generally include research and development services, the Company recognizes revenue from </w:t>
      </w:r>
    </w:p>
    <w:p>
      <w:pPr>
        <w:pStyle w:val="TextBody"/>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spacing w:before="240" w:after="0"/>
        <w:jc w:val="left"/>
        <w:rPr>
          <w:rFonts w:ascii="Times New Roman" w:hAnsi="Times New Roman"/>
          <w:sz w:val="20"/>
        </w:rPr>
      </w:pPr>
      <w:r>
        <w:rPr>
          <w:rFonts w:ascii="Times New Roman" w:hAnsi="Times New Roman"/>
          <w:sz w:val="20"/>
        </w:rPr>
        <w:t xml:space="preserve">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Research and Development Services</w:t>
      </w:r>
    </w:p>
    <w:p>
      <w:pPr>
        <w:pStyle w:val="TextBody"/>
        <w:spacing w:before="240" w:after="0"/>
        <w:jc w:val="left"/>
        <w:rPr>
          <w:spacing w:val="0"/>
        </w:rPr>
      </w:pPr>
      <w:r>
        <w:rPr>
          <w:spacing w:val="0"/>
        </w:rPr>
        <w:t xml:space="preserve"> — </w:t>
      </w:r>
      <w:r>
        <w:rPr>
          <w:rFonts w:ascii="Times New Roman" w:hAnsi="Times New Roman"/>
          <w:spacing w:val="0"/>
          <w:sz w:val="20"/>
        </w:rPr>
        <w:t xml:space="preserve">The obligations under the Company’s collaboration agreements may include research and development 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F-66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w:t>
      </w:r>
    </w:p>
    <w:p>
      <w:pPr>
        <w:pStyle w:val="TextBody"/>
        <w:spacing w:before="0" w:after="0"/>
        <w:jc w:val="left"/>
        <w:rPr>
          <w:rFonts w:ascii="Times New Roman" w:hAnsi="Times New Roman"/>
          <w:spacing w:val="0"/>
          <w:sz w:val="20"/>
        </w:rPr>
      </w:pPr>
      <w:r>
        <w:rPr>
          <w:rFonts w:ascii="Times New Roman" w:hAnsi="Times New Roman"/>
          <w:spacing w:val="0"/>
          <w:sz w:val="20"/>
        </w:rPr>
        <w:t>co-development</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activities, are recorded as a reduction to research and development expense. No collaborative arrangements existed that would result in such reimbursements for the periods presented.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Customer Options</w:t>
      </w:r>
    </w:p>
    <w:p>
      <w:pPr>
        <w:pStyle w:val="TextBody"/>
        <w:spacing w:before="240" w:after="0"/>
        <w:jc w:val="left"/>
        <w:rPr/>
      </w:pPr>
      <w:r>
        <w:rPr/>
        <w:t xml:space="preserve"> — </w:t>
      </w:r>
      <w:r>
        <w:rPr>
          <w:rFonts w:ascii="Times New Roman" w:hAnsi="Times New Roman"/>
          <w:sz w:val="20"/>
        </w:rPr>
        <w:t xml:space="preserve">The Company’s arrangements may provide a collaborator with the right to acquire additional goods or services in the future. 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w:t>
      </w:r>
    </w:p>
    <w:p>
      <w:pPr>
        <w:pStyle w:val="TextBody"/>
        <w:spacing w:before="240" w:after="0"/>
        <w:jc w:val="left"/>
        <w:rPr>
          <w:rFonts w:ascii="Times New Roman" w:hAnsi="Times New Roman"/>
          <w:spacing w:val="0"/>
          <w:sz w:val="20"/>
        </w:rPr>
      </w:pPr>
      <w:r>
        <w:rPr>
          <w:rFonts w:ascii="Times New Roman" w:hAnsi="Times New Roman"/>
          <w:spacing w:val="0"/>
          <w:sz w:val="20"/>
        </w:rPr>
        <w:t>catch-up</w:t>
      </w:r>
    </w:p>
    <w:p>
      <w:pPr>
        <w:pStyle w:val="TextBody"/>
        <w:spacing w:before="240" w:after="0"/>
        <w:jc w:val="left"/>
        <w:rPr>
          <w:rFonts w:ascii="Times New Roman" w:hAnsi="Times New Roman"/>
          <w:sz w:val="20"/>
        </w:rPr>
      </w:pPr>
      <w:r>
        <w:rPr>
          <w:rFonts w:ascii="Times New Roman" w:hAnsi="Times New Roman"/>
          <w:sz w:val="20"/>
        </w:rPr>
        <w:t xml:space="preserve">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Milestone Payments</w:t>
      </w:r>
    </w:p>
    <w:p>
      <w:pPr>
        <w:pStyle w:val="TextBody"/>
        <w:spacing w:before="240" w:after="0"/>
        <w:jc w:val="left"/>
        <w:rPr/>
      </w:pPr>
      <w:r>
        <w:rPr/>
        <w:t xml:space="preserve"> — </w:t>
      </w:r>
      <w:r>
        <w:rPr>
          <w:rFonts w:ascii="Times New Roman" w:hAnsi="Times New Roman"/>
          <w:sz w:val="20"/>
        </w:rPr>
        <w:t xml:space="preserve">At the inception of an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w:t>
      </w:r>
    </w:p>
    <w:p>
      <w:pPr>
        <w:pStyle w:val="TextBody"/>
        <w:spacing w:before="240" w:after="0"/>
        <w:jc w:val="left"/>
        <w:rPr>
          <w:rFonts w:ascii="Times New Roman" w:hAnsi="Times New Roman"/>
          <w:spacing w:val="0"/>
          <w:sz w:val="20"/>
        </w:rPr>
      </w:pPr>
      <w:r>
        <w:rPr>
          <w:rFonts w:ascii="Times New Roman" w:hAnsi="Times New Roman"/>
          <w:spacing w:val="0"/>
          <w:sz w:val="20"/>
        </w:rPr>
        <w:t>catch-up</w:t>
      </w:r>
    </w:p>
    <w:p>
      <w:pPr>
        <w:pStyle w:val="TextBody"/>
        <w:spacing w:before="240" w:after="0"/>
        <w:jc w:val="left"/>
        <w:rPr>
          <w:rFonts w:ascii="Times New Roman" w:hAnsi="Times New Roman"/>
          <w:sz w:val="20"/>
        </w:rPr>
      </w:pPr>
      <w:r>
        <w:rPr>
          <w:rFonts w:ascii="Times New Roman" w:hAnsi="Times New Roman"/>
          <w:sz w:val="20"/>
        </w:rPr>
        <w:t xml:space="preserve">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Royalties</w:t>
      </w:r>
    </w:p>
    <w:p>
      <w:pPr>
        <w:pStyle w:val="TextBody"/>
        <w:spacing w:before="240" w:after="0"/>
        <w:jc w:val="left"/>
        <w:rPr>
          <w:spacing w:val="0"/>
        </w:rPr>
      </w:pPr>
      <w:r>
        <w:rPr>
          <w:spacing w:val="0"/>
        </w:rPr>
        <w:t xml:space="preserve"> — </w:t>
      </w:r>
      <w:r>
        <w:rPr>
          <w:rFonts w:ascii="Times New Roman" w:hAnsi="Times New Roman"/>
          <w:spacing w:val="0"/>
          <w:sz w:val="20"/>
        </w:rPr>
        <w:t xml:space="preserve">For arrangements that include sales-based royalties, including milestone payments based on a level of sales, where the license is deemed to be the predominant item to which the royalties relate, the Company recognizes revenue at the later of (i) when the related sales occur or (ii) when the performance obligation to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F-67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which some or all of the royalty has been allocated has been satisfied (or partially satisfied). To date, the Company has not recognized any royalty revenue resulting from licensing agreements.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Research and development expenses include costs directly attributable to the conduct of research programs, including the cost of salaries, employee benefits, stock-based compensation expense, materials, supplies, depreciation on and maintenance of research equipment, the cost of services provided by outside contractors to conduct research and development activities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Patent Costs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All patent-related costs incurred in connection with filing and prosecuting patent applications are expensed as incurred due to the uncertainty about the recovery of the expenditure. Amounts incurred are classified as general and administrative expenses.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 The Company also has the right and option to repurchase an individual’s shares of common stock or vested stock options to acquire common stock subsequent to employment termination.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fair value of common stock underlying stock-based awards is based on an estimate at each grant date. The valuation provided by the board of directors is derived from a recommendation by an unrelated third-party valuation firm. The Company determines the estimated per share fair value of its common stock at various dates considering contemporaneous and retrospective valuations that incorporate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is determined in accordance with the guidance outlined in the American Institute of Certified Public Accountants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F-68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Practice Aid, </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Valuation of Privately-Held Company Equity Securities Issued as Compensation</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 The fair value of each restricted common stock award is estimated on the date of grant based on the fair value of the Company’s common stock on that same date. The fair value of each stock option grant is determined using assumptions discussed below.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Expected Term</w:t>
      </w:r>
    </w:p>
    <w:p>
      <w:pPr>
        <w:pStyle w:val="TextBody"/>
        <w:spacing w:before="240" w:after="0"/>
        <w:jc w:val="left"/>
        <w:rPr>
          <w:rFonts w:ascii="Times New Roman" w:hAnsi="Times New Roman"/>
          <w:sz w:val="20"/>
        </w:rPr>
      </w:pPr>
      <w:r>
        <w:rPr>
          <w:rFonts w:ascii="Times New Roman" w:hAnsi="Times New Roman"/>
          <w:sz w:val="20"/>
        </w:rPr>
        <w:t xml:space="preserve">:    The expected term of the stock options is estimated using the “simplified method,” as prescribed in SEC’s Staff Accounting 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Expected Volatility</w:t>
      </w:r>
    </w:p>
    <w:p>
      <w:pPr>
        <w:pStyle w:val="TextBody"/>
        <w:spacing w:before="240" w:after="0"/>
        <w:jc w:val="left"/>
        <w:rPr>
          <w:rFonts w:ascii="Times New Roman" w:hAnsi="Times New Roman"/>
          <w:sz w:val="20"/>
        </w:rPr>
      </w:pPr>
      <w:r>
        <w:rPr>
          <w:rFonts w:ascii="Times New Roman" w:hAnsi="Times New Roman"/>
          <w:sz w:val="20"/>
        </w:rPr>
        <w:t xml:space="preserve">:    Since there is limited historical data for the Company’s common stock and limited company-specific historical volatility, the Company has determined the share price volatility for options granted based on an analysis of the volatility used by a peer group of publicly traded companies. In evaluating similarity, the Company considers factors such as industry, stage of life cycle and size.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Risk-free Interest Rate</w:t>
      </w:r>
    </w:p>
    <w:p>
      <w:pPr>
        <w:pStyle w:val="TextBody"/>
        <w:spacing w:before="240" w:after="0"/>
        <w:jc w:val="left"/>
        <w:rPr>
          <w:rFonts w:ascii="Times New Roman" w:hAnsi="Times New Roman"/>
          <w:sz w:val="20"/>
        </w:rPr>
      </w:pPr>
      <w:r>
        <w:rPr>
          <w:rFonts w:ascii="Times New Roman" w:hAnsi="Times New Roman"/>
          <w:sz w:val="20"/>
        </w:rPr>
        <w:t xml:space="preserve">:    The risk-free rate is based on the U.S. Treasury yield curve commensurate with the expected life of the option.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Dividend Rate</w:t>
      </w:r>
    </w:p>
    <w:p>
      <w:pPr>
        <w:pStyle w:val="TextBody"/>
        <w:spacing w:before="240" w:after="0"/>
        <w:jc w:val="left"/>
        <w:rPr>
          <w:rFonts w:ascii="Times New Roman" w:hAnsi="Times New Roman"/>
          <w:sz w:val="20"/>
        </w:rPr>
      </w:pPr>
      <w:r>
        <w:rPr>
          <w:rFonts w:ascii="Times New Roman" w:hAnsi="Times New Roman"/>
          <w:sz w:val="20"/>
        </w:rPr>
        <w:t xml:space="preserve">:    The expected dividend was assumed to be zero as the Company has never paid dividends and has no current plans to do so.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 </w:t>
      </w:r>
    </w:p>
    <w:p>
      <w:pPr>
        <w:pStyle w:val="TextBody"/>
        <w:spacing w:before="240" w:after="0"/>
        <w:jc w:val="left"/>
        <w:rPr>
          <w:rFonts w:ascii="Times New Roman" w:hAnsi="Times New Roman"/>
          <w:sz w:val="20"/>
        </w:rPr>
      </w:pPr>
      <w:r>
        <w:rPr>
          <w:rFonts w:ascii="Times New Roman" w:hAnsi="Times New Roman"/>
          <w:sz w:val="20"/>
        </w:rPr>
        <w:t xml:space="preserve">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w:t>
      </w:r>
    </w:p>
    <w:p>
      <w:pPr>
        <w:pStyle w:val="TextBody"/>
        <w:spacing w:before="240" w:after="0"/>
        <w:jc w:val="left"/>
        <w:rPr>
          <w:rFonts w:ascii="Times New Roman" w:hAnsi="Times New Roman"/>
          <w:spacing w:val="0"/>
          <w:sz w:val="20"/>
        </w:rPr>
      </w:pPr>
      <w:r>
        <w:rPr>
          <w:rFonts w:ascii="Times New Roman" w:hAnsi="Times New Roman"/>
          <w:spacing w:val="0"/>
          <w:sz w:val="20"/>
        </w:rPr>
        <w:t>paid-in</w:t>
      </w:r>
    </w:p>
    <w:p>
      <w:pPr>
        <w:pStyle w:val="TextBody"/>
        <w:spacing w:before="240" w:after="0"/>
        <w:jc w:val="left"/>
        <w:rPr>
          <w:rFonts w:ascii="Times New Roman" w:hAnsi="Times New Roman"/>
          <w:sz w:val="20"/>
        </w:rPr>
      </w:pPr>
      <w:r>
        <w:rPr>
          <w:rFonts w:ascii="Times New Roman" w:hAnsi="Times New Roman"/>
          <w:sz w:val="20"/>
        </w:rPr>
        <w:t xml:space="preserve">capital are credited to share capital.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Classification of Convertible Preferred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convertible preferred shares are classified outside of stockholders’ deficit because the holders of such shares have liquidation rights in the event of a deemed liquidation that, in certain situations, are not solely within the control of the Company. Further, the Company’s convertible preferred shares are redeemable at the option of the holder after March 2023. The Company records convertible preferred shares at fair value upon issuance, net of any issuance costs or discounts.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 Issuance Costs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capitalizes certain legal, professional accounting and other third-party fees that are directly associated with </w:t>
      </w:r>
    </w:p>
    <w:p>
      <w:pPr>
        <w:pStyle w:val="TextBody"/>
        <w:spacing w:before="120" w:after="0"/>
        <w:jc w:val="left"/>
        <w:rPr>
          <w:rFonts w:ascii="Times New Roman" w:hAnsi="Times New Roman"/>
          <w:spacing w:val="0"/>
          <w:sz w:val="20"/>
        </w:rPr>
      </w:pPr>
      <w:r>
        <w:rPr>
          <w:rFonts w:ascii="Times New Roman" w:hAnsi="Times New Roman"/>
          <w:spacing w:val="0"/>
          <w:sz w:val="20"/>
        </w:rPr>
        <w:t>in-process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equity financings as deferred offering costs until such financings are consummated. After consummation of an equity financing, these costs are recorded as a reduction of the proceeds from the offering, either as a reduction to the carrying value of the preferred exchangeable shares or convertible preferred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F-69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shares or in shareholders’ equity (deficit) as a reduction of additional </w:t>
      </w:r>
    </w:p>
    <w:p>
      <w:pPr>
        <w:pStyle w:val="TextBody"/>
        <w:spacing w:before="120" w:after="0"/>
        <w:jc w:val="left"/>
        <w:rPr>
          <w:rFonts w:ascii="Times New Roman" w:hAnsi="Times New Roman"/>
          <w:spacing w:val="0"/>
          <w:sz w:val="20"/>
        </w:rPr>
      </w:pPr>
      <w:r>
        <w:rPr>
          <w:rFonts w:ascii="Times New Roman" w:hAnsi="Times New Roman"/>
          <w:spacing w:val="0"/>
          <w:sz w:val="20"/>
        </w:rPr>
        <w:t>paid-in</w:t>
      </w:r>
    </w:p>
    <w:p>
      <w:pPr>
        <w:pStyle w:val="TextBody"/>
        <w:spacing w:before="120" w:after="0"/>
        <w:jc w:val="left"/>
        <w:rPr>
          <w:rFonts w:ascii="Times New Roman" w:hAnsi="Times New Roman"/>
          <w:sz w:val="20"/>
        </w:rPr>
      </w:pPr>
      <w:r>
        <w:rPr>
          <w:rFonts w:ascii="Times New Roman" w:hAnsi="Times New Roman"/>
          <w:sz w:val="20"/>
        </w:rPr>
        <w:t xml:space="preserve">capital generated as a result of the offering. Should an </w:t>
      </w:r>
    </w:p>
    <w:p>
      <w:pPr>
        <w:pStyle w:val="TextBody"/>
        <w:spacing w:before="120" w:after="0"/>
        <w:jc w:val="left"/>
        <w:rPr>
          <w:rFonts w:ascii="Times New Roman" w:hAnsi="Times New Roman"/>
          <w:spacing w:val="0"/>
          <w:sz w:val="20"/>
        </w:rPr>
      </w:pPr>
      <w:r>
        <w:rPr>
          <w:rFonts w:ascii="Times New Roman" w:hAnsi="Times New Roman"/>
          <w:spacing w:val="0"/>
          <w:sz w:val="20"/>
        </w:rPr>
        <w:t>in-process</w:t>
      </w:r>
    </w:p>
    <w:p>
      <w:pPr>
        <w:pStyle w:val="TextBody"/>
        <w:spacing w:before="120" w:after="0"/>
        <w:jc w:val="left"/>
        <w:rPr>
          <w:rFonts w:ascii="Times New Roman" w:hAnsi="Times New Roman"/>
          <w:sz w:val="20"/>
        </w:rPr>
      </w:pPr>
      <w:r>
        <w:rPr>
          <w:rFonts w:ascii="Times New Roman" w:hAnsi="Times New Roman"/>
          <w:sz w:val="20"/>
        </w:rPr>
        <w:t xml:space="preserve">equity financing be abandoned, the deferred offering costs would be expensed immediately as a charge to operating expenses in the consolidated statements of operations and comprehensive loss. As of December 31, 2020 and 2019, the Company had no deferred offering costs.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spacing w:before="120" w:after="0"/>
        <w:jc w:val="left"/>
        <w:rPr>
          <w:rFonts w:ascii="Times New Roman" w:hAnsi="Times New Roman"/>
          <w:spacing w:val="0"/>
          <w:sz w:val="20"/>
        </w:rPr>
      </w:pPr>
      <w:r>
        <w:rPr>
          <w:rFonts w:ascii="Times New Roman" w:hAnsi="Times New Roman"/>
          <w:spacing w:val="0"/>
          <w:sz w:val="20"/>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w:t>
      </w:r>
    </w:p>
    <w:p>
      <w:pPr>
        <w:pStyle w:val="TextBody"/>
        <w:spacing w:before="120" w:after="0"/>
        <w:jc w:val="left"/>
        <w:rPr>
          <w:rFonts w:ascii="Times New Roman" w:hAnsi="Times New Roman"/>
          <w:spacing w:val="0"/>
          <w:sz w:val="20"/>
        </w:rPr>
      </w:pPr>
      <w:r>
        <w:rPr>
          <w:rFonts w:ascii="Times New Roman" w:hAnsi="Times New Roman"/>
          <w:spacing w:val="0"/>
          <w:sz w:val="20"/>
        </w:rPr>
        <w:t>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Penalties and interest expense related to income taxes are included as components of income tax expense and interest expense, respectively, as necessary.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Comprehensive Loss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Comprehensive loss includes net loss as well as other changes in stockholders’ equity (deficit) that result from transactions and economic events other than those with stockholders. The Company’s only element of other comprehensive loss for the years ended December 31, 2020 and 2019 was unrealized gains on investments in marketable securities. </w:t>
      </w:r>
    </w:p>
    <w:p>
      <w:pPr>
        <w:pStyle w:val="TextBody"/>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70</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apply the </w:t>
      </w:r>
    </w:p>
    <w:p>
      <w:pPr>
        <w:pStyle w:val="TextBody"/>
        <w:spacing w:before="0" w:after="0"/>
        <w:jc w:val="left"/>
        <w:rPr>
          <w:rFonts w:ascii="Times New Roman" w:hAnsi="Times New Roman"/>
          <w:spacing w:val="0"/>
          <w:sz w:val="20"/>
        </w:rPr>
      </w:pPr>
      <w:r>
        <w:rPr>
          <w:rFonts w:ascii="Times New Roman" w:hAnsi="Times New Roman"/>
          <w:spacing w:val="0"/>
          <w:sz w:val="20"/>
        </w:rPr>
        <w:t>two-class</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method to calculate earnings per share. The </w:t>
      </w:r>
    </w:p>
    <w:p>
      <w:pPr>
        <w:pStyle w:val="TextBody"/>
        <w:spacing w:before="0" w:after="0"/>
        <w:jc w:val="left"/>
        <w:rPr>
          <w:rFonts w:ascii="Times New Roman" w:hAnsi="Times New Roman"/>
          <w:spacing w:val="0"/>
          <w:sz w:val="20"/>
        </w:rPr>
      </w:pPr>
      <w:r>
        <w:rPr>
          <w:rFonts w:ascii="Times New Roman" w:hAnsi="Times New Roman"/>
          <w:spacing w:val="0"/>
          <w:sz w:val="20"/>
        </w:rPr>
        <w:t>two-class</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method is not applicable during periods with a net loss, as the holders of the convertible preferred stock and unvested restricted stock have no obligation to fund losses. </w:t>
      </w:r>
    </w:p>
    <w:p>
      <w:pPr>
        <w:pStyle w:val="TextBody"/>
        <w:spacing w:before="240" w:after="0"/>
        <w:jc w:val="left"/>
        <w:rPr>
          <w:rFonts w:ascii="Times New Roman" w:hAnsi="Times New Roman"/>
          <w:sz w:val="20"/>
        </w:rPr>
      </w:pPr>
      <w:r>
        <w:rPr>
          <w:rFonts w:ascii="Times New Roman" w:hAnsi="Times New Roman"/>
          <w:sz w:val="20"/>
        </w:rPr>
        <w:t xml:space="preserve">The </w:t>
      </w:r>
    </w:p>
    <w:p>
      <w:pPr>
        <w:pStyle w:val="TextBody"/>
        <w:spacing w:before="240" w:after="0"/>
        <w:jc w:val="left"/>
        <w:rPr>
          <w:rFonts w:ascii="Times New Roman" w:hAnsi="Times New Roman"/>
          <w:spacing w:val="0"/>
          <w:sz w:val="20"/>
        </w:rPr>
      </w:pPr>
      <w:r>
        <w:rPr>
          <w:rFonts w:ascii="Times New Roman" w:hAnsi="Times New Roman"/>
          <w:spacing w:val="0"/>
          <w:sz w:val="20"/>
        </w:rPr>
        <w:t>two-class</w:t>
      </w:r>
    </w:p>
    <w:p>
      <w:pPr>
        <w:pStyle w:val="TextBody"/>
        <w:spacing w:before="240" w:after="0"/>
        <w:jc w:val="left"/>
        <w:rPr>
          <w:rFonts w:ascii="Times New Roman" w:hAnsi="Times New Roman"/>
          <w:sz w:val="20"/>
        </w:rPr>
      </w:pPr>
      <w:r>
        <w:rPr>
          <w:rFonts w:ascii="Times New Roman" w:hAnsi="Times New Roman"/>
          <w:sz w:val="20"/>
        </w:rPr>
        <w:t xml:space="preserve">method of computing net loss per share would be applicable in a reporting period that resulted in a net income position, as the Company has issued shares that meet the definition of participating securities. The </w:t>
      </w:r>
    </w:p>
    <w:p>
      <w:pPr>
        <w:pStyle w:val="TextBody"/>
        <w:spacing w:before="240" w:after="0"/>
        <w:jc w:val="left"/>
        <w:rPr>
          <w:rFonts w:ascii="Times New Roman" w:hAnsi="Times New Roman"/>
          <w:spacing w:val="0"/>
          <w:sz w:val="20"/>
        </w:rPr>
      </w:pPr>
      <w:r>
        <w:rPr>
          <w:rFonts w:ascii="Times New Roman" w:hAnsi="Times New Roman"/>
          <w:spacing w:val="0"/>
          <w:sz w:val="20"/>
        </w:rPr>
        <w:t>two-class</w:t>
      </w:r>
    </w:p>
    <w:p>
      <w:pPr>
        <w:pStyle w:val="TextBody"/>
        <w:spacing w:before="240" w:after="0"/>
        <w:jc w:val="left"/>
        <w:rPr>
          <w:rFonts w:ascii="Times New Roman" w:hAnsi="Times New Roman"/>
          <w:sz w:val="20"/>
        </w:rPr>
      </w:pPr>
      <w:r>
        <w:rPr>
          <w:rFonts w:ascii="Times New Roman" w:hAnsi="Times New Roman"/>
          <w:sz w:val="20"/>
        </w:rPr>
        <w:t xml:space="preserve">method determines net loss per share for each class of common and participating securities according to dividends declared or accumulated and participation rights in undistributed earnings. The </w:t>
      </w:r>
    </w:p>
    <w:p>
      <w:pPr>
        <w:pStyle w:val="TextBody"/>
        <w:spacing w:before="240" w:after="0"/>
        <w:jc w:val="left"/>
        <w:rPr>
          <w:rFonts w:ascii="Times New Roman" w:hAnsi="Times New Roman"/>
          <w:spacing w:val="0"/>
          <w:sz w:val="20"/>
        </w:rPr>
      </w:pPr>
      <w:r>
        <w:rPr>
          <w:rFonts w:ascii="Times New Roman" w:hAnsi="Times New Roman"/>
          <w:spacing w:val="0"/>
          <w:sz w:val="20"/>
        </w:rPr>
        <w:t>two-class</w:t>
      </w:r>
    </w:p>
    <w:p>
      <w:pPr>
        <w:pStyle w:val="TextBody"/>
        <w:spacing w:before="240" w:after="0"/>
        <w:jc w:val="left"/>
        <w:rPr>
          <w:rFonts w:ascii="Times New Roman" w:hAnsi="Times New Roman"/>
          <w:sz w:val="20"/>
        </w:rPr>
      </w:pPr>
      <w:r>
        <w:rPr>
          <w:rFonts w:ascii="Times New Roman" w:hAnsi="Times New Roman"/>
          <w:sz w:val="20"/>
        </w:rPr>
        <w:t xml:space="preserve">method requires income available to common stockholders for the period to be allocated between common and participating securities based upon their respective rights to receive dividends as if all income for the period had been distributed.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Commitments and Contingencies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Subsequent Events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considers events or transactions that occur after the balance sheet date but before the financial statements are issued to provide additional evidence relative to certain estimates or to identify matters that require additional disclosure.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Status (Unaudited)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is an “emerging growth company,” as defined in the Jumpstart Our Business Startups Act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Pronouncements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June 2016, the FASB issued ASU </w:t>
      </w:r>
    </w:p>
    <w:p>
      <w:pPr>
        <w:pStyle w:val="TextBody"/>
        <w:spacing w:before="120" w:after="0"/>
        <w:jc w:val="left"/>
        <w:rPr>
          <w:rFonts w:ascii="Times New Roman" w:hAnsi="Times New Roman"/>
          <w:spacing w:val="0"/>
          <w:sz w:val="20"/>
        </w:rPr>
      </w:pPr>
      <w:r>
        <w:rPr>
          <w:rFonts w:ascii="Times New Roman" w:hAnsi="Times New Roman"/>
          <w:spacing w:val="0"/>
          <w:sz w:val="20"/>
        </w:rPr>
        <w:t>2016-13</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Financial Instruments — Credit Losses (Topic 326), Measurement of Credit Losses on Financial Instruments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The standard amends the impairment model by requiring entities to use a forward-looking approach based on expected losses to estimate credit losses for most financial assets and certain other instruments that aren’t measured at fair value through net income. For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71</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available-for-sale</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debt securities, entities are required to recognize an allowance for credit losses rather than a reduction in carrying value of the asset. Entities are no longer permitted to consider the length of time that fair value has been less than amortized cost when evaluating when credit losses should be recognized. For public entities, the guidance was effective for annual reporting periods beginning after December 15, 2019 and for interim periods within those fiscal years. Early adoption was permitted. The Company early adopted this standard as of January 1, 2020 on a prospective basis. The adoption did not have a material impact on the Company’s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In August 2018,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2018-13,</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Changes to the Disclosure Requirements for Fair Value Measurement</w:t>
      </w:r>
    </w:p>
    <w:p>
      <w:pPr>
        <w:pStyle w:val="TextBody"/>
        <w:spacing w:before="240" w:after="0"/>
        <w:jc w:val="left"/>
        <w:rPr>
          <w:rFonts w:ascii="Times New Roman" w:hAnsi="Times New Roman"/>
          <w:sz w:val="20"/>
        </w:rPr>
      </w:pPr>
      <w:r>
        <w:rPr>
          <w:rFonts w:ascii="Times New Roman" w:hAnsi="Times New Roman"/>
          <w:sz w:val="20"/>
        </w:rPr>
        <w:t xml:space="preserve">. The amendments become effective for the Company’s fiscal year beginning January 1, 2020. Early adoption of the amendments in full or only the provisions that eliminate or modify the disclosure requirements for fair value measurements is permitted. Adoption of this standard on January 1, 2020 did not have a material impact on the Company’s consolidated financial statements and related disclosures. </w:t>
      </w:r>
    </w:p>
    <w:p>
      <w:pPr>
        <w:pStyle w:val="TextBody"/>
        <w:spacing w:before="240" w:after="0"/>
        <w:jc w:val="left"/>
        <w:rPr>
          <w:rFonts w:ascii="Times New Roman" w:hAnsi="Times New Roman"/>
          <w:sz w:val="20"/>
        </w:rPr>
      </w:pPr>
      <w:r>
        <w:rPr>
          <w:rFonts w:ascii="Times New Roman" w:hAnsi="Times New Roman"/>
          <w:sz w:val="20"/>
        </w:rPr>
        <w:t xml:space="preserve">In August 2018,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2018-15,</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Customer’s Accounting for Implementation Costs Incurred in a Cloud Computing Arrangement That Is a Service Contract</w:t>
      </w:r>
    </w:p>
    <w:p>
      <w:pPr>
        <w:pStyle w:val="TextBody"/>
        <w:spacing w:before="240" w:after="0"/>
        <w:jc w:val="left"/>
        <w:rPr>
          <w:rFonts w:ascii="Times New Roman" w:hAnsi="Times New Roman"/>
          <w:sz w:val="20"/>
        </w:rPr>
      </w:pPr>
      <w:r>
        <w:rPr>
          <w:rFonts w:ascii="Times New Roman" w:hAnsi="Times New Roman"/>
          <w:sz w:val="20"/>
        </w:rPr>
        <w:t xml:space="preserve">. The new standard requires a customer in a cloud computing arrangement to determine which implementation costs to capitalize as assets or expense as incurred. Capitalized implementation costs related to a hosting arrangement that is a service contract will be amortized over the term of the hosting arrangement, beginning when the module or component of the hosting arrangement is ready for its intended use. The new standard became effective for the Company’s fiscal year beginning January 1, 2020. Early adoption was permitted. The early adoption of this standard on January 1, 2020 did not have a material impact on the Company’s consolidated financial statements and related disclosures.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December 2019, the FASB issued ASU </w:t>
      </w:r>
    </w:p>
    <w:p>
      <w:pPr>
        <w:pStyle w:val="TextBody"/>
        <w:spacing w:before="120" w:after="0"/>
        <w:jc w:val="left"/>
        <w:rPr>
          <w:rFonts w:ascii="Times New Roman" w:hAnsi="Times New Roman"/>
          <w:spacing w:val="0"/>
          <w:sz w:val="20"/>
        </w:rPr>
      </w:pPr>
      <w:r>
        <w:rPr>
          <w:rFonts w:ascii="Times New Roman" w:hAnsi="Times New Roman"/>
          <w:spacing w:val="0"/>
          <w:sz w:val="20"/>
        </w:rPr>
        <w:t>2019-12,</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Simplifying the Accounting for Income Taxes,</w:t>
      </w:r>
    </w:p>
    <w:p>
      <w:pPr>
        <w:pStyle w:val="TextBody"/>
        <w:spacing w:before="120" w:after="0"/>
        <w:jc w:val="left"/>
        <w:rPr>
          <w:rFonts w:ascii="Times New Roman" w:hAnsi="Times New Roman"/>
          <w:sz w:val="20"/>
        </w:rPr>
      </w:pPr>
      <w:r>
        <w:rPr>
          <w:rFonts w:ascii="Times New Roman" w:hAnsi="Times New Roman"/>
          <w:sz w:val="20"/>
        </w:rPr>
        <w:t xml:space="preserve">(“ASC 740”). The ASU enhances and simplifies various aspects of the income tax accounting guidance in ASC 740, including requirements related to hybrid tax regimes, the tax basis </w:t>
      </w:r>
    </w:p>
    <w:p>
      <w:pPr>
        <w:pStyle w:val="TextBody"/>
        <w:spacing w:before="120" w:after="0"/>
        <w:jc w:val="left"/>
        <w:rPr>
          <w:rFonts w:ascii="Times New Roman" w:hAnsi="Times New Roman"/>
          <w:spacing w:val="0"/>
          <w:sz w:val="20"/>
        </w:rPr>
      </w:pPr>
      <w:r>
        <w:rPr>
          <w:rFonts w:ascii="Times New Roman" w:hAnsi="Times New Roman"/>
          <w:spacing w:val="0"/>
          <w:sz w:val="20"/>
        </w:rPr>
        <w:t>step-up</w:t>
      </w:r>
    </w:p>
    <w:p>
      <w:pPr>
        <w:pStyle w:val="TextBody"/>
        <w:spacing w:before="120" w:after="0"/>
        <w:jc w:val="left"/>
        <w:rPr>
          <w:rFonts w:ascii="Times New Roman" w:hAnsi="Times New Roman"/>
          <w:sz w:val="20"/>
        </w:rPr>
      </w:pPr>
      <w:r>
        <w:rPr>
          <w:rFonts w:ascii="Times New Roman" w:hAnsi="Times New Roman"/>
          <w:sz w:val="20"/>
        </w:rPr>
        <w:t xml:space="preserve">in goodwill obtained in a transaction </w:t>
      </w:r>
    </w:p>
    <w:p>
      <w:pPr>
        <w:pStyle w:val="TextBody"/>
        <w:spacing w:before="0" w:after="0"/>
        <w:jc w:val="left"/>
        <w:rPr>
          <w:rFonts w:ascii="Times New Roman" w:hAnsi="Times New Roman"/>
          <w:sz w:val="20"/>
        </w:rPr>
      </w:pPr>
      <w:r>
        <w:rPr>
          <w:rFonts w:ascii="Times New Roman" w:hAnsi="Times New Roman"/>
          <w:sz w:val="20"/>
        </w:rPr>
        <w:t xml:space="preserve">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w:t>
      </w:r>
    </w:p>
    <w:p>
      <w:pPr>
        <w:pStyle w:val="TextBody"/>
        <w:spacing w:before="0" w:after="0"/>
        <w:jc w:val="left"/>
        <w:rPr>
          <w:rFonts w:ascii="Times New Roman" w:hAnsi="Times New Roman"/>
          <w:spacing w:val="0"/>
          <w:sz w:val="20"/>
        </w:rPr>
      </w:pPr>
      <w:r>
        <w:rPr>
          <w:rFonts w:ascii="Times New Roman" w:hAnsi="Times New Roman"/>
          <w:spacing w:val="0"/>
          <w:sz w:val="20"/>
        </w:rPr>
        <w:t>year-to-date</w:t>
      </w:r>
    </w:p>
    <w:p>
      <w:pPr>
        <w:pStyle w:val="TextBody"/>
        <w:spacing w:before="0" w:after="0"/>
        <w:jc w:val="left"/>
        <w:rPr>
          <w:rFonts w:ascii="Times New Roman" w:hAnsi="Times New Roman"/>
          <w:sz w:val="20"/>
        </w:rPr>
      </w:pPr>
      <w:r>
        <w:rPr>
          <w:rFonts w:ascii="Times New Roman" w:hAnsi="Times New Roman"/>
          <w:sz w:val="20"/>
        </w:rPr>
        <w:t xml:space="preserve">loss limitation in interim-period tax accounting. This guidance is effective for the Company for annual and interim periods beginning after December 31, 2020; however, early adoption is permitted. The adoption is not expected to have a material impact on the Company’s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In August 2020,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2020-06,</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w:t>
      </w:r>
    </w:p>
    <w:p>
      <w:pPr>
        <w:pStyle w:val="TextBody"/>
        <w:spacing w:before="240" w:after="0"/>
        <w:jc w:val="left"/>
        <w:rPr>
          <w:caps w:val="false"/>
          <w:smallCaps w:val="false"/>
          <w:spacing w:val="0"/>
        </w:rPr>
      </w:pPr>
      <w:r>
        <w:rPr>
          <w:caps w:val="false"/>
          <w:smallCaps w:val="false"/>
          <w:spacing w:val="0"/>
        </w:rPr>
        <w:t xml:space="preserve"> — </w:t>
      </w:r>
      <w:r>
        <w:rPr>
          <w:rFonts w:ascii="Times New Roman" w:hAnsi="Times New Roman"/>
          <w:i/>
          <w:caps w:val="false"/>
          <w:smallCaps w:val="false"/>
          <w:spacing w:val="0"/>
          <w:sz w:val="20"/>
        </w:rPr>
        <w:t xml:space="preserve">Debt with Conversion and Other Options (Subtopic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470-20)</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and Derivatives and Hedging</w:t>
      </w:r>
    </w:p>
    <w:p>
      <w:pPr>
        <w:pStyle w:val="TextBody"/>
        <w:spacing w:before="240" w:after="0"/>
        <w:jc w:val="left"/>
        <w:rPr>
          <w:caps w:val="false"/>
          <w:smallCaps w:val="false"/>
          <w:spacing w:val="0"/>
        </w:rPr>
      </w:pPr>
      <w:r>
        <w:rPr>
          <w:caps w:val="false"/>
          <w:smallCaps w:val="false"/>
          <w:spacing w:val="0"/>
        </w:rPr>
        <w:t xml:space="preserve"> — </w:t>
      </w:r>
      <w:r>
        <w:rPr>
          <w:rFonts w:ascii="Times New Roman" w:hAnsi="Times New Roman"/>
          <w:i/>
          <w:caps w:val="false"/>
          <w:smallCaps w:val="false"/>
          <w:spacing w:val="0"/>
          <w:sz w:val="20"/>
        </w:rPr>
        <w:t>Contracts in Entity’s Own Equity (Subtopic 815</w:t>
      </w:r>
    </w:p>
    <w:p>
      <w:pPr>
        <w:pStyle w:val="TextBody"/>
        <w:spacing w:before="240" w:after="0"/>
        <w:jc w:val="left"/>
        <w:rPr>
          <w:caps w:val="false"/>
          <w:smallCaps w:val="false"/>
          <w:spacing w:val="0"/>
        </w:rPr>
      </w:pPr>
      <w:r>
        <w:rPr>
          <w:caps w:val="false"/>
          <w:smallCaps w:val="false"/>
          <w:spacing w:val="0"/>
        </w:rPr>
        <w:t xml:space="preserve"> — </w:t>
      </w:r>
      <w:r>
        <w:rPr>
          <w:rFonts w:ascii="Times New Roman" w:hAnsi="Times New Roman"/>
          <w:i/>
          <w:caps w:val="false"/>
          <w:smallCaps w:val="false"/>
          <w:spacing w:val="0"/>
          <w:sz w:val="20"/>
        </w:rPr>
        <w:t>40)</w:t>
      </w:r>
    </w:p>
    <w:p>
      <w:pPr>
        <w:pStyle w:val="TextBody"/>
        <w:spacing w:before="240" w:after="0"/>
        <w:jc w:val="left"/>
        <w:rPr>
          <w:rFonts w:ascii="Times New Roman" w:hAnsi="Times New Roman"/>
          <w:sz w:val="20"/>
        </w:rPr>
      </w:pPr>
      <w:r>
        <w:rPr>
          <w:rFonts w:ascii="Times New Roman" w:hAnsi="Times New Roman"/>
          <w:sz w:val="20"/>
        </w:rPr>
        <w:t xml:space="preserve">. The amendments in this update affect entities that issue convertible instruments 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Early adoption is permitted, but no earlier than fiscal years beginning after December 15, 2020, including interim periods within those fiscal years. The Company elected to early adopt this guidance on January 1, 2021. Adoption of the ASU </w:t>
      </w:r>
    </w:p>
    <w:p>
      <w:pPr>
        <w:pStyle w:val="TextBody"/>
        <w:spacing w:before="240" w:after="0"/>
        <w:jc w:val="left"/>
        <w:rPr>
          <w:rFonts w:ascii="Times New Roman" w:hAnsi="Times New Roman"/>
          <w:spacing w:val="0"/>
          <w:sz w:val="20"/>
        </w:rPr>
      </w:pPr>
      <w:r>
        <w:rPr>
          <w:rFonts w:ascii="Times New Roman" w:hAnsi="Times New Roman"/>
          <w:spacing w:val="0"/>
          <w:sz w:val="20"/>
        </w:rPr>
        <w:t>2020-06</w:t>
      </w:r>
    </w:p>
    <w:p>
      <w:pPr>
        <w:pStyle w:val="TextBody"/>
        <w:spacing w:before="240" w:after="0"/>
        <w:jc w:val="left"/>
        <w:rPr>
          <w:rFonts w:ascii="Times New Roman" w:hAnsi="Times New Roman"/>
          <w:sz w:val="20"/>
        </w:rPr>
      </w:pPr>
      <w:r>
        <w:rPr>
          <w:rFonts w:ascii="Times New Roman" w:hAnsi="Times New Roman"/>
          <w:sz w:val="20"/>
        </w:rPr>
        <w:t xml:space="preserve">guidance as of January 1, 2021 has no impact on its consolidated financial statements for the year ended December 31, 2020.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F-72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2. Summary of Significant Accounting Policies(cont.)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The Company issued the second tranche of its redeemable convertible Series B preferred stock in March 2021 at an original issue price of $1.32 per share, which would have resulted in the recognition of a beneficial conversion feature of $28.4 million prior to the adoption of ASU </w:t>
      </w:r>
    </w:p>
    <w:p>
      <w:pPr>
        <w:pStyle w:val="TextBody"/>
        <w:spacing w:before="0" w:after="0"/>
        <w:jc w:val="left"/>
        <w:rPr>
          <w:rFonts w:ascii="Times New Roman" w:hAnsi="Times New Roman"/>
          <w:spacing w:val="0"/>
          <w:sz w:val="20"/>
        </w:rPr>
      </w:pPr>
      <w:r>
        <w:rPr>
          <w:rFonts w:ascii="Times New Roman" w:hAnsi="Times New Roman"/>
          <w:spacing w:val="0"/>
          <w:sz w:val="20"/>
        </w:rPr>
        <w:t>2020-06.</w:t>
      </w:r>
    </w:p>
    <w:p>
      <w:pPr>
        <w:pStyle w:val="TextBody"/>
        <w:spacing w:before="0" w:after="0"/>
        <w:jc w:val="left"/>
        <w:rPr>
          <w:rFonts w:ascii="Times New Roman" w:hAnsi="Times New Roman"/>
          <w:sz w:val="20"/>
        </w:rPr>
      </w:pPr>
      <w:r>
        <w:rPr>
          <w:rFonts w:ascii="Times New Roman" w:hAnsi="Times New Roman"/>
          <w:sz w:val="20"/>
        </w:rPr>
        <w:t xml:space="preserve">As such, the adoption of this guidance is expected to have a material impact on the Company’s financial statements for the year ending December 31,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From time to time, new account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3. Collaboration Agreements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2018 Gilead Agreement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a multi-year research plan. During the initial three-year research term, Gilead had the option to obtain exclusive, worldwide licenses to develop and commercialize up to five validated programs (“Gilead Program License”). </w:t>
      </w:r>
    </w:p>
    <w:p>
      <w:pPr>
        <w:pStyle w:val="TextBody"/>
        <w:spacing w:before="240" w:after="0"/>
        <w:jc w:val="left"/>
        <w:rPr>
          <w:rFonts w:ascii="Times New Roman" w:hAnsi="Times New Roman"/>
          <w:sz w:val="20"/>
        </w:rPr>
      </w:pPr>
      <w:r>
        <w:rPr>
          <w:rFonts w:ascii="Times New Roman" w:hAnsi="Times New Roman"/>
          <w:sz w:val="20"/>
        </w:rPr>
        <w:t xml:space="preserve">In 2018, Gilead paid the Company a $50.0 million </w:t>
      </w:r>
    </w:p>
    <w:p>
      <w:pPr>
        <w:pStyle w:val="TextBody"/>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spacing w:before="240" w:after="0"/>
        <w:jc w:val="left"/>
        <w:rPr>
          <w:rFonts w:ascii="Times New Roman" w:hAnsi="Times New Roman"/>
          <w:sz w:val="20"/>
        </w:rPr>
      </w:pPr>
      <w:r>
        <w:rPr>
          <w:rFonts w:ascii="Times New Roman" w:hAnsi="Times New Roman"/>
          <w:sz w:val="20"/>
        </w:rPr>
        <w:t xml:space="preserve">upfront payment upon the execution of the 2018 Gilead Agreement. The Company was eligible to receive milestone payments of up to $1.7 billion across all programs and up to low double-digit tiered percentage royalties on future sales of commercialized products, if any. For up to two programs licensed by Gilead, the Company had the option to </w:t>
      </w:r>
    </w:p>
    <w:p>
      <w:pPr>
        <w:pStyle w:val="TextBody"/>
        <w:spacing w:before="240" w:after="0"/>
        <w:jc w:val="left"/>
        <w:rPr>
          <w:rFonts w:ascii="Times New Roman" w:hAnsi="Times New Roman"/>
          <w:spacing w:val="0"/>
          <w:sz w:val="20"/>
        </w:rPr>
      </w:pPr>
      <w:r>
        <w:rPr>
          <w:rFonts w:ascii="Times New Roman" w:hAnsi="Times New Roman"/>
          <w:spacing w:val="0"/>
          <w:sz w:val="20"/>
        </w:rPr>
        <w:t>co-develop</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pacing w:val="0"/>
          <w:sz w:val="20"/>
        </w:rPr>
      </w:pPr>
      <w:r>
        <w:rPr>
          <w:rFonts w:ascii="Times New Roman" w:hAnsi="Times New Roman"/>
          <w:spacing w:val="0"/>
          <w:sz w:val="20"/>
        </w:rPr>
        <w:t>co-promote</w:t>
      </w:r>
    </w:p>
    <w:p>
      <w:pPr>
        <w:pStyle w:val="TextBody"/>
        <w:spacing w:before="240" w:after="0"/>
        <w:jc w:val="left"/>
        <w:rPr>
          <w:rFonts w:ascii="Times New Roman" w:hAnsi="Times New Roman"/>
          <w:sz w:val="20"/>
        </w:rPr>
      </w:pPr>
      <w:r>
        <w:rPr>
          <w:rFonts w:ascii="Times New Roman" w:hAnsi="Times New Roman"/>
          <w:sz w:val="20"/>
        </w:rPr>
        <w:t xml:space="preserve">certain programs licensed by Gilead in the U.S. and was eligible to receive milestone payments and royalties on </w:t>
      </w:r>
    </w:p>
    <w:p>
      <w:pPr>
        <w:pStyle w:val="TextBody"/>
        <w:spacing w:before="240" w:after="0"/>
        <w:jc w:val="left"/>
        <w:rPr>
          <w:rFonts w:ascii="Times New Roman" w:hAnsi="Times New Roman"/>
          <w:spacing w:val="0"/>
          <w:sz w:val="20"/>
        </w:rPr>
      </w:pPr>
      <w:r>
        <w:rPr>
          <w:rFonts w:ascii="Times New Roman" w:hAnsi="Times New Roman"/>
          <w:spacing w:val="0"/>
          <w:sz w:val="20"/>
        </w:rPr>
        <w:t>ex-U.S.</w:t>
      </w:r>
    </w:p>
    <w:p>
      <w:pPr>
        <w:pStyle w:val="TextBody"/>
        <w:spacing w:before="240" w:after="0"/>
        <w:jc w:val="left"/>
        <w:rPr>
          <w:rFonts w:ascii="Times New Roman" w:hAnsi="Times New Roman"/>
          <w:sz w:val="20"/>
        </w:rPr>
      </w:pPr>
      <w:r>
        <w:rPr>
          <w:rFonts w:ascii="Times New Roman" w:hAnsi="Times New Roman"/>
          <w:sz w:val="20"/>
        </w:rPr>
        <w:t xml:space="preserve">sales.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determined that the transaction price at the inception of the arrangement was equal to the total upfront payment received in the aggregate amount of $50.0 million. 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 </w:t>
      </w:r>
    </w:p>
    <w:p>
      <w:pPr>
        <w:pStyle w:val="TextBody"/>
        <w:spacing w:before="240" w:after="0"/>
        <w:jc w:val="left"/>
        <w:rPr>
          <w:rFonts w:ascii="Times New Roman" w:hAnsi="Times New Roman"/>
          <w:spacing w:val="0"/>
          <w:sz w:val="20"/>
        </w:rPr>
      </w:pPr>
      <w:r>
        <w:rPr>
          <w:rFonts w:ascii="Times New Roman" w:hAnsi="Times New Roman"/>
          <w:spacing w:val="0"/>
          <w:sz w:val="20"/>
        </w:rPr>
        <w:t>In May 2019, Gilead licensed (the “Gilead License”) its first program under the 2018 Gilead Agreement and paid the Company a $7.5 million license fee. Gilead obtained a license to develop and commercialize therapies</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73</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3. Collaboration Agreements(cont.)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associated with the nominated program. At the inception of the 2018 Gilead Agreement, the Company determined that the licenses provided to Gilead through the 2018 Gilead Agreement did not include a material right as the license fees were not priced at a discount. At the time of the exercise of the license option by Gilead for the specified nominated program, the Company’s obligations for the nominated program were completed. As such, the Gilead license of the nominated program was determined to be distinct and accounted for as a separate contract.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In July 2019</w:t>
      </w:r>
    </w:p>
    <w:p>
      <w:pPr>
        <w:pStyle w:val="TextBody"/>
        <w:spacing w:before="240" w:after="0"/>
        <w:jc w:val="left"/>
        <w:rPr>
          <w:rFonts w:ascii="Times New Roman" w:hAnsi="Times New Roman"/>
          <w:spacing w:val="0"/>
          <w:sz w:val="20"/>
        </w:rPr>
      </w:pPr>
      <w:r>
        <w:rPr>
          <w:rFonts w:ascii="Times New Roman" w:hAnsi="Times New Roman"/>
          <w:spacing w:val="0"/>
          <w:sz w:val="20"/>
        </w:rPr>
        <w:t>, the Company and Gilead also entered into a letter agreement (the “Gilead Letter Agreement”) whereby the Company would perform additional research services on behalf of Gilead associated with the first program licensed und</w:t>
      </w:r>
    </w:p>
    <w:p>
      <w:pPr>
        <w:pStyle w:val="TextBody"/>
        <w:spacing w:before="240" w:after="0"/>
        <w:jc w:val="left"/>
        <w:rPr>
          <w:rFonts w:ascii="Times New Roman" w:hAnsi="Times New Roman"/>
          <w:spacing w:val="0"/>
          <w:sz w:val="20"/>
        </w:rPr>
      </w:pPr>
      <w:r>
        <w:rPr>
          <w:rFonts w:ascii="Times New Roman" w:hAnsi="Times New Roman"/>
          <w:spacing w:val="0"/>
          <w:sz w:val="20"/>
        </w:rPr>
        <w:t>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 the 2018 Gilead Agreement. Upon execution of the Gilead Letter Agreement, Gilead made a $2.6 million payment to the Company as consideration for the performance of additional research services as stipulated in the Gilead Letter Agreement. The Company concluded that the Gilead Letter Agreement should be combined with the Gilead License and accounted for as a single contract. The Company determined that the Gilead License and the research services included in the Gilead Letter Agreement were each distinct as Gilead could benefit from the Gilead License without receiving the additional research services from the Company. As such, the Company allocated the transaction price for the combined agreement between the two distinct performance obligations in proportion to their relative standalone selling prices.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Amended Gilead Agreement </w:t>
      </w:r>
    </w:p>
    <w:p>
      <w:pPr>
        <w:pStyle w:val="TextBody"/>
        <w:spacing w:before="120" w:after="0"/>
        <w:jc w:val="left"/>
        <w:rPr>
          <w:rFonts w:ascii="Times New Roman" w:hAnsi="Times New Roman"/>
          <w:sz w:val="20"/>
        </w:rPr>
      </w:pPr>
      <w:r>
        <w:rPr>
          <w:rFonts w:ascii="Times New Roman" w:hAnsi="Times New Roman"/>
          <w:sz w:val="20"/>
        </w:rPr>
        <w:t xml:space="preserve">In August 2020, Gilead made an equity investment of $20.0 million into the Company as a participant in the Company’s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preferred stock offering. At the time of the original investment, as well as of the December 31, 2020 balance sheet date, Gilead maintains an ownership of less than 10% of the Company and is thus not considered to be a related party to the Company.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 </w:t>
      </w:r>
    </w:p>
    <w:p>
      <w:pPr>
        <w:pStyle w:val="TextBody"/>
        <w:spacing w:before="0" w:after="0"/>
        <w:jc w:val="left"/>
        <w:rPr>
          <w:spacing w:val="0"/>
        </w:rPr>
      </w:pPr>
      <w:r>
        <w:rPr>
          <w:spacing w:val="0"/>
        </w:rPr>
        <w:t> </w:t>
      </w:r>
    </w:p>
    <w:tbl>
      <w:tblPr>
        <w:tblW w:w="7990" w:type="dxa"/>
        <w:jc w:val="left"/>
        <w:tblInd w:w="0" w:type="dxa"/>
        <w:tblCellMar>
          <w:top w:w="0" w:type="dxa"/>
          <w:left w:w="0" w:type="dxa"/>
          <w:bottom w:w="0" w:type="dxa"/>
          <w:right w:w="0" w:type="dxa"/>
        </w:tblCellMar>
      </w:tblPr>
      <w:tblGrid>
        <w:gridCol w:w="75"/>
        <w:gridCol w:w="110"/>
        <w:gridCol w:w="60"/>
        <w:gridCol w:w="7745"/>
      </w:tblGrid>
      <w:tr>
        <w:trPr/>
        <w:tc>
          <w:tcPr>
            <w:tcW w:w="75" w:type="dxa"/>
            <w:tcBorders/>
            <w:shd w:fill="auto" w:val="clear"/>
            <w:vAlign w:val="center"/>
          </w:tcPr>
          <w:p>
            <w:pPr>
              <w:pStyle w:val="TableContents"/>
              <w:spacing w:before="0" w:after="283"/>
              <w:ind w:left="0" w:right="0" w:hanging="0"/>
              <w:rPr/>
            </w:pPr>
            <w:r>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received upfront, </w:t>
            </w:r>
          </w:p>
          <w:p>
            <w:pPr>
              <w:pStyle w:val="TableContents"/>
              <w:spacing w:before="0" w:after="0"/>
              <w:jc w:val="left"/>
              <w:rPr>
                <w:rFonts w:ascii="Times New Roman" w:hAnsi="Times New Roman"/>
                <w:spacing w:val="0"/>
                <w:sz w:val="20"/>
              </w:rPr>
            </w:pPr>
            <w:r>
              <w:rPr>
                <w:rFonts w:ascii="Times New Roman" w:hAnsi="Times New Roman"/>
                <w:spacing w:val="0"/>
                <w:sz w:val="20"/>
              </w:rPr>
              <w:t>non-refundable</w:t>
            </w:r>
          </w:p>
          <w:p>
            <w:pPr>
              <w:pStyle w:val="TableContents"/>
              <w:spacing w:before="0" w:after="0"/>
              <w:jc w:val="left"/>
              <w:rPr>
                <w:rFonts w:ascii="Times New Roman" w:hAnsi="Times New Roman"/>
                <w:sz w:val="20"/>
              </w:rPr>
            </w:pPr>
            <w:r>
              <w:rPr>
                <w:rFonts w:ascii="Times New Roman" w:hAnsi="Times New Roman"/>
                <w:sz w:val="20"/>
              </w:rPr>
              <w:t xml:space="preserve">consideration of $125.0 million from Gilead upon execution of the Gilead Agreement in 2020;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term of the 2018 Gilead Agreement ended on the date the Gilead Agreement was executed. The Gilead Agreement has a research term of seven years;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Gilead expanded its option to license up to 15 programs for which Gilead may obtain exclusive, worldwide licenses to develop and commercialize therapies, subject to applicable license fees;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Prior to exercising its option to license a program, Gilead may “extend” such program, in which case Gilead will pay research extension fees and the Company will continue to collaborate with Gilead to discover and develop programs, potentially through early clinical development. </w:t>
            </w:r>
          </w:p>
        </w:tc>
      </w:tr>
    </w:tbl>
    <w:p>
      <w:pPr>
        <w:pStyle w:val="TextBody"/>
        <w:spacing w:before="0" w:after="0"/>
        <w:jc w:val="left"/>
        <w:rPr>
          <w:spacing w:val="0"/>
        </w:rPr>
      </w:pPr>
      <w:r>
        <w:rPr>
          <w:spacing w:val="0"/>
        </w:rPr>
        <w:t> </w:t>
      </w:r>
    </w:p>
    <w:tbl>
      <w:tblPr>
        <w:tblW w:w="9865" w:type="dxa"/>
        <w:jc w:val="left"/>
        <w:tblInd w:w="0" w:type="dxa"/>
        <w:tblCellMar>
          <w:top w:w="0" w:type="dxa"/>
          <w:left w:w="0" w:type="dxa"/>
          <w:bottom w:w="0" w:type="dxa"/>
          <w:right w:w="0" w:type="dxa"/>
        </w:tblCellMar>
      </w:tblPr>
      <w:tblGrid>
        <w:gridCol w:w="75"/>
        <w:gridCol w:w="110"/>
        <w:gridCol w:w="60"/>
        <w:gridCol w:w="9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up to five programs licensed by Gilead, the Company has the option to </w:t>
            </w:r>
          </w:p>
          <w:p>
            <w:pPr>
              <w:pStyle w:val="TableContents"/>
              <w:spacing w:before="0" w:after="0"/>
              <w:jc w:val="left"/>
              <w:rPr>
                <w:rFonts w:ascii="Times New Roman" w:hAnsi="Times New Roman"/>
                <w:spacing w:val="0"/>
                <w:sz w:val="20"/>
              </w:rPr>
            </w:pPr>
            <w:r>
              <w:rPr>
                <w:rFonts w:ascii="Times New Roman" w:hAnsi="Times New Roman"/>
                <w:spacing w:val="0"/>
                <w:sz w:val="20"/>
              </w:rPr>
              <w:t>co-develop</w:t>
            </w:r>
          </w:p>
          <w:p>
            <w:pPr>
              <w:pStyle w:val="TableContents"/>
              <w:spacing w:before="0" w:after="0"/>
              <w:jc w:val="left"/>
              <w:rPr>
                <w:rFonts w:ascii="Times New Roman" w:hAnsi="Times New Roman"/>
                <w:sz w:val="20"/>
              </w:rPr>
            </w:pPr>
            <w:r>
              <w:rPr>
                <w:rFonts w:ascii="Times New Roman" w:hAnsi="Times New Roman"/>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co-promote</w:t>
            </w:r>
          </w:p>
          <w:p>
            <w:pPr>
              <w:pStyle w:val="TableContents"/>
              <w:spacing w:before="0" w:after="0"/>
              <w:jc w:val="left"/>
              <w:rPr>
                <w:rFonts w:ascii="Times New Roman" w:hAnsi="Times New Roman"/>
                <w:sz w:val="20"/>
              </w:rPr>
            </w:pPr>
            <w:r>
              <w:rPr>
                <w:rFonts w:ascii="Times New Roman" w:hAnsi="Times New Roman"/>
                <w:sz w:val="20"/>
              </w:rPr>
              <w:t xml:space="preserve">the lead product in the U.S., subject to certain exceptions, and eligible to receive milestone payments and royalties on </w:t>
            </w:r>
          </w:p>
          <w:p>
            <w:pPr>
              <w:pStyle w:val="TableContents"/>
              <w:spacing w:before="0" w:after="0"/>
              <w:jc w:val="left"/>
              <w:rPr>
                <w:rFonts w:ascii="Times New Roman" w:hAnsi="Times New Roman"/>
                <w:spacing w:val="0"/>
                <w:sz w:val="20"/>
              </w:rPr>
            </w:pPr>
            <w:r>
              <w:rPr>
                <w:rFonts w:ascii="Times New Roman" w:hAnsi="Times New Roman"/>
                <w:spacing w:val="0"/>
                <w:sz w:val="20"/>
              </w:rPr>
              <w:t>ex-U.S.</w:t>
            </w:r>
          </w:p>
          <w:p>
            <w:pPr>
              <w:pStyle w:val="TableContents"/>
              <w:spacing w:before="0" w:after="0"/>
              <w:jc w:val="left"/>
              <w:rPr>
                <w:rFonts w:ascii="Times New Roman" w:hAnsi="Times New Roman"/>
                <w:sz w:val="20"/>
              </w:rPr>
            </w:pPr>
            <w:r>
              <w:rPr>
                <w:rFonts w:ascii="Times New Roman" w:hAnsi="Times New Roman"/>
                <w:sz w:val="20"/>
              </w:rPr>
              <w:t xml:space="preserve">sales.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The Company is eligible to receive up to $410.0 million per program in license, research extension, and clinical, regulatory, and commercial milestones. The Company is also eligible to receive up to low double-digit tiered royalties on net sales by Gilead, if any, on a </w:t>
      </w:r>
    </w:p>
    <w:p>
      <w:pPr>
        <w:pStyle w:val="TextBody"/>
        <w:spacing w:before="240" w:after="0"/>
        <w:jc w:val="left"/>
        <w:rPr>
          <w:rFonts w:ascii="Times New Roman" w:hAnsi="Times New Roman"/>
          <w:spacing w:val="0"/>
          <w:sz w:val="20"/>
        </w:rPr>
      </w:pPr>
      <w:r>
        <w:rPr>
          <w:rFonts w:ascii="Times New Roman" w:hAnsi="Times New Roman"/>
          <w:spacing w:val="0"/>
          <w:sz w:val="20"/>
        </w:rPr>
        <w:t>country-by-country</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pacing w:val="0"/>
          <w:sz w:val="20"/>
        </w:rPr>
      </w:pPr>
      <w:r>
        <w:rPr>
          <w:rFonts w:ascii="Times New Roman" w:hAnsi="Times New Roman"/>
          <w:spacing w:val="0"/>
          <w:sz w:val="20"/>
        </w:rPr>
        <w:t>product-by-product</w:t>
      </w:r>
    </w:p>
    <w:p>
      <w:pPr>
        <w:pStyle w:val="TextBody"/>
        <w:spacing w:before="240" w:after="0"/>
        <w:jc w:val="left"/>
        <w:rPr>
          <w:rFonts w:ascii="Times New Roman" w:hAnsi="Times New Roman"/>
          <w:sz w:val="20"/>
        </w:rPr>
      </w:pPr>
      <w:r>
        <w:rPr>
          <w:rFonts w:ascii="Times New Roman" w:hAnsi="Times New Roman"/>
          <w:sz w:val="20"/>
        </w:rPr>
        <w:t xml:space="preserve">basis until the later of (a) the expiration of the last valid claim of the Company’s patents or, in some instances, certain Gilead patents, in </w:t>
      </w:r>
    </w:p>
    <w:p>
      <w:pPr>
        <w:pStyle w:val="TextBody"/>
        <w:spacing w:before="0" w:after="0"/>
        <w:jc w:val="left"/>
        <w:rPr/>
      </w:pPr>
      <w:r>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F-74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3. Collaboration Agreements(cont.)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each case, covering such product in such country or (b) ten years after the first commercial sale of such product in such country. For those programs the Company </w:t>
      </w:r>
    </w:p>
    <w:p>
      <w:pPr>
        <w:pStyle w:val="TextBody"/>
        <w:spacing w:before="0" w:after="0"/>
        <w:jc w:val="left"/>
        <w:rPr>
          <w:rFonts w:ascii="Times New Roman" w:hAnsi="Times New Roman"/>
          <w:spacing w:val="0"/>
          <w:sz w:val="20"/>
        </w:rPr>
      </w:pPr>
      <w:r>
        <w:rPr>
          <w:rFonts w:ascii="Times New Roman" w:hAnsi="Times New Roman"/>
          <w:spacing w:val="0"/>
          <w:sz w:val="20"/>
        </w:rPr>
        <w:t>co-develops</w:t>
      </w:r>
    </w:p>
    <w:p>
      <w:pPr>
        <w:pStyle w:val="TextBody"/>
        <w:spacing w:before="0" w:after="0"/>
        <w:jc w:val="left"/>
        <w:rPr>
          <w:rFonts w:ascii="Times New Roman" w:hAnsi="Times New Roman"/>
          <w:sz w:val="20"/>
        </w:rPr>
      </w:pPr>
      <w:r>
        <w:rPr>
          <w:rFonts w:ascii="Times New Roman" w:hAnsi="Times New Roman"/>
          <w:sz w:val="20"/>
        </w:rPr>
        <w:t xml:space="preserve">and </w:t>
      </w:r>
    </w:p>
    <w:p>
      <w:pPr>
        <w:pStyle w:val="TextBody"/>
        <w:spacing w:before="0" w:after="0"/>
        <w:jc w:val="left"/>
        <w:rPr>
          <w:rFonts w:ascii="Times New Roman" w:hAnsi="Times New Roman"/>
          <w:spacing w:val="0"/>
          <w:sz w:val="20"/>
        </w:rPr>
      </w:pPr>
      <w:r>
        <w:rPr>
          <w:rFonts w:ascii="Times New Roman" w:hAnsi="Times New Roman"/>
          <w:spacing w:val="0"/>
          <w:sz w:val="20"/>
        </w:rPr>
        <w:t>co-promotes</w:t>
      </w:r>
    </w:p>
    <w:p>
      <w:pPr>
        <w:pStyle w:val="TextBody"/>
        <w:spacing w:before="0" w:after="0"/>
        <w:jc w:val="left"/>
        <w:rPr>
          <w:rFonts w:ascii="Times New Roman" w:hAnsi="Times New Roman"/>
          <w:sz w:val="20"/>
        </w:rPr>
      </w:pPr>
      <w:r>
        <w:rPr>
          <w:rFonts w:ascii="Times New Roman" w:hAnsi="Times New Roman"/>
          <w:sz w:val="20"/>
        </w:rPr>
        <w:t xml:space="preserve">in the U.S., the Company and Gilead would share equally in the development costs as well as the profits and losses in the U.S. For such products, the Company remains eligible to receive certain clinical and regulatory milestone payments as well as commercial milestone payments and up to low double-digit tiered royalties based on net sales outside the U.S. </w:t>
      </w:r>
    </w:p>
    <w:p>
      <w:pPr>
        <w:pStyle w:val="TextBody"/>
        <w:spacing w:before="240" w:after="0"/>
        <w:jc w:val="left"/>
        <w:rPr>
          <w:rFonts w:ascii="Times New Roman" w:hAnsi="Times New Roman"/>
          <w:sz w:val="20"/>
        </w:rPr>
      </w:pPr>
      <w:r>
        <w:rPr>
          <w:rFonts w:ascii="Times New Roman" w:hAnsi="Times New Roman"/>
          <w:sz w:val="20"/>
        </w:rPr>
        <w:t xml:space="preserve">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w:t>
      </w:r>
    </w:p>
    <w:p>
      <w:pPr>
        <w:pStyle w:val="TextBody"/>
        <w:spacing w:before="240" w:after="0"/>
        <w:jc w:val="left"/>
        <w:rPr>
          <w:rFonts w:ascii="Times New Roman" w:hAnsi="Times New Roman"/>
          <w:spacing w:val="0"/>
          <w:sz w:val="20"/>
        </w:rPr>
      </w:pPr>
      <w:r>
        <w:rPr>
          <w:rFonts w:ascii="Times New Roman" w:hAnsi="Times New Roman"/>
          <w:spacing w:val="0"/>
          <w:sz w:val="20"/>
        </w:rPr>
        <w:t>catch-up</w:t>
      </w:r>
    </w:p>
    <w:p>
      <w:pPr>
        <w:pStyle w:val="TextBody"/>
        <w:spacing w:before="240" w:after="0"/>
        <w:jc w:val="left"/>
        <w:rPr>
          <w:rFonts w:ascii="Times New Roman" w:hAnsi="Times New Roman"/>
          <w:sz w:val="20"/>
        </w:rPr>
      </w:pPr>
      <w:r>
        <w:rPr>
          <w:rFonts w:ascii="Times New Roman" w:hAnsi="Times New Roman"/>
          <w:sz w:val="20"/>
        </w:rPr>
        <w:t xml:space="preserve">adjustment was recorded during the third quarter of 2020 resulting in a reduction of $11.3 million of revenue previously recognized through the date of the Gilead Agreement. </w:t>
      </w:r>
    </w:p>
    <w:p>
      <w:pPr>
        <w:pStyle w:val="TextBody"/>
        <w:spacing w:before="240" w:after="0"/>
        <w:jc w:val="left"/>
        <w:rPr>
          <w:rFonts w:ascii="Times New Roman" w:hAnsi="Times New Roman"/>
          <w:sz w:val="20"/>
        </w:rPr>
      </w:pPr>
      <w:r>
        <w:rPr>
          <w:rFonts w:ascii="Times New Roman" w:hAnsi="Times New Roman"/>
          <w:sz w:val="20"/>
        </w:rPr>
        <w:t xml:space="preserve">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w:t>
      </w:r>
    </w:p>
    <w:p>
      <w:pPr>
        <w:pStyle w:val="TextBody"/>
        <w:spacing w:before="240" w:after="0"/>
        <w:jc w:val="left"/>
        <w:rPr>
          <w:rFonts w:ascii="Times New Roman" w:hAnsi="Times New Roman"/>
          <w:spacing w:val="0"/>
          <w:sz w:val="20"/>
        </w:rPr>
      </w:pPr>
      <w:r>
        <w:rPr>
          <w:rFonts w:ascii="Times New Roman" w:hAnsi="Times New Roman"/>
          <w:spacing w:val="0"/>
          <w:sz w:val="20"/>
        </w:rPr>
        <w:t>on-going</w:t>
      </w:r>
    </w:p>
    <w:p>
      <w:pPr>
        <w:pStyle w:val="TextBody"/>
        <w:spacing w:before="240" w:after="0"/>
        <w:jc w:val="left"/>
        <w:rPr>
          <w:rFonts w:ascii="Times New Roman" w:hAnsi="Times New Roman"/>
          <w:sz w:val="20"/>
        </w:rPr>
      </w:pPr>
      <w:r>
        <w:rPr>
          <w:rFonts w:ascii="Times New Roman" w:hAnsi="Times New Roman"/>
          <w:sz w:val="20"/>
        </w:rPr>
        <w:t xml:space="preserve">research plan.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w:t>
      </w:r>
    </w:p>
    <w:p>
      <w:pPr>
        <w:pStyle w:val="TextBody"/>
        <w:spacing w:before="240" w:after="0"/>
        <w:jc w:val="left"/>
        <w:rPr>
          <w:rFonts w:ascii="Times New Roman" w:hAnsi="Times New Roman"/>
          <w:spacing w:val="0"/>
          <w:sz w:val="20"/>
        </w:rPr>
      </w:pPr>
      <w:r>
        <w:rPr>
          <w:rFonts w:ascii="Times New Roman" w:hAnsi="Times New Roman"/>
          <w:spacing w:val="0"/>
          <w:sz w:val="20"/>
        </w:rPr>
        <w:t>price</w:t>
      </w:r>
    </w:p>
    <w:p>
      <w:pPr>
        <w:pStyle w:val="TextBody"/>
        <w:spacing w:before="240" w:after="0"/>
        <w:jc w:val="left"/>
        <w:rPr>
          <w:rFonts w:ascii="Times New Roman" w:hAnsi="Times New Roman"/>
          <w:sz w:val="20"/>
        </w:rPr>
      </w:pPr>
      <w:r>
        <w:rPr>
          <w:rFonts w:ascii="Times New Roman" w:hAnsi="Times New Roman"/>
          <w:sz w:val="20"/>
        </w:rPr>
        <w:t xml:space="preserve">under the Gilead Agreement.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Gilead Revenue Recognized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total transaction price allocated to the combined performance obligation under the Gilead Agreement was $187.0 million at December 31, 2020. The total transaction price was comprised of the $50.0 million upfront payment pursuant to the 2018 Gilead Agreement, the $125.0 million upfront payment pursuant to the Gilead Agreement, and the $12.0 million pursuant to the research extension fee in December 2020. During the years ended December 31, 2020 and 2019, the Company recognized $7.0 million and $15.2 million, respectively, of revenue associated with the Gilead Agreements based on performance completed during each period. During the years ended December 31, 2020 and 2019, the Company recognized revenue of $0.7 million and $9.4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2020 and 2019, the Company had short-term deferred revenue of $32.0 million and $19.6 million, respectively, and long-term deferred revenue of </w:t>
      </w:r>
    </w:p>
    <w:p>
      <w:pPr>
        <w:pStyle w:val="TextBody"/>
        <w:spacing w:before="0" w:after="0"/>
        <w:jc w:val="left"/>
        <w:rPr/>
      </w:pPr>
      <w:r>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F-75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3. Collaboration Agreements(cont.)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$120.8 million and $14.1 million, respectively, related to the Gilead collaboration. Of the total short-term deferred revenue at December 31, 2019, $18.6 million related to the 2018 Gilead Agreement and the other $1.0 million related to the Gilead Letter Agreement.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Amounts due to the Company that have not yet been received are recorded as accounts receivable and amounts received that have not yet been recognized as revenue are recorded as deferred revenue on the Company’s consolidated balance sheet. As of December 31, 2020, $2.0 million of the total research extension fee amount of $12.0 million had been recorded as accounts receivable and the remaining $10.0 million was determined to be conditional upon the satisfaction of additional research obligations, and thus a contract asset. The contract asset balance is presented net of the deferred revenue contract liability.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Costs incurred pursuant to the Gilead Agreements are recorded as research and development expense.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4. Fair Value Measurements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tables present information about the Company’s financial assets measured at fair value on a recurring basis: </w:t>
      </w:r>
    </w:p>
    <w:p>
      <w:pPr>
        <w:pStyle w:val="TextBody"/>
        <w:spacing w:before="0" w:after="0"/>
        <w:ind w:left="0" w:right="0" w:hanging="0"/>
        <w:jc w:val="left"/>
        <w:rPr>
          <w:spacing w:val="0"/>
        </w:rPr>
      </w:pPr>
      <w:r>
        <w:rPr>
          <w:spacing w:val="0"/>
        </w:rPr>
        <w:t> </w:t>
      </w:r>
    </w:p>
    <w:tbl>
      <w:tblPr>
        <w:tblW w:w="6745" w:type="dxa"/>
        <w:jc w:val="left"/>
        <w:tblInd w:w="0" w:type="dxa"/>
        <w:tblCellMar>
          <w:top w:w="0" w:type="dxa"/>
          <w:left w:w="0" w:type="dxa"/>
          <w:bottom w:w="0" w:type="dxa"/>
          <w:right w:w="0" w:type="dxa"/>
        </w:tblCellMar>
      </w:tblPr>
      <w:tblGrid>
        <w:gridCol w:w="2555"/>
        <w:gridCol w:w="120"/>
        <w:gridCol w:w="140"/>
        <w:gridCol w:w="680"/>
        <w:gridCol w:w="60"/>
        <w:gridCol w:w="120"/>
        <w:gridCol w:w="140"/>
        <w:gridCol w:w="800"/>
        <w:gridCol w:w="60"/>
        <w:gridCol w:w="120"/>
        <w:gridCol w:w="203"/>
        <w:gridCol w:w="552"/>
        <w:gridCol w:w="60"/>
        <w:gridCol w:w="120"/>
        <w:gridCol w:w="140"/>
        <w:gridCol w:w="800"/>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5" w:type="dxa"/>
            <w:gridSpan w:val="14"/>
            <w:tcBorders/>
            <w:shd w:fill="auto" w:val="clear"/>
            <w:vAlign w:val="center"/>
          </w:tcPr>
          <w:p>
            <w:pPr>
              <w:pStyle w:val="TableContents"/>
              <w:spacing w:before="0" w:after="0"/>
              <w:jc w:val="center"/>
              <w:rPr>
                <w:b/>
                <w:spacing w:val="0"/>
              </w:rPr>
            </w:pPr>
            <w:r>
              <w:rPr>
                <w:b/>
                <w:spacing w:val="0"/>
              </w:rPr>
              <w:t>Fair Market Value Measurements</w:t>
            </w:r>
          </w:p>
          <w:p>
            <w:pPr>
              <w:pStyle w:val="TableContents"/>
              <w:spacing w:before="0" w:after="0"/>
              <w:jc w:val="center"/>
              <w:rPr/>
            </w:pPr>
            <w:r>
              <w:rPr/>
            </w:r>
          </w:p>
          <w:p>
            <w:pPr>
              <w:pStyle w:val="TableContents"/>
              <w:spacing w:before="0" w:after="0"/>
              <w:jc w:val="center"/>
              <w:rPr>
                <w:b/>
                <w:spacing w:val="0"/>
              </w:rPr>
            </w:pPr>
            <w:r>
              <w:rPr>
                <w:b/>
                <w:spacing w:val="0"/>
              </w:rPr>
              <w:t>as of December 31, 2020</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0"/>
              <w:jc w:val="center"/>
              <w:rPr>
                <w:b/>
                <w:spacing w:val="0"/>
              </w:rPr>
            </w:pPr>
            <w:r>
              <w:rPr>
                <w:b/>
                <w:spacing w:val="0"/>
              </w:rPr>
              <w:t>Level 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5" w:type="dxa"/>
            <w:gridSpan w:val="14"/>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12,698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12,698</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7,175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7,175</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131,939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131,939</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government agency bonds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30,000</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12,698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169,114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w:t>
            </w:r>
          </w:p>
        </w:tc>
        <w:tc>
          <w:tcPr>
            <w:tcW w:w="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181,812</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6190" w:type="dxa"/>
        <w:jc w:val="left"/>
        <w:tblInd w:w="0" w:type="dxa"/>
        <w:tblCellMar>
          <w:top w:w="0" w:type="dxa"/>
          <w:left w:w="0" w:type="dxa"/>
          <w:bottom w:w="0" w:type="dxa"/>
          <w:right w:w="0" w:type="dxa"/>
        </w:tblCellMar>
      </w:tblPr>
      <w:tblGrid>
        <w:gridCol w:w="2240"/>
        <w:gridCol w:w="120"/>
        <w:gridCol w:w="140"/>
        <w:gridCol w:w="680"/>
        <w:gridCol w:w="60"/>
        <w:gridCol w:w="120"/>
        <w:gridCol w:w="140"/>
        <w:gridCol w:w="680"/>
        <w:gridCol w:w="60"/>
        <w:gridCol w:w="120"/>
        <w:gridCol w:w="203"/>
        <w:gridCol w:w="552"/>
        <w:gridCol w:w="60"/>
        <w:gridCol w:w="120"/>
        <w:gridCol w:w="140"/>
        <w:gridCol w:w="680"/>
        <w:gridCol w:w="75"/>
      </w:tblGrid>
      <w:tr>
        <w:trPr/>
        <w:tc>
          <w:tcPr>
            <w:tcW w:w="2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55" w:type="dxa"/>
            <w:gridSpan w:val="14"/>
            <w:tcBorders/>
            <w:shd w:fill="auto" w:val="clear"/>
            <w:vAlign w:val="center"/>
          </w:tcPr>
          <w:p>
            <w:pPr>
              <w:pStyle w:val="TableContents"/>
              <w:spacing w:before="0" w:after="0"/>
              <w:jc w:val="center"/>
              <w:rPr>
                <w:b/>
                <w:spacing w:val="0"/>
              </w:rPr>
            </w:pPr>
            <w:r>
              <w:rPr>
                <w:b/>
                <w:spacing w:val="0"/>
              </w:rPr>
              <w:t>Fair Market Value Measurements</w:t>
            </w:r>
          </w:p>
          <w:p>
            <w:pPr>
              <w:pStyle w:val="TableContents"/>
              <w:spacing w:before="0" w:after="0"/>
              <w:jc w:val="center"/>
              <w:rPr/>
            </w:pPr>
            <w:r>
              <w:rPr/>
            </w:r>
          </w:p>
          <w:p>
            <w:pPr>
              <w:pStyle w:val="TableContents"/>
              <w:spacing w:before="0" w:after="0"/>
              <w:jc w:val="center"/>
              <w:rPr>
                <w:b/>
                <w:spacing w:val="0"/>
              </w:rPr>
            </w:pPr>
            <w:r>
              <w:rPr>
                <w:b/>
                <w:spacing w:val="0"/>
              </w:rPr>
              <w:t>as of December 31, 2019</w:t>
            </w:r>
          </w:p>
        </w:tc>
        <w:tc>
          <w:tcPr>
            <w:tcW w:w="75" w:type="dxa"/>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Level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0"/>
              <w:jc w:val="center"/>
              <w:rPr>
                <w:b/>
                <w:spacing w:val="0"/>
              </w:rPr>
            </w:pPr>
            <w:r>
              <w:rPr>
                <w:b/>
                <w:spacing w:val="0"/>
              </w:rPr>
              <w:t>Level 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55" w:type="dxa"/>
            <w:gridSpan w:val="14"/>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Money market funds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18,508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18,508</w:t>
            </w:r>
          </w:p>
        </w:tc>
        <w:tc>
          <w:tcPr>
            <w:tcW w:w="75"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sz w:val="4"/>
                <w:szCs w:val="4"/>
              </w:rPr>
            </w:pPr>
            <w:r>
              <w:rPr>
                <w:sz w:val="4"/>
                <w:szCs w:val="4"/>
              </w:rPr>
            </w:r>
          </w:p>
        </w:tc>
        <w:tc>
          <w:tcPr>
            <w:tcW w:w="55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17,536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5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17,536</w:t>
            </w:r>
          </w:p>
        </w:tc>
        <w:tc>
          <w:tcPr>
            <w:tcW w:w="75" w:type="dxa"/>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5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18,508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17,536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w:t>
            </w:r>
          </w:p>
        </w:tc>
        <w:tc>
          <w:tcPr>
            <w:tcW w:w="5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36,044</w:t>
            </w:r>
          </w:p>
        </w:tc>
        <w:tc>
          <w:tcPr>
            <w:tcW w:w="75" w:type="dxa"/>
            <w:tcBorders/>
            <w:shd w:fill="CCEEFF"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5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There were no transfers between f</w:t>
      </w:r>
    </w:p>
    <w:p>
      <w:pPr>
        <w:pStyle w:val="TextBody"/>
        <w:spacing w:before="240" w:after="0"/>
        <w:jc w:val="left"/>
        <w:rPr>
          <w:rFonts w:ascii="Times New Roman" w:hAnsi="Times New Roman"/>
          <w:spacing w:val="0"/>
          <w:sz w:val="20"/>
        </w:rPr>
      </w:pPr>
      <w:r>
        <w:rPr>
          <w:rFonts w:ascii="Times New Roman" w:hAnsi="Times New Roman"/>
          <w:spacing w:val="0"/>
          <w:sz w:val="20"/>
        </w:rPr>
        <w:t>air v</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alue levels during the years ended December 31, 2020 and 2019.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5. Marketable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F-76 </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5. Marketable Securities(cont.) </w:t>
      </w:r>
    </w:p>
    <w:p>
      <w:pPr>
        <w:pStyle w:val="TextBody"/>
        <w:spacing w:before="0" w:after="0"/>
        <w:ind w:left="0" w:right="0" w:hanging="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The following table summarizes the Company</w:t>
      </w:r>
    </w:p>
    <w:p>
      <w:pPr>
        <w:pStyle w:val="TextBody"/>
        <w:spacing w:before="0" w:after="0"/>
        <w:jc w:val="left"/>
        <w:rPr>
          <w:spacing w:val="0"/>
        </w:rPr>
      </w:pPr>
      <w:r>
        <w:rPr>
          <w:spacing w:val="0"/>
        </w:rPr>
        <w:t>’</w:t>
      </w:r>
      <w:r>
        <w:rPr>
          <w:rFonts w:ascii="Times New Roman" w:hAnsi="Times New Roman"/>
          <w:spacing w:val="0"/>
          <w:sz w:val="20"/>
        </w:rPr>
        <w:t>s m</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arketable debt securities, classified as </w:t>
      </w:r>
    </w:p>
    <w:p>
      <w:pPr>
        <w:pStyle w:val="TextBody"/>
        <w:spacing w:before="0" w:after="0"/>
        <w:jc w:val="left"/>
        <w:rPr>
          <w:rFonts w:ascii="Times New Roman" w:hAnsi="Times New Roman"/>
          <w:spacing w:val="0"/>
          <w:sz w:val="20"/>
        </w:rPr>
      </w:pPr>
      <w:r>
        <w:rPr>
          <w:rFonts w:ascii="Times New Roman" w:hAnsi="Times New Roman"/>
          <w:spacing w:val="0"/>
          <w:sz w:val="20"/>
        </w:rPr>
        <w:t>available-for-sale:</w:t>
      </w:r>
    </w:p>
    <w:p>
      <w:pPr>
        <w:pStyle w:val="TextBody"/>
        <w:spacing w:before="0" w:after="0"/>
        <w:jc w:val="left"/>
        <w:rPr>
          <w:spacing w:val="0"/>
        </w:rPr>
      </w:pPr>
      <w:r>
        <w:rPr>
          <w:spacing w:val="0"/>
        </w:rPr>
        <w:t> </w:t>
      </w:r>
    </w:p>
    <w:tbl>
      <w:tblPr>
        <w:tblW w:w="7764" w:type="dxa"/>
        <w:jc w:val="left"/>
        <w:tblInd w:w="0" w:type="dxa"/>
        <w:tblCellMar>
          <w:top w:w="0" w:type="dxa"/>
          <w:left w:w="0" w:type="dxa"/>
          <w:bottom w:w="0" w:type="dxa"/>
          <w:right w:w="0" w:type="dxa"/>
        </w:tblCellMar>
      </w:tblPr>
      <w:tblGrid>
        <w:gridCol w:w="2555"/>
        <w:gridCol w:w="120"/>
        <w:gridCol w:w="163"/>
        <w:gridCol w:w="937"/>
        <w:gridCol w:w="60"/>
        <w:gridCol w:w="120"/>
        <w:gridCol w:w="395"/>
        <w:gridCol w:w="735"/>
        <w:gridCol w:w="60"/>
        <w:gridCol w:w="120"/>
        <w:gridCol w:w="208"/>
        <w:gridCol w:w="922"/>
        <w:gridCol w:w="60"/>
        <w:gridCol w:w="120"/>
        <w:gridCol w:w="166"/>
        <w:gridCol w:w="948"/>
        <w:gridCol w:w="7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14" w:type="dxa"/>
            <w:gridSpan w:val="14"/>
            <w:tcBorders/>
            <w:shd w:fill="auto" w:val="clear"/>
            <w:vAlign w:val="center"/>
          </w:tcPr>
          <w:p>
            <w:pPr>
              <w:pStyle w:val="TableContents"/>
              <w:spacing w:before="0" w:after="0"/>
              <w:jc w:val="center"/>
              <w:rPr>
                <w:b/>
                <w:spacing w:val="0"/>
              </w:rPr>
            </w:pPr>
            <w:r>
              <w:rPr>
                <w:b/>
                <w:spacing w:val="0"/>
              </w:rPr>
              <w:t>Fair Value Measurements</w:t>
              <w:br/>
              <w:t>as of December 31, 2020</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0"/>
              <w:jc w:val="center"/>
              <w:rPr>
                <w:b/>
                <w:spacing w:val="0"/>
              </w:rPr>
            </w:pPr>
            <w:r>
              <w:rPr>
                <w:b/>
                <w:spacing w:val="0"/>
              </w:rPr>
              <w:t>Amortized</w:t>
              <w:br/>
              <w:t>Cost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Gross</w:t>
              <w:br/>
              <w:t>Unrealized</w:t>
              <w:br/>
              <w:t>Gains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Gross</w:t>
              <w:br/>
              <w:t>Unrealized</w:t>
              <w:br/>
              <w:t>Loss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4" w:type="dxa"/>
            <w:gridSpan w:val="2"/>
            <w:tcBorders/>
            <w:shd w:fill="auto" w:val="clear"/>
            <w:vAlign w:val="center"/>
          </w:tcPr>
          <w:p>
            <w:pPr>
              <w:pStyle w:val="TableContents"/>
              <w:spacing w:before="0" w:after="0"/>
              <w:jc w:val="center"/>
              <w:rPr>
                <w:b/>
                <w:spacing w:val="0"/>
              </w:rPr>
            </w:pPr>
            <w:r>
              <w:rPr>
                <w:b/>
                <w:spacing w:val="0"/>
              </w:rPr>
              <w:t>Fair Value</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14" w:type="dxa"/>
            <w:gridSpan w:val="14"/>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rPr/>
            </w:pPr>
            <w:r>
              <w:rPr/>
              <w:t> </w:t>
            </w:r>
          </w:p>
        </w:tc>
        <w:tc>
          <w:tcPr>
            <w:tcW w:w="7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9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w:t>
            </w:r>
          </w:p>
        </w:tc>
        <w:tc>
          <w:tcPr>
            <w:tcW w:w="937" w:type="dxa"/>
            <w:tcBorders/>
            <w:shd w:fill="auto" w:val="clear"/>
            <w:vAlign w:val="center"/>
          </w:tcPr>
          <w:p>
            <w:pPr>
              <w:pStyle w:val="TableContents"/>
              <w:spacing w:before="0" w:after="283"/>
              <w:jc w:val="right"/>
              <w:rPr/>
            </w:pPr>
            <w:r>
              <w:rPr/>
              <w:t>131,927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w:t>
            </w:r>
          </w:p>
        </w:tc>
        <w:tc>
          <w:tcPr>
            <w:tcW w:w="735" w:type="dxa"/>
            <w:tcBorders/>
            <w:shd w:fill="auto" w:val="clear"/>
            <w:vAlign w:val="center"/>
          </w:tcPr>
          <w:p>
            <w:pPr>
              <w:pStyle w:val="TableContents"/>
              <w:spacing w:before="0" w:after="283"/>
              <w:jc w:val="right"/>
              <w:rPr/>
            </w:pPr>
            <w:r>
              <w:rPr/>
              <w:t>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92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w:t>
            </w:r>
          </w:p>
        </w:tc>
        <w:tc>
          <w:tcPr>
            <w:tcW w:w="948" w:type="dxa"/>
            <w:tcBorders/>
            <w:shd w:fill="auto" w:val="clear"/>
            <w:vAlign w:val="center"/>
          </w:tcPr>
          <w:p>
            <w:pPr>
              <w:pStyle w:val="TableContents"/>
              <w:spacing w:before="0" w:after="283"/>
              <w:jc w:val="right"/>
              <w:rPr/>
            </w:pPr>
            <w:r>
              <w:rPr/>
              <w:t>131,939</w:t>
            </w:r>
          </w:p>
        </w:tc>
        <w:tc>
          <w:tcPr>
            <w:tcW w:w="75"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government agency bonds</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937" w:type="dxa"/>
            <w:tcBorders/>
            <w:shd w:fill="CCEEFF" w:val="clear"/>
            <w:vAlign w:val="center"/>
          </w:tcPr>
          <w:p>
            <w:pPr>
              <w:pStyle w:val="TableContents"/>
              <w:spacing w:before="0" w:after="283"/>
              <w:jc w:val="right"/>
              <w:rPr/>
            </w:pPr>
            <w:r>
              <w:rPr/>
              <w:t>29,995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rPr/>
            </w:pPr>
            <w:r>
              <w:rPr/>
              <w:t> </w:t>
            </w:r>
          </w:p>
        </w:tc>
        <w:tc>
          <w:tcPr>
            <w:tcW w:w="735" w:type="dxa"/>
            <w:tcBorders/>
            <w:shd w:fill="CCEEFF" w:val="clear"/>
            <w:vAlign w:val="center"/>
          </w:tcPr>
          <w:p>
            <w:pPr>
              <w:pStyle w:val="TableContents"/>
              <w:spacing w:before="0" w:after="283"/>
              <w:jc w:val="right"/>
              <w:rPr/>
            </w:pPr>
            <w:r>
              <w:rPr/>
              <w:t>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922" w:type="dxa"/>
            <w:tcBorders/>
            <w:shd w:fill="CCEEFF" w:val="clear"/>
            <w:vAlign w:val="center"/>
          </w:tcPr>
          <w:p>
            <w:pPr>
              <w:pStyle w:val="TableContents"/>
              <w:spacing w:before="0" w:after="283"/>
              <w:jc w:val="right"/>
              <w:rPr/>
            </w:pPr>
            <w:r>
              <w:rPr/>
              <w:t>    —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jc w:val="right"/>
              <w:rPr/>
            </w:pPr>
            <w:r>
              <w:rPr/>
              <w:t>30,000</w:t>
            </w:r>
          </w:p>
        </w:tc>
        <w:tc>
          <w:tcPr>
            <w:tcW w:w="75"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3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w:t>
            </w:r>
          </w:p>
        </w:tc>
        <w:tc>
          <w:tcPr>
            <w:tcW w:w="937" w:type="dxa"/>
            <w:tcBorders/>
            <w:shd w:fill="auto" w:val="clear"/>
            <w:vAlign w:val="center"/>
          </w:tcPr>
          <w:p>
            <w:pPr>
              <w:pStyle w:val="TableContents"/>
              <w:spacing w:before="0" w:after="283"/>
              <w:jc w:val="right"/>
              <w:rPr/>
            </w:pPr>
            <w:r>
              <w:rPr/>
              <w:t>161,922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w:t>
            </w:r>
          </w:p>
        </w:tc>
        <w:tc>
          <w:tcPr>
            <w:tcW w:w="735" w:type="dxa"/>
            <w:tcBorders/>
            <w:shd w:fill="auto" w:val="clear"/>
            <w:vAlign w:val="center"/>
          </w:tcPr>
          <w:p>
            <w:pPr>
              <w:pStyle w:val="TableContents"/>
              <w:spacing w:before="0" w:after="283"/>
              <w:jc w:val="right"/>
              <w:rPr/>
            </w:pPr>
            <w:r>
              <w:rPr/>
              <w:t>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92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w:t>
            </w:r>
          </w:p>
        </w:tc>
        <w:tc>
          <w:tcPr>
            <w:tcW w:w="948" w:type="dxa"/>
            <w:tcBorders/>
            <w:shd w:fill="auto" w:val="clear"/>
            <w:vAlign w:val="center"/>
          </w:tcPr>
          <w:p>
            <w:pPr>
              <w:pStyle w:val="TableContents"/>
              <w:spacing w:before="0" w:after="283"/>
              <w:jc w:val="right"/>
              <w:rPr/>
            </w:pPr>
            <w:r>
              <w:rPr/>
              <w:t>161,939</w:t>
            </w:r>
          </w:p>
        </w:tc>
        <w:tc>
          <w:tcPr>
            <w:tcW w:w="75"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3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4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7155" w:type="dxa"/>
        <w:jc w:val="left"/>
        <w:tblInd w:w="0" w:type="dxa"/>
        <w:tblCellMar>
          <w:top w:w="0" w:type="dxa"/>
          <w:left w:w="0" w:type="dxa"/>
          <w:bottom w:w="0" w:type="dxa"/>
          <w:right w:w="0" w:type="dxa"/>
        </w:tblCellMar>
      </w:tblPr>
      <w:tblGrid>
        <w:gridCol w:w="2240"/>
        <w:gridCol w:w="120"/>
        <w:gridCol w:w="187"/>
        <w:gridCol w:w="913"/>
        <w:gridCol w:w="60"/>
        <w:gridCol w:w="120"/>
        <w:gridCol w:w="395"/>
        <w:gridCol w:w="735"/>
        <w:gridCol w:w="60"/>
        <w:gridCol w:w="120"/>
        <w:gridCol w:w="208"/>
        <w:gridCol w:w="922"/>
        <w:gridCol w:w="60"/>
        <w:gridCol w:w="120"/>
        <w:gridCol w:w="140"/>
        <w:gridCol w:w="680"/>
        <w:gridCol w:w="75"/>
      </w:tblGrid>
      <w:tr>
        <w:trPr/>
        <w:tc>
          <w:tcPr>
            <w:tcW w:w="22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720" w:type="dxa"/>
            <w:gridSpan w:val="14"/>
            <w:tcBorders/>
            <w:shd w:fill="auto" w:val="clear"/>
            <w:vAlign w:val="center"/>
          </w:tcPr>
          <w:p>
            <w:pPr>
              <w:pStyle w:val="TableContents"/>
              <w:spacing w:before="0" w:after="0"/>
              <w:jc w:val="center"/>
              <w:rPr>
                <w:b/>
                <w:spacing w:val="0"/>
              </w:rPr>
            </w:pPr>
            <w:r>
              <w:rPr>
                <w:b/>
                <w:spacing w:val="0"/>
              </w:rPr>
              <w:t>Fair Value Measurements</w:t>
              <w:br/>
              <w:t>as of December 31, 2019</w:t>
            </w:r>
          </w:p>
        </w:tc>
        <w:tc>
          <w:tcPr>
            <w:tcW w:w="75" w:type="dxa"/>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0"/>
              <w:jc w:val="center"/>
              <w:rPr>
                <w:b/>
                <w:spacing w:val="0"/>
              </w:rPr>
            </w:pPr>
            <w:r>
              <w:rPr>
                <w:b/>
                <w:spacing w:val="0"/>
              </w:rPr>
              <w:t>Amortized</w:t>
              <w:br/>
              <w:t>Cost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Gross</w:t>
              <w:br/>
              <w:t>Unrealized</w:t>
              <w:br/>
              <w:t>Gains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0"/>
              <w:jc w:val="center"/>
              <w:rPr>
                <w:b/>
                <w:spacing w:val="0"/>
              </w:rPr>
            </w:pPr>
            <w:r>
              <w:rPr>
                <w:b/>
                <w:spacing w:val="0"/>
              </w:rPr>
              <w:t>Gross</w:t>
              <w:br/>
              <w:t>Unrealized</w:t>
              <w:br/>
              <w:t>Loss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0"/>
              <w:jc w:val="center"/>
              <w:rPr>
                <w:b/>
                <w:spacing w:val="0"/>
              </w:rPr>
            </w:pPr>
            <w:r>
              <w:rPr>
                <w:b/>
                <w:spacing w:val="0"/>
              </w:rPr>
              <w:t>Fair</w:t>
              <w:br/>
              <w:t>Value</w:t>
            </w:r>
          </w:p>
        </w:tc>
        <w:tc>
          <w:tcPr>
            <w:tcW w:w="75" w:type="dxa"/>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720" w:type="dxa"/>
            <w:gridSpan w:val="14"/>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Marketable debt securities:</w:t>
            </w:r>
          </w:p>
        </w:tc>
        <w:tc>
          <w:tcPr>
            <w:tcW w:w="12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 </w:t>
            </w:r>
          </w:p>
        </w:tc>
        <w:tc>
          <w:tcPr>
            <w:tcW w:w="91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rPr/>
            </w:pPr>
            <w:r>
              <w:rPr/>
              <w:t> </w:t>
            </w:r>
          </w:p>
        </w:tc>
        <w:tc>
          <w:tcPr>
            <w:tcW w:w="7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9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U.S. Treasury bills</w:t>
            </w:r>
          </w:p>
        </w:tc>
        <w:tc>
          <w:tcPr>
            <w:tcW w:w="12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w:t>
            </w:r>
          </w:p>
        </w:tc>
        <w:tc>
          <w:tcPr>
            <w:tcW w:w="913" w:type="dxa"/>
            <w:tcBorders/>
            <w:shd w:fill="auto" w:val="clear"/>
            <w:vAlign w:val="center"/>
          </w:tcPr>
          <w:p>
            <w:pPr>
              <w:pStyle w:val="TableContents"/>
              <w:spacing w:before="0" w:after="283"/>
              <w:jc w:val="right"/>
              <w:rPr/>
            </w:pPr>
            <w:r>
              <w:rPr/>
              <w:t>17,526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w:t>
            </w:r>
          </w:p>
        </w:tc>
        <w:tc>
          <w:tcPr>
            <w:tcW w:w="735" w:type="dxa"/>
            <w:tcBorders/>
            <w:shd w:fill="auto" w:val="clear"/>
            <w:vAlign w:val="center"/>
          </w:tcPr>
          <w:p>
            <w:pPr>
              <w:pStyle w:val="TableContents"/>
              <w:spacing w:before="0" w:after="283"/>
              <w:jc w:val="right"/>
              <w:rPr/>
            </w:pPr>
            <w:r>
              <w:rPr/>
              <w:t>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922" w:type="dxa"/>
            <w:tcBorders/>
            <w:shd w:fill="auto" w:val="clear"/>
            <w:vAlign w:val="center"/>
          </w:tcPr>
          <w:p>
            <w:pPr>
              <w:pStyle w:val="TableContents"/>
              <w:spacing w:before="0" w:after="283"/>
              <w:jc w:val="right"/>
              <w:rPr/>
            </w:pPr>
            <w:r>
              <w:rPr/>
              <w:t>    —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17,536</w:t>
            </w:r>
          </w:p>
        </w:tc>
        <w:tc>
          <w:tcPr>
            <w:tcW w:w="75" w:type="dxa"/>
            <w:tcBorders/>
            <w:shd w:fill="auto"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jc w:val="right"/>
              <w:rPr/>
            </w:pPr>
            <w:r>
              <w:rPr/>
              <w:t>17,526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95" w:type="dxa"/>
            <w:tcBorders/>
            <w:shd w:fill="CCEEFF" w:val="clear"/>
            <w:vAlign w:val="center"/>
          </w:tcPr>
          <w:p>
            <w:pPr>
              <w:pStyle w:val="TableContents"/>
              <w:spacing w:before="0" w:after="283"/>
              <w:rPr/>
            </w:pPr>
            <w:r>
              <w:rPr/>
              <w:t>$</w:t>
            </w:r>
          </w:p>
        </w:tc>
        <w:tc>
          <w:tcPr>
            <w:tcW w:w="735" w:type="dxa"/>
            <w:tcBorders/>
            <w:shd w:fill="CCEEFF" w:val="clear"/>
            <w:vAlign w:val="center"/>
          </w:tcPr>
          <w:p>
            <w:pPr>
              <w:pStyle w:val="TableContents"/>
              <w:spacing w:before="0" w:after="283"/>
              <w:jc w:val="right"/>
              <w:rPr/>
            </w:pPr>
            <w:r>
              <w:rPr/>
              <w:t>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92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17,536</w:t>
            </w:r>
          </w:p>
        </w:tc>
        <w:tc>
          <w:tcPr>
            <w:tcW w:w="75" w:type="dxa"/>
            <w:tcBorders/>
            <w:shd w:fill="CCEEFF" w:val="clear"/>
            <w:vAlign w:val="center"/>
          </w:tcPr>
          <w:p>
            <w:pPr>
              <w:pStyle w:val="TableContents"/>
              <w:spacing w:before="0" w:after="283"/>
              <w:rPr/>
            </w:pPr>
            <w:r>
              <w:rPr/>
              <w:t> </w:t>
            </w:r>
          </w:p>
        </w:tc>
      </w:tr>
      <w:tr>
        <w:trPr/>
        <w:tc>
          <w:tcPr>
            <w:tcW w:w="22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1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The Company holds investment grade marketable securities, and none were considered to be in an unrealized</w:t>
      </w:r>
    </w:p>
    <w:p>
      <w:pPr>
        <w:pStyle w:val="TextBody"/>
        <w:spacing w:before="240" w:after="0"/>
        <w:jc w:val="left"/>
        <w:rPr>
          <w:rFonts w:ascii="Times New Roman" w:hAnsi="Times New Roman"/>
          <w:spacing w:val="0"/>
          <w:sz w:val="20"/>
        </w:rPr>
      </w:pPr>
      <w:r>
        <w:rPr>
          <w:rFonts w:ascii="Times New Roman" w:hAnsi="Times New Roman"/>
          <w:spacing w:val="0"/>
          <w:sz w:val="20"/>
        </w:rPr>
        <w:t>loss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position as of December 31, 2020 and 2019. As a result, the Company did not record any reserves for credit losses related to its marketable debt securities during the years then ended. Marketable securities include $0.1 million in accrued interest for each of the years ended December 31, 2020 and December 31, 2019.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6. Supplemental Balance Sheet Information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Property and equipment, net as of December 31, 2020 and 2019 consists of the following: </w:t>
      </w:r>
    </w:p>
    <w:p>
      <w:pPr>
        <w:pStyle w:val="TextBody"/>
        <w:spacing w:before="0" w:after="0"/>
        <w:jc w:val="left"/>
        <w:rPr>
          <w:spacing w:val="0"/>
        </w:rPr>
      </w:pPr>
      <w:r>
        <w:rPr>
          <w:spacing w:val="0"/>
        </w:rPr>
        <w:t> </w:t>
      </w:r>
    </w:p>
    <w:tbl>
      <w:tblPr>
        <w:tblW w:w="4760" w:type="dxa"/>
        <w:jc w:val="left"/>
        <w:tblInd w:w="0" w:type="dxa"/>
        <w:tblCellMar>
          <w:top w:w="0" w:type="dxa"/>
          <w:left w:w="0" w:type="dxa"/>
          <w:bottom w:w="0" w:type="dxa"/>
          <w:right w:w="0" w:type="dxa"/>
        </w:tblCellMar>
      </w:tblPr>
      <w:tblGrid>
        <w:gridCol w:w="2645"/>
        <w:gridCol w:w="120"/>
        <w:gridCol w:w="140"/>
        <w:gridCol w:w="635"/>
        <w:gridCol w:w="155"/>
        <w:gridCol w:w="120"/>
        <w:gridCol w:w="140"/>
        <w:gridCol w:w="635"/>
        <w:gridCol w:w="17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5" w:type="dxa"/>
            <w:gridSpan w:val="6"/>
            <w:tcBorders/>
            <w:shd w:fill="auto" w:val="clear"/>
            <w:vAlign w:val="center"/>
          </w:tcPr>
          <w:p>
            <w:pPr>
              <w:pStyle w:val="TableContents"/>
              <w:spacing w:before="0" w:after="0"/>
              <w:jc w:val="center"/>
              <w:rPr>
                <w:b/>
                <w:spacing w:val="0"/>
              </w:rPr>
            </w:pPr>
            <w:r>
              <w:rPr>
                <w:b/>
                <w:spacing w:val="0"/>
              </w:rPr>
              <w:t>December 31,</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5" w:type="dxa"/>
            <w:gridSpan w:val="2"/>
            <w:tcBorders/>
            <w:shd w:fill="auto" w:val="clear"/>
            <w:vAlign w:val="center"/>
          </w:tcPr>
          <w:p>
            <w:pPr>
              <w:pStyle w:val="TableContents"/>
              <w:spacing w:before="0" w:after="0"/>
              <w:jc w:val="center"/>
              <w:rPr>
                <w:b/>
                <w:spacing w:val="0"/>
              </w:rPr>
            </w:pPr>
            <w:r>
              <w:rPr>
                <w:b/>
                <w:spacing w:val="0"/>
              </w:rPr>
              <w:t>2019</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5" w:type="dxa"/>
            <w:gridSpan w:val="6"/>
            <w:tcBorders/>
            <w:shd w:fill="auto" w:val="clear"/>
            <w:vAlign w:val="center"/>
          </w:tcPr>
          <w:p>
            <w:pPr>
              <w:pStyle w:val="TableContents"/>
              <w:spacing w:before="0" w:after="0"/>
              <w:jc w:val="center"/>
              <w:rPr>
                <w:b/>
                <w:spacing w:val="0"/>
              </w:rPr>
            </w:pPr>
            <w:r>
              <w:rPr>
                <w:b/>
                <w:spacing w:val="0"/>
              </w:rPr>
              <w:t>(in thousands)</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Laboratory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jc w:val="right"/>
              <w:rPr/>
            </w:pPr>
            <w:r>
              <w:rPr/>
              <w:t>4,580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jc w:val="right"/>
              <w:rPr/>
            </w:pPr>
            <w:r>
              <w:rPr/>
              <w:t>3,823</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Computer equipment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172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172</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Computer software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125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9</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Furniture and fixtures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384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246</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246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230</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5,507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jc w:val="right"/>
              <w:rPr/>
            </w:pPr>
            <w:r>
              <w:rPr/>
              <w:t>4,480</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depreciation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(1,684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(1,038</w:t>
            </w:r>
          </w:p>
        </w:tc>
        <w:tc>
          <w:tcPr>
            <w:tcW w:w="17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jc w:val="right"/>
              <w:rPr/>
            </w:pPr>
            <w:r>
              <w:rPr/>
              <w:t>3,823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jc w:val="right"/>
              <w:rPr/>
            </w:pPr>
            <w:r>
              <w:rPr/>
              <w:t>3,442</w:t>
            </w:r>
          </w:p>
        </w:tc>
        <w:tc>
          <w:tcPr>
            <w:tcW w:w="17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Depreciation expense was $0.7 million and $0.6 million for the years ended December 31, 2020 and 2019, respectively.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F-77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6. Supplemental Balance Sheet Information(cont.)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Expenses and Other Current Liabilities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as of December 31, 2020 and 2019 include the following: </w:t>
      </w:r>
    </w:p>
    <w:p>
      <w:pPr>
        <w:pStyle w:val="TextBody"/>
        <w:spacing w:before="0" w:after="0"/>
        <w:jc w:val="left"/>
        <w:rPr>
          <w:spacing w:val="0"/>
        </w:rPr>
      </w:pPr>
      <w:r>
        <w:rPr>
          <w:spacing w:val="0"/>
        </w:rPr>
        <w:t> </w:t>
      </w:r>
    </w:p>
    <w:tbl>
      <w:tblPr>
        <w:tblW w:w="5950" w:type="dxa"/>
        <w:jc w:val="left"/>
        <w:tblInd w:w="0" w:type="dxa"/>
        <w:tblCellMar>
          <w:top w:w="0" w:type="dxa"/>
          <w:left w:w="0" w:type="dxa"/>
          <w:bottom w:w="0" w:type="dxa"/>
          <w:right w:w="0" w:type="dxa"/>
        </w:tblCellMar>
      </w:tblPr>
      <w:tblGrid>
        <w:gridCol w:w="4175"/>
        <w:gridCol w:w="120"/>
        <w:gridCol w:w="140"/>
        <w:gridCol w:w="560"/>
        <w:gridCol w:w="60"/>
        <w:gridCol w:w="120"/>
        <w:gridCol w:w="140"/>
        <w:gridCol w:w="560"/>
        <w:gridCol w:w="75"/>
      </w:tblGrid>
      <w:tr>
        <w:trPr/>
        <w:tc>
          <w:tcPr>
            <w:tcW w:w="41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0" w:type="dxa"/>
            <w:gridSpan w:val="6"/>
            <w:tcBorders/>
            <w:shd w:fill="auto" w:val="clear"/>
            <w:vAlign w:val="center"/>
          </w:tcPr>
          <w:p>
            <w:pPr>
              <w:pStyle w:val="TableContents"/>
              <w:spacing w:before="0" w:after="0"/>
              <w:jc w:val="center"/>
              <w:rPr>
                <w:b/>
                <w:spacing w:val="0"/>
              </w:rPr>
            </w:pPr>
            <w:r>
              <w:rPr>
                <w:b/>
                <w:spacing w:val="0"/>
              </w:rPr>
              <w:t>December 31,</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0"/>
              <w:jc w:val="center"/>
              <w:rPr>
                <w:b/>
                <w:spacing w:val="0"/>
              </w:rPr>
            </w:pPr>
            <w:r>
              <w:rPr>
                <w:b/>
                <w:spacing w:val="0"/>
              </w:rPr>
              <w:t>2019</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0" w:type="dxa"/>
            <w:gridSpan w:val="6"/>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Payroll and employee-related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2,652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1,830</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2,764</w:t>
            </w:r>
          </w:p>
        </w:tc>
        <w:tc>
          <w:tcPr>
            <w:tcW w:w="75" w:type="dxa"/>
            <w:tcBorders/>
            <w:shd w:fill="auto" w:val="clear"/>
            <w:vAlign w:val="center"/>
          </w:tcPr>
          <w:p>
            <w:pPr>
              <w:pStyle w:val="TableContents"/>
              <w:spacing w:before="0" w:after="283"/>
              <w:rPr/>
            </w:pPr>
            <w:r>
              <w:rPr/>
              <w:t> </w:t>
            </w:r>
          </w:p>
        </w:tc>
      </w:tr>
      <w:tr>
        <w:trPr/>
        <w:tc>
          <w:tcPr>
            <w:tcW w:w="4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338</w:t>
            </w:r>
          </w:p>
        </w:tc>
        <w:tc>
          <w:tcPr>
            <w:tcW w:w="75" w:type="dxa"/>
            <w:tcBorders/>
            <w:shd w:fill="CCEEFF"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accrued expenses and other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6,140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4,932</w:t>
            </w:r>
          </w:p>
        </w:tc>
        <w:tc>
          <w:tcPr>
            <w:tcW w:w="75"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7. Leases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Leases </w:t>
      </w:r>
    </w:p>
    <w:p>
      <w:pPr>
        <w:pStyle w:val="TextBody"/>
        <w:spacing w:before="120" w:after="0"/>
        <w:jc w:val="left"/>
        <w:rPr>
          <w:rFonts w:ascii="Times New Roman" w:hAnsi="Times New Roman"/>
          <w:sz w:val="20"/>
        </w:rPr>
      </w:pPr>
      <w:r>
        <w:rPr>
          <w:rFonts w:ascii="Times New Roman" w:hAnsi="Times New Roman"/>
          <w:sz w:val="20"/>
        </w:rPr>
        <w:t xml:space="preserve">In July 2017, the Company entered into a lease of office and laboratory space at 100 Binney Street in Cambridge, Massachusetts for the Company’s corporate headquarters. The lease commenced in March 2018 and rent commenced in June 2018. This lease has a </w:t>
      </w:r>
    </w:p>
    <w:p>
      <w:pPr>
        <w:pStyle w:val="TextBody"/>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spacing w:before="120" w:after="0"/>
        <w:jc w:val="left"/>
        <w:rPr>
          <w:rFonts w:ascii="Times New Roman" w:hAnsi="Times New Roman"/>
          <w:sz w:val="20"/>
        </w:rPr>
      </w:pPr>
      <w:r>
        <w:rPr>
          <w:rFonts w:ascii="Times New Roman" w:hAnsi="Times New Roman"/>
          <w:sz w:val="20"/>
        </w:rPr>
        <w:t xml:space="preserve">term of eight years with an option to extend for one additional three-year period. </w:t>
      </w:r>
    </w:p>
    <w:p>
      <w:pPr>
        <w:pStyle w:val="TextBody"/>
        <w:spacing w:before="240" w:after="0"/>
        <w:jc w:val="left"/>
        <w:rPr>
          <w:rFonts w:ascii="Times New Roman" w:hAnsi="Times New Roman"/>
          <w:sz w:val="20"/>
        </w:rPr>
      </w:pPr>
      <w:r>
        <w:rPr>
          <w:rFonts w:ascii="Times New Roman" w:hAnsi="Times New Roman"/>
          <w:sz w:val="20"/>
        </w:rPr>
        <w:t xml:space="preserve">Upon commencement of the lease, the Company recorded an operating lease liability in the amount of $9.5 million and related operating lease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z w:val="20"/>
        </w:rPr>
      </w:pPr>
      <w:r>
        <w:rPr>
          <w:rFonts w:ascii="Times New Roman" w:hAnsi="Times New Roman"/>
          <w:sz w:val="20"/>
        </w:rPr>
        <w:t xml:space="preserve">asset in the amount of $9.8 million. Upfront payments totaling $0.3 million for rent and tenant improvements were included as a reduction in the calculation of the lease liability amount upon the commencement of the lease. There were no tenant obligation payments made for leasehold improvements for the periods ended December 31, 2020 and 2019. The fixed annual rent payable under the lease is $1.7 million, increasing by 3% annually from the rent commencement date. The minimum rent payments to be paid over the </w:t>
      </w:r>
    </w:p>
    <w:p>
      <w:pPr>
        <w:pStyle w:val="TextBody"/>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spacing w:before="240" w:after="0"/>
        <w:jc w:val="left"/>
        <w:rPr>
          <w:rFonts w:ascii="Times New Roman" w:hAnsi="Times New Roman"/>
          <w:sz w:val="20"/>
        </w:rPr>
      </w:pPr>
      <w:r>
        <w:rPr>
          <w:rFonts w:ascii="Times New Roman" w:hAnsi="Times New Roman"/>
          <w:sz w:val="20"/>
        </w:rPr>
        <w:t xml:space="preserve">term of this lease totaled $15.6 million. The additional rental payments associated with the renewal option are not included in the calculation of the operating lease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z w:val="20"/>
        </w:rPr>
      </w:pPr>
      <w:r>
        <w:rPr>
          <w:rFonts w:ascii="Times New Roman" w:hAnsi="Times New Roman"/>
          <w:sz w:val="20"/>
        </w:rPr>
        <w:t xml:space="preserve">asset and associated operating lease liability as the renewal is not considered probable of occurring. The lease agreement required the Company to provide a letter of credit for $0.6 million that is collateralized with cash that is recorded as restricted cash in the accompanying balance sheet.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September 2019, the Company entered into a new lease for office and laboratory space at 201 Brookline Avenue in Boston, Massachusetts. As of December 31, 2020, the space was undergoing construction and the lease is expected to commence in 2022. The Company is not deemed to be the accounting owner of the construction project due to the nature of the work being performed and the Company’s lack of control over the project. In conjunction with executing the lease, the Company provided the landlord a letter of credit for $1.7 million. The letter of credit is collateralized with cash that is recorded as restricted cash in the accompanying balance sheet as of December 31, 2020. Upon delivery date notice of the lease, which is estimated to occur in the second half of 2021, the Company will be required to provide an additional letter of credit in the amount of $1.7 million. </w:t>
      </w:r>
    </w:p>
    <w:p>
      <w:pPr>
        <w:pStyle w:val="TextBody"/>
        <w:spacing w:before="240" w:after="0"/>
        <w:jc w:val="left"/>
        <w:rPr>
          <w:rFonts w:ascii="Times New Roman" w:hAnsi="Times New Roman"/>
          <w:sz w:val="20"/>
        </w:rPr>
      </w:pPr>
      <w:r>
        <w:rPr>
          <w:rFonts w:ascii="Times New Roman" w:hAnsi="Times New Roman"/>
          <w:sz w:val="20"/>
        </w:rPr>
        <w:t xml:space="preserve">Upon commencement of the 201 Brookline Avenue lease, the Company will determine the appropriate classification of the lease, the amount of the associated lease liability and the amount of the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z w:val="20"/>
        </w:rPr>
      </w:pPr>
      <w:r>
        <w:rPr>
          <w:rFonts w:ascii="Times New Roman" w:hAnsi="Times New Roman"/>
          <w:sz w:val="20"/>
        </w:rPr>
        <w:t xml:space="preserve">asset that will be recognized on the balance sheet. The lease has a </w:t>
      </w:r>
    </w:p>
    <w:p>
      <w:pPr>
        <w:pStyle w:val="TextBody"/>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spacing w:before="240" w:after="0"/>
        <w:jc w:val="left"/>
        <w:rPr>
          <w:rFonts w:ascii="Times New Roman" w:hAnsi="Times New Roman"/>
          <w:sz w:val="20"/>
        </w:rPr>
      </w:pPr>
      <w:r>
        <w:rPr>
          <w:rFonts w:ascii="Times New Roman" w:hAnsi="Times New Roman"/>
          <w:sz w:val="20"/>
        </w:rPr>
        <w:t xml:space="preserve">term of ten years with an option to extend for up to two five-year periods. The fixed annual rent payable under the lease is $5.1 million, increasing </w:t>
      </w:r>
    </w:p>
    <w:p>
      <w:pPr>
        <w:pStyle w:val="TextBody"/>
        <w:spacing w:before="0" w:after="0"/>
        <w:jc w:val="left"/>
        <w:rPr/>
      </w:pPr>
      <w:r>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F-78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7. Leases(cont.) </w:t>
      </w:r>
    </w:p>
    <w:p>
      <w:pPr>
        <w:pStyle w:val="TextBody"/>
        <w:spacing w:before="0" w:after="0"/>
        <w:ind w:left="0" w:right="0" w:hanging="0"/>
        <w:jc w:val="left"/>
        <w:rPr>
          <w:spacing w:val="0"/>
        </w:rPr>
      </w:pPr>
      <w:r>
        <w:rPr>
          <w:spacing w:val="0"/>
        </w:rPr>
        <w:t> </w:t>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p>
      <w:pPr>
        <w:pStyle w:val="TextBody"/>
        <w:spacing w:lineRule="atLeast" w:line="200" w:before="0" w:after="0"/>
        <w:jc w:val="left"/>
        <w:rPr>
          <w:spacing w:val="0"/>
        </w:rPr>
      </w:pPr>
      <w:r>
        <w:rPr>
          <w:spacing w:val="0"/>
        </w:rPr>
        <w:t> </w:t>
      </w:r>
    </w:p>
    <w:p>
      <w:pPr>
        <w:pStyle w:val="TextBody"/>
        <w:spacing w:before="0" w:after="0"/>
        <w:jc w:val="left"/>
        <w:rPr>
          <w:spacing w:val="0"/>
          <w:sz w:val="20"/>
        </w:rPr>
      </w:pPr>
      <w:r>
        <w:rPr>
          <w:spacing w:val="0"/>
          <w:sz w:val="20"/>
        </w:rPr>
        <w:t xml:space="preserve">3% </w:t>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annually from the rent commencement date. The Company is entitled to a tenant improvements allowance of up</w:t>
      </w:r>
    </w:p>
    <w:p>
      <w:pPr>
        <w:pStyle w:val="TextBody"/>
        <w:widowControl/>
        <w:spacing w:before="0" w:after="0"/>
        <w:jc w:val="left"/>
        <w:rPr>
          <w:caps w:val="false"/>
          <w:smallCaps w:val="false"/>
          <w:color w:val="000000"/>
          <w:spacing w:val="0"/>
        </w:rPr>
      </w:pPr>
      <w:r>
        <w:rPr>
          <w:caps w:val="false"/>
          <w:smallCaps w:val="false"/>
          <w:color w:val="000000"/>
          <w:spacing w:val="0"/>
        </w:rPr>
        <w:t> </w:t>
      </w:r>
    </w:p>
    <w:p>
      <w:pPr>
        <w:pStyle w:val="TextBody"/>
        <w:spacing w:before="0" w:after="0"/>
        <w:jc w:val="left"/>
        <w:rPr>
          <w:spacing w:val="0"/>
          <w:sz w:val="20"/>
        </w:rPr>
      </w:pPr>
      <w:r>
        <w:rPr>
          <w:spacing w:val="0"/>
          <w:sz w:val="20"/>
        </w:rPr>
        <w:t>to $</w:t>
      </w:r>
    </w:p>
    <w:p>
      <w:pPr>
        <w:pStyle w:val="TextBody"/>
        <w:spacing w:before="0" w:after="0"/>
        <w:jc w:val="left"/>
        <w:rPr/>
      </w:pPr>
      <w:r>
        <w:rPr/>
        <w:t>12.7</w:t>
      </w:r>
    </w:p>
    <w:p>
      <w:pPr>
        <w:pStyle w:val="TextBody"/>
        <w:spacing w:before="0" w:after="0"/>
        <w:jc w:val="left"/>
        <w:rPr>
          <w:spacing w:val="0"/>
        </w:rPr>
      </w:pPr>
      <w:r>
        <w:rPr>
          <w:spacing w:val="0"/>
        </w:rPr>
        <w:t> </w:t>
      </w:r>
      <w:r>
        <w:rPr>
          <w:spacing w:val="0"/>
          <w:sz w:val="20"/>
        </w:rPr>
        <w:t>million.</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 xml:space="preserve">The Company’s rent payments for the lease at 100 Binney Street are classified as operating lease costs in the chart below. The lease is a net lease and therefore the </w:t>
      </w:r>
    </w:p>
    <w:p>
      <w:pPr>
        <w:pStyle w:val="TextBody"/>
        <w:spacing w:before="0" w:after="0"/>
        <w:jc w:val="left"/>
        <w:rPr>
          <w:rFonts w:ascii="Times New Roman" w:hAnsi="Times New Roman"/>
          <w:spacing w:val="0"/>
          <w:sz w:val="20"/>
        </w:rPr>
      </w:pPr>
      <w:r>
        <w:rPr>
          <w:rFonts w:ascii="Times New Roman" w:hAnsi="Times New Roman"/>
          <w:spacing w:val="0"/>
          <w:sz w:val="20"/>
        </w:rPr>
        <w:t>non-lease</w:t>
      </w:r>
    </w:p>
    <w:p>
      <w:pPr>
        <w:pStyle w:val="TextBody"/>
        <w:spacing w:before="0" w:after="0"/>
        <w:jc w:val="left"/>
        <w:rPr>
          <w:rFonts w:ascii="Times New Roman" w:hAnsi="Times New Roman"/>
          <w:sz w:val="20"/>
        </w:rPr>
      </w:pPr>
      <w:r>
        <w:rPr>
          <w:rFonts w:ascii="Times New Roman" w:hAnsi="Times New Roman"/>
          <w:sz w:val="20"/>
        </w:rPr>
        <w:t>components, such as common area maint</w:t>
      </w:r>
    </w:p>
    <w:p>
      <w:pPr>
        <w:pStyle w:val="TextBody"/>
        <w:spacing w:before="0" w:after="0"/>
        <w:jc w:val="left"/>
        <w:rPr>
          <w:rFonts w:ascii="Times New Roman" w:hAnsi="Times New Roman"/>
          <w:spacing w:val="0"/>
          <w:sz w:val="20"/>
        </w:rPr>
      </w:pPr>
      <w:r>
        <w:rPr>
          <w:rFonts w:ascii="Times New Roman" w:hAnsi="Times New Roman"/>
          <w:spacing w:val="0"/>
          <w:sz w:val="20"/>
        </w:rPr>
        <w:t>e</w:t>
      </w:r>
    </w:p>
    <w:p>
      <w:pPr>
        <w:pStyle w:val="TextBody"/>
        <w:spacing w:before="0" w:after="0"/>
        <w:jc w:val="left"/>
        <w:rPr>
          <w:rFonts w:ascii="Times New Roman" w:hAnsi="Times New Roman"/>
          <w:sz w:val="20"/>
        </w:rPr>
      </w:pPr>
      <w:r>
        <w:rPr>
          <w:rFonts w:ascii="Times New Roman" w:hAnsi="Times New Roman"/>
          <w:sz w:val="20"/>
        </w:rPr>
        <w:t xml:space="preserve">nance, are paid separately from rent based on actual costs incurred; therefore, the </w:t>
      </w:r>
    </w:p>
    <w:p>
      <w:pPr>
        <w:pStyle w:val="TextBody"/>
        <w:spacing w:before="0" w:after="0"/>
        <w:jc w:val="left"/>
        <w:rPr>
          <w:rFonts w:ascii="Times New Roman" w:hAnsi="Times New Roman"/>
          <w:spacing w:val="0"/>
          <w:sz w:val="20"/>
        </w:rPr>
      </w:pPr>
      <w:r>
        <w:rPr>
          <w:rFonts w:ascii="Times New Roman" w:hAnsi="Times New Roman"/>
          <w:spacing w:val="0"/>
          <w:sz w:val="20"/>
        </w:rPr>
        <w:t>non-lease</w:t>
      </w:r>
    </w:p>
    <w:p>
      <w:pPr>
        <w:pStyle w:val="TextBody"/>
        <w:spacing w:before="0" w:after="0"/>
        <w:jc w:val="left"/>
        <w:rPr>
          <w:rFonts w:ascii="Times New Roman" w:hAnsi="Times New Roman"/>
          <w:sz w:val="20"/>
        </w:rPr>
      </w:pPr>
      <w:r>
        <w:rPr>
          <w:rFonts w:ascii="Times New Roman" w:hAnsi="Times New Roman"/>
          <w:sz w:val="20"/>
        </w:rPr>
        <w:t xml:space="preserve">components are not included in the </w:t>
      </w:r>
    </w:p>
    <w:p>
      <w:pPr>
        <w:pStyle w:val="TextBody"/>
        <w:spacing w:before="0" w:after="0"/>
        <w:jc w:val="left"/>
        <w:rPr>
          <w:rFonts w:ascii="Times New Roman" w:hAnsi="Times New Roman"/>
          <w:spacing w:val="0"/>
          <w:sz w:val="20"/>
        </w:rPr>
      </w:pPr>
      <w:r>
        <w:rPr>
          <w:rFonts w:ascii="Times New Roman" w:hAnsi="Times New Roman"/>
          <w:spacing w:val="0"/>
          <w:sz w:val="20"/>
        </w:rPr>
        <w:t>right-of-use</w:t>
      </w:r>
    </w:p>
    <w:p>
      <w:pPr>
        <w:pStyle w:val="TextBody"/>
        <w:spacing w:before="0" w:after="0"/>
        <w:jc w:val="left"/>
        <w:rPr>
          <w:rFonts w:ascii="Times New Roman" w:hAnsi="Times New Roman"/>
          <w:sz w:val="20"/>
        </w:rPr>
      </w:pPr>
      <w:r>
        <w:rPr>
          <w:rFonts w:ascii="Times New Roman" w:hAnsi="Times New Roman"/>
          <w:sz w:val="20"/>
        </w:rPr>
        <w:t xml:space="preserve">asset and liability and are reflected as an expense in the period incurred. The </w:t>
      </w:r>
    </w:p>
    <w:p>
      <w:pPr>
        <w:pStyle w:val="TextBody"/>
        <w:spacing w:before="0" w:after="0"/>
        <w:jc w:val="left"/>
        <w:rPr>
          <w:rFonts w:ascii="Times New Roman" w:hAnsi="Times New Roman"/>
          <w:spacing w:val="0"/>
          <w:sz w:val="20"/>
        </w:rPr>
      </w:pPr>
      <w:r>
        <w:rPr>
          <w:rFonts w:ascii="Times New Roman" w:hAnsi="Times New Roman"/>
          <w:spacing w:val="0"/>
          <w:sz w:val="20"/>
        </w:rPr>
        <w:t>non-lease</w:t>
      </w:r>
    </w:p>
    <w:p>
      <w:pPr>
        <w:pStyle w:val="TextBody"/>
        <w:spacing w:before="0" w:after="0"/>
        <w:jc w:val="left"/>
        <w:rPr>
          <w:rFonts w:ascii="Times New Roman" w:hAnsi="Times New Roman"/>
          <w:sz w:val="20"/>
        </w:rPr>
      </w:pPr>
      <w:r>
        <w:rPr>
          <w:rFonts w:ascii="Times New Roman" w:hAnsi="Times New Roman"/>
          <w:sz w:val="20"/>
        </w:rPr>
        <w:t>components are classified as variable costs in the chart below. As of December 31, 2020 and 2019, assets under the operating lease totaled $7.5 million and $8.4 million, respectively. The elements of lease cost were as follows:</w:t>
      </w:r>
    </w:p>
    <w:p>
      <w:pPr>
        <w:pStyle w:val="TextBody"/>
        <w:spacing w:before="0" w:after="0"/>
        <w:jc w:val="left"/>
        <w:rPr>
          <w:spacing w:val="0"/>
        </w:rPr>
      </w:pPr>
      <w:r>
        <w:rPr>
          <w:spacing w:val="0"/>
        </w:rPr>
        <w:t> </w:t>
      </w:r>
    </w:p>
    <w:tbl>
      <w:tblPr>
        <w:tblW w:w="8671" w:type="dxa"/>
        <w:jc w:val="left"/>
        <w:tblInd w:w="0" w:type="dxa"/>
        <w:tblCellMar>
          <w:top w:w="0" w:type="dxa"/>
          <w:left w:w="0" w:type="dxa"/>
          <w:bottom w:w="0" w:type="dxa"/>
          <w:right w:w="0" w:type="dxa"/>
        </w:tblCellMar>
      </w:tblPr>
      <w:tblGrid>
        <w:gridCol w:w="3905"/>
        <w:gridCol w:w="120"/>
        <w:gridCol w:w="391"/>
        <w:gridCol w:w="1564"/>
        <w:gridCol w:w="349"/>
        <w:gridCol w:w="97"/>
        <w:gridCol w:w="391"/>
        <w:gridCol w:w="1564"/>
        <w:gridCol w:w="290"/>
      </w:tblGrid>
      <w:tr>
        <w:trPr/>
        <w:tc>
          <w:tcPr>
            <w:tcW w:w="3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6" w:type="dxa"/>
            <w:gridSpan w:val="6"/>
            <w:tcBorders/>
            <w:shd w:fill="auto" w:val="clear"/>
            <w:vAlign w:val="center"/>
          </w:tcPr>
          <w:p>
            <w:pPr>
              <w:pStyle w:val="TableContents"/>
              <w:spacing w:before="0" w:after="0"/>
              <w:jc w:val="center"/>
              <w:rPr>
                <w:b/>
                <w:spacing w:val="0"/>
              </w:rPr>
            </w:pPr>
            <w:r>
              <w:rPr>
                <w:b/>
                <w:spacing w:val="0"/>
              </w:rPr>
              <w:t>Year Ended December 31,</w:t>
            </w:r>
          </w:p>
        </w:tc>
        <w:tc>
          <w:tcPr>
            <w:tcW w:w="290"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Operating leases</w:t>
            </w:r>
          </w:p>
        </w:tc>
        <w:tc>
          <w:tcPr>
            <w:tcW w:w="120"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2020</w:t>
            </w:r>
          </w:p>
        </w:tc>
        <w:tc>
          <w:tcPr>
            <w:tcW w:w="34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2019</w:t>
            </w:r>
          </w:p>
        </w:tc>
        <w:tc>
          <w:tcPr>
            <w:tcW w:w="290" w:type="dxa"/>
            <w:tcBorders/>
            <w:shd w:fill="auto" w:val="clear"/>
            <w:vAlign w:val="center"/>
          </w:tcPr>
          <w:p>
            <w:pPr>
              <w:pStyle w:val="TableContents"/>
              <w:spacing w:before="0" w:after="283"/>
              <w:rPr/>
            </w:pPr>
            <w:r>
              <w:rPr/>
              <w:t> </w:t>
            </w:r>
          </w:p>
        </w:tc>
      </w:tr>
      <w:tr>
        <w:trPr/>
        <w:tc>
          <w:tcPr>
            <w:tcW w:w="39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cost</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w:t>
            </w:r>
          </w:p>
        </w:tc>
        <w:tc>
          <w:tcPr>
            <w:tcW w:w="1564" w:type="dxa"/>
            <w:tcBorders/>
            <w:shd w:fill="CCEEFF" w:val="clear"/>
            <w:vAlign w:val="center"/>
          </w:tcPr>
          <w:p>
            <w:pPr>
              <w:pStyle w:val="TableContents"/>
              <w:spacing w:before="0" w:after="283"/>
              <w:jc w:val="right"/>
              <w:rPr/>
            </w:pPr>
            <w:r>
              <w:rPr/>
              <w:t>1,889</w:t>
            </w:r>
          </w:p>
        </w:tc>
        <w:tc>
          <w:tcPr>
            <w:tcW w:w="349"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w:t>
            </w:r>
          </w:p>
        </w:tc>
        <w:tc>
          <w:tcPr>
            <w:tcW w:w="1564" w:type="dxa"/>
            <w:tcBorders/>
            <w:shd w:fill="CCEEFF" w:val="clear"/>
            <w:vAlign w:val="center"/>
          </w:tcPr>
          <w:p>
            <w:pPr>
              <w:pStyle w:val="TableContents"/>
              <w:spacing w:before="0" w:after="283"/>
              <w:jc w:val="right"/>
              <w:rPr/>
            </w:pPr>
            <w:r>
              <w:rPr/>
              <w:t>1,889</w:t>
            </w:r>
          </w:p>
        </w:tc>
        <w:tc>
          <w:tcPr>
            <w:tcW w:w="290" w:type="dxa"/>
            <w:tcBorders/>
            <w:shd w:fill="CCEEFF"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Short-term lease cost</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564" w:type="dxa"/>
            <w:tcBorders/>
            <w:shd w:fill="auto" w:val="clear"/>
            <w:vAlign w:val="center"/>
          </w:tcPr>
          <w:p>
            <w:pPr>
              <w:pStyle w:val="TableContents"/>
              <w:spacing w:before="0" w:after="283"/>
              <w:jc w:val="right"/>
              <w:rPr/>
            </w:pPr>
            <w:r>
              <w:rPr/>
              <w:t>93</w:t>
            </w:r>
          </w:p>
        </w:tc>
        <w:tc>
          <w:tcPr>
            <w:tcW w:w="34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564" w:type="dxa"/>
            <w:tcBorders/>
            <w:shd w:fill="auto" w:val="clear"/>
            <w:vAlign w:val="center"/>
          </w:tcPr>
          <w:p>
            <w:pPr>
              <w:pStyle w:val="TableContents"/>
              <w:spacing w:before="0" w:after="283"/>
              <w:jc w:val="right"/>
              <w:rPr/>
            </w:pPr>
            <w:r>
              <w:rPr/>
              <w:t>36</w:t>
            </w:r>
          </w:p>
        </w:tc>
        <w:tc>
          <w:tcPr>
            <w:tcW w:w="290" w:type="dxa"/>
            <w:tcBorders/>
            <w:shd w:fill="auto" w:val="clear"/>
            <w:vAlign w:val="center"/>
          </w:tcPr>
          <w:p>
            <w:pPr>
              <w:pStyle w:val="TableContents"/>
              <w:spacing w:before="0" w:after="283"/>
              <w:rPr/>
            </w:pPr>
            <w:r>
              <w:rPr/>
              <w:t> </w:t>
            </w:r>
          </w:p>
        </w:tc>
      </w:tr>
      <w:tr>
        <w:trPr/>
        <w:tc>
          <w:tcPr>
            <w:tcW w:w="39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Variable lease cost</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643</w:t>
            </w:r>
          </w:p>
        </w:tc>
        <w:tc>
          <w:tcPr>
            <w:tcW w:w="349"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541</w:t>
            </w:r>
          </w:p>
        </w:tc>
        <w:tc>
          <w:tcPr>
            <w:tcW w:w="290" w:type="dxa"/>
            <w:tcBorders/>
            <w:shd w:fill="CCEEFF"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34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lease costs</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w:t>
            </w:r>
          </w:p>
        </w:tc>
        <w:tc>
          <w:tcPr>
            <w:tcW w:w="1564" w:type="dxa"/>
            <w:tcBorders/>
            <w:shd w:fill="auto" w:val="clear"/>
            <w:vAlign w:val="center"/>
          </w:tcPr>
          <w:p>
            <w:pPr>
              <w:pStyle w:val="TableContents"/>
              <w:spacing w:before="0" w:after="283"/>
              <w:jc w:val="right"/>
              <w:rPr/>
            </w:pPr>
            <w:r>
              <w:rPr/>
              <w:t>2,625</w:t>
            </w:r>
          </w:p>
        </w:tc>
        <w:tc>
          <w:tcPr>
            <w:tcW w:w="34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w:t>
            </w:r>
          </w:p>
        </w:tc>
        <w:tc>
          <w:tcPr>
            <w:tcW w:w="1564" w:type="dxa"/>
            <w:tcBorders/>
            <w:shd w:fill="auto" w:val="clear"/>
            <w:vAlign w:val="center"/>
          </w:tcPr>
          <w:p>
            <w:pPr>
              <w:pStyle w:val="TableContents"/>
              <w:spacing w:before="0" w:after="283"/>
              <w:jc w:val="right"/>
              <w:rPr/>
            </w:pPr>
            <w:r>
              <w:rPr/>
              <w:t>2,466</w:t>
            </w:r>
          </w:p>
        </w:tc>
        <w:tc>
          <w:tcPr>
            <w:tcW w:w="290"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34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283"/>
              <w:rPr/>
            </w:pPr>
            <w:r>
              <w:rPr/>
              <w:t> </w:t>
            </w:r>
          </w:p>
        </w:tc>
        <w:tc>
          <w:tcPr>
            <w:tcW w:w="2424" w:type="dxa"/>
            <w:gridSpan w:val="4"/>
            <w:tcBorders/>
            <w:shd w:fill="auto" w:val="clear"/>
            <w:vAlign w:val="center"/>
          </w:tcPr>
          <w:p>
            <w:pPr>
              <w:pStyle w:val="TableContents"/>
              <w:spacing w:before="0" w:after="283"/>
              <w:rPr/>
            </w:pPr>
            <w:r>
              <w:rPr/>
              <w:t> </w:t>
            </w:r>
          </w:p>
        </w:tc>
        <w:tc>
          <w:tcPr>
            <w:tcW w:w="2342" w:type="dxa"/>
            <w:gridSpan w:val="4"/>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Other information</w:t>
            </w:r>
          </w:p>
        </w:tc>
        <w:tc>
          <w:tcPr>
            <w:tcW w:w="120"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0"/>
              <w:jc w:val="center"/>
              <w:rPr>
                <w:b/>
                <w:spacing w:val="0"/>
              </w:rPr>
            </w:pPr>
            <w:r>
              <w:rPr>
                <w:b/>
                <w:spacing w:val="0"/>
              </w:rPr>
              <w:t>December 31, 2020</w:t>
            </w:r>
          </w:p>
        </w:tc>
        <w:tc>
          <w:tcPr>
            <w:tcW w:w="34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955" w:type="dxa"/>
            <w:gridSpan w:val="2"/>
            <w:tcBorders/>
            <w:shd w:fill="auto" w:val="clear"/>
            <w:vAlign w:val="center"/>
          </w:tcPr>
          <w:p>
            <w:pPr>
              <w:pStyle w:val="TableContents"/>
              <w:spacing w:before="0" w:after="0"/>
              <w:jc w:val="center"/>
              <w:rPr>
                <w:b/>
                <w:spacing w:val="0"/>
              </w:rPr>
            </w:pPr>
            <w:r>
              <w:rPr>
                <w:b/>
                <w:spacing w:val="0"/>
              </w:rPr>
              <w:t>December 31, 2019</w:t>
            </w:r>
          </w:p>
        </w:tc>
        <w:tc>
          <w:tcPr>
            <w:tcW w:w="290" w:type="dxa"/>
            <w:tcBorders/>
            <w:shd w:fill="auto" w:val="clear"/>
            <w:vAlign w:val="center"/>
          </w:tcPr>
          <w:p>
            <w:pPr>
              <w:pStyle w:val="TableContents"/>
              <w:spacing w:before="0" w:after="283"/>
              <w:rPr/>
            </w:pPr>
            <w:r>
              <w:rPr/>
              <w:t> </w:t>
            </w:r>
          </w:p>
        </w:tc>
      </w:tr>
      <w:tr>
        <w:trPr/>
        <w:tc>
          <w:tcPr>
            <w:tcW w:w="39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cash flows used for operating leases</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w:t>
            </w:r>
          </w:p>
        </w:tc>
        <w:tc>
          <w:tcPr>
            <w:tcW w:w="1564" w:type="dxa"/>
            <w:tcBorders/>
            <w:shd w:fill="CCEEFF" w:val="clear"/>
            <w:vAlign w:val="center"/>
          </w:tcPr>
          <w:p>
            <w:pPr>
              <w:pStyle w:val="TableContents"/>
              <w:spacing w:before="0" w:after="283"/>
              <w:jc w:val="right"/>
              <w:rPr/>
            </w:pPr>
            <w:r>
              <w:rPr/>
              <w:t>1,782</w:t>
            </w:r>
          </w:p>
        </w:tc>
        <w:tc>
          <w:tcPr>
            <w:tcW w:w="349"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w:t>
            </w:r>
          </w:p>
        </w:tc>
        <w:tc>
          <w:tcPr>
            <w:tcW w:w="1564" w:type="dxa"/>
            <w:tcBorders/>
            <w:shd w:fill="CCEEFF" w:val="clear"/>
            <w:vAlign w:val="center"/>
          </w:tcPr>
          <w:p>
            <w:pPr>
              <w:pStyle w:val="TableContents"/>
              <w:spacing w:before="0" w:after="283"/>
              <w:jc w:val="right"/>
              <w:rPr/>
            </w:pPr>
            <w:r>
              <w:rPr/>
              <w:t>1,735</w:t>
            </w:r>
          </w:p>
        </w:tc>
        <w:tc>
          <w:tcPr>
            <w:tcW w:w="290" w:type="dxa"/>
            <w:tcBorders/>
            <w:shd w:fill="CCEEFF"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remaining lease term in years</w:t>
            </w:r>
          </w:p>
        </w:tc>
        <w:tc>
          <w:tcPr>
            <w:tcW w:w="12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564" w:type="dxa"/>
            <w:tcBorders/>
            <w:shd w:fill="auto" w:val="clear"/>
            <w:vAlign w:val="center"/>
          </w:tcPr>
          <w:p>
            <w:pPr>
              <w:pStyle w:val="TableContents"/>
              <w:spacing w:before="0" w:after="283"/>
              <w:jc w:val="right"/>
              <w:rPr/>
            </w:pPr>
            <w:r>
              <w:rPr/>
              <w:t>5.5</w:t>
            </w:r>
          </w:p>
        </w:tc>
        <w:tc>
          <w:tcPr>
            <w:tcW w:w="349"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564" w:type="dxa"/>
            <w:tcBorders/>
            <w:shd w:fill="auto" w:val="clear"/>
            <w:vAlign w:val="center"/>
          </w:tcPr>
          <w:p>
            <w:pPr>
              <w:pStyle w:val="TableContents"/>
              <w:spacing w:before="0" w:after="283"/>
              <w:jc w:val="right"/>
              <w:rPr/>
            </w:pPr>
            <w:r>
              <w:rPr/>
              <w:t>6.5</w:t>
            </w:r>
          </w:p>
        </w:tc>
        <w:tc>
          <w:tcPr>
            <w:tcW w:w="290" w:type="dxa"/>
            <w:tcBorders/>
            <w:shd w:fill="auto" w:val="clear"/>
            <w:vAlign w:val="center"/>
          </w:tcPr>
          <w:p>
            <w:pPr>
              <w:pStyle w:val="TableContents"/>
              <w:spacing w:before="0" w:after="283"/>
              <w:rPr/>
            </w:pPr>
            <w:r>
              <w:rPr/>
              <w:t> </w:t>
            </w:r>
          </w:p>
        </w:tc>
      </w:tr>
      <w:tr>
        <w:trPr/>
        <w:tc>
          <w:tcPr>
            <w:tcW w:w="39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discount rate</w:t>
            </w:r>
          </w:p>
        </w:tc>
        <w:tc>
          <w:tcPr>
            <w:tcW w:w="120"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12</w:t>
            </w:r>
          </w:p>
        </w:tc>
        <w:tc>
          <w:tcPr>
            <w:tcW w:w="349" w:type="dxa"/>
            <w:tcBorders/>
            <w:shd w:fill="CCEEFF" w:val="clear"/>
            <w:vAlign w:val="center"/>
          </w:tcPr>
          <w:p>
            <w:pPr>
              <w:pStyle w:val="TableContents"/>
              <w:spacing w:before="0" w:after="283"/>
              <w:rPr/>
            </w:pPr>
            <w:r>
              <w:rPr/>
              <w:t>%</w:t>
            </w:r>
          </w:p>
        </w:tc>
        <w:tc>
          <w:tcPr>
            <w:tcW w:w="97" w:type="dxa"/>
            <w:tcBorders/>
            <w:shd w:fill="CCEEFF" w:val="clear"/>
            <w:vAlign w:val="center"/>
          </w:tcPr>
          <w:p>
            <w:pPr>
              <w:pStyle w:val="TableContents"/>
              <w:spacing w:before="0" w:after="283"/>
              <w:rPr/>
            </w:pPr>
            <w:r>
              <w:rPr/>
              <w:t> </w:t>
            </w:r>
          </w:p>
        </w:tc>
        <w:tc>
          <w:tcPr>
            <w:tcW w:w="391"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12</w:t>
            </w:r>
          </w:p>
        </w:tc>
        <w:tc>
          <w:tcPr>
            <w:tcW w:w="29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Future minimum lease payments under </w:t>
      </w:r>
    </w:p>
    <w:p>
      <w:pPr>
        <w:pStyle w:val="TextBody"/>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spacing w:before="240" w:after="0"/>
        <w:jc w:val="left"/>
        <w:rPr>
          <w:rFonts w:ascii="Times New Roman" w:hAnsi="Times New Roman"/>
          <w:sz w:val="20"/>
        </w:rPr>
      </w:pPr>
      <w:r>
        <w:rPr>
          <w:rFonts w:ascii="Times New Roman" w:hAnsi="Times New Roman"/>
          <w:sz w:val="20"/>
        </w:rPr>
        <w:t xml:space="preserve">leases that have commenced as of December 31, 2020 are as follows: </w:t>
      </w:r>
    </w:p>
    <w:p>
      <w:pPr>
        <w:pStyle w:val="TextBody"/>
        <w:spacing w:before="0" w:after="0"/>
        <w:jc w:val="left"/>
        <w:rPr>
          <w:spacing w:val="0"/>
        </w:rPr>
      </w:pPr>
      <w:r>
        <w:rPr>
          <w:spacing w:val="0"/>
        </w:rPr>
        <w:t> </w:t>
      </w:r>
    </w:p>
    <w:tbl>
      <w:tblPr>
        <w:tblW w:w="4695" w:type="dxa"/>
        <w:jc w:val="left"/>
        <w:tblInd w:w="0" w:type="dxa"/>
        <w:tblCellMar>
          <w:top w:w="0" w:type="dxa"/>
          <w:left w:w="0" w:type="dxa"/>
          <w:bottom w:w="0" w:type="dxa"/>
          <w:right w:w="0" w:type="dxa"/>
        </w:tblCellMar>
      </w:tblPr>
      <w:tblGrid>
        <w:gridCol w:w="2570"/>
        <w:gridCol w:w="120"/>
        <w:gridCol w:w="313"/>
        <w:gridCol w:w="1522"/>
        <w:gridCol w:w="170"/>
      </w:tblGrid>
      <w:tr>
        <w:trPr/>
        <w:tc>
          <w:tcPr>
            <w:tcW w:w="2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570" w:type="dxa"/>
            <w:tcBorders/>
            <w:shd w:fill="auto" w:val="clear"/>
            <w:vAlign w:val="center"/>
          </w:tcPr>
          <w:p>
            <w:pPr>
              <w:pStyle w:val="TableContents"/>
              <w:spacing w:before="0" w:after="0"/>
              <w:rPr>
                <w:rFonts w:ascii="Times New Roman" w:hAnsi="Times New Roman"/>
                <w:b/>
                <w:spacing w:val="0"/>
                <w:sz w:val="18"/>
                <w:bdr w:val="single" w:sz="8" w:space="1" w:color="000000"/>
              </w:rPr>
            </w:pPr>
            <w:r>
              <w:rPr>
                <w:rFonts w:ascii="Times New Roman" w:hAnsi="Times New Roman"/>
                <w:b/>
                <w:spacing w:val="0"/>
                <w:sz w:val="18"/>
                <w:bdr w:val="single" w:sz="8" w:space="1" w:color="000000"/>
              </w:rPr>
              <w:t>Year Ended December 31,</w:t>
            </w:r>
          </w:p>
        </w:tc>
        <w:tc>
          <w:tcPr>
            <w:tcW w:w="120" w:type="dxa"/>
            <w:tcBorders/>
            <w:shd w:fill="auto" w:val="clear"/>
            <w:vAlign w:val="center"/>
          </w:tcPr>
          <w:p>
            <w:pPr>
              <w:pStyle w:val="TableContents"/>
              <w:spacing w:before="0" w:after="283"/>
              <w:rPr/>
            </w:pPr>
            <w:r>
              <w:rPr/>
              <w:t>  </w:t>
            </w:r>
          </w:p>
        </w:tc>
        <w:tc>
          <w:tcPr>
            <w:tcW w:w="1835" w:type="dxa"/>
            <w:gridSpan w:val="2"/>
            <w:tcBorders/>
            <w:shd w:fill="auto" w:val="clear"/>
            <w:vAlign w:val="center"/>
          </w:tcPr>
          <w:p>
            <w:pPr>
              <w:pStyle w:val="TableContents"/>
              <w:spacing w:before="0" w:after="0"/>
              <w:jc w:val="center"/>
              <w:rPr>
                <w:b/>
                <w:spacing w:val="0"/>
              </w:rPr>
            </w:pPr>
            <w:r>
              <w:rPr>
                <w:b/>
                <w:spacing w:val="0"/>
              </w:rPr>
              <w:t>Maturity of Lease</w:t>
              <w:br/>
              <w:t>Liabilities</w:t>
            </w:r>
          </w:p>
        </w:tc>
        <w:tc>
          <w:tcPr>
            <w:tcW w:w="170"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2021</w:t>
            </w:r>
          </w:p>
        </w:tc>
        <w:tc>
          <w:tcPr>
            <w:tcW w:w="12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w:t>
            </w:r>
          </w:p>
        </w:tc>
        <w:tc>
          <w:tcPr>
            <w:tcW w:w="1522" w:type="dxa"/>
            <w:tcBorders/>
            <w:shd w:fill="CCEEFF" w:val="clear"/>
            <w:vAlign w:val="center"/>
          </w:tcPr>
          <w:p>
            <w:pPr>
              <w:pStyle w:val="TableContents"/>
              <w:spacing w:before="0" w:after="283"/>
              <w:jc w:val="right"/>
              <w:rPr/>
            </w:pPr>
            <w:r>
              <w:rPr/>
              <w:t>1,836</w:t>
            </w:r>
          </w:p>
        </w:tc>
        <w:tc>
          <w:tcPr>
            <w:tcW w:w="170"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w:t>
            </w:r>
          </w:p>
        </w:tc>
        <w:tc>
          <w:tcPr>
            <w:tcW w:w="12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1,891</w:t>
            </w:r>
          </w:p>
        </w:tc>
        <w:tc>
          <w:tcPr>
            <w:tcW w:w="170"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1,948</w:t>
            </w:r>
          </w:p>
        </w:tc>
        <w:tc>
          <w:tcPr>
            <w:tcW w:w="170"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2,007</w:t>
            </w:r>
          </w:p>
        </w:tc>
        <w:tc>
          <w:tcPr>
            <w:tcW w:w="170"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2,067</w:t>
            </w:r>
          </w:p>
        </w:tc>
        <w:tc>
          <w:tcPr>
            <w:tcW w:w="170"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Thereafter</w:t>
            </w:r>
          </w:p>
        </w:tc>
        <w:tc>
          <w:tcPr>
            <w:tcW w:w="12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1,046</w:t>
            </w:r>
          </w:p>
        </w:tc>
        <w:tc>
          <w:tcPr>
            <w:tcW w:w="170"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lease payments</w:t>
            </w:r>
          </w:p>
        </w:tc>
        <w:tc>
          <w:tcPr>
            <w:tcW w:w="12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10,795</w:t>
            </w:r>
          </w:p>
        </w:tc>
        <w:tc>
          <w:tcPr>
            <w:tcW w:w="170"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imputed interest</w:t>
            </w:r>
          </w:p>
        </w:tc>
        <w:tc>
          <w:tcPr>
            <w:tcW w:w="12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(2,911</w:t>
            </w:r>
          </w:p>
        </w:tc>
        <w:tc>
          <w:tcPr>
            <w:tcW w:w="170"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lease liabilities</w:t>
            </w:r>
          </w:p>
        </w:tc>
        <w:tc>
          <w:tcPr>
            <w:tcW w:w="12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w:t>
            </w:r>
          </w:p>
        </w:tc>
        <w:tc>
          <w:tcPr>
            <w:tcW w:w="1522" w:type="dxa"/>
            <w:tcBorders/>
            <w:shd w:fill="CCEEFF" w:val="clear"/>
            <w:vAlign w:val="center"/>
          </w:tcPr>
          <w:p>
            <w:pPr>
              <w:pStyle w:val="TableContents"/>
              <w:spacing w:before="0" w:after="283"/>
              <w:jc w:val="right"/>
              <w:rPr/>
            </w:pPr>
            <w:r>
              <w:rPr/>
              <w:t>7,884</w:t>
            </w:r>
          </w:p>
        </w:tc>
        <w:tc>
          <w:tcPr>
            <w:tcW w:w="170" w:type="dxa"/>
            <w:tcBorders/>
            <w:shd w:fill="CCEEFF"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left"/>
        <w:rPr>
          <w:b/>
          <w:spacing w:val="0"/>
          <w:sz w:val="20"/>
        </w:rPr>
      </w:pPr>
      <w:r>
        <w:rPr>
          <w:b/>
          <w:spacing w:val="0"/>
          <w:sz w:val="20"/>
        </w:rPr>
        <w:t>8. Commitments and Contingencies</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Collaboration Agreement </w:t>
      </w:r>
    </w:p>
    <w:p>
      <w:pPr>
        <w:pStyle w:val="TextBody"/>
        <w:spacing w:before="120" w:after="0"/>
        <w:jc w:val="left"/>
        <w:rPr>
          <w:rFonts w:ascii="Times New Roman" w:hAnsi="Times New Roman"/>
          <w:spacing w:val="0"/>
          <w:sz w:val="20"/>
        </w:rPr>
      </w:pPr>
      <w:r>
        <w:rPr>
          <w:rFonts w:ascii="Times New Roman" w:hAnsi="Times New Roman"/>
          <w:spacing w:val="0"/>
          <w:sz w:val="20"/>
        </w:rPr>
        <w:t>In September 2017, the Company ent</w:t>
      </w:r>
    </w:p>
    <w:p>
      <w:pPr>
        <w:pStyle w:val="TextBody"/>
        <w:spacing w:before="120" w:after="0"/>
        <w:jc w:val="left"/>
        <w:rPr>
          <w:rFonts w:ascii="Times New Roman" w:hAnsi="Times New Roman"/>
          <w:spacing w:val="0"/>
          <w:sz w:val="20"/>
        </w:rPr>
      </w:pPr>
      <w:r>
        <w:rPr>
          <w:rFonts w:ascii="Times New Roman" w:hAnsi="Times New Roman"/>
          <w:spacing w:val="0"/>
          <w:sz w:val="20"/>
        </w:rPr>
        <w:t>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red into a Research Collaboration Agreement (the “HitGen Agreement”) with HitGen Ltd (“HitGen”). Under the terms of the HitGen Agreement, HitGen would use its </w:t>
      </w:r>
    </w:p>
    <w:p>
      <w:pPr>
        <w:pStyle w:val="TextBody"/>
        <w:spacing w:before="120" w:after="0"/>
        <w:jc w:val="left"/>
        <w:rPr>
          <w:rFonts w:ascii="Times New Roman" w:hAnsi="Times New Roman"/>
          <w:spacing w:val="0"/>
          <w:sz w:val="20"/>
        </w:rPr>
      </w:pPr>
      <w:r>
        <w:rPr>
          <w:rFonts w:ascii="Times New Roman" w:hAnsi="Times New Roman"/>
          <w:spacing w:val="0"/>
          <w:sz w:val="20"/>
        </w:rPr>
        <w:t>DNA-encoded</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library technology to screen up to three targets and deliver to the Company the structures of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F-79 </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8. Commitments and Contingencies(cont.)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certain compounds that bind to the targets. The Company would provide certain materials containing each target for purposes of the screen. The Company could have been obligated to make certain milestone payments. The Company and HitGen have mutually agreed to terminate the HitGen Agreement in March 2021. No milestones were achieved or owed upon the termination of the agreement and the Company is under no obligation to make any payments upon termination of the HitGen Agreement.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t>
      </w:r>
    </w:p>
    <w:p>
      <w:pPr>
        <w:pStyle w:val="TextBody"/>
        <w:spacing w:before="120" w:after="0"/>
        <w:jc w:val="left"/>
        <w:rPr>
          <w:rFonts w:ascii="Times New Roman" w:hAnsi="Times New Roman"/>
          <w:sz w:val="20"/>
        </w:rPr>
      </w:pPr>
      <w:r>
        <w:rPr>
          <w:rFonts w:ascii="Times New Roman" w:hAnsi="Times New Roman"/>
          <w:sz w:val="20"/>
        </w:rPr>
        <w:t xml:space="preserve">In March 2020, the Company entered into a License Agreement (the “Medivir Agreement”) with Medivir AB (“Medivir”), pursuant to which the Company obtained an exclusive license to all patents, </w:t>
      </w:r>
    </w:p>
    <w:p>
      <w:pPr>
        <w:pStyle w:val="TextBody"/>
        <w:spacing w:before="120" w:after="0"/>
        <w:jc w:val="left"/>
        <w:rPr>
          <w:rFonts w:ascii="Times New Roman" w:hAnsi="Times New Roman"/>
          <w:spacing w:val="0"/>
          <w:sz w:val="20"/>
        </w:rPr>
      </w:pPr>
      <w:r>
        <w:rPr>
          <w:rFonts w:ascii="Times New Roman" w:hAnsi="Times New Roman"/>
          <w:spacing w:val="0"/>
          <w:sz w:val="20"/>
        </w:rPr>
        <w:t>know-how</w:t>
      </w:r>
    </w:p>
    <w:p>
      <w:pPr>
        <w:pStyle w:val="TextBody"/>
        <w:spacing w:before="120" w:after="0"/>
        <w:jc w:val="left"/>
        <w:rPr>
          <w:rFonts w:ascii="Times New Roman" w:hAnsi="Times New Roman"/>
          <w:sz w:val="20"/>
        </w:rPr>
      </w:pPr>
      <w:r>
        <w:rPr>
          <w:rFonts w:ascii="Times New Roman" w:hAnsi="Times New Roman"/>
          <w:sz w:val="20"/>
        </w:rPr>
        <w:t xml:space="preserve">and other intellectual property associated with a preclinical-stage research program. Pursuant to the Medivir Agreement, the Company made an upfront payment of $0.4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Upfront fees paid pursuant to the Medivir License Agreement were recorded to research and development expense. No milestones have been achieved to date.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Guarantees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Litigation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from time to time, may be party to litigation arising in the ordinary course of business. The company was not subject to any material legal proceedings as of December 31, 2020, and no material legal proceedings are currently pending or threatened.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F-80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0" w:after="0"/>
        <w:jc w:val="left"/>
        <w:rPr/>
      </w:pPr>
      <w:r>
        <w:rPr/>
        <w:t> </w:t>
      </w:r>
    </w:p>
    <w:p>
      <w:pPr>
        <w:pStyle w:val="TextBody"/>
        <w:spacing w:before="0" w:after="0"/>
        <w:ind w:left="0" w:right="0" w:hanging="0"/>
        <w:jc w:val="left"/>
        <w:rPr>
          <w:rFonts w:ascii="Times New Roman" w:hAnsi="Times New Roman"/>
          <w:b/>
          <w:spacing w:val="0"/>
          <w:sz w:val="20"/>
        </w:rPr>
      </w:pPr>
      <w:r>
        <w:rPr>
          <w:rFonts w:ascii="Times New Roman" w:hAnsi="Times New Roman"/>
          <w:b/>
          <w:spacing w:val="0"/>
          <w:sz w:val="20"/>
        </w:rPr>
        <w:t xml:space="preserve">9. Redeemable Convertible Preferred Stock </w:t>
      </w:r>
    </w:p>
    <w:p>
      <w:pPr>
        <w:pStyle w:val="TextBody"/>
        <w:spacing w:before="120" w:after="0"/>
        <w:jc w:val="left"/>
        <w:rPr>
          <w:rFonts w:ascii="Times New Roman" w:hAnsi="Times New Roman"/>
          <w:spacing w:val="0"/>
          <w:sz w:val="20"/>
        </w:rPr>
      </w:pPr>
      <w:r>
        <w:rPr>
          <w:rFonts w:ascii="Times New Roman" w:hAnsi="Times New Roman"/>
          <w:spacing w:val="0"/>
          <w:sz w:val="20"/>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initial closing of the Series A stock purchase agreement, the Company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 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22,686,026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 </w:t>
      </w:r>
    </w:p>
    <w:p>
      <w:pPr>
        <w:pStyle w:val="TextBody"/>
        <w:spacing w:before="240" w:after="0"/>
        <w:jc w:val="left"/>
        <w:rPr>
          <w:rFonts w:ascii="Times New Roman" w:hAnsi="Times New Roman"/>
          <w:sz w:val="20"/>
        </w:rPr>
      </w:pPr>
      <w:r>
        <w:rPr>
          <w:rFonts w:ascii="Times New Roman" w:hAnsi="Times New Roman"/>
          <w:sz w:val="20"/>
        </w:rPr>
        <w:t xml:space="preserve">In August 2020, the Company executed a stock purchase agreement to sell shares of redeemable convertible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preferred stock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The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stock purchase agreement allows for the issuance of up to 27,152,255 shares. All 27,152,255 shares of Series </w:t>
      </w:r>
    </w:p>
    <w:p>
      <w:pPr>
        <w:pStyle w:val="TextBody"/>
        <w:spacing w:before="240" w:after="0"/>
        <w:jc w:val="left"/>
        <w:rPr>
          <w:rFonts w:ascii="Times New Roman" w:hAnsi="Times New Roman"/>
          <w:spacing w:val="0"/>
          <w:sz w:val="20"/>
        </w:rPr>
      </w:pPr>
      <w:r>
        <w:rPr>
          <w:rFonts w:ascii="Times New Roman" w:hAnsi="Times New Roman"/>
          <w:spacing w:val="0"/>
          <w:sz w:val="20"/>
        </w:rPr>
        <w:t>B-1</w:t>
      </w:r>
    </w:p>
    <w:p>
      <w:pPr>
        <w:pStyle w:val="TextBody"/>
        <w:spacing w:before="240" w:after="0"/>
        <w:jc w:val="left"/>
        <w:rPr>
          <w:rFonts w:ascii="Times New Roman" w:hAnsi="Times New Roman"/>
          <w:sz w:val="20"/>
        </w:rPr>
      </w:pPr>
      <w:r>
        <w:rPr>
          <w:rFonts w:ascii="Times New Roman" w:hAnsi="Times New Roman"/>
          <w:sz w:val="20"/>
        </w:rPr>
        <w:t xml:space="preserve">were issued at a price of $1.89 per share in August 2020. Proceeds from this issuance was $51.1 million, net of $0.1 million in issuance costs.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December 31, 2020 and 2019, redeemable convertible preferred stock consisted of the following (in thousands, except share amounts): </w:t>
      </w:r>
    </w:p>
    <w:p>
      <w:pPr>
        <w:pStyle w:val="TextBody"/>
        <w:spacing w:before="0" w:after="0"/>
        <w:jc w:val="left"/>
        <w:rPr>
          <w:spacing w:val="0"/>
        </w:rPr>
      </w:pPr>
      <w:r>
        <w:rPr>
          <w:spacing w:val="0"/>
        </w:rPr>
        <w:t> </w:t>
      </w:r>
    </w:p>
    <w:tbl>
      <w:tblPr>
        <w:tblW w:w="8549" w:type="dxa"/>
        <w:jc w:val="left"/>
        <w:tblInd w:w="0" w:type="dxa"/>
        <w:tblCellMar>
          <w:top w:w="0" w:type="dxa"/>
          <w:left w:w="0" w:type="dxa"/>
          <w:bottom w:w="0" w:type="dxa"/>
          <w:right w:w="0" w:type="dxa"/>
        </w:tblCellMar>
      </w:tblPr>
      <w:tblGrid>
        <w:gridCol w:w="695"/>
        <w:gridCol w:w="120"/>
        <w:gridCol w:w="76"/>
        <w:gridCol w:w="1564"/>
        <w:gridCol w:w="60"/>
        <w:gridCol w:w="120"/>
        <w:gridCol w:w="60"/>
        <w:gridCol w:w="1234"/>
        <w:gridCol w:w="60"/>
        <w:gridCol w:w="120"/>
        <w:gridCol w:w="143"/>
        <w:gridCol w:w="822"/>
        <w:gridCol w:w="60"/>
        <w:gridCol w:w="120"/>
        <w:gridCol w:w="181"/>
        <w:gridCol w:w="1039"/>
        <w:gridCol w:w="60"/>
        <w:gridCol w:w="120"/>
        <w:gridCol w:w="85"/>
        <w:gridCol w:w="1735"/>
        <w:gridCol w:w="75"/>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59" w:type="dxa"/>
            <w:gridSpan w:val="18"/>
            <w:tcBorders/>
            <w:shd w:fill="auto" w:val="clear"/>
            <w:vAlign w:val="center"/>
          </w:tcPr>
          <w:p>
            <w:pPr>
              <w:pStyle w:val="TableContents"/>
              <w:spacing w:before="0" w:after="0"/>
              <w:jc w:val="center"/>
              <w:rPr>
                <w:b/>
                <w:spacing w:val="0"/>
              </w:rPr>
            </w:pPr>
            <w:r>
              <w:rPr>
                <w:b/>
                <w:spacing w:val="0"/>
              </w:rPr>
              <w:t>December 31, 2020</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0"/>
              <w:jc w:val="center"/>
              <w:rPr>
                <w:b/>
                <w:spacing w:val="0"/>
              </w:rPr>
            </w:pPr>
            <w:r>
              <w:rPr>
                <w:b/>
                <w:spacing w:val="0"/>
              </w:rPr>
              <w:t>Preferred Stock</w:t>
              <w:br/>
              <w:t>Authorized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4" w:type="dxa"/>
            <w:gridSpan w:val="2"/>
            <w:tcBorders/>
            <w:shd w:fill="auto" w:val="clear"/>
            <w:vAlign w:val="center"/>
          </w:tcPr>
          <w:p>
            <w:pPr>
              <w:pStyle w:val="TableContents"/>
              <w:spacing w:before="0" w:after="0"/>
              <w:jc w:val="center"/>
              <w:rPr>
                <w:b/>
                <w:spacing w:val="0"/>
              </w:rPr>
            </w:pPr>
            <w:r>
              <w:rPr>
                <w:b/>
                <w:spacing w:val="0"/>
              </w:rPr>
              <w:t>Preferred</w:t>
              <w:br/>
              <w:t>Stock Issued</w:t>
              <w:br/>
              <w:t>and</w:t>
              <w:br/>
              <w:t>Outstanding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0"/>
              <w:jc w:val="center"/>
              <w:rPr>
                <w:b/>
                <w:spacing w:val="0"/>
              </w:rPr>
            </w:pPr>
            <w:r>
              <w:rPr>
                <w:b/>
                <w:spacing w:val="0"/>
              </w:rPr>
              <w:t>Carrying</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shd w:fill="auto" w:val="clear"/>
            <w:vAlign w:val="center"/>
          </w:tcPr>
          <w:p>
            <w:pPr>
              <w:pStyle w:val="TableContents"/>
              <w:spacing w:before="0" w:after="0"/>
              <w:jc w:val="center"/>
              <w:rPr>
                <w:b/>
                <w:spacing w:val="0"/>
              </w:rPr>
            </w:pPr>
            <w:r>
              <w:rPr>
                <w:b/>
                <w:spacing w:val="0"/>
              </w:rPr>
              <w:t>Liquidation</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0" w:type="dxa"/>
            <w:gridSpan w:val="2"/>
            <w:tcBorders/>
            <w:shd w:fill="auto" w:val="clear"/>
            <w:vAlign w:val="center"/>
          </w:tcPr>
          <w:p>
            <w:pPr>
              <w:pStyle w:val="TableContents"/>
              <w:spacing w:before="0" w:after="0"/>
              <w:jc w:val="center"/>
              <w:rPr>
                <w:b/>
                <w:spacing w:val="0"/>
              </w:rPr>
            </w:pPr>
            <w:r>
              <w:rPr>
                <w:b/>
                <w:spacing w:val="0"/>
              </w:rPr>
              <w:t>Common</w:t>
              <w:br/>
              <w:t>Stock</w:t>
              <w:br/>
              <w:t>Issuable</w:t>
              <w:br/>
              <w:t>Upon Conversion</w:t>
            </w:r>
          </w:p>
        </w:tc>
        <w:tc>
          <w:tcPr>
            <w:tcW w:w="75" w:type="dxa"/>
            <w:tcBorders/>
            <w:shd w:fill="auto" w:val="clear"/>
            <w:vAlign w:val="center"/>
          </w:tcPr>
          <w:p>
            <w:pPr>
              <w:pStyle w:val="TableContents"/>
              <w:spacing w:before="0" w:after="283"/>
              <w:rPr/>
            </w:pPr>
            <w:r>
              <w:rPr/>
              <w:t> </w:t>
            </w:r>
          </w:p>
        </w:tc>
      </w:tr>
      <w:tr>
        <w:trPr/>
        <w:tc>
          <w:tcPr>
            <w:tcW w:w="6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A</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4"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822"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35" w:type="dxa"/>
            <w:tcBorders/>
            <w:shd w:fill="CCEEFF" w:val="clear"/>
            <w:vAlign w:val="center"/>
          </w:tcPr>
          <w:p>
            <w:pPr>
              <w:pStyle w:val="TableContents"/>
              <w:spacing w:before="0" w:after="283"/>
              <w:jc w:val="right"/>
              <w:rPr/>
            </w:pPr>
            <w:r>
              <w:rPr/>
              <w:t>55,700,000</w:t>
            </w:r>
          </w:p>
        </w:tc>
        <w:tc>
          <w:tcPr>
            <w:tcW w:w="75" w:type="dxa"/>
            <w:tcBorders/>
            <w:shd w:fill="CCEEFF"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B</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64" w:type="dxa"/>
            <w:tcBorders/>
            <w:shd w:fill="auto" w:val="clear"/>
            <w:vAlign w:val="center"/>
          </w:tcPr>
          <w:p>
            <w:pPr>
              <w:pStyle w:val="TableContents"/>
              <w:spacing w:before="0" w:after="283"/>
              <w:jc w:val="right"/>
              <w:rPr/>
            </w:pPr>
            <w:r>
              <w:rPr/>
              <w:t>45,372,050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4" w:type="dxa"/>
            <w:tcBorders/>
            <w:shd w:fill="auto" w:val="clear"/>
            <w:vAlign w:val="center"/>
          </w:tcPr>
          <w:p>
            <w:pPr>
              <w:pStyle w:val="TableContents"/>
              <w:spacing w:before="0" w:after="283"/>
              <w:jc w:val="right"/>
              <w:rPr/>
            </w:pPr>
            <w:r>
              <w:rPr/>
              <w:t>22,686,025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22" w:type="dxa"/>
            <w:tcBorders/>
            <w:shd w:fill="auto" w:val="clear"/>
            <w:vAlign w:val="center"/>
          </w:tcPr>
          <w:p>
            <w:pPr>
              <w:pStyle w:val="TableContents"/>
              <w:spacing w:before="0" w:after="283"/>
              <w:jc w:val="right"/>
              <w:rPr/>
            </w:pPr>
            <w:r>
              <w:rPr/>
              <w:t>29,761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30,000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735" w:type="dxa"/>
            <w:tcBorders/>
            <w:shd w:fill="auto" w:val="clear"/>
            <w:vAlign w:val="center"/>
          </w:tcPr>
          <w:p>
            <w:pPr>
              <w:pStyle w:val="TableContents"/>
              <w:spacing w:before="0" w:after="283"/>
              <w:jc w:val="right"/>
              <w:rPr/>
            </w:pPr>
            <w:r>
              <w:rPr/>
              <w:t>22,686,025</w:t>
            </w:r>
          </w:p>
        </w:tc>
        <w:tc>
          <w:tcPr>
            <w:tcW w:w="75" w:type="dxa"/>
            <w:tcBorders/>
            <w:shd w:fill="auto" w:val="clear"/>
            <w:vAlign w:val="center"/>
          </w:tcPr>
          <w:p>
            <w:pPr>
              <w:pStyle w:val="TableContents"/>
              <w:spacing w:before="0" w:after="283"/>
              <w:rPr/>
            </w:pPr>
            <w:r>
              <w:rPr/>
              <w:t> </w:t>
            </w:r>
          </w:p>
        </w:tc>
      </w:tr>
      <w:tr>
        <w:trPr/>
        <w:tc>
          <w:tcPr>
            <w:tcW w:w="6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Series </w:t>
            </w:r>
          </w:p>
          <w:p>
            <w:pPr>
              <w:pStyle w:val="TableContents"/>
              <w:spacing w:before="0" w:after="0"/>
              <w:rPr>
                <w:rFonts w:ascii="Times New Roman" w:hAnsi="Times New Roman"/>
                <w:spacing w:val="0"/>
                <w:sz w:val="20"/>
              </w:rPr>
            </w:pPr>
            <w:r>
              <w:rPr>
                <w:rFonts w:ascii="Times New Roman" w:hAnsi="Times New Roman"/>
                <w:spacing w:val="0"/>
                <w:sz w:val="20"/>
              </w:rPr>
              <w:t>B-1</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64" w:type="dxa"/>
            <w:tcBorders/>
            <w:shd w:fill="CCEEFF" w:val="clear"/>
            <w:vAlign w:val="center"/>
          </w:tcPr>
          <w:p>
            <w:pPr>
              <w:pStyle w:val="TableContents"/>
              <w:spacing w:before="0" w:after="283"/>
              <w:jc w:val="right"/>
              <w:rPr/>
            </w:pPr>
            <w:r>
              <w:rPr/>
              <w:t>27,152,255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34" w:type="dxa"/>
            <w:tcBorders/>
            <w:shd w:fill="CCEEFF" w:val="clear"/>
            <w:vAlign w:val="center"/>
          </w:tcPr>
          <w:p>
            <w:pPr>
              <w:pStyle w:val="TableContents"/>
              <w:spacing w:before="0" w:after="283"/>
              <w:jc w:val="right"/>
              <w:rPr/>
            </w:pPr>
            <w:r>
              <w:rPr/>
              <w:t>27,152,255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22" w:type="dxa"/>
            <w:tcBorders/>
            <w:shd w:fill="CCEEFF" w:val="clear"/>
            <w:vAlign w:val="center"/>
          </w:tcPr>
          <w:p>
            <w:pPr>
              <w:pStyle w:val="TableContents"/>
              <w:spacing w:before="0" w:after="283"/>
              <w:jc w:val="right"/>
              <w:rPr/>
            </w:pPr>
            <w:r>
              <w:rPr/>
              <w:t>51,083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039" w:type="dxa"/>
            <w:tcBorders/>
            <w:shd w:fill="CCEEFF" w:val="clear"/>
            <w:vAlign w:val="center"/>
          </w:tcPr>
          <w:p>
            <w:pPr>
              <w:pStyle w:val="TableContents"/>
              <w:spacing w:before="0" w:after="283"/>
              <w:jc w:val="right"/>
              <w:rPr/>
            </w:pPr>
            <w:r>
              <w:rPr/>
              <w:t>51,182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735" w:type="dxa"/>
            <w:tcBorders/>
            <w:shd w:fill="CCEEFF" w:val="clear"/>
            <w:vAlign w:val="center"/>
          </w:tcPr>
          <w:p>
            <w:pPr>
              <w:pStyle w:val="TableContents"/>
              <w:spacing w:before="0" w:after="283"/>
              <w:jc w:val="right"/>
              <w:rPr/>
            </w:pPr>
            <w:r>
              <w:rPr/>
              <w:t>27,152,255</w:t>
            </w:r>
          </w:p>
        </w:tc>
        <w:tc>
          <w:tcPr>
            <w:tcW w:w="75" w:type="dxa"/>
            <w:tcBorders/>
            <w:shd w:fill="CCEEFF"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3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3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64" w:type="dxa"/>
            <w:tcBorders/>
            <w:shd w:fill="auto" w:val="clear"/>
            <w:vAlign w:val="center"/>
          </w:tcPr>
          <w:p>
            <w:pPr>
              <w:pStyle w:val="TableContents"/>
              <w:spacing w:before="0" w:after="283"/>
              <w:jc w:val="right"/>
              <w:rPr/>
            </w:pPr>
            <w:r>
              <w:rPr/>
              <w:t>128,224,305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4" w:type="dxa"/>
            <w:tcBorders/>
            <w:shd w:fill="auto" w:val="clear"/>
            <w:vAlign w:val="center"/>
          </w:tcPr>
          <w:p>
            <w:pPr>
              <w:pStyle w:val="TableContents"/>
              <w:spacing w:before="0" w:after="283"/>
              <w:jc w:val="right"/>
              <w:rPr/>
            </w:pPr>
            <w:r>
              <w:rPr/>
              <w:t>105,538,280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w:t>
            </w:r>
          </w:p>
        </w:tc>
        <w:tc>
          <w:tcPr>
            <w:tcW w:w="822" w:type="dxa"/>
            <w:tcBorders/>
            <w:shd w:fill="auto" w:val="clear"/>
            <w:vAlign w:val="center"/>
          </w:tcPr>
          <w:p>
            <w:pPr>
              <w:pStyle w:val="TableContents"/>
              <w:spacing w:before="0" w:after="283"/>
              <w:jc w:val="right"/>
              <w:rPr/>
            </w:pPr>
            <w:r>
              <w:rPr/>
              <w:t>136,544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w:t>
            </w:r>
          </w:p>
        </w:tc>
        <w:tc>
          <w:tcPr>
            <w:tcW w:w="1039" w:type="dxa"/>
            <w:tcBorders/>
            <w:shd w:fill="auto" w:val="clear"/>
            <w:vAlign w:val="center"/>
          </w:tcPr>
          <w:p>
            <w:pPr>
              <w:pStyle w:val="TableContents"/>
              <w:spacing w:before="0" w:after="283"/>
              <w:jc w:val="right"/>
              <w:rPr/>
            </w:pPr>
            <w:r>
              <w:rPr/>
              <w:t>136,882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735" w:type="dxa"/>
            <w:tcBorders/>
            <w:shd w:fill="auto" w:val="clear"/>
            <w:vAlign w:val="center"/>
          </w:tcPr>
          <w:p>
            <w:pPr>
              <w:pStyle w:val="TableContents"/>
              <w:spacing w:before="0" w:after="283"/>
              <w:jc w:val="right"/>
              <w:rPr/>
            </w:pPr>
            <w:r>
              <w:rPr/>
              <w:t>105,538,280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F-81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9. Redeemable Convertible Preferred Stock(cont.) </w:t>
      </w:r>
    </w:p>
    <w:p>
      <w:pPr>
        <w:pStyle w:val="TextBody"/>
        <w:spacing w:before="0" w:after="0"/>
        <w:jc w:val="left"/>
        <w:rPr>
          <w:spacing w:val="0"/>
        </w:rPr>
      </w:pPr>
      <w:r>
        <w:rPr>
          <w:spacing w:val="0"/>
        </w:rPr>
        <w:t> </w:t>
      </w:r>
    </w:p>
    <w:tbl>
      <w:tblPr>
        <w:tblW w:w="8549" w:type="dxa"/>
        <w:jc w:val="left"/>
        <w:tblInd w:w="0" w:type="dxa"/>
        <w:tblCellMar>
          <w:top w:w="0" w:type="dxa"/>
          <w:left w:w="0" w:type="dxa"/>
          <w:bottom w:w="0" w:type="dxa"/>
          <w:right w:w="0" w:type="dxa"/>
        </w:tblCellMar>
      </w:tblPr>
      <w:tblGrid>
        <w:gridCol w:w="695"/>
        <w:gridCol w:w="120"/>
        <w:gridCol w:w="84"/>
        <w:gridCol w:w="1556"/>
        <w:gridCol w:w="60"/>
        <w:gridCol w:w="120"/>
        <w:gridCol w:w="66"/>
        <w:gridCol w:w="1228"/>
        <w:gridCol w:w="60"/>
        <w:gridCol w:w="120"/>
        <w:gridCol w:w="164"/>
        <w:gridCol w:w="801"/>
        <w:gridCol w:w="60"/>
        <w:gridCol w:w="120"/>
        <w:gridCol w:w="208"/>
        <w:gridCol w:w="1012"/>
        <w:gridCol w:w="60"/>
        <w:gridCol w:w="120"/>
        <w:gridCol w:w="94"/>
        <w:gridCol w:w="1726"/>
        <w:gridCol w:w="75"/>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59" w:type="dxa"/>
            <w:gridSpan w:val="18"/>
            <w:tcBorders/>
            <w:shd w:fill="auto" w:val="clear"/>
            <w:vAlign w:val="center"/>
          </w:tcPr>
          <w:p>
            <w:pPr>
              <w:pStyle w:val="TableContents"/>
              <w:spacing w:before="0" w:after="0"/>
              <w:jc w:val="center"/>
              <w:rPr>
                <w:b/>
                <w:spacing w:val="0"/>
              </w:rPr>
            </w:pPr>
            <w:r>
              <w:rPr>
                <w:b/>
                <w:spacing w:val="0"/>
              </w:rPr>
              <w:t>December 31, 2019</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0" w:type="dxa"/>
            <w:gridSpan w:val="2"/>
            <w:tcBorders/>
            <w:shd w:fill="auto" w:val="clear"/>
            <w:vAlign w:val="center"/>
          </w:tcPr>
          <w:p>
            <w:pPr>
              <w:pStyle w:val="TableContents"/>
              <w:spacing w:before="0" w:after="0"/>
              <w:jc w:val="center"/>
              <w:rPr>
                <w:b/>
                <w:spacing w:val="0"/>
              </w:rPr>
            </w:pPr>
            <w:r>
              <w:rPr>
                <w:b/>
                <w:spacing w:val="0"/>
              </w:rPr>
              <w:t>Preferred Stock</w:t>
              <w:br/>
              <w:t>Authorized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94" w:type="dxa"/>
            <w:gridSpan w:val="2"/>
            <w:tcBorders/>
            <w:shd w:fill="auto" w:val="clear"/>
            <w:vAlign w:val="center"/>
          </w:tcPr>
          <w:p>
            <w:pPr>
              <w:pStyle w:val="TableContents"/>
              <w:spacing w:before="0" w:after="0"/>
              <w:jc w:val="center"/>
              <w:rPr>
                <w:b/>
                <w:spacing w:val="0"/>
              </w:rPr>
            </w:pPr>
            <w:r>
              <w:rPr>
                <w:b/>
                <w:spacing w:val="0"/>
              </w:rPr>
              <w:t>Preferred</w:t>
              <w:br/>
              <w:t>Stock Issued</w:t>
              <w:br/>
              <w:t>and</w:t>
              <w:br/>
              <w:t>Outstanding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0"/>
              <w:jc w:val="center"/>
              <w:rPr>
                <w:b/>
                <w:spacing w:val="0"/>
              </w:rPr>
            </w:pPr>
            <w:r>
              <w:rPr>
                <w:b/>
                <w:spacing w:val="0"/>
              </w:rPr>
              <w:t>Carrying</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shd w:fill="auto" w:val="clear"/>
            <w:vAlign w:val="center"/>
          </w:tcPr>
          <w:p>
            <w:pPr>
              <w:pStyle w:val="TableContents"/>
              <w:spacing w:before="0" w:after="0"/>
              <w:jc w:val="center"/>
              <w:rPr>
                <w:b/>
                <w:spacing w:val="0"/>
              </w:rPr>
            </w:pPr>
            <w:r>
              <w:rPr>
                <w:b/>
                <w:spacing w:val="0"/>
              </w:rPr>
              <w:t>Liquidation</w:t>
              <w:br/>
              <w:t>Value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0" w:type="dxa"/>
            <w:gridSpan w:val="2"/>
            <w:tcBorders/>
            <w:shd w:fill="auto" w:val="clear"/>
            <w:vAlign w:val="center"/>
          </w:tcPr>
          <w:p>
            <w:pPr>
              <w:pStyle w:val="TableContents"/>
              <w:spacing w:before="0" w:after="0"/>
              <w:jc w:val="center"/>
              <w:rPr>
                <w:b/>
                <w:spacing w:val="0"/>
              </w:rPr>
            </w:pPr>
            <w:r>
              <w:rPr>
                <w:b/>
                <w:spacing w:val="0"/>
              </w:rPr>
              <w:t>Common</w:t>
              <w:br/>
              <w:t>Stock Issuable</w:t>
              <w:br/>
              <w:t>Upon Conversion</w:t>
            </w:r>
          </w:p>
        </w:tc>
        <w:tc>
          <w:tcPr>
            <w:tcW w:w="75" w:type="dxa"/>
            <w:tcBorders/>
            <w:shd w:fill="auto" w:val="clear"/>
            <w:vAlign w:val="center"/>
          </w:tcPr>
          <w:p>
            <w:pPr>
              <w:pStyle w:val="TableContents"/>
              <w:spacing w:before="0" w:after="283"/>
              <w:rPr/>
            </w:pPr>
            <w:r>
              <w:rPr/>
              <w:t> </w:t>
            </w:r>
          </w:p>
        </w:tc>
      </w:tr>
      <w:tr>
        <w:trPr/>
        <w:tc>
          <w:tcPr>
            <w:tcW w:w="6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Series A</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556"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228" w:type="dxa"/>
            <w:tcBorders/>
            <w:shd w:fill="CCEEFF" w:val="clear"/>
            <w:vAlign w:val="center"/>
          </w:tcPr>
          <w:p>
            <w:pPr>
              <w:pStyle w:val="TableContents"/>
              <w:spacing w:before="0" w:after="283"/>
              <w:jc w:val="right"/>
              <w:rPr/>
            </w:pPr>
            <w:r>
              <w:rPr/>
              <w:t>55,700,000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801"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012" w:type="dxa"/>
            <w:tcBorders/>
            <w:shd w:fill="CCEEFF" w:val="clear"/>
            <w:vAlign w:val="center"/>
          </w:tcPr>
          <w:p>
            <w:pPr>
              <w:pStyle w:val="TableContents"/>
              <w:spacing w:before="0" w:after="283"/>
              <w:jc w:val="right"/>
              <w:rPr/>
            </w:pPr>
            <w:r>
              <w:rPr/>
              <w:t>55,700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726" w:type="dxa"/>
            <w:tcBorders/>
            <w:shd w:fill="CCEEFF" w:val="clear"/>
            <w:vAlign w:val="center"/>
          </w:tcPr>
          <w:p>
            <w:pPr>
              <w:pStyle w:val="TableContents"/>
              <w:spacing w:before="0" w:after="283"/>
              <w:jc w:val="right"/>
              <w:rPr/>
            </w:pPr>
            <w:r>
              <w:rPr/>
              <w:t>55,700,000</w:t>
            </w:r>
          </w:p>
        </w:tc>
        <w:tc>
          <w:tcPr>
            <w:tcW w:w="75" w:type="dxa"/>
            <w:tcBorders/>
            <w:shd w:fill="CCEEFF"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2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556" w:type="dxa"/>
            <w:tcBorders/>
            <w:shd w:fill="auto" w:val="clear"/>
            <w:vAlign w:val="center"/>
          </w:tcPr>
          <w:p>
            <w:pPr>
              <w:pStyle w:val="TableContents"/>
              <w:spacing w:before="0" w:after="283"/>
              <w:jc w:val="right"/>
              <w:rPr/>
            </w:pPr>
            <w:r>
              <w:rPr/>
              <w:t>55,700,000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228" w:type="dxa"/>
            <w:tcBorders/>
            <w:shd w:fill="auto" w:val="clear"/>
            <w:vAlign w:val="center"/>
          </w:tcPr>
          <w:p>
            <w:pPr>
              <w:pStyle w:val="TableContents"/>
              <w:spacing w:before="0" w:after="283"/>
              <w:jc w:val="right"/>
              <w:rPr/>
            </w:pPr>
            <w:r>
              <w:rPr/>
              <w:t>55,700,000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w:t>
            </w:r>
          </w:p>
        </w:tc>
        <w:tc>
          <w:tcPr>
            <w:tcW w:w="801" w:type="dxa"/>
            <w:tcBorders/>
            <w:shd w:fill="auto" w:val="clear"/>
            <w:vAlign w:val="center"/>
          </w:tcPr>
          <w:p>
            <w:pPr>
              <w:pStyle w:val="TableContents"/>
              <w:spacing w:before="0" w:after="283"/>
              <w:jc w:val="right"/>
              <w:rPr/>
            </w:pPr>
            <w:r>
              <w:rPr/>
              <w:t>55,700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1012" w:type="dxa"/>
            <w:tcBorders/>
            <w:shd w:fill="auto" w:val="clear"/>
            <w:vAlign w:val="center"/>
          </w:tcPr>
          <w:p>
            <w:pPr>
              <w:pStyle w:val="TableContents"/>
              <w:spacing w:before="0" w:after="283"/>
              <w:jc w:val="right"/>
              <w:rPr/>
            </w:pPr>
            <w:r>
              <w:rPr/>
              <w:t>55,700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726" w:type="dxa"/>
            <w:tcBorders/>
            <w:shd w:fill="auto" w:val="clear"/>
            <w:vAlign w:val="center"/>
          </w:tcPr>
          <w:p>
            <w:pPr>
              <w:pStyle w:val="TableContents"/>
              <w:spacing w:before="0" w:after="283"/>
              <w:jc w:val="right"/>
              <w:rPr/>
            </w:pPr>
            <w:r>
              <w:rPr/>
              <w:t>55,700,000</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rights, preferences and privileges of the Company’s redeemable convertible preferred stock are as follows: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 Value Per Share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par value of all preferred stock is $0.001 per share.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Future Tranche Right Feature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Rights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F-82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9. Redeemable Convertible Preferred Stock(cont.) </w:t>
      </w:r>
    </w:p>
    <w:p>
      <w:pPr>
        <w:pStyle w:val="TextBody"/>
        <w:spacing w:before="0" w:after="0"/>
        <w:jc w:val="left"/>
        <w:rPr>
          <w:spacing w:val="0"/>
        </w:rPr>
      </w:pPr>
      <w:r>
        <w:rPr>
          <w:spacing w:val="0"/>
        </w:rPr>
        <w:t> </w:t>
      </w:r>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convertible preferred stock is $1.89 per share. Certain terms exist to protect the conversion rights of the holders of the convertible preferred stock in the event of the issuance of additional shares of common stock or a merger or reorganization of the Company.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or after March 31, 2023, upon the vote or written consent of the holders of the Series A, Series B, and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10. Common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Certificate of Incorporation, as amended,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subject to the prior rights of holders of all classes of redeemable convertible preferred stock outstanding. No dividends have been declared as of December 31,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increased the number of shares of common stock authorized by 2,800,000 to 80,800,000 during 2019 and by 85,200,000 to 166,000,000 during 2020. As of December 31, 2020 and 2019, there were 13,301,649 and 13,334,856 shares of common stock issued and outstanding, respectively.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F-83 </w:t>
      </w:r>
    </w:p>
    <w:p>
      <w:pPr>
        <w:pStyle w:val="TextBody"/>
        <w:spacing w:before="0" w:after="0"/>
        <w:jc w:val="center"/>
        <w:rPr/>
      </w:pPr>
      <w:r>
        <w:rPr/>
        <w:t> </w:t>
      </w:r>
    </w:p>
    <w:p>
      <w:pPr>
        <w:pStyle w:val="HorizontalLine"/>
        <w:jc w:val="center"/>
        <w:rPr/>
      </w:pPr>
      <w:r>
        <w:rPr/>
      </w:r>
    </w:p>
    <w:p>
      <w:pPr>
        <w:pStyle w:val="TextBody"/>
        <w:spacing w:before="0" w:after="0"/>
        <w:ind w:left="0" w:right="0" w:hanging="0"/>
        <w:jc w:val="left"/>
        <w:rPr/>
      </w:pPr>
      <w:hyperlink w:anchor="toc">
        <w:r>
          <w:rPr>
            <w:rStyle w:val="InternetLink"/>
            <w:b/>
            <w:sz w:val="20"/>
          </w:rPr>
          <w:t>Table of Contents</w:t>
        </w:r>
      </w:hyperlink>
      <w:r>
        <w:rPr>
          <w:b/>
          <w:sz w:val="20"/>
        </w:rPr>
        <w:t> </w:t>
      </w:r>
    </w:p>
    <w:p>
      <w:pPr>
        <w:pStyle w:val="TextBody"/>
        <w:spacing w:before="0" w:after="0"/>
        <w:ind w:left="0" w:right="0" w:hanging="0"/>
        <w:jc w:val="left"/>
        <w:rPr/>
      </w:pPr>
      <w:r>
        <w:rPr/>
        <w:t>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11. Equity Incentive Plans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Founder and Advisor Awards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2017, the Company issued 4,690,000 shares of restricted common stock outside of the Company’s 2017 Stock Option and Grant Plan to nonemployee founders and advisors (the “Founders and Advisors”).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Company’s Founders and Advisors restricted common stock activity as of and for the years ended December 31, 2020 and 2019: </w:t>
      </w:r>
    </w:p>
    <w:p>
      <w:pPr>
        <w:pStyle w:val="TextBody"/>
        <w:spacing w:before="0" w:after="0"/>
        <w:jc w:val="left"/>
        <w:rPr>
          <w:spacing w:val="0"/>
        </w:rPr>
      </w:pPr>
      <w:r>
        <w:rPr>
          <w:spacing w:val="0"/>
        </w:rPr>
        <w:t> </w:t>
      </w:r>
    </w:p>
    <w:tbl>
      <w:tblPr>
        <w:tblW w:w="9559" w:type="dxa"/>
        <w:jc w:val="left"/>
        <w:tblInd w:w="0" w:type="dxa"/>
        <w:tblCellMar>
          <w:top w:w="0" w:type="dxa"/>
          <w:left w:w="0" w:type="dxa"/>
          <w:bottom w:w="0" w:type="dxa"/>
          <w:right w:w="0" w:type="dxa"/>
        </w:tblCellMar>
      </w:tblPr>
      <w:tblGrid>
        <w:gridCol w:w="6050"/>
        <w:gridCol w:w="120"/>
        <w:gridCol w:w="65"/>
        <w:gridCol w:w="1064"/>
        <w:gridCol w:w="155"/>
        <w:gridCol w:w="120"/>
        <w:gridCol w:w="382"/>
        <w:gridCol w:w="1528"/>
        <w:gridCol w:w="75"/>
      </w:tblGrid>
      <w:tr>
        <w:trPr/>
        <w:tc>
          <w:tcPr>
            <w:tcW w:w="6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b/>
                <w:spacing w:val="0"/>
              </w:rPr>
            </w:pPr>
            <w:r>
              <w:rPr>
                <w:b/>
                <w:spacing w:val="0"/>
              </w:rPr>
              <w:t>Number of</w:t>
              <w:br/>
              <w:t>shares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Weighted Average</w:t>
              <w:br/>
              <w:t>Grant-Date</w:t>
              <w:br/>
              <w:t>Fair Value</w:t>
            </w:r>
          </w:p>
        </w:tc>
        <w:tc>
          <w:tcPr>
            <w:tcW w:w="75"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Unvested restricted common stock outstanding as of December 31, 2018</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2,221,875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2" w:type="dxa"/>
            <w:tcBorders/>
            <w:shd w:fill="CCEEFF" w:val="clear"/>
            <w:vAlign w:val="center"/>
          </w:tcPr>
          <w:p>
            <w:pPr>
              <w:pStyle w:val="TableContents"/>
              <w:spacing w:before="0" w:after="283"/>
              <w:rPr/>
            </w:pPr>
            <w:r>
              <w:rPr/>
              <w:t>$</w:t>
            </w:r>
          </w:p>
        </w:tc>
        <w:tc>
          <w:tcPr>
            <w:tcW w:w="1528" w:type="dxa"/>
            <w:tcBorders/>
            <w:shd w:fill="CCEEFF" w:val="clear"/>
            <w:vAlign w:val="center"/>
          </w:tcPr>
          <w:p>
            <w:pPr>
              <w:pStyle w:val="TableContents"/>
              <w:spacing w:before="0" w:after="283"/>
              <w:jc w:val="right"/>
              <w:rPr/>
            </w:pPr>
            <w:r>
              <w:rPr/>
              <w:t>0.001</w:t>
            </w:r>
          </w:p>
        </w:tc>
        <w:tc>
          <w:tcPr>
            <w:tcW w:w="75" w:type="dxa"/>
            <w:tcBorders/>
            <w:shd w:fill="CCEEFF"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(987,496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w:t>
            </w:r>
          </w:p>
        </w:tc>
        <w:tc>
          <w:tcPr>
            <w:tcW w:w="1528" w:type="dxa"/>
            <w:tcBorders/>
            <w:shd w:fill="auto" w:val="clear"/>
            <w:vAlign w:val="center"/>
          </w:tcPr>
          <w:p>
            <w:pPr>
              <w:pStyle w:val="TableContents"/>
              <w:spacing w:before="0" w:after="283"/>
              <w:jc w:val="right"/>
              <w:rPr/>
            </w:pPr>
            <w:r>
              <w:rPr/>
              <w:t>0.001</w:t>
            </w:r>
          </w:p>
        </w:tc>
        <w:tc>
          <w:tcPr>
            <w:tcW w:w="75"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(109,379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2" w:type="dxa"/>
            <w:tcBorders/>
            <w:shd w:fill="CCEEFF" w:val="clear"/>
            <w:vAlign w:val="center"/>
          </w:tcPr>
          <w:p>
            <w:pPr>
              <w:pStyle w:val="TableContents"/>
              <w:spacing w:before="0" w:after="283"/>
              <w:rPr/>
            </w:pPr>
            <w:r>
              <w:rPr/>
              <w:t>$</w:t>
            </w:r>
          </w:p>
        </w:tc>
        <w:tc>
          <w:tcPr>
            <w:tcW w:w="1528" w:type="dxa"/>
            <w:tcBorders/>
            <w:shd w:fill="CCEEFF" w:val="clear"/>
            <w:vAlign w:val="center"/>
          </w:tcPr>
          <w:p>
            <w:pPr>
              <w:pStyle w:val="TableContents"/>
              <w:spacing w:before="0" w:after="283"/>
              <w:jc w:val="right"/>
              <w:rPr/>
            </w:pPr>
            <w:r>
              <w:rPr/>
              <w:t>0.001</w:t>
            </w:r>
          </w:p>
        </w:tc>
        <w:tc>
          <w:tcPr>
            <w:tcW w:w="75" w:type="dxa"/>
            <w:tcBorders/>
            <w:shd w:fill="CCEEFF"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Unvested restricted common stock outstanding as of December 31, 2019</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1,125,000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w:t>
            </w:r>
          </w:p>
        </w:tc>
        <w:tc>
          <w:tcPr>
            <w:tcW w:w="1528" w:type="dxa"/>
            <w:tcBorders/>
            <w:shd w:fill="auto" w:val="clear"/>
            <w:vAlign w:val="center"/>
          </w:tcPr>
          <w:p>
            <w:pPr>
              <w:pStyle w:val="TableContents"/>
              <w:spacing w:before="0" w:after="283"/>
              <w:jc w:val="right"/>
              <w:rPr/>
            </w:pPr>
            <w:r>
              <w:rPr/>
              <w:t>0.001</w:t>
            </w:r>
          </w:p>
        </w:tc>
        <w:tc>
          <w:tcPr>
            <w:tcW w:w="75"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1064" w:type="dxa"/>
            <w:tcBorders/>
            <w:shd w:fill="CCEEFF" w:val="clear"/>
            <w:vAlign w:val="center"/>
          </w:tcPr>
          <w:p>
            <w:pPr>
              <w:pStyle w:val="TableContents"/>
              <w:spacing w:before="0" w:after="283"/>
              <w:jc w:val="right"/>
              <w:rPr/>
            </w:pPr>
            <w:r>
              <w:rPr/>
              <w:t>(950,000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2" w:type="dxa"/>
            <w:tcBorders/>
            <w:shd w:fill="CCEEFF" w:val="clear"/>
            <w:vAlign w:val="center"/>
          </w:tcPr>
          <w:p>
            <w:pPr>
              <w:pStyle w:val="TableContents"/>
              <w:spacing w:before="0" w:after="283"/>
              <w:rPr/>
            </w:pPr>
            <w:r>
              <w:rPr/>
              <w:t>$</w:t>
            </w:r>
          </w:p>
        </w:tc>
        <w:tc>
          <w:tcPr>
            <w:tcW w:w="1528" w:type="dxa"/>
            <w:tcBorders/>
            <w:shd w:fill="CCEEFF" w:val="clear"/>
            <w:vAlign w:val="center"/>
          </w:tcPr>
          <w:p>
            <w:pPr>
              <w:pStyle w:val="TableContents"/>
              <w:spacing w:before="0" w:after="283"/>
              <w:jc w:val="right"/>
              <w:rPr/>
            </w:pPr>
            <w:r>
              <w:rPr/>
              <w:t>0.001</w:t>
            </w:r>
          </w:p>
        </w:tc>
        <w:tc>
          <w:tcPr>
            <w:tcW w:w="75" w:type="dxa"/>
            <w:tcBorders/>
            <w:shd w:fill="CCEEFF"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4"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528"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rPr>
            </w:pPr>
            <w:r>
              <w:rPr>
                <w:spacing w:val="0"/>
              </w:rPr>
              <w:t> </w:t>
            </w:r>
          </w:p>
        </w:tc>
        <w:tc>
          <w:tcPr>
            <w:tcW w:w="1064" w:type="dxa"/>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0"/>
              <w:rPr>
                <w:spacing w:val="0"/>
              </w:rPr>
            </w:pPr>
            <w:r>
              <w:rPr>
                <w:spacing w:val="0"/>
              </w:rPr>
              <w:t> </w:t>
            </w:r>
          </w:p>
        </w:tc>
        <w:tc>
          <w:tcPr>
            <w:tcW w:w="1528" w:type="dxa"/>
            <w:tcBorders/>
            <w:shd w:fill="auto" w:val="clear"/>
            <w:vAlign w:val="center"/>
          </w:tcPr>
          <w:p>
            <w:pPr>
              <w:pStyle w:val="TableContents"/>
              <w:spacing w:before="0" w:after="0"/>
              <w:rPr>
                <w:spacing w:val="0"/>
              </w:rPr>
            </w:pPr>
            <w:r>
              <w:rPr>
                <w:spacing w:val="0"/>
              </w:rPr>
              <w:t> </w:t>
            </w:r>
          </w:p>
        </w:tc>
        <w:tc>
          <w:tcPr>
            <w:tcW w:w="75" w:type="dxa"/>
            <w:tcBorders/>
            <w:shd w:fill="auto"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The shares are issued under the terms of the respective restricted common stock agreements and are subject to repurchase by the Company at the original purchase price per share upon the termination of the grant</w:t>
      </w:r>
    </w:p>
    <w:p>
      <w:pPr>
        <w:pStyle w:val="TextBody"/>
        <w:spacing w:before="240" w:after="0"/>
        <w:jc w:val="left"/>
        <w:rPr>
          <w:rFonts w:ascii="Times New Roman" w:hAnsi="Times New Roman"/>
          <w:spacing w:val="0"/>
          <w:sz w:val="20"/>
        </w:rPr>
      </w:pPr>
      <w:r>
        <w:rPr>
          <w:rFonts w:ascii="Times New Roman" w:hAnsi="Times New Roman"/>
          <w:spacing w:val="0"/>
          <w:sz w:val="20"/>
        </w:rPr>
        <w:t>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e’s service relationship with the Company. As the restrictions are released and the awards vest, the value is recorded as common stock and excess of par value is recorded as additional paid in capital on the accompanying balance sheet.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December 31, 2020, the unrecognized compensation cost related to shares of unvested founder and advisor restricted stock awards (“RSAs”) expected to vest was less than $0.1 million, which is expected to be recognized over an estimated weighted-average amortization period of 0.22 years. The aggregate fair value of awards that vested during both years ended December 31, 2020 and 2019 was $0.5 million.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2017 Stock Option and Grant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March 2017, the Company’s stockholders approved the 2017 Stock Option and Grant Plan (the “Plan”), under which stock options, RSAs, unrestricted stock awards, restricted stock units, or any combination of the forgoing may be granted to eligible employees, officers, directors, consultants, or other key persons who provide services to the Company. Such issuances are subject to vesting, forfeiture and other restrictions as deemed appropriate by the board of directors (“Board of Directors”). Upon approval, the maximum number of common stock shares reserved and available for issuance under the Plan was 10,000,000 shares. The Company increased the number of shares available for grant under the plan by 6,700,000 million and 2,800,000 million during the years ended December 31, 2020 and 2019, respectively. As of December 31, 2020, the maximum number of common stock shares reserved and available for issuance under the Plan was 30,600,000 shares. As of December 31, 2020, there were 11,783,597 shares available for future grant under the 2017 Plan. </w:t>
      </w:r>
    </w:p>
    <w:p>
      <w:pPr>
        <w:pStyle w:val="TextBody"/>
        <w:spacing w:before="240" w:after="0"/>
        <w:jc w:val="left"/>
        <w:rPr>
          <w:rFonts w:ascii="Times New Roman" w:hAnsi="Times New Roman"/>
          <w:spacing w:val="0"/>
          <w:sz w:val="20"/>
        </w:rPr>
      </w:pPr>
      <w:r>
        <w:rPr>
          <w:rFonts w:ascii="Times New Roman" w:hAnsi="Times New Roman"/>
          <w:spacing w:val="0"/>
          <w:sz w:val="20"/>
        </w:rPr>
        <w:t>The terms of stock option award agreements and RSAs, including vesting requirements, are determined by the Board of Directors at the time of issuance. To date, options granted generally vest over a period of three or</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F-84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11. Equity Incentive Plans(cont.)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four years with 25% cliff vesting upon the first anniversary of the issuance date and monthly vesting thereafter. </w:t>
      </w:r>
    </w:p>
    <w:p>
      <w:pPr>
        <w:pStyle w:val="TextBody"/>
        <w:spacing w:before="120" w:after="0"/>
        <w:jc w:val="left"/>
        <w:rPr>
          <w:rFonts w:ascii="Times New Roman" w:hAnsi="Times New Roman"/>
          <w:sz w:val="20"/>
        </w:rPr>
      </w:pPr>
      <w:r>
        <w:rPr>
          <w:rFonts w:ascii="Times New Roman" w:hAnsi="Times New Roman"/>
          <w:sz w:val="20"/>
        </w:rPr>
        <w:t xml:space="preserve">Vesting criteria for awards vary by grant as determined by the Board of Directors. Options and RSAs generally have a </w:t>
      </w:r>
    </w:p>
    <w:p>
      <w:pPr>
        <w:pStyle w:val="TextBody"/>
        <w:spacing w:before="120" w:after="0"/>
        <w:jc w:val="left"/>
        <w:rPr>
          <w:rFonts w:ascii="Times New Roman" w:hAnsi="Times New Roman"/>
          <w:spacing w:val="0"/>
          <w:sz w:val="20"/>
        </w:rPr>
      </w:pPr>
      <w:r>
        <w:rPr>
          <w:rFonts w:ascii="Times New Roman" w:hAnsi="Times New Roman"/>
          <w:spacing w:val="0"/>
          <w:sz w:val="20"/>
        </w:rPr>
        <w:t>ten-year</w:t>
      </w:r>
    </w:p>
    <w:p>
      <w:pPr>
        <w:pStyle w:val="TextBody"/>
        <w:spacing w:before="120" w:after="0"/>
        <w:jc w:val="left"/>
        <w:rPr>
          <w:rFonts w:ascii="Times New Roman" w:hAnsi="Times New Roman"/>
          <w:sz w:val="20"/>
        </w:rPr>
      </w:pPr>
      <w:r>
        <w:rPr>
          <w:rFonts w:ascii="Times New Roman" w:hAnsi="Times New Roman"/>
          <w:sz w:val="20"/>
        </w:rPr>
        <w:t xml:space="preserve">term from the date of grant but may be less in the event that the award is granted to a 10% shareholder. The exercise price of an award generally shall not be less than 100% of the estimated fair value of the shares on the date of grant, respectively, as determined by the Board of Directors. The exercise price of an award granted to a 10% shareholder shall not be less than 110% of the estimated fair value of the shares on the date of grant, respectively, as determined by the Board of Directors.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RSA activity of the Company’s Plan as of and for the years ended December 31, 2020 and 2019: </w:t>
      </w:r>
    </w:p>
    <w:p>
      <w:pPr>
        <w:pStyle w:val="TextBody"/>
        <w:spacing w:before="0" w:after="0"/>
        <w:ind w:left="0" w:right="0" w:hanging="0"/>
        <w:jc w:val="left"/>
        <w:rPr>
          <w:spacing w:val="0"/>
        </w:rPr>
      </w:pPr>
      <w:r>
        <w:rPr>
          <w:spacing w:val="0"/>
        </w:rPr>
        <w:t> </w:t>
      </w:r>
    </w:p>
    <w:tbl>
      <w:tblPr>
        <w:tblW w:w="9559" w:type="dxa"/>
        <w:jc w:val="left"/>
        <w:tblInd w:w="0" w:type="dxa"/>
        <w:tblCellMar>
          <w:top w:w="0" w:type="dxa"/>
          <w:left w:w="0" w:type="dxa"/>
          <w:bottom w:w="0" w:type="dxa"/>
          <w:right w:w="0" w:type="dxa"/>
        </w:tblCellMar>
      </w:tblPr>
      <w:tblGrid>
        <w:gridCol w:w="6050"/>
        <w:gridCol w:w="120"/>
        <w:gridCol w:w="60"/>
        <w:gridCol w:w="1069"/>
        <w:gridCol w:w="155"/>
        <w:gridCol w:w="120"/>
        <w:gridCol w:w="205"/>
        <w:gridCol w:w="1705"/>
        <w:gridCol w:w="75"/>
      </w:tblGrid>
      <w:tr>
        <w:trPr/>
        <w:tc>
          <w:tcPr>
            <w:tcW w:w="6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0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9"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Number of</w:t>
              <w:br/>
              <w:t>shares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9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Weighted Average</w:t>
              <w:br/>
              <w:t>Grant-Date</w:t>
              <w:br/>
              <w:t>Fair Value</w:t>
            </w:r>
          </w:p>
        </w:tc>
        <w:tc>
          <w:tcPr>
            <w:tcW w:w="75" w:type="dxa"/>
            <w:tcBorders/>
            <w:shd w:fill="auto" w:val="clear"/>
            <w:vAlign w:val="center"/>
          </w:tcPr>
          <w:p>
            <w:pPr>
              <w:pStyle w:val="TableContents"/>
              <w:spacing w:before="0" w:after="0"/>
              <w:rPr>
                <w:spacing w:val="0"/>
              </w:rPr>
            </w:pPr>
            <w:r>
              <w:rPr>
                <w:spacing w:val="0"/>
              </w:rPr>
              <w:t> </w:t>
            </w:r>
          </w:p>
        </w:tc>
      </w:tr>
      <w:tr>
        <w:trPr/>
        <w:tc>
          <w:tcPr>
            <w:tcW w:w="60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Unvested restricted common stock outstanding as of December 31, 2018</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069" w:type="dxa"/>
            <w:tcBorders/>
            <w:shd w:fill="CCEEFF" w:val="clear"/>
            <w:vAlign w:val="center"/>
          </w:tcPr>
          <w:p>
            <w:pPr>
              <w:pStyle w:val="TableContents"/>
              <w:spacing w:before="0" w:after="0"/>
              <w:jc w:val="right"/>
              <w:rPr>
                <w:spacing w:val="0"/>
              </w:rPr>
            </w:pPr>
            <w:r>
              <w:rPr>
                <w:spacing w:val="0"/>
              </w:rPr>
              <w:t>4,888,460</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205" w:type="dxa"/>
            <w:tcBorders/>
            <w:shd w:fill="CCEEFF" w:val="clear"/>
            <w:vAlign w:val="center"/>
          </w:tcPr>
          <w:p>
            <w:pPr>
              <w:pStyle w:val="TableContents"/>
              <w:spacing w:before="0" w:after="0"/>
              <w:rPr>
                <w:spacing w:val="0"/>
              </w:rPr>
            </w:pPr>
            <w:r>
              <w:rPr>
                <w:spacing w:val="0"/>
              </w:rPr>
              <w:t>$</w:t>
            </w:r>
          </w:p>
        </w:tc>
        <w:tc>
          <w:tcPr>
            <w:tcW w:w="1705" w:type="dxa"/>
            <w:tcBorders/>
            <w:shd w:fill="CCEEFF" w:val="clear"/>
            <w:vAlign w:val="center"/>
          </w:tcPr>
          <w:p>
            <w:pPr>
              <w:pStyle w:val="TableContents"/>
              <w:spacing w:before="0" w:after="0"/>
              <w:jc w:val="right"/>
              <w:rPr>
                <w:spacing w:val="0"/>
              </w:rPr>
            </w:pPr>
            <w:r>
              <w:rPr>
                <w:spacing w:val="0"/>
              </w:rPr>
              <w:t>            </w:t>
            </w:r>
            <w:r>
              <w:rPr>
                <w:spacing w:val="0"/>
              </w:rPr>
              <w:t>0.35</w:t>
            </w:r>
          </w:p>
        </w:tc>
        <w:tc>
          <w:tcPr>
            <w:tcW w:w="75" w:type="dxa"/>
            <w:tcBorders/>
            <w:shd w:fill="CCEEFF" w:val="clear"/>
            <w:vAlign w:val="center"/>
          </w:tcPr>
          <w:p>
            <w:pPr>
              <w:pStyle w:val="TableContents"/>
              <w:spacing w:before="0" w:after="0"/>
              <w:rPr>
                <w:spacing w:val="0"/>
              </w:rPr>
            </w:pPr>
            <w:r>
              <w:rPr>
                <w:spacing w:val="0"/>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0"/>
              <w:rPr>
                <w:spacing w:val="0"/>
              </w:rPr>
            </w:pPr>
            <w:r>
              <w:rPr>
                <w:spacing w:val="0"/>
              </w:rPr>
              <w:t> </w:t>
            </w:r>
          </w:p>
        </w:tc>
      </w:tr>
      <w:tr>
        <w:trPr/>
        <w:tc>
          <w:tcPr>
            <w:tcW w:w="6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0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jc w:val="right"/>
              <w:rPr/>
            </w:pPr>
            <w:r>
              <w:rPr/>
              <w:t>(1,744,301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w:t>
            </w:r>
          </w:p>
        </w:tc>
        <w:tc>
          <w:tcPr>
            <w:tcW w:w="1705" w:type="dxa"/>
            <w:tcBorders/>
            <w:shd w:fill="auto" w:val="clear"/>
            <w:vAlign w:val="center"/>
          </w:tcPr>
          <w:p>
            <w:pPr>
              <w:pStyle w:val="TableContents"/>
              <w:spacing w:before="0" w:after="283"/>
              <w:jc w:val="right"/>
              <w:rPr/>
            </w:pPr>
            <w:r>
              <w:rPr/>
              <w:t>0.32</w:t>
            </w:r>
          </w:p>
        </w:tc>
        <w:tc>
          <w:tcPr>
            <w:tcW w:w="75"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9" w:type="dxa"/>
            <w:tcBorders/>
            <w:shd w:fill="CCEEFF" w:val="clear"/>
            <w:vAlign w:val="center"/>
          </w:tcPr>
          <w:p>
            <w:pPr>
              <w:pStyle w:val="TableContents"/>
              <w:spacing w:before="0" w:after="283"/>
              <w:jc w:val="right"/>
              <w:rPr/>
            </w:pPr>
            <w:r>
              <w:rPr/>
              <w:t>(1,078,125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w:t>
            </w:r>
          </w:p>
        </w:tc>
        <w:tc>
          <w:tcPr>
            <w:tcW w:w="1705" w:type="dxa"/>
            <w:tcBorders/>
            <w:shd w:fill="CCEEFF" w:val="clear"/>
            <w:vAlign w:val="center"/>
          </w:tcPr>
          <w:p>
            <w:pPr>
              <w:pStyle w:val="TableContents"/>
              <w:spacing w:before="0" w:after="283"/>
              <w:jc w:val="right"/>
              <w:rPr/>
            </w:pPr>
            <w:r>
              <w:rPr/>
              <w:t>0.42</w:t>
            </w:r>
          </w:p>
        </w:tc>
        <w:tc>
          <w:tcPr>
            <w:tcW w:w="75" w:type="dxa"/>
            <w:tcBorders/>
            <w:shd w:fill="CCEEFF"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Unvested restricted common stock outstanding as of December 31, 2019</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jc w:val="right"/>
              <w:rPr/>
            </w:pPr>
            <w:r>
              <w:rPr/>
              <w:t>2,066,034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w:t>
            </w:r>
          </w:p>
        </w:tc>
        <w:tc>
          <w:tcPr>
            <w:tcW w:w="1705" w:type="dxa"/>
            <w:tcBorders/>
            <w:shd w:fill="auto" w:val="clear"/>
            <w:vAlign w:val="center"/>
          </w:tcPr>
          <w:p>
            <w:pPr>
              <w:pStyle w:val="TableContents"/>
              <w:spacing w:before="0" w:after="283"/>
              <w:jc w:val="right"/>
              <w:rPr/>
            </w:pPr>
            <w:r>
              <w:rPr/>
              <w:t>0.33</w:t>
            </w:r>
          </w:p>
        </w:tc>
        <w:tc>
          <w:tcPr>
            <w:tcW w:w="75" w:type="dxa"/>
            <w:tcBorders/>
            <w:shd w:fill="auto"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9" w:type="dxa"/>
            <w:tcBorders/>
            <w:shd w:fill="CCEEFF" w:val="clear"/>
            <w:vAlign w:val="center"/>
          </w:tcPr>
          <w:p>
            <w:pPr>
              <w:pStyle w:val="TableContents"/>
              <w:spacing w:before="0" w:after="283"/>
              <w:jc w:val="right"/>
              <w:rPr/>
            </w:pPr>
            <w:r>
              <w:rPr/>
              <w:t>(1,370,089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w:t>
            </w:r>
          </w:p>
        </w:tc>
        <w:tc>
          <w:tcPr>
            <w:tcW w:w="1705" w:type="dxa"/>
            <w:tcBorders/>
            <w:shd w:fill="CCEEFF" w:val="clear"/>
            <w:vAlign w:val="center"/>
          </w:tcPr>
          <w:p>
            <w:pPr>
              <w:pStyle w:val="TableContents"/>
              <w:spacing w:before="0" w:after="283"/>
              <w:jc w:val="right"/>
              <w:rPr/>
            </w:pPr>
            <w:r>
              <w:rPr/>
              <w:t>0.33</w:t>
            </w:r>
          </w:p>
        </w:tc>
        <w:tc>
          <w:tcPr>
            <w:tcW w:w="75" w:type="dxa"/>
            <w:tcBorders/>
            <w:shd w:fill="CCEEFF"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jc w:val="right"/>
              <w:rPr/>
            </w:pPr>
            <w:r>
              <w:rPr/>
              <w:t>(115,077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283"/>
              <w:rPr/>
            </w:pPr>
            <w:r>
              <w:rPr/>
              <w:t>$</w:t>
            </w:r>
          </w:p>
        </w:tc>
        <w:tc>
          <w:tcPr>
            <w:tcW w:w="1705" w:type="dxa"/>
            <w:tcBorders/>
            <w:shd w:fill="auto" w:val="clear"/>
            <w:vAlign w:val="center"/>
          </w:tcPr>
          <w:p>
            <w:pPr>
              <w:pStyle w:val="TableContents"/>
              <w:spacing w:before="0" w:after="283"/>
              <w:jc w:val="right"/>
              <w:rPr/>
            </w:pPr>
            <w:r>
              <w:rPr/>
              <w:t>0.08</w:t>
            </w:r>
          </w:p>
        </w:tc>
        <w:tc>
          <w:tcPr>
            <w:tcW w:w="75" w:type="dxa"/>
            <w:tcBorders/>
            <w:shd w:fill="auto"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Unvested restricted common stock outstanding as of December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9" w:type="dxa"/>
            <w:tcBorders/>
            <w:shd w:fill="CCEEFF" w:val="clear"/>
            <w:vAlign w:val="center"/>
          </w:tcPr>
          <w:p>
            <w:pPr>
              <w:pStyle w:val="TableContents"/>
              <w:spacing w:before="0" w:after="283"/>
              <w:jc w:val="right"/>
              <w:rPr/>
            </w:pPr>
            <w:r>
              <w:rPr/>
              <w:t>580,868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pPr>
            <w:r>
              <w:rPr/>
              <w:t>$</w:t>
            </w:r>
          </w:p>
        </w:tc>
        <w:tc>
          <w:tcPr>
            <w:tcW w:w="1705" w:type="dxa"/>
            <w:tcBorders/>
            <w:shd w:fill="CCEEFF" w:val="clear"/>
            <w:vAlign w:val="center"/>
          </w:tcPr>
          <w:p>
            <w:pPr>
              <w:pStyle w:val="TableContents"/>
              <w:spacing w:before="0" w:after="283"/>
              <w:jc w:val="right"/>
              <w:rPr/>
            </w:pPr>
            <w:r>
              <w:rPr/>
              <w:t>0.38</w:t>
            </w:r>
          </w:p>
        </w:tc>
        <w:tc>
          <w:tcPr>
            <w:tcW w:w="75" w:type="dxa"/>
            <w:tcBorders/>
            <w:shd w:fill="CCEEFF"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6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December 31, 2020, the unrecognized compensation cost related to shares of unvested RSAs expected to vest was $0.2 million, which is expected to be recognized over an estimated weighted-average amortization period of 0.43 years. The aggregate fair value of RSAs that vested during the years ended December 31, 2020 and 2019 was $0.5 million and $0.6 million, respectively.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85</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11. Equity Incentive Plans(cont.) </w:t>
      </w:r>
    </w:p>
    <w:p>
      <w:pPr>
        <w:pStyle w:val="TextBody"/>
        <w:spacing w:before="0" w:after="0"/>
        <w:jc w:val="left"/>
        <w:rPr>
          <w:spacing w:val="0"/>
        </w:rPr>
      </w:pPr>
      <w:r>
        <w:rPr>
          <w:spacing w:val="0"/>
        </w:rPr>
        <w:t> </w:t>
      </w:r>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stock option activity of the Company’s 2017 Plan as of and for the years ended December 31, 2020 and 2019: </w:t>
      </w:r>
    </w:p>
    <w:p>
      <w:pPr>
        <w:pStyle w:val="TextBody"/>
        <w:spacing w:before="0" w:after="0"/>
        <w:jc w:val="left"/>
        <w:rPr>
          <w:spacing w:val="0"/>
        </w:rPr>
      </w:pPr>
      <w:r>
        <w:rPr>
          <w:spacing w:val="0"/>
        </w:rPr>
        <w:t> </w:t>
      </w:r>
    </w:p>
    <w:tbl>
      <w:tblPr>
        <w:tblW w:w="9730" w:type="dxa"/>
        <w:jc w:val="left"/>
        <w:tblInd w:w="0" w:type="dxa"/>
        <w:tblCellMar>
          <w:top w:w="0" w:type="dxa"/>
          <w:left w:w="0" w:type="dxa"/>
          <w:bottom w:w="0" w:type="dxa"/>
          <w:right w:w="0" w:type="dxa"/>
        </w:tblCellMar>
      </w:tblPr>
      <w:tblGrid>
        <w:gridCol w:w="3830"/>
        <w:gridCol w:w="120"/>
        <w:gridCol w:w="60"/>
        <w:gridCol w:w="1100"/>
        <w:gridCol w:w="155"/>
        <w:gridCol w:w="120"/>
        <w:gridCol w:w="140"/>
        <w:gridCol w:w="920"/>
        <w:gridCol w:w="60"/>
        <w:gridCol w:w="120"/>
        <w:gridCol w:w="150"/>
        <w:gridCol w:w="1100"/>
        <w:gridCol w:w="60"/>
        <w:gridCol w:w="120"/>
        <w:gridCol w:w="140"/>
        <w:gridCol w:w="1460"/>
        <w:gridCol w:w="75"/>
      </w:tblGrid>
      <w:tr>
        <w:trPr/>
        <w:tc>
          <w:tcPr>
            <w:tcW w:w="3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Number of</w:t>
              <w:br/>
              <w:t>shares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Weighted</w:t>
              <w:br/>
              <w:t>Average</w:t>
              <w:br/>
              <w:t>Exercise</w:t>
              <w:br/>
              <w:t>Price</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5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Weighted</w:t>
              <w:br/>
              <w:t>Average</w:t>
              <w:br/>
              <w:t>Contractual</w:t>
              <w:br/>
              <w:t>Term</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Aggregate</w:t>
              <w:br/>
              <w:t>Intrinsic Value</w:t>
            </w:r>
          </w:p>
        </w:tc>
        <w:tc>
          <w:tcPr>
            <w:tcW w:w="75" w:type="dxa"/>
            <w:tcBorders/>
            <w:shd w:fill="auto" w:val="clear"/>
            <w:vAlign w:val="center"/>
          </w:tcPr>
          <w:p>
            <w:pPr>
              <w:pStyle w:val="TableContents"/>
              <w:spacing w:before="0" w:after="0"/>
              <w:rPr>
                <w:spacing w:val="0"/>
              </w:rPr>
            </w:pPr>
            <w:r>
              <w:rPr>
                <w:spacing w:val="0"/>
              </w:rPr>
              <w:t> </w:t>
            </w:r>
          </w:p>
        </w:tc>
      </w:tr>
      <w:tr>
        <w:trPr/>
        <w:tc>
          <w:tcPr>
            <w:tcW w:w="38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705" w:type="dxa"/>
            <w:gridSpan w:val="14"/>
            <w:tcBorders/>
            <w:shd w:fill="auto" w:val="clear"/>
            <w:vAlign w:val="center"/>
          </w:tcPr>
          <w:p>
            <w:pPr>
              <w:pStyle w:val="TableContents"/>
              <w:spacing w:before="0" w:after="0"/>
              <w:jc w:val="center"/>
              <w:rPr>
                <w:b/>
                <w:spacing w:val="0"/>
              </w:rPr>
            </w:pPr>
            <w:r>
              <w:rPr>
                <w:b/>
                <w:spacing w:val="0"/>
              </w:rPr>
              <w:t>(in years)</w:t>
            </w:r>
          </w:p>
        </w:tc>
        <w:tc>
          <w:tcPr>
            <w:tcW w:w="75" w:type="dxa"/>
            <w:tcBorders/>
            <w:shd w:fill="auto" w:val="clear"/>
            <w:vAlign w:val="center"/>
          </w:tcPr>
          <w:p>
            <w:pPr>
              <w:pStyle w:val="TableContents"/>
              <w:spacing w:before="0" w:after="0"/>
              <w:rPr>
                <w:spacing w:val="0"/>
              </w:rPr>
            </w:pPr>
            <w:r>
              <w:rPr>
                <w:spacing w:val="0"/>
              </w:rPr>
              <w:t> </w:t>
            </w:r>
          </w:p>
        </w:tc>
      </w:tr>
      <w:tr>
        <w:trPr/>
        <w:tc>
          <w:tcPr>
            <w:tcW w:w="383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Options outstanding as of December 31, 2019</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6,902,873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0.50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60" w:type="dxa"/>
            <w:tcBorders/>
            <w:shd w:fill="CCEEFF" w:val="clear"/>
            <w:vAlign w:val="center"/>
          </w:tcPr>
          <w:p>
            <w:pPr>
              <w:pStyle w:val="TableContents"/>
              <w:spacing w:before="0" w:after="283"/>
              <w:jc w:val="right"/>
              <w:rPr/>
            </w:pPr>
            <w:r>
              <w:rPr/>
              <w:t>420,140</w:t>
            </w:r>
          </w:p>
        </w:tc>
        <w:tc>
          <w:tcPr>
            <w:tcW w:w="75"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5,716,368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0.79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(81,870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0.48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46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Cancelled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(586,009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0.51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Options outstanding as of December 31,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11,952,362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0.64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60" w:type="dxa"/>
            <w:tcBorders/>
            <w:shd w:fill="CCEEFF" w:val="clear"/>
            <w:vAlign w:val="center"/>
          </w:tcPr>
          <w:p>
            <w:pPr>
              <w:pStyle w:val="TableContents"/>
              <w:spacing w:before="0" w:after="283"/>
              <w:jc w:val="right"/>
              <w:rPr/>
            </w:pPr>
            <w:r>
              <w:rPr/>
              <w:t>6,625,511</w:t>
            </w:r>
          </w:p>
        </w:tc>
        <w:tc>
          <w:tcPr>
            <w:tcW w:w="75" w:type="dxa"/>
            <w:tcBorders/>
            <w:shd w:fill="CCEEFF"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80" w:type="dxa"/>
            <w:gridSpan w:val="15"/>
            <w:tcBorders/>
            <w:shd w:fill="auto" w:val="clear"/>
          </w:tcPr>
          <w:p>
            <w:pPr>
              <w:pStyle w:val="TableContents"/>
              <w:spacing w:before="0" w:after="283"/>
              <w:rPr>
                <w:sz w:val="4"/>
                <w:szCs w:val="4"/>
              </w:rPr>
            </w:pPr>
            <w:r>
              <w:rPr>
                <w:sz w:val="4"/>
                <w:szCs w:val="4"/>
              </w:rPr>
            </w:r>
          </w:p>
        </w:tc>
      </w:tr>
      <w:tr>
        <w:trPr/>
        <w:tc>
          <w:tcPr>
            <w:tcW w:w="38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Options exercisable as of December 31, 2020</w:t>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spacing w:val="0"/>
              </w:rPr>
            </w:pPr>
            <w:r>
              <w:rPr>
                <w:spacing w:val="0"/>
              </w:rPr>
              <w:t>3,611,387</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w:t>
            </w:r>
          </w:p>
        </w:tc>
        <w:tc>
          <w:tcPr>
            <w:tcW w:w="920" w:type="dxa"/>
            <w:tcBorders/>
            <w:shd w:fill="auto" w:val="clear"/>
            <w:vAlign w:val="center"/>
          </w:tcPr>
          <w:p>
            <w:pPr>
              <w:pStyle w:val="TableContents"/>
              <w:spacing w:before="0" w:after="0"/>
              <w:jc w:val="right"/>
              <w:rPr>
                <w:spacing w:val="0"/>
              </w:rPr>
            </w:pPr>
            <w:r>
              <w:rPr>
                <w:spacing w:val="0"/>
              </w:rPr>
              <w:t>        </w:t>
            </w:r>
            <w:r>
              <w:rPr>
                <w:spacing w:val="0"/>
              </w:rPr>
              <w:t>0.51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jc w:val="right"/>
              <w:rPr>
                <w:spacing w:val="0"/>
              </w:rPr>
            </w:pPr>
            <w:r>
              <w:rPr>
                <w:spacing w:val="0"/>
              </w:rPr>
              <w:t>7.65</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w:t>
            </w:r>
          </w:p>
        </w:tc>
        <w:tc>
          <w:tcPr>
            <w:tcW w:w="1460" w:type="dxa"/>
            <w:tcBorders/>
            <w:shd w:fill="auto" w:val="clear"/>
            <w:vAlign w:val="center"/>
          </w:tcPr>
          <w:p>
            <w:pPr>
              <w:pStyle w:val="TableContents"/>
              <w:spacing w:before="0" w:after="0"/>
              <w:jc w:val="right"/>
              <w:rPr>
                <w:spacing w:val="0"/>
              </w:rPr>
            </w:pPr>
            <w:r>
              <w:rPr>
                <w:spacing w:val="0"/>
              </w:rPr>
              <w:t>        </w:t>
            </w:r>
            <w:r>
              <w:rPr>
                <w:spacing w:val="0"/>
              </w:rPr>
              <w:t>2,466,634</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jc w:val="left"/>
        <w:rPr/>
      </w:pPr>
      <w:r>
        <w:rPr/>
        <w:t xml:space="preserve">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The aggregate intrinsic value of options is calculated as the difference between the exercise price of the options and the fair value of the Company’s common stock for those options th</w:t>
      </w:r>
    </w:p>
    <w:p>
      <w:pPr>
        <w:pStyle w:val="TextBody"/>
        <w:spacing w:before="240" w:after="0"/>
        <w:jc w:val="left"/>
        <w:rPr>
          <w:rFonts w:ascii="Times New Roman" w:hAnsi="Times New Roman"/>
          <w:spacing w:val="0"/>
          <w:sz w:val="20"/>
        </w:rPr>
      </w:pPr>
      <w:r>
        <w:rPr>
          <w:rFonts w:ascii="Times New Roman" w:hAnsi="Times New Roman"/>
          <w:spacing w:val="0"/>
          <w:sz w:val="20"/>
        </w:rPr>
        <w:t>a</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 had exercise prices lower than the fair value of the Company’s common stock. The total fair value of options vested during the years ended December 31, 2020 and 2019, was $0.9 million and $0.3 million,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total intrinsic values of options exercised totaled less than $0.1 million for the year ended December 31, 2020. There were no options exercised for the year ended December 31, 2019. The weighted-average grant date fair value per share of stock options granted was $0.49 and $0.34 for years ending December 31, 2020 and 2019, respectively. Substantially all options outstanding as of December 31, 2020 are expected to vest.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 Valuation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weighted average assumptions used to estimate the grant date fair value of the stock options using the Black-Scholes option pricing model were as follows: </w:t>
      </w:r>
    </w:p>
    <w:p>
      <w:pPr>
        <w:pStyle w:val="TextBody"/>
        <w:spacing w:before="0" w:after="0"/>
        <w:jc w:val="left"/>
        <w:rPr>
          <w:spacing w:val="0"/>
        </w:rPr>
      </w:pPr>
      <w:r>
        <w:rPr>
          <w:spacing w:val="0"/>
        </w:rPr>
        <w:t> </w:t>
      </w:r>
    </w:p>
    <w:tbl>
      <w:tblPr>
        <w:tblW w:w="5190" w:type="dxa"/>
        <w:jc w:val="left"/>
        <w:tblInd w:w="0" w:type="dxa"/>
        <w:tblCellMar>
          <w:top w:w="0" w:type="dxa"/>
          <w:left w:w="0" w:type="dxa"/>
          <w:bottom w:w="0" w:type="dxa"/>
          <w:right w:w="0" w:type="dxa"/>
        </w:tblCellMar>
      </w:tblPr>
      <w:tblGrid>
        <w:gridCol w:w="2495"/>
        <w:gridCol w:w="120"/>
        <w:gridCol w:w="1250"/>
        <w:gridCol w:w="60"/>
        <w:gridCol w:w="1265"/>
      </w:tblGrid>
      <w:tr>
        <w:trPr/>
        <w:tc>
          <w:tcPr>
            <w:tcW w:w="2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2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0"/>
              <w:jc w:val="center"/>
              <w:rPr>
                <w:b/>
                <w:spacing w:val="0"/>
              </w:rPr>
            </w:pPr>
            <w:r>
              <w:rPr>
                <w:b/>
                <w:spacing w:val="0"/>
              </w:rPr>
              <w:t>2019</w:t>
            </w:r>
          </w:p>
        </w:tc>
      </w:tr>
      <w:tr>
        <w:trPr/>
        <w:tc>
          <w:tcPr>
            <w:tcW w:w="2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r>
      <w:tr>
        <w:trPr/>
        <w:tc>
          <w:tcPr>
            <w:tcW w:w="24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option life (in years)</w:t>
            </w:r>
          </w:p>
        </w:tc>
        <w:tc>
          <w:tcPr>
            <w:tcW w:w="120" w:type="dxa"/>
            <w:tcBorders/>
            <w:shd w:fill="CCEEFF" w:val="clear"/>
            <w:vAlign w:val="center"/>
          </w:tcPr>
          <w:p>
            <w:pPr>
              <w:pStyle w:val="TableContents"/>
              <w:spacing w:before="0" w:after="283"/>
              <w:rPr/>
            </w:pPr>
            <w:r>
              <w:rPr/>
              <w:t>  </w:t>
            </w:r>
          </w:p>
        </w:tc>
        <w:tc>
          <w:tcPr>
            <w:tcW w:w="1250" w:type="dxa"/>
            <w:tcBorders/>
            <w:shd w:fill="CCEEFF" w:val="clear"/>
            <w:vAlign w:val="center"/>
          </w:tcPr>
          <w:p>
            <w:pPr>
              <w:pStyle w:val="TableContents"/>
              <w:spacing w:before="0" w:after="0"/>
              <w:jc w:val="center"/>
              <w:rPr/>
            </w:pPr>
            <w:r>
              <w:rPr/>
              <w:t>5.0 –</w:t>
            </w:r>
          </w:p>
          <w:p>
            <w:pPr>
              <w:pStyle w:val="TableContents"/>
              <w:spacing w:before="0" w:after="0"/>
              <w:jc w:val="center"/>
              <w:rPr>
                <w:spacing w:val="0"/>
              </w:rPr>
            </w:pPr>
            <w:r>
              <w:rPr>
                <w:spacing w:val="0"/>
              </w:rPr>
              <w:t> </w:t>
            </w:r>
          </w:p>
          <w:p>
            <w:pPr>
              <w:pStyle w:val="TableContents"/>
              <w:spacing w:before="0" w:after="0"/>
              <w:jc w:val="center"/>
              <w:rPr/>
            </w:pPr>
            <w:r>
              <w:rPr/>
              <w:t>6.1</w:t>
            </w:r>
          </w:p>
        </w:tc>
        <w:tc>
          <w:tcPr>
            <w:tcW w:w="60" w:type="dxa"/>
            <w:tcBorders/>
            <w:shd w:fill="CCEEFF" w:val="clear"/>
            <w:vAlign w:val="center"/>
          </w:tcPr>
          <w:p>
            <w:pPr>
              <w:pStyle w:val="TableContents"/>
              <w:spacing w:before="0" w:after="283"/>
              <w:rPr/>
            </w:pPr>
            <w:r>
              <w:rPr/>
              <w:t> </w:t>
            </w:r>
          </w:p>
        </w:tc>
        <w:tc>
          <w:tcPr>
            <w:tcW w:w="1265" w:type="dxa"/>
            <w:tcBorders/>
            <w:shd w:fill="CCEEFF" w:val="clear"/>
            <w:vAlign w:val="center"/>
          </w:tcPr>
          <w:p>
            <w:pPr>
              <w:pStyle w:val="TableContents"/>
              <w:spacing w:before="0" w:after="283"/>
              <w:jc w:val="center"/>
              <w:rPr/>
            </w:pPr>
            <w:r>
              <w:rPr/>
              <w:t>5.0 – 6.1</w:t>
            </w:r>
          </w:p>
        </w:tc>
      </w:tr>
      <w:tr>
        <w:trPr/>
        <w:tc>
          <w:tcPr>
            <w:tcW w:w="24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volatility</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jc w:val="center"/>
              <w:rPr/>
            </w:pPr>
            <w:r>
              <w:rPr/>
              <w:t>67% – 72%</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jc w:val="center"/>
              <w:rPr/>
            </w:pPr>
            <w:r>
              <w:rPr/>
              <w:t>70% – 75%</w:t>
            </w:r>
          </w:p>
        </w:tc>
      </w:tr>
      <w:tr>
        <w:trPr/>
        <w:tc>
          <w:tcPr>
            <w:tcW w:w="24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spacing w:before="0" w:after="283"/>
              <w:rPr/>
            </w:pPr>
            <w:r>
              <w:rPr/>
              <w:t>  </w:t>
            </w:r>
          </w:p>
        </w:tc>
        <w:tc>
          <w:tcPr>
            <w:tcW w:w="1250" w:type="dxa"/>
            <w:tcBorders/>
            <w:shd w:fill="CCEEFF" w:val="clear"/>
            <w:vAlign w:val="center"/>
          </w:tcPr>
          <w:p>
            <w:pPr>
              <w:pStyle w:val="TableContents"/>
              <w:spacing w:before="0" w:after="283"/>
              <w:jc w:val="center"/>
              <w:rPr/>
            </w:pPr>
            <w:r>
              <w:rPr/>
              <w:t>0.4% – 1.4%</w:t>
            </w:r>
          </w:p>
        </w:tc>
        <w:tc>
          <w:tcPr>
            <w:tcW w:w="60" w:type="dxa"/>
            <w:tcBorders/>
            <w:shd w:fill="CCEEFF" w:val="clear"/>
            <w:vAlign w:val="center"/>
          </w:tcPr>
          <w:p>
            <w:pPr>
              <w:pStyle w:val="TableContents"/>
              <w:spacing w:before="0" w:after="283"/>
              <w:rPr/>
            </w:pPr>
            <w:r>
              <w:rPr/>
              <w:t> </w:t>
            </w:r>
          </w:p>
        </w:tc>
        <w:tc>
          <w:tcPr>
            <w:tcW w:w="1265" w:type="dxa"/>
            <w:tcBorders/>
            <w:shd w:fill="CCEEFF" w:val="clear"/>
            <w:vAlign w:val="center"/>
          </w:tcPr>
          <w:p>
            <w:pPr>
              <w:pStyle w:val="TableContents"/>
              <w:spacing w:before="0" w:after="283"/>
              <w:jc w:val="center"/>
              <w:rPr/>
            </w:pPr>
            <w:r>
              <w:rPr/>
              <w:t>1.6% – 2.6%</w:t>
            </w:r>
          </w:p>
        </w:tc>
      </w:tr>
      <w:tr>
        <w:trPr/>
        <w:tc>
          <w:tcPr>
            <w:tcW w:w="24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jc w:val="center"/>
              <w:rPr/>
            </w:pPr>
            <w:r>
              <w:rPr/>
              <w:t>—  </w:t>
            </w:r>
            <w:r>
              <w:rPr/>
              <w:t>%</w:t>
            </w:r>
          </w:p>
        </w:tc>
        <w:tc>
          <w:tcPr>
            <w:tcW w:w="60" w:type="dxa"/>
            <w:tcBorders/>
            <w:shd w:fill="auto" w:val="clear"/>
            <w:vAlign w:val="center"/>
          </w:tcPr>
          <w:p>
            <w:pPr>
              <w:pStyle w:val="TableContents"/>
              <w:spacing w:before="0" w:after="283"/>
              <w:rPr/>
            </w:pPr>
            <w:r>
              <w:rPr/>
              <w:t> </w:t>
            </w:r>
          </w:p>
        </w:tc>
        <w:tc>
          <w:tcPr>
            <w:tcW w:w="1265" w:type="dxa"/>
            <w:tcBorders/>
            <w:shd w:fill="auto" w:val="clear"/>
            <w:vAlign w:val="center"/>
          </w:tcPr>
          <w:p>
            <w:pPr>
              <w:pStyle w:val="TableContents"/>
              <w:spacing w:before="0" w:after="283"/>
              <w:jc w:val="center"/>
              <w:rPr/>
            </w:pPr>
            <w:r>
              <w:rPr/>
              <w:t>—  </w:t>
            </w:r>
            <w:r>
              <w:rPr/>
              <w:t>%</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F-86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11. Equity Incentive Plans(cont.) </w:t>
      </w:r>
    </w:p>
    <w:p>
      <w:pPr>
        <w:pStyle w:val="TextBody"/>
        <w:spacing w:before="0" w:after="0"/>
        <w:ind w:left="0" w:right="0" w:hanging="0"/>
        <w:jc w:val="left"/>
        <w:rPr>
          <w:spacing w:val="0"/>
        </w:rPr>
      </w:pPr>
      <w:r>
        <w:rPr>
          <w:spacing w:val="0"/>
        </w:rPr>
        <w:t> </w:t>
      </w:r>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 </w:t>
      </w:r>
    </w:p>
    <w:p>
      <w:pPr>
        <w:pStyle w:val="TextBody"/>
        <w:spacing w:before="0" w:after="0"/>
        <w:jc w:val="left"/>
        <w:rPr>
          <w:spacing w:val="0"/>
        </w:rPr>
      </w:pPr>
      <w:r>
        <w:rPr>
          <w:spacing w:val="0"/>
        </w:rPr>
        <w:t> </w:t>
      </w:r>
    </w:p>
    <w:tbl>
      <w:tblPr>
        <w:tblW w:w="4000" w:type="dxa"/>
        <w:jc w:val="left"/>
        <w:tblInd w:w="0" w:type="dxa"/>
        <w:tblCellMar>
          <w:top w:w="0" w:type="dxa"/>
          <w:left w:w="0" w:type="dxa"/>
          <w:bottom w:w="0" w:type="dxa"/>
          <w:right w:w="0" w:type="dxa"/>
        </w:tblCellMar>
      </w:tblPr>
      <w:tblGrid>
        <w:gridCol w:w="2225"/>
        <w:gridCol w:w="120"/>
        <w:gridCol w:w="140"/>
        <w:gridCol w:w="560"/>
        <w:gridCol w:w="60"/>
        <w:gridCol w:w="120"/>
        <w:gridCol w:w="140"/>
        <w:gridCol w:w="560"/>
        <w:gridCol w:w="75"/>
      </w:tblGrid>
      <w:tr>
        <w:trPr/>
        <w:tc>
          <w:tcPr>
            <w:tcW w:w="2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w:t>
              <w:br/>
              <w:t>December 31,</w:t>
            </w:r>
          </w:p>
        </w:tc>
        <w:tc>
          <w:tcPr>
            <w:tcW w:w="75"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w:t>
            </w:r>
          </w:p>
        </w:tc>
        <w:tc>
          <w:tcPr>
            <w:tcW w:w="75"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0" w:type="dxa"/>
            <w:gridSpan w:val="6"/>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1,003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817</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877</w:t>
            </w:r>
          </w:p>
        </w:tc>
        <w:tc>
          <w:tcPr>
            <w:tcW w:w="75" w:type="dxa"/>
            <w:tcBorders/>
            <w:shd w:fill="auto"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1,764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1,694</w:t>
            </w:r>
          </w:p>
        </w:tc>
        <w:tc>
          <w:tcPr>
            <w:tcW w:w="75" w:type="dxa"/>
            <w:tcBorders/>
            <w:shd w:fill="CCEEFF" w:val="clear"/>
            <w:vAlign w:val="center"/>
          </w:tcPr>
          <w:p>
            <w:pPr>
              <w:pStyle w:val="TableContents"/>
              <w:spacing w:before="0" w:after="283"/>
              <w:rPr/>
            </w:pPr>
            <w:r>
              <w:rPr/>
              <w:t> </w:t>
            </w:r>
          </w:p>
        </w:tc>
      </w:tr>
      <w:tr>
        <w:trPr/>
        <w:tc>
          <w:tcPr>
            <w:tcW w:w="22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As of December 31, 2020, there was approximately $3.3 million of unrecognized stock-based compensation expense, which is expected to be recognized over a weighted-average period of approximately 2.84 years. </w:t>
      </w:r>
    </w:p>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12. 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years ended December 31, 2020 and 2019, the Company recorded no tax provision or benefit due to the losses incurred and the need for a full valuation allowance against its deferred tax assets. All of the Company’s operating losses since inception have been generated in the United States.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reconciliation of the U.S. federal statutory income tax rate to the Company’s effective income tax rate is as follows: </w:t>
      </w:r>
    </w:p>
    <w:p>
      <w:pPr>
        <w:pStyle w:val="TextBody"/>
        <w:spacing w:before="0" w:after="0"/>
        <w:jc w:val="left"/>
        <w:rPr>
          <w:spacing w:val="0"/>
        </w:rPr>
      </w:pPr>
      <w:r>
        <w:rPr>
          <w:spacing w:val="0"/>
        </w:rPr>
        <w:t> </w:t>
      </w:r>
    </w:p>
    <w:tbl>
      <w:tblPr>
        <w:tblW w:w="6340" w:type="dxa"/>
        <w:jc w:val="left"/>
        <w:tblInd w:w="0" w:type="dxa"/>
        <w:tblCellMar>
          <w:top w:w="0" w:type="dxa"/>
          <w:left w:w="0" w:type="dxa"/>
          <w:bottom w:w="0" w:type="dxa"/>
          <w:right w:w="0" w:type="dxa"/>
        </w:tblCellMar>
      </w:tblPr>
      <w:tblGrid>
        <w:gridCol w:w="4445"/>
        <w:gridCol w:w="120"/>
        <w:gridCol w:w="60"/>
        <w:gridCol w:w="515"/>
        <w:gridCol w:w="275"/>
        <w:gridCol w:w="60"/>
        <w:gridCol w:w="60"/>
        <w:gridCol w:w="515"/>
        <w:gridCol w:w="290"/>
      </w:tblGrid>
      <w:tr>
        <w:trPr/>
        <w:tc>
          <w:tcPr>
            <w:tcW w:w="4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4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8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w:t>
              <w:br/>
              <w:t>December 31,</w:t>
            </w:r>
          </w:p>
        </w:tc>
        <w:tc>
          <w:tcPr>
            <w:tcW w:w="290" w:type="dxa"/>
            <w:tcBorders/>
            <w:shd w:fill="auto"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w:t>
            </w:r>
          </w:p>
        </w:tc>
        <w:tc>
          <w:tcPr>
            <w:tcW w:w="290"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benefit at U.S. federal statutory rate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21.0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21.0</w:t>
            </w:r>
          </w:p>
        </w:tc>
        <w:tc>
          <w:tcPr>
            <w:tcW w:w="290" w:type="dxa"/>
            <w:tcBorders/>
            <w:shd w:fill="CCEEFF"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State income taxes, net of federal benefit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right"/>
              <w:rPr/>
            </w:pPr>
            <w:r>
              <w:rPr/>
              <w:t>5.9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right"/>
              <w:rPr/>
            </w:pPr>
            <w:r>
              <w:rPr/>
              <w:t>5.4</w:t>
            </w:r>
          </w:p>
        </w:tc>
        <w:tc>
          <w:tcPr>
            <w:tcW w:w="290"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Federal and state research and development tax credits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4.4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14.0</w:t>
            </w:r>
          </w:p>
        </w:tc>
        <w:tc>
          <w:tcPr>
            <w:tcW w:w="290" w:type="dxa"/>
            <w:tcBorders/>
            <w:shd w:fill="CCEEFF"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Nondeductible/nontaxable permanent items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right"/>
              <w:rPr/>
            </w:pPr>
            <w:r>
              <w:rPr/>
              <w:t>(0.7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right"/>
              <w:rPr/>
            </w:pPr>
            <w:r>
              <w:rPr/>
              <w:t>(2.7</w:t>
            </w:r>
          </w:p>
        </w:tc>
        <w:tc>
          <w:tcPr>
            <w:tcW w:w="290"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(1.7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0.2</w:t>
            </w:r>
          </w:p>
        </w:tc>
        <w:tc>
          <w:tcPr>
            <w:tcW w:w="290" w:type="dxa"/>
            <w:tcBorders/>
            <w:shd w:fill="CCEEFF"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right"/>
              <w:rPr/>
            </w:pPr>
            <w:r>
              <w:rPr/>
              <w:t>(28.9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right"/>
              <w:rPr/>
            </w:pPr>
            <w:r>
              <w:rPr/>
              <w:t>(37.9</w:t>
            </w:r>
          </w:p>
        </w:tc>
        <w:tc>
          <w:tcPr>
            <w:tcW w:w="290" w:type="dxa"/>
            <w:tcBorders/>
            <w:shd w:fill="auto" w:val="clear"/>
            <w:vAlign w:val="center"/>
          </w:tcPr>
          <w:p>
            <w:pPr>
              <w:pStyle w:val="TableContents"/>
              <w:spacing w:before="0" w:after="283"/>
              <w:rPr/>
            </w:pPr>
            <w:r>
              <w:rPr/>
              <w:t>) </w:t>
            </w:r>
          </w:p>
        </w:tc>
      </w:tr>
      <w:tr>
        <w:trPr/>
        <w:tc>
          <w:tcPr>
            <w:tcW w:w="44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Effective tax rate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12. Income Taxes(cont.)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tax effects of temporary differences that give rise to significant components of the deferred tax assets and liabilities are as follows: </w:t>
      </w:r>
    </w:p>
    <w:p>
      <w:pPr>
        <w:pStyle w:val="TextBody"/>
        <w:spacing w:before="0" w:after="0"/>
        <w:jc w:val="left"/>
        <w:rPr>
          <w:spacing w:val="0"/>
        </w:rPr>
      </w:pPr>
      <w:r>
        <w:rPr>
          <w:spacing w:val="0"/>
        </w:rPr>
        <w:t> </w:t>
      </w:r>
    </w:p>
    <w:tbl>
      <w:tblPr>
        <w:tblW w:w="6230" w:type="dxa"/>
        <w:jc w:val="left"/>
        <w:tblInd w:w="0" w:type="dxa"/>
        <w:tblCellMar>
          <w:top w:w="0" w:type="dxa"/>
          <w:left w:w="0" w:type="dxa"/>
          <w:bottom w:w="0" w:type="dxa"/>
          <w:right w:w="0" w:type="dxa"/>
        </w:tblCellMar>
      </w:tblPr>
      <w:tblGrid>
        <w:gridCol w:w="3875"/>
        <w:gridCol w:w="120"/>
        <w:gridCol w:w="140"/>
        <w:gridCol w:w="755"/>
        <w:gridCol w:w="155"/>
        <w:gridCol w:w="120"/>
        <w:gridCol w:w="140"/>
        <w:gridCol w:w="755"/>
        <w:gridCol w:w="170"/>
      </w:tblGrid>
      <w:tr>
        <w:trPr/>
        <w:tc>
          <w:tcPr>
            <w:tcW w:w="3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6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w:t>
              <w:br/>
              <w:t>December 31,</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2019</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65" w:type="dxa"/>
            <w:gridSpan w:val="6"/>
            <w:tcBorders/>
            <w:shd w:fill="auto" w:val="clear"/>
            <w:vAlign w:val="center"/>
          </w:tcPr>
          <w:p>
            <w:pPr>
              <w:pStyle w:val="TableContents"/>
              <w:spacing w:before="0" w:after="0"/>
              <w:jc w:val="center"/>
              <w:rPr>
                <w:b/>
                <w:spacing w:val="0"/>
              </w:rPr>
            </w:pPr>
            <w:r>
              <w:rPr>
                <w:b/>
                <w:spacing w:val="0"/>
              </w:rPr>
              <w:t>(in thousands)</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operating loss carryforwards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11,085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3,958</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Research and development credit carryforwards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5,213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3,076</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liability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2,154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2,373</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11,891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8,948</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Accruals and reserves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648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479</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Capitalized research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2,506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52</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gross deferred tax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33,585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18,886</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Valuation allowance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(30,945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(15,906</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deferred tax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2,640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2,980</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(597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(689</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(2,043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(2,291</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gross deferred tax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(2,640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(2,980</w:t>
            </w:r>
          </w:p>
        </w:tc>
        <w:tc>
          <w:tcPr>
            <w:tcW w:w="170" w:type="dxa"/>
            <w:tcBorders/>
            <w:shd w:fill="CCEEFF"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deferred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As of December 31, 2020, the Company had U.S. federal and state net operating loss (“NOL”) carryforwards of $41.0 million and $39.1 million, respectively, which may be available to offset future taxable income. The federal NOLs include $3.3 million which expire at various dates beginning in 2035 and</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z w:val="20"/>
        </w:rPr>
      </w:pPr>
      <w:r>
        <w:rPr>
          <w:rFonts w:ascii="Times New Roman" w:hAnsi="Times New Roman"/>
          <w:sz w:val="20"/>
        </w:rPr>
        <w:t>40.5</w:t>
      </w:r>
    </w:p>
    <w:p>
      <w:pPr>
        <w:pStyle w:val="TextBody"/>
        <w:spacing w:before="240" w:after="0"/>
        <w:jc w:val="left"/>
        <w:rPr>
          <w:spacing w:val="0"/>
        </w:rPr>
      </w:pPr>
      <w:r>
        <w:rPr>
          <w:spacing w:val="0"/>
        </w:rPr>
        <w:t> </w:t>
      </w:r>
      <w:r>
        <w:rPr>
          <w:rFonts w:ascii="Times New Roman" w:hAnsi="Times New Roman"/>
          <w:spacing w:val="0"/>
          <w:sz w:val="20"/>
        </w:rPr>
        <w:t xml:space="preserve">million which carry forward indefinitely. The state NOLs expire at various dates beginning in </w:t>
      </w:r>
    </w:p>
    <w:p>
      <w:pPr>
        <w:pStyle w:val="TextBody"/>
        <w:spacing w:before="240" w:after="0"/>
        <w:jc w:val="left"/>
        <w:rPr>
          <w:rFonts w:ascii="Times New Roman" w:hAnsi="Times New Roman"/>
          <w:sz w:val="20"/>
        </w:rPr>
      </w:pPr>
      <w:r>
        <w:rPr>
          <w:rFonts w:ascii="Times New Roman" w:hAnsi="Times New Roman"/>
          <w:sz w:val="20"/>
        </w:rPr>
        <w:t>2035</w:t>
      </w:r>
    </w:p>
    <w:p>
      <w:pPr>
        <w:pStyle w:val="TextBody"/>
        <w:spacing w:before="240" w:after="0"/>
        <w:jc w:val="left"/>
        <w:rPr>
          <w:rFonts w:ascii="Times New Roman" w:hAnsi="Times New Roman"/>
          <w:spacing w:val="0"/>
          <w:sz w:val="20"/>
        </w:rPr>
      </w:pPr>
      <w:r>
        <w:rPr>
          <w:rFonts w:ascii="Times New Roman" w:hAnsi="Times New Roman"/>
          <w:spacing w:val="0"/>
          <w:sz w:val="20"/>
        </w:rPr>
        <w:t>. As of December </w:t>
      </w:r>
    </w:p>
    <w:p>
      <w:pPr>
        <w:pStyle w:val="TextBody"/>
        <w:spacing w:before="240" w:after="0"/>
        <w:jc w:val="left"/>
        <w:rPr>
          <w:rFonts w:ascii="Times New Roman" w:hAnsi="Times New Roman"/>
          <w:sz w:val="20"/>
        </w:rPr>
      </w:pPr>
      <w:r>
        <w:rPr>
          <w:rFonts w:ascii="Times New Roman" w:hAnsi="Times New Roman"/>
          <w:sz w:val="20"/>
        </w:rPr>
        <w:t>31</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240" w:after="0"/>
        <w:jc w:val="left"/>
        <w:rPr>
          <w:rFonts w:ascii="Times New Roman" w:hAnsi="Times New Roman"/>
          <w:sz w:val="20"/>
        </w:rPr>
      </w:pPr>
      <w:r>
        <w:rPr>
          <w:rFonts w:ascii="Times New Roman" w:hAnsi="Times New Roman"/>
          <w:sz w:val="20"/>
        </w:rPr>
        <w:t>2020</w:t>
      </w:r>
    </w:p>
    <w:p>
      <w:pPr>
        <w:pStyle w:val="TextBody"/>
        <w:spacing w:before="240" w:after="0"/>
        <w:jc w:val="left"/>
        <w:rPr>
          <w:rFonts w:ascii="Times New Roman" w:hAnsi="Times New Roman"/>
          <w:spacing w:val="0"/>
          <w:sz w:val="20"/>
        </w:rPr>
      </w:pPr>
      <w:r>
        <w:rPr>
          <w:rFonts w:ascii="Times New Roman" w:hAnsi="Times New Roman"/>
          <w:spacing w:val="0"/>
          <w:sz w:val="20"/>
        </w:rPr>
        <w:t>, the Company also had U.S. federal and state research and development tax credit carryforwards of $</w:t>
      </w:r>
    </w:p>
    <w:p>
      <w:pPr>
        <w:pStyle w:val="TextBody"/>
        <w:spacing w:before="240" w:after="0"/>
        <w:jc w:val="left"/>
        <w:rPr>
          <w:rFonts w:ascii="Times New Roman" w:hAnsi="Times New Roman"/>
          <w:sz w:val="20"/>
        </w:rPr>
      </w:pPr>
      <w:r>
        <w:rPr>
          <w:rFonts w:ascii="Times New Roman" w:hAnsi="Times New Roman"/>
          <w:sz w:val="20"/>
        </w:rPr>
        <w:t>3.4</w:t>
      </w:r>
    </w:p>
    <w:p>
      <w:pPr>
        <w:pStyle w:val="TextBody"/>
        <w:spacing w:before="240" w:after="0"/>
        <w:jc w:val="left"/>
        <w:rPr>
          <w:spacing w:val="0"/>
        </w:rPr>
      </w:pPr>
      <w:r>
        <w:rPr>
          <w:spacing w:val="0"/>
        </w:rPr>
        <w:t> </w:t>
      </w:r>
      <w:r>
        <w:rPr>
          <w:rFonts w:ascii="Times New Roman" w:hAnsi="Times New Roman"/>
          <w:spacing w:val="0"/>
          <w:sz w:val="20"/>
        </w:rPr>
        <w:t>million and $</w:t>
      </w:r>
    </w:p>
    <w:p>
      <w:pPr>
        <w:pStyle w:val="TextBody"/>
        <w:spacing w:before="240" w:after="0"/>
        <w:jc w:val="left"/>
        <w:rPr>
          <w:rFonts w:ascii="Times New Roman" w:hAnsi="Times New Roman"/>
          <w:sz w:val="20"/>
        </w:rPr>
      </w:pPr>
      <w:r>
        <w:rPr>
          <w:rFonts w:ascii="Times New Roman" w:hAnsi="Times New Roman"/>
          <w:sz w:val="20"/>
        </w:rPr>
        <w:t>2.2</w:t>
      </w:r>
    </w:p>
    <w:p>
      <w:pPr>
        <w:pStyle w:val="TextBody"/>
        <w:spacing w:before="240" w:after="0"/>
        <w:jc w:val="left"/>
        <w:rPr>
          <w:spacing w:val="0"/>
        </w:rPr>
      </w:pPr>
      <w:r>
        <w:rPr>
          <w:spacing w:val="0"/>
        </w:rPr>
        <w:t> </w:t>
      </w:r>
      <w:r>
        <w:rPr>
          <w:rFonts w:ascii="Times New Roman" w:hAnsi="Times New Roman"/>
          <w:spacing w:val="0"/>
          <w:sz w:val="20"/>
        </w:rPr>
        <w:t xml:space="preserve">million, respectively, which may be available to offset future tax liabilities and begin to expire in </w:t>
      </w:r>
    </w:p>
    <w:p>
      <w:pPr>
        <w:pStyle w:val="TextBody"/>
        <w:spacing w:before="240" w:after="0"/>
        <w:jc w:val="left"/>
        <w:rPr>
          <w:rFonts w:ascii="Times New Roman" w:hAnsi="Times New Roman"/>
          <w:sz w:val="20"/>
        </w:rPr>
      </w:pPr>
      <w:r>
        <w:rPr>
          <w:rFonts w:ascii="Times New Roman" w:hAnsi="Times New Roman"/>
          <w:sz w:val="20"/>
        </w:rPr>
        <w:t>2034</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spacing w:before="240" w:after="0"/>
        <w:jc w:val="left"/>
        <w:rPr>
          <w:rFonts w:ascii="Times New Roman" w:hAnsi="Times New Roman"/>
          <w:sz w:val="20"/>
        </w:rPr>
      </w:pPr>
      <w:r>
        <w:rPr>
          <w:rFonts w:ascii="Times New Roman" w:hAnsi="Times New Roman"/>
          <w:sz w:val="20"/>
        </w:rPr>
        <w:t>2030</w:t>
      </w:r>
    </w:p>
    <w:p>
      <w:pPr>
        <w:pStyle w:val="TextBody"/>
        <w:spacing w:before="240" w:after="0"/>
        <w:jc w:val="left"/>
        <w:rPr>
          <w:rFonts w:ascii="Times New Roman" w:hAnsi="Times New Roman"/>
          <w:spacing w:val="0"/>
          <w:sz w:val="20"/>
        </w:rPr>
      </w:pPr>
      <w:r>
        <w:rPr>
          <w:rFonts w:ascii="Times New Roman" w:hAnsi="Times New Roman"/>
          <w:spacing w:val="0"/>
          <w:sz w:val="20"/>
        </w:rPr>
        <w:t>, respectively. During the year ended December </w:t>
      </w:r>
    </w:p>
    <w:p>
      <w:pPr>
        <w:pStyle w:val="TextBody"/>
        <w:spacing w:before="240" w:after="0"/>
        <w:jc w:val="left"/>
        <w:rPr>
          <w:rFonts w:ascii="Times New Roman" w:hAnsi="Times New Roman"/>
          <w:sz w:val="20"/>
        </w:rPr>
      </w:pPr>
      <w:r>
        <w:rPr>
          <w:rFonts w:ascii="Times New Roman" w:hAnsi="Times New Roman"/>
          <w:sz w:val="20"/>
        </w:rPr>
        <w:t>31</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240" w:after="0"/>
        <w:jc w:val="left"/>
        <w:rPr>
          <w:rFonts w:ascii="Times New Roman" w:hAnsi="Times New Roman"/>
          <w:sz w:val="20"/>
        </w:rPr>
      </w:pPr>
      <w:r>
        <w:rPr>
          <w:rFonts w:ascii="Times New Roman" w:hAnsi="Times New Roman"/>
          <w:sz w:val="20"/>
        </w:rPr>
        <w:t>2020</w:t>
      </w:r>
    </w:p>
    <w:p>
      <w:pPr>
        <w:pStyle w:val="TextBody"/>
        <w:spacing w:before="240" w:after="0"/>
        <w:jc w:val="left"/>
        <w:rPr>
          <w:rFonts w:ascii="Times New Roman" w:hAnsi="Times New Roman"/>
          <w:spacing w:val="0"/>
          <w:sz w:val="20"/>
        </w:rPr>
      </w:pPr>
      <w:r>
        <w:rPr>
          <w:rFonts w:ascii="Times New Roman" w:hAnsi="Times New Roman"/>
          <w:spacing w:val="0"/>
          <w:sz w:val="20"/>
        </w:rPr>
        <w:t>, deferred tax assets, before valuation allowance, increased by approximately $</w:t>
      </w:r>
    </w:p>
    <w:p>
      <w:pPr>
        <w:pStyle w:val="TextBody"/>
        <w:spacing w:before="240" w:after="0"/>
        <w:jc w:val="left"/>
        <w:rPr>
          <w:rFonts w:ascii="Times New Roman" w:hAnsi="Times New Roman"/>
          <w:sz w:val="20"/>
        </w:rPr>
      </w:pPr>
      <w:r>
        <w:rPr>
          <w:rFonts w:ascii="Times New Roman" w:hAnsi="Times New Roman"/>
          <w:sz w:val="20"/>
        </w:rPr>
        <w:t>15.0</w:t>
      </w:r>
    </w:p>
    <w:p>
      <w:pPr>
        <w:pStyle w:val="TextBody"/>
        <w:spacing w:before="240" w:after="0"/>
        <w:jc w:val="left"/>
        <w:rPr>
          <w:spacing w:val="0"/>
        </w:rPr>
      </w:pPr>
      <w:r>
        <w:rPr>
          <w:spacing w:val="0"/>
        </w:rPr>
        <w:t> </w:t>
      </w:r>
      <w:r>
        <w:rPr>
          <w:rFonts w:ascii="Times New Roman" w:hAnsi="Times New Roman"/>
          <w:spacing w:val="0"/>
          <w:sz w:val="20"/>
        </w:rPr>
        <w:t>million mainly due to the operating loss incurred by the Company during that period.</w:t>
      </w:r>
    </w:p>
    <w:p>
      <w:pPr>
        <w:pStyle w:val="TextBody"/>
        <w:spacing w:before="240" w:after="0"/>
        <w:jc w:val="left"/>
        <w:rPr>
          <w:rFonts w:ascii="Times New Roman" w:hAnsi="Times New Roman"/>
          <w:sz w:val="20"/>
        </w:rPr>
      </w:pPr>
      <w:r>
        <w:rPr>
          <w:rFonts w:ascii="Times New Roman" w:hAnsi="Times New Roman"/>
          <w:sz w:val="20"/>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w:t>
      </w:r>
    </w:p>
    <w:p>
      <w:pPr>
        <w:pStyle w:val="TextBody"/>
        <w:spacing w:before="240" w:after="0"/>
        <w:jc w:val="left"/>
        <w:rPr>
          <w:rFonts w:ascii="Times New Roman" w:hAnsi="Times New Roman"/>
          <w:sz w:val="20"/>
        </w:rPr>
      </w:pPr>
      <w:r>
        <w:rPr>
          <w:rFonts w:ascii="Times New Roman" w:hAnsi="Times New Roman"/>
          <w:sz w:val="20"/>
        </w:rPr>
        <w:t>a</w:t>
      </w:r>
    </w:p>
    <w:p>
      <w:pPr>
        <w:pStyle w:val="TextBody"/>
        <w:spacing w:before="240" w:after="0"/>
        <w:jc w:val="left"/>
        <w:rPr>
          <w:rFonts w:ascii="Times New Roman" w:hAnsi="Times New Roman"/>
          <w:sz w:val="20"/>
        </w:rPr>
      </w:pPr>
      <w:r>
        <w:rPr>
          <w:rFonts w:ascii="Times New Roman" w:hAnsi="Times New Roman"/>
          <w:sz w:val="20"/>
        </w:rPr>
        <w:t xml:space="preserve">bilities. In general, an ownership change results from transactions increasing the ownership of certain stockholders or public groups in the stock of a corporation by more than 50% over a three-year period. The Company has performed an analysis of ownership changes through August 17, 2020 and determined that on February 6, 2017 and August 17, 2020 ownership changes had occurred. Based on this analysis, the Company’s ability to use its </w:t>
      </w:r>
    </w:p>
    <w:p>
      <w:pPr>
        <w:pStyle w:val="TextBody"/>
        <w:spacing w:before="240" w:after="0"/>
        <w:jc w:val="left"/>
        <w:rPr>
          <w:rFonts w:ascii="Times New Roman" w:hAnsi="Times New Roman"/>
          <w:spacing w:val="0"/>
          <w:sz w:val="20"/>
        </w:rPr>
      </w:pPr>
      <w:r>
        <w:rPr>
          <w:rFonts w:ascii="Times New Roman" w:hAnsi="Times New Roman"/>
          <w:spacing w:val="0"/>
          <w:sz w:val="20"/>
        </w:rPr>
        <w:t>pre-change</w:t>
      </w:r>
    </w:p>
    <w:p>
      <w:pPr>
        <w:pStyle w:val="TextBody"/>
        <w:spacing w:before="240" w:after="0"/>
        <w:jc w:val="left"/>
        <w:rPr>
          <w:rFonts w:ascii="Times New Roman" w:hAnsi="Times New Roman"/>
          <w:sz w:val="20"/>
        </w:rPr>
      </w:pPr>
      <w:r>
        <w:rPr>
          <w:rFonts w:ascii="Times New Roman" w:hAnsi="Times New Roman"/>
          <w:sz w:val="20"/>
        </w:rPr>
        <w:t xml:space="preserve">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F-88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jc w:val="left"/>
        <w:rPr>
          <w:rFonts w:ascii="Times New Roman" w:hAnsi="Times New Roman"/>
          <w:b/>
          <w:spacing w:val="0"/>
          <w:sz w:val="20"/>
        </w:rPr>
      </w:pPr>
      <w:r>
        <w:rPr>
          <w:rFonts w:ascii="Times New Roman" w:hAnsi="Times New Roman"/>
          <w:b/>
          <w:spacing w:val="0"/>
          <w:sz w:val="20"/>
        </w:rPr>
        <w:t>12. Income Taxes(cont.)</w:t>
      </w:r>
    </w:p>
    <w:p>
      <w:pPr>
        <w:pStyle w:val="TextBody"/>
        <w:spacing w:before="0" w:after="0"/>
        <w:ind w:left="0" w:right="0" w:hanging="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2020 and 2019. Management reevaluates the positive and negative evidence at each reporting period. The Company had a net increase in the valuation allowance of $15.0 million during 2020 related primarily to the increase in net operating loss carryforwards and research and development tax credit carryforwards, as follows:</w:t>
      </w:r>
    </w:p>
    <w:p>
      <w:pPr>
        <w:pStyle w:val="TextBody"/>
        <w:spacing w:before="0" w:after="0"/>
        <w:ind w:left="0" w:right="0" w:hanging="0"/>
        <w:jc w:val="left"/>
        <w:rPr>
          <w:spacing w:val="0"/>
        </w:rPr>
      </w:pPr>
      <w:r>
        <w:rPr>
          <w:spacing w:val="0"/>
        </w:rPr>
        <w:t> </w:t>
      </w:r>
    </w:p>
    <w:tbl>
      <w:tblPr>
        <w:tblW w:w="5635" w:type="dxa"/>
        <w:jc w:val="left"/>
        <w:tblInd w:w="0" w:type="dxa"/>
        <w:tblCellMar>
          <w:top w:w="0" w:type="dxa"/>
          <w:left w:w="0" w:type="dxa"/>
          <w:bottom w:w="0" w:type="dxa"/>
          <w:right w:w="0" w:type="dxa"/>
        </w:tblCellMar>
      </w:tblPr>
      <w:tblGrid>
        <w:gridCol w:w="3620"/>
        <w:gridCol w:w="120"/>
        <w:gridCol w:w="140"/>
        <w:gridCol w:w="680"/>
        <w:gridCol w:w="60"/>
        <w:gridCol w:w="120"/>
        <w:gridCol w:w="140"/>
        <w:gridCol w:w="680"/>
        <w:gridCol w:w="75"/>
      </w:tblGrid>
      <w:tr>
        <w:trPr/>
        <w:tc>
          <w:tcPr>
            <w:tcW w:w="3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20" w:type="dxa"/>
            <w:gridSpan w:val="6"/>
            <w:tcBorders/>
            <w:shd w:fill="auto" w:val="clear"/>
            <w:vAlign w:val="center"/>
          </w:tcPr>
          <w:p>
            <w:pPr>
              <w:pStyle w:val="TableContents"/>
              <w:spacing w:before="0" w:after="0"/>
              <w:jc w:val="center"/>
              <w:rPr>
                <w:b/>
                <w:spacing w:val="0"/>
              </w:rPr>
            </w:pPr>
            <w:r>
              <w:rPr>
                <w:b/>
                <w:spacing w:val="0"/>
              </w:rPr>
              <w:t>Year Ended</w:t>
              <w:b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6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20" w:type="dxa"/>
            <w:gridSpan w:val="2"/>
            <w:tcBorders/>
            <w:shd w:fill="auto" w:val="clear"/>
            <w:vAlign w:val="center"/>
          </w:tcPr>
          <w:p>
            <w:pPr>
              <w:pStyle w:val="TableContents"/>
              <w:spacing w:before="0" w:after="0"/>
              <w:jc w:val="center"/>
              <w:rPr>
                <w:b/>
                <w:spacing w:val="0"/>
              </w:rPr>
            </w:pPr>
            <w:r>
              <w:rPr>
                <w:b/>
                <w:spacing w:val="0"/>
              </w:rPr>
              <w:t>2020</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20" w:type="dxa"/>
            <w:gridSpan w:val="2"/>
            <w:tcBorders/>
            <w:shd w:fill="auto" w:val="clear"/>
            <w:vAlign w:val="center"/>
          </w:tcPr>
          <w:p>
            <w:pPr>
              <w:pStyle w:val="TableContents"/>
              <w:spacing w:before="0" w:after="0"/>
              <w:jc w:val="center"/>
              <w:rPr>
                <w:b/>
                <w:spacing w:val="0"/>
              </w:rPr>
            </w:pPr>
            <w:r>
              <w:rPr>
                <w:b/>
                <w:spacing w:val="0"/>
              </w:rPr>
              <w:t>2019</w:t>
            </w:r>
          </w:p>
        </w:tc>
        <w:tc>
          <w:tcPr>
            <w:tcW w:w="75" w:type="dxa"/>
            <w:tcBorders/>
            <w:shd w:fill="auto" w:val="clear"/>
            <w:vAlign w:val="center"/>
          </w:tcPr>
          <w:p>
            <w:pPr>
              <w:pStyle w:val="TableContents"/>
              <w:spacing w:before="0" w:after="0"/>
              <w:rPr>
                <w:spacing w:val="0"/>
              </w:rPr>
            </w:pPr>
            <w:r>
              <w:rPr>
                <w:spacing w:val="0"/>
              </w:rPr>
              <w:t> </w:t>
            </w:r>
          </w:p>
        </w:tc>
      </w:tr>
      <w:tr>
        <w:trPr/>
        <w:tc>
          <w:tcPr>
            <w:tcW w:w="36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20" w:type="dxa"/>
            <w:gridSpan w:val="6"/>
            <w:tcBorders/>
            <w:shd w:fill="auto" w:val="clear"/>
            <w:vAlign w:val="center"/>
          </w:tcPr>
          <w:p>
            <w:pPr>
              <w:pStyle w:val="TableContents"/>
              <w:spacing w:before="0" w:after="0"/>
              <w:jc w:val="center"/>
              <w:rPr>
                <w:b/>
                <w:spacing w:val="0"/>
              </w:rPr>
            </w:pPr>
            <w:r>
              <w:rPr>
                <w:b/>
                <w:spacing w:val="0"/>
              </w:rPr>
              <w:t>(in thousands)</w:t>
            </w:r>
          </w:p>
        </w:tc>
        <w:tc>
          <w:tcPr>
            <w:tcW w:w="75" w:type="dxa"/>
            <w:tcBorders/>
            <w:shd w:fill="auto" w:val="clear"/>
            <w:vAlign w:val="center"/>
          </w:tcPr>
          <w:p>
            <w:pPr>
              <w:pStyle w:val="TableContents"/>
              <w:spacing w:before="0" w:after="0"/>
              <w:rPr>
                <w:spacing w:val="0"/>
              </w:rPr>
            </w:pPr>
            <w:r>
              <w:rPr>
                <w:spacing w:val="0"/>
              </w:rPr>
              <w:t> </w:t>
            </w:r>
          </w:p>
        </w:tc>
      </w:tr>
      <w:tr>
        <w:trPr/>
        <w:tc>
          <w:tcPr>
            <w:tcW w:w="36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Valuation allowance as of beginning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15,906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10,559</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Increases recorded to income tax provision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15,039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5,347</w:t>
            </w:r>
          </w:p>
        </w:tc>
        <w:tc>
          <w:tcPr>
            <w:tcW w:w="75" w:type="dxa"/>
            <w:tcBorders/>
            <w:shd w:fill="auto"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6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Valuation allowance as of end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30,945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15,906</w:t>
            </w:r>
          </w:p>
        </w:tc>
        <w:tc>
          <w:tcPr>
            <w:tcW w:w="75" w:type="dxa"/>
            <w:tcBorders/>
            <w:shd w:fill="CCEEFF" w:val="clear"/>
            <w:vAlign w:val="center"/>
          </w:tcPr>
          <w:p>
            <w:pPr>
              <w:pStyle w:val="TableContents"/>
              <w:spacing w:before="0" w:after="283"/>
              <w:rPr/>
            </w:pPr>
            <w:r>
              <w:rPr/>
              <w:t> </w:t>
            </w:r>
          </w:p>
        </w:tc>
      </w:tr>
      <w:tr>
        <w:trPr/>
        <w:tc>
          <w:tcPr>
            <w:tcW w:w="36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Coronavirus Aid, Relief, and Economic Security (CARES) Act was enacted on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both Acts and has determined that any impact is not material to its financial statements. </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As of December 31, 2020 and 2019, the Company had not recorded any amounts for unrecognized tax benefits. The Company’s policy is to record interest and penalties related to income taxes as part of its income tax provision. As of December 31, 2020 and 2019, the Company had no accrued interest or penalties related to uncertain tax positions and no amounts had been recognized in the Company’s consolidated statements of operations and comprehensive loss.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files income tax returns in the U.S. federal and Massachusetts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2017, although carryforward attributes that were generated prior to 2017 may still be subject to change upon examination if they are utilized to offset taxable income in subsequent tax years. There are currently no federal or state income tax audits in progress.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F-89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0" w:after="0"/>
        <w:jc w:val="left"/>
        <w:rPr/>
      </w:pPr>
      <w:r>
        <w:rPr/>
      </w:r>
    </w:p>
    <w:p>
      <w:pPr>
        <w:pStyle w:val="TextBody"/>
        <w:spacing w:before="0" w:after="0"/>
        <w:ind w:left="0" w:right="0" w:hanging="0"/>
        <w:jc w:val="left"/>
        <w:rPr>
          <w:rFonts w:ascii="Times New Roman" w:hAnsi="Times New Roman"/>
          <w:b/>
          <w:spacing w:val="0"/>
          <w:sz w:val="20"/>
        </w:rPr>
      </w:pPr>
      <w:r>
        <w:rPr>
          <w:rFonts w:ascii="Times New Roman" w:hAnsi="Times New Roman"/>
          <w:b/>
          <w:spacing w:val="0"/>
          <w:sz w:val="20"/>
        </w:rPr>
        <w:t xml:space="preserve">13. Net Loss Per Share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Basic and diluted net loss per share attributable to common stockholders was calculated as follows: </w:t>
      </w:r>
    </w:p>
    <w:p>
      <w:pPr>
        <w:pStyle w:val="TextBody"/>
        <w:spacing w:before="0" w:after="0"/>
        <w:jc w:val="left"/>
        <w:rPr>
          <w:spacing w:val="0"/>
        </w:rPr>
      </w:pPr>
      <w:r>
        <w:rPr>
          <w:spacing w:val="0"/>
        </w:rPr>
        <w:t> </w:t>
      </w:r>
    </w:p>
    <w:tbl>
      <w:tblPr>
        <w:tblW w:w="9072" w:type="dxa"/>
        <w:jc w:val="left"/>
        <w:tblInd w:w="0" w:type="dxa"/>
        <w:tblCellMar>
          <w:top w:w="0" w:type="dxa"/>
          <w:left w:w="0" w:type="dxa"/>
          <w:bottom w:w="0" w:type="dxa"/>
          <w:right w:w="0" w:type="dxa"/>
        </w:tblCellMar>
      </w:tblPr>
      <w:tblGrid>
        <w:gridCol w:w="6065"/>
        <w:gridCol w:w="120"/>
        <w:gridCol w:w="144"/>
        <w:gridCol w:w="1135"/>
        <w:gridCol w:w="160"/>
        <w:gridCol w:w="123"/>
        <w:gridCol w:w="144"/>
        <w:gridCol w:w="1011"/>
        <w:gridCol w:w="170"/>
      </w:tblGrid>
      <w:tr>
        <w:trPr/>
        <w:tc>
          <w:tcPr>
            <w:tcW w:w="60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ind w:left="0" w:right="0" w:hanging="0"/>
              <w:rPr/>
            </w:pPr>
            <w:r>
              <w:rPr/>
              <w:t>  </w:t>
            </w:r>
          </w:p>
        </w:tc>
        <w:tc>
          <w:tcPr>
            <w:tcW w:w="2717"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Ended December 31,</w:t>
            </w:r>
          </w:p>
        </w:tc>
        <w:tc>
          <w:tcPr>
            <w:tcW w:w="170"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7" w:type="dxa"/>
            <w:gridSpan w:val="6"/>
            <w:tcBorders/>
            <w:shd w:fill="auto" w:val="clear"/>
            <w:vAlign w:val="center"/>
          </w:tcPr>
          <w:p>
            <w:pPr>
              <w:pStyle w:val="TableContents"/>
              <w:spacing w:before="0" w:after="0"/>
              <w:ind w:left="0" w:right="0" w:hanging="0"/>
              <w:jc w:val="center"/>
              <w:rPr>
                <w:b/>
                <w:spacing w:val="0"/>
              </w:rPr>
            </w:pPr>
            <w:r>
              <w:rPr>
                <w:b/>
                <w:spacing w:val="0"/>
              </w:rPr>
              <w:t>(in thousands, except per</w:t>
              <w:br/>
              <w:t>share data)</w:t>
            </w:r>
          </w:p>
        </w:tc>
        <w:tc>
          <w:tcPr>
            <w:tcW w:w="170"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79" w:type="dxa"/>
            <w:gridSpan w:val="2"/>
            <w:tcBorders/>
            <w:shd w:fill="auto" w:val="clear"/>
            <w:vAlign w:val="center"/>
          </w:tcPr>
          <w:p>
            <w:pPr>
              <w:pStyle w:val="TableContents"/>
              <w:spacing w:before="0" w:after="0"/>
              <w:jc w:val="center"/>
              <w:rPr>
                <w:b/>
                <w:spacing w:val="0"/>
              </w:rPr>
            </w:pPr>
            <w:r>
              <w:rPr>
                <w:b/>
                <w:spacing w:val="0"/>
              </w:rPr>
              <w:t>2020</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155" w:type="dxa"/>
            <w:gridSpan w:val="2"/>
            <w:tcBorders/>
            <w:shd w:fill="auto" w:val="clear"/>
            <w:vAlign w:val="center"/>
          </w:tcPr>
          <w:p>
            <w:pPr>
              <w:pStyle w:val="TableContents"/>
              <w:spacing w:before="0" w:after="0"/>
              <w:jc w:val="center"/>
              <w:rPr>
                <w:b/>
                <w:spacing w:val="0"/>
              </w:rPr>
            </w:pPr>
            <w:r>
              <w:rPr>
                <w:b/>
                <w:spacing w:val="0"/>
              </w:rPr>
              <w:t>2019</w:t>
            </w:r>
          </w:p>
        </w:tc>
        <w:tc>
          <w:tcPr>
            <w:tcW w:w="170" w:type="dxa"/>
            <w:tcBorders/>
            <w:shd w:fill="auto" w:val="clear"/>
            <w:vAlign w:val="center"/>
          </w:tcPr>
          <w:p>
            <w:pPr>
              <w:pStyle w:val="TableContents"/>
              <w:spacing w:before="0" w:after="283"/>
              <w:rPr/>
            </w:pPr>
            <w:r>
              <w:rPr/>
              <w:t> </w:t>
            </w:r>
          </w:p>
        </w:tc>
      </w:tr>
      <w:tr>
        <w:trPr/>
        <w:tc>
          <w:tcPr>
            <w:tcW w:w="60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w:t>
            </w:r>
          </w:p>
        </w:tc>
        <w:tc>
          <w:tcPr>
            <w:tcW w:w="1135" w:type="dxa"/>
            <w:tcBorders/>
            <w:shd w:fill="auto" w:val="clear"/>
            <w:vAlign w:val="center"/>
          </w:tcPr>
          <w:p>
            <w:pPr>
              <w:pStyle w:val="TableContents"/>
              <w:spacing w:before="0" w:after="283"/>
              <w:jc w:val="right"/>
              <w:rPr/>
            </w:pPr>
            <w:r>
              <w:rPr/>
              <w:t>(51,972</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w:t>
            </w:r>
          </w:p>
        </w:tc>
        <w:tc>
          <w:tcPr>
            <w:tcW w:w="1011" w:type="dxa"/>
            <w:tcBorders/>
            <w:shd w:fill="auto" w:val="clear"/>
            <w:vAlign w:val="center"/>
          </w:tcPr>
          <w:p>
            <w:pPr>
              <w:pStyle w:val="TableContents"/>
              <w:spacing w:before="0" w:after="283"/>
              <w:jc w:val="right"/>
              <w:rPr/>
            </w:pPr>
            <w:r>
              <w:rPr/>
              <w:t>(14,095</w:t>
            </w:r>
          </w:p>
        </w:tc>
        <w:tc>
          <w:tcPr>
            <w:tcW w:w="170"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0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common stockholders – basic and diluted</w:t>
            </w:r>
          </w:p>
        </w:tc>
        <w:tc>
          <w:tcPr>
            <w:tcW w:w="12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w:t>
            </w:r>
          </w:p>
        </w:tc>
        <w:tc>
          <w:tcPr>
            <w:tcW w:w="1135" w:type="dxa"/>
            <w:tcBorders/>
            <w:shd w:fill="CCEEFF" w:val="clear"/>
            <w:vAlign w:val="center"/>
          </w:tcPr>
          <w:p>
            <w:pPr>
              <w:pStyle w:val="TableContents"/>
              <w:spacing w:before="0" w:after="283"/>
              <w:jc w:val="right"/>
              <w:rPr/>
            </w:pPr>
            <w:r>
              <w:rPr/>
              <w:t>(51,972</w:t>
            </w:r>
          </w:p>
        </w:tc>
        <w:tc>
          <w:tcPr>
            <w:tcW w:w="1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w:t>
            </w:r>
          </w:p>
        </w:tc>
        <w:tc>
          <w:tcPr>
            <w:tcW w:w="1011" w:type="dxa"/>
            <w:tcBorders/>
            <w:shd w:fill="CCEEFF" w:val="clear"/>
            <w:vAlign w:val="center"/>
          </w:tcPr>
          <w:p>
            <w:pPr>
              <w:pStyle w:val="TableContents"/>
              <w:spacing w:before="0" w:after="283"/>
              <w:jc w:val="right"/>
              <w:rPr/>
            </w:pPr>
            <w:r>
              <w:rPr/>
              <w:t>(14,095</w:t>
            </w:r>
          </w:p>
        </w:tc>
        <w:tc>
          <w:tcPr>
            <w:tcW w:w="170" w:type="dxa"/>
            <w:tcBorders/>
            <w:shd w:fill="CCEEFF"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Denominator:</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0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common stock outstanding – basic and diluted</w:t>
            </w:r>
          </w:p>
        </w:tc>
        <w:tc>
          <w:tcPr>
            <w:tcW w:w="12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11,461,011</w:t>
            </w:r>
          </w:p>
        </w:tc>
        <w:tc>
          <w:tcPr>
            <w:tcW w:w="1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8,985,710</w:t>
            </w:r>
          </w:p>
        </w:tc>
        <w:tc>
          <w:tcPr>
            <w:tcW w:w="170" w:type="dxa"/>
            <w:tcBorders/>
            <w:shd w:fill="CCEEFF"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share attributable to common stockholders – basic and diluted</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w:t>
            </w:r>
          </w:p>
        </w:tc>
        <w:tc>
          <w:tcPr>
            <w:tcW w:w="1135" w:type="dxa"/>
            <w:tcBorders/>
            <w:shd w:fill="auto" w:val="clear"/>
            <w:vAlign w:val="center"/>
          </w:tcPr>
          <w:p>
            <w:pPr>
              <w:pStyle w:val="TableContents"/>
              <w:spacing w:before="0" w:after="283"/>
              <w:jc w:val="right"/>
              <w:rPr/>
            </w:pPr>
            <w:r>
              <w:rPr/>
              <w:t>(4.53</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w:t>
            </w:r>
          </w:p>
        </w:tc>
        <w:tc>
          <w:tcPr>
            <w:tcW w:w="1011" w:type="dxa"/>
            <w:tcBorders/>
            <w:shd w:fill="auto" w:val="clear"/>
            <w:vAlign w:val="center"/>
          </w:tcPr>
          <w:p>
            <w:pPr>
              <w:pStyle w:val="TableContents"/>
              <w:spacing w:before="0" w:after="283"/>
              <w:jc w:val="right"/>
              <w:rPr/>
            </w:pPr>
            <w:r>
              <w:rPr/>
              <w:t>(1.57</w:t>
            </w:r>
          </w:p>
        </w:tc>
        <w:tc>
          <w:tcPr>
            <w:tcW w:w="170" w:type="dxa"/>
            <w:tcBorders/>
            <w:shd w:fill="auto" w:val="clear"/>
            <w:vAlign w:val="center"/>
          </w:tcPr>
          <w:p>
            <w:pPr>
              <w:pStyle w:val="TableContents"/>
              <w:spacing w:before="0" w:after="283"/>
              <w:rPr/>
            </w:pPr>
            <w:r>
              <w:rPr/>
              <w:t>) </w:t>
            </w:r>
          </w:p>
        </w:tc>
      </w:tr>
      <w:tr>
        <w:trPr/>
        <w:tc>
          <w:tcPr>
            <w:tcW w:w="6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1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 </w:t>
      </w:r>
    </w:p>
    <w:p>
      <w:pPr>
        <w:pStyle w:val="TextBody"/>
        <w:spacing w:before="0" w:after="0"/>
        <w:jc w:val="left"/>
        <w:rPr>
          <w:spacing w:val="0"/>
        </w:rPr>
      </w:pPr>
      <w:r>
        <w:rPr>
          <w:spacing w:val="0"/>
        </w:rPr>
        <w:t> </w:t>
      </w:r>
    </w:p>
    <w:tbl>
      <w:tblPr>
        <w:tblW w:w="7792" w:type="dxa"/>
        <w:jc w:val="left"/>
        <w:tblInd w:w="0" w:type="dxa"/>
        <w:tblCellMar>
          <w:top w:w="0" w:type="dxa"/>
          <w:left w:w="0" w:type="dxa"/>
          <w:bottom w:w="0" w:type="dxa"/>
          <w:right w:w="0" w:type="dxa"/>
        </w:tblCellMar>
      </w:tblPr>
      <w:tblGrid>
        <w:gridCol w:w="4880"/>
        <w:gridCol w:w="120"/>
        <w:gridCol w:w="62"/>
        <w:gridCol w:w="1266"/>
        <w:gridCol w:w="62"/>
        <w:gridCol w:w="124"/>
        <w:gridCol w:w="62"/>
        <w:gridCol w:w="1141"/>
        <w:gridCol w:w="75"/>
      </w:tblGrid>
      <w:tr>
        <w:trPr/>
        <w:tc>
          <w:tcPr>
            <w:tcW w:w="4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7" w:type="dxa"/>
            <w:gridSpan w:val="6"/>
            <w:tcBorders/>
            <w:shd w:fill="auto" w:val="clear"/>
            <w:vAlign w:val="center"/>
          </w:tcPr>
          <w:p>
            <w:pPr>
              <w:pStyle w:val="TableContents"/>
              <w:spacing w:before="0" w:after="0"/>
              <w:jc w:val="center"/>
              <w:rPr>
                <w:b/>
                <w:spacing w:val="0"/>
              </w:rPr>
            </w:pPr>
            <w:r>
              <w:rPr>
                <w:b/>
                <w:spacing w:val="0"/>
              </w:rPr>
              <w:t>Year Ended December 31,</w:t>
            </w:r>
          </w:p>
        </w:tc>
        <w:tc>
          <w:tcPr>
            <w:tcW w:w="7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28" w:type="dxa"/>
            <w:gridSpan w:val="2"/>
            <w:tcBorders/>
            <w:shd w:fill="auto" w:val="clear"/>
            <w:vAlign w:val="center"/>
          </w:tcPr>
          <w:p>
            <w:pPr>
              <w:pStyle w:val="TableContents"/>
              <w:spacing w:before="0" w:after="0"/>
              <w:jc w:val="center"/>
              <w:rPr>
                <w:b/>
                <w:spacing w:val="0"/>
              </w:rPr>
            </w:pPr>
            <w:r>
              <w:rPr>
                <w:b/>
                <w:spacing w:val="0"/>
              </w:rPr>
              <w:t>2020</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203" w:type="dxa"/>
            <w:gridSpan w:val="2"/>
            <w:tcBorders/>
            <w:shd w:fill="auto" w:val="clear"/>
            <w:vAlign w:val="center"/>
          </w:tcPr>
          <w:p>
            <w:pPr>
              <w:pStyle w:val="TableContents"/>
              <w:spacing w:before="0" w:after="0"/>
              <w:jc w:val="center"/>
              <w:rPr>
                <w:b/>
                <w:spacing w:val="0"/>
              </w:rPr>
            </w:pPr>
            <w:r>
              <w:rPr>
                <w:b/>
                <w:spacing w:val="0"/>
              </w:rPr>
              <w:t>2019</w:t>
            </w:r>
          </w:p>
        </w:tc>
        <w:tc>
          <w:tcPr>
            <w:tcW w:w="75" w:type="dxa"/>
            <w:tcBorders/>
            <w:shd w:fill="auto"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jc w:val="right"/>
              <w:rPr/>
            </w:pPr>
            <w:r>
              <w:rPr/>
              <w:t>105,538,281</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141" w:type="dxa"/>
            <w:tcBorders/>
            <w:shd w:fill="CCEEFF" w:val="clear"/>
            <w:vAlign w:val="center"/>
          </w:tcPr>
          <w:p>
            <w:pPr>
              <w:pStyle w:val="TableContents"/>
              <w:spacing w:before="0" w:after="283"/>
              <w:jc w:val="right"/>
              <w:rPr/>
            </w:pPr>
            <w:r>
              <w:rPr/>
              <w:t>55,700,000</w:t>
            </w:r>
          </w:p>
        </w:tc>
        <w:tc>
          <w:tcPr>
            <w:tcW w:w="75" w:type="dxa"/>
            <w:tcBorders/>
            <w:shd w:fill="CCEEFF"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 options to purchase common stock</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jc w:val="right"/>
              <w:rPr/>
            </w:pPr>
            <w:r>
              <w:rPr/>
              <w:t>11,951,362</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6,902,873</w:t>
            </w:r>
          </w:p>
        </w:tc>
        <w:tc>
          <w:tcPr>
            <w:tcW w:w="75" w:type="dxa"/>
            <w:tcBorders/>
            <w:shd w:fill="auto"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restricted common stock</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66" w:type="dxa"/>
            <w:tcBorders/>
            <w:shd w:fill="CCEEFF" w:val="clear"/>
            <w:vAlign w:val="center"/>
          </w:tcPr>
          <w:p>
            <w:pPr>
              <w:pStyle w:val="TableContents"/>
              <w:spacing w:before="0" w:after="283"/>
              <w:jc w:val="right"/>
              <w:rPr/>
            </w:pPr>
            <w:r>
              <w:rPr/>
              <w:t>755,868</w:t>
            </w:r>
          </w:p>
        </w:tc>
        <w:tc>
          <w:tcPr>
            <w:tcW w:w="62"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141" w:type="dxa"/>
            <w:tcBorders/>
            <w:shd w:fill="CCEEFF" w:val="clear"/>
            <w:vAlign w:val="center"/>
          </w:tcPr>
          <w:p>
            <w:pPr>
              <w:pStyle w:val="TableContents"/>
              <w:spacing w:before="0" w:after="283"/>
              <w:jc w:val="right"/>
              <w:rPr/>
            </w:pPr>
            <w:r>
              <w:rPr/>
              <w:t>3,028,540</w:t>
            </w:r>
          </w:p>
        </w:tc>
        <w:tc>
          <w:tcPr>
            <w:tcW w:w="75" w:type="dxa"/>
            <w:tcBorders/>
            <w:shd w:fill="CCEEFF"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jc w:val="right"/>
              <w:rPr/>
            </w:pPr>
            <w:r>
              <w:rPr/>
              <w:t>118,245,511</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141" w:type="dxa"/>
            <w:tcBorders/>
            <w:shd w:fill="auto" w:val="clear"/>
            <w:vAlign w:val="center"/>
          </w:tcPr>
          <w:p>
            <w:pPr>
              <w:pStyle w:val="TableContents"/>
              <w:spacing w:before="0" w:after="283"/>
              <w:jc w:val="right"/>
              <w:rPr/>
            </w:pPr>
            <w:r>
              <w:rPr/>
              <w:t>65,631,413</w:t>
            </w:r>
          </w:p>
        </w:tc>
        <w:tc>
          <w:tcPr>
            <w:tcW w:w="7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66"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2"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4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14. Subsequent Events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Grants of Stock Options under 2017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January 2021, the Company granted options for the purchase of 6,805,312 common shares, at an exercise price of $1.19 per share, to officers, employees, and consultants of the Company. The aggregate grant-date fair value of these option grants was $8.8 million, which is expected to be recognized as share-based compensation expense over a weighted-average period of 3.8 years.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March 2021, the Company granted options for the purchase of 1,010,000 common shares, at an exercise price of $2.57 per share, to directors, employees, and consultants of the Company. The aggregate grant-date fair value of these option grants was $1.7 million, which is expected to be recognized as share-based compensation expense over a weighted-average period of 3.8 years.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F-90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14. Subsequent Events(cont.)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Issuance of Redeemable Convertible Series B Preferred Stock Tranche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March 2021, the Company sold 22,686,026 additional shares of Series B redeemable convertible preferred stock at a price of $1.32 per share upon the achievement of specified development milestones in connection with the second tranche of the Series B stock purchase agreement. Each of the tranches under the Series B stock purchase agreement maintain the same rights and features. Gross proceeds from this issuance totaled $30.0 million. Total issuance costs associated with the second tranche of the Series B preferred stock was less than $0.1 million.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Waiver of Preferred Stock Redemption Rights </w:t>
      </w:r>
    </w:p>
    <w:p>
      <w:pPr>
        <w:pStyle w:val="TextBody"/>
        <w:spacing w:before="120" w:after="0"/>
        <w:jc w:val="left"/>
        <w:rPr>
          <w:rFonts w:ascii="Times New Roman" w:hAnsi="Times New Roman"/>
          <w:sz w:val="20"/>
        </w:rPr>
      </w:pPr>
      <w:r>
        <w:rPr>
          <w:rFonts w:ascii="Times New Roman" w:hAnsi="Times New Roman"/>
          <w:sz w:val="20"/>
        </w:rPr>
        <w:t xml:space="preserve">In April 2021, the holders of the Series A, Series B and Series </w:t>
      </w:r>
    </w:p>
    <w:p>
      <w:pPr>
        <w:pStyle w:val="TextBody"/>
        <w:spacing w:before="120" w:after="0"/>
        <w:jc w:val="left"/>
        <w:rPr>
          <w:rFonts w:ascii="Times New Roman" w:hAnsi="Times New Roman"/>
          <w:spacing w:val="0"/>
          <w:sz w:val="20"/>
        </w:rPr>
      </w:pPr>
      <w:r>
        <w:rPr>
          <w:rFonts w:ascii="Times New Roman" w:hAnsi="Times New Roman"/>
          <w:spacing w:val="0"/>
          <w:sz w:val="20"/>
        </w:rPr>
        <w:t>B-1</w:t>
      </w:r>
    </w:p>
    <w:p>
      <w:pPr>
        <w:pStyle w:val="TextBody"/>
        <w:spacing w:before="120" w:after="0"/>
        <w:jc w:val="left"/>
        <w:rPr>
          <w:rFonts w:ascii="Times New Roman" w:hAnsi="Times New Roman"/>
          <w:sz w:val="20"/>
        </w:rPr>
      </w:pPr>
      <w:r>
        <w:rPr>
          <w:rFonts w:ascii="Times New Roman" w:hAnsi="Times New Roman"/>
          <w:sz w:val="20"/>
        </w:rPr>
        <w:t xml:space="preserve">redeemable preferred stock irrevocably waived their right to redeem any shares of Preferred Stock until March 31, 2023.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Gilead Collaboration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April 2021, Gilead licensed its second target under the Amended Gilead Agreement and is required to pay the Company a $11.0 million license fee.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connection with the preparation of the consolidated financial statements, the Company evaluated the events subsequent to the balance sheet date of December 31, 2020 through April 12, 2021, the date the consolidated financial statements were available for issuance, and determined that all material transactions have been recorded and disclosed.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Events Subsequent to Original Issuance of Consolidated Financial Statements (unaudited) </w:t>
      </w:r>
    </w:p>
    <w:p>
      <w:pPr>
        <w:pStyle w:val="TextBody"/>
        <w:spacing w:before="120" w:after="0"/>
        <w:jc w:val="left"/>
        <w:rPr>
          <w:rFonts w:ascii="Times New Roman" w:hAnsi="Times New Roman"/>
          <w:sz w:val="20"/>
        </w:rPr>
      </w:pPr>
      <w:r>
        <w:rPr>
          <w:rFonts w:ascii="Times New Roman" w:hAnsi="Times New Roman"/>
          <w:sz w:val="20"/>
        </w:rPr>
        <w:t>The Company evaluated subsequent events through April 19, 2021, the date of the initial filing of this proxy statement/prospectus.</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with BCTG Acquisition Corporation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13, 2021, the Company and BCTG Acquisition Corp. (“BCTG”)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 </w:t>
      </w:r>
    </w:p>
    <w:p>
      <w:pPr>
        <w:pStyle w:val="TextBody"/>
        <w:spacing w:before="240" w:after="0"/>
        <w:jc w:val="left"/>
        <w:rPr>
          <w:rFonts w:ascii="Times New Roman" w:hAnsi="Times New Roman"/>
          <w:spacing w:val="0"/>
          <w:sz w:val="20"/>
        </w:rPr>
      </w:pPr>
      <w:r>
        <w:rPr>
          <w:rFonts w:ascii="Times New Roman" w:hAnsi="Times New Roman"/>
          <w:spacing w:val="0"/>
          <w:sz w:val="20"/>
        </w:rPr>
        <w:t>BCTG is expected to receive net proceeds of approximately $156.9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million upon the closing of the proposed merger transaction, assuming no redemptions are affected by stockholders of BCTG, and will operate under the current Tango management team upon the closing of the proposed merger. In connection with the proposed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F-91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TANGO THERAPEUTICS, INC.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14. Subsequent Events(cont.) </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merger, BCTG has entered into agreements with existing and new investors to subscribe for and purchase an aggregate of </w:t>
      </w:r>
    </w:p>
    <w:p>
      <w:pPr>
        <w:pStyle w:val="TextBody"/>
        <w:spacing w:before="0" w:after="0"/>
        <w:jc w:val="left"/>
        <w:rPr>
          <w:rFonts w:ascii="Times New Roman" w:hAnsi="Times New Roman"/>
          <w:sz w:val="20"/>
        </w:rPr>
      </w:pPr>
      <w:r>
        <w:rPr>
          <w:rFonts w:ascii="Times New Roman" w:hAnsi="Times New Roman"/>
          <w:sz w:val="20"/>
        </w:rPr>
        <w:t>18.6</w:t>
      </w:r>
    </w:p>
    <w:p>
      <w:pPr>
        <w:pStyle w:val="TextBody"/>
        <w:spacing w:before="0" w:after="0"/>
        <w:jc w:val="left"/>
        <w:rPr>
          <w:spacing w:val="0"/>
        </w:rPr>
      </w:pPr>
      <w:r>
        <w:rPr>
          <w:spacing w:val="0"/>
        </w:rPr>
        <w:t> </w:t>
      </w:r>
      <w:r>
        <w:rPr>
          <w:rFonts w:ascii="Times New Roman" w:hAnsi="Times New Roman"/>
          <w:spacing w:val="0"/>
          <w:sz w:val="20"/>
        </w:rPr>
        <w:t>million shares of its common stock (the “PIPE Financing”) that will result in net proceeds of an additional $</w:t>
      </w:r>
    </w:p>
    <w:p>
      <w:pPr>
        <w:pStyle w:val="TextBody"/>
        <w:spacing w:before="0" w:after="0"/>
        <w:jc w:val="left"/>
        <w:rPr>
          <w:rFonts w:ascii="Times New Roman" w:hAnsi="Times New Roman"/>
          <w:sz w:val="20"/>
        </w:rPr>
      </w:pPr>
      <w:r>
        <w:rPr>
          <w:rFonts w:ascii="Times New Roman" w:hAnsi="Times New Roman"/>
          <w:sz w:val="20"/>
        </w:rPr>
        <w:t>179.7</w:t>
      </w:r>
    </w:p>
    <w:p>
      <w:pPr>
        <w:pStyle w:val="TextBody"/>
        <w:spacing w:before="0" w:after="0"/>
        <w:jc w:val="left"/>
        <w:rPr>
          <w:spacing w:val="0"/>
        </w:rPr>
      </w:pPr>
      <w:r>
        <w:rPr>
          <w:spacing w:val="0"/>
        </w:rPr>
        <w:t> </w:t>
      </w:r>
      <w:r>
        <w:rPr>
          <w:rFonts w:ascii="Times New Roman" w:hAnsi="Times New Roman"/>
          <w:spacing w:val="0"/>
          <w:sz w:val="20"/>
        </w:rPr>
        <w:t>million upon the closing of the PIPE Financing. The closing of the proposed merger is a precondition to the PIPE Financing.</w:t>
      </w:r>
    </w:p>
    <w:p>
      <w:pPr>
        <w:pStyle w:val="TextBody"/>
        <w:spacing w:before="240" w:after="0"/>
        <w:jc w:val="left"/>
        <w:rPr>
          <w:rFonts w:ascii="Times New Roman" w:hAnsi="Times New Roman"/>
          <w:sz w:val="20"/>
        </w:rPr>
      </w:pPr>
      <w:r>
        <w:rPr>
          <w:rFonts w:ascii="Times New Roman" w:hAnsi="Times New Roman"/>
          <w:sz w:val="20"/>
        </w:rPr>
        <w:t xml:space="preserve">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w:t>
      </w:r>
    </w:p>
    <w:p>
      <w:pPr>
        <w:pStyle w:val="TextBody"/>
        <w:spacing w:before="240" w:after="0"/>
        <w:jc w:val="left"/>
        <w:rPr>
          <w:rFonts w:ascii="Times New Roman" w:hAnsi="Times New Roman"/>
          <w:spacing w:val="0"/>
          <w:sz w:val="20"/>
        </w:rPr>
      </w:pPr>
      <w:r>
        <w:rPr>
          <w:rFonts w:ascii="Times New Roman" w:hAnsi="Times New Roman"/>
          <w:spacing w:val="0"/>
          <w:sz w:val="20"/>
        </w:rPr>
        <w:t>mid-2021.</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92</w:t>
      </w:r>
    </w:p>
    <w:p>
      <w:pPr>
        <w:pStyle w:val="HorizontalLine"/>
        <w:rPr/>
      </w:pPr>
      <w:r>
        <w:rPr/>
      </w:r>
    </w:p>
    <w:p>
      <w:pPr>
        <w:pStyle w:val="TextBody"/>
        <w:spacing w:before="0" w:after="0"/>
        <w:ind w:left="0" w:right="0" w:hanging="0"/>
        <w:rPr/>
      </w:pPr>
      <w:hyperlink w:anchor="toc">
        <w:r>
          <w:rPr>
            <w:rStyle w:val="InternetLink"/>
            <w:b/>
            <w:spacing w:val="0"/>
            <w:sz w:val="20"/>
          </w:rPr>
          <w:t>Table of Contents</w:t>
        </w:r>
      </w:hyperlink>
    </w:p>
    <w:p>
      <w:pPr>
        <w:pStyle w:val="TextBody"/>
        <w:spacing w:before="0" w:after="0"/>
        <w:ind w:left="0" w:right="0" w:hanging="0"/>
        <w:rPr>
          <w:b/>
          <w:sz w:val="20"/>
        </w:rPr>
      </w:pPr>
      <w:r>
        <w:rPr>
          <w:b/>
          <w:sz w:val="20"/>
        </w:rPr>
      </w:r>
    </w:p>
    <w:p>
      <w:pPr>
        <w:pStyle w:val="TextBody"/>
        <w:spacing w:before="0" w:after="0"/>
        <w:jc w:val="left"/>
        <w:rPr>
          <w:spacing w:val="0"/>
        </w:rPr>
      </w:pPr>
      <w:r>
        <w:rPr>
          <w:spacing w:val="0"/>
        </w:rPr>
        <w:t> </w:t>
      </w:r>
    </w:p>
    <w:p>
      <w:pPr>
        <w:pStyle w:val="TextBody"/>
        <w:spacing w:before="0" w:after="0"/>
        <w:jc w:val="center"/>
        <w:rPr/>
      </w:pPr>
      <w:r>
        <w:rPr/>
        <w:drawing>
          <wp:inline distT="0" distB="0" distL="0" distR="0">
            <wp:extent cx="3000375" cy="933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000375" cy="933450"/>
                    </a:xfrm>
                    <a:prstGeom prst="rect">
                      <a:avLst/>
                    </a:prstGeom>
                  </pic:spPr>
                </pic:pic>
              </a:graphicData>
            </a:graphic>
          </wp:inline>
        </w:drawing>
      </w:r>
    </w:p>
    <w:p>
      <w:pPr>
        <w:pStyle w:val="TextBody"/>
        <w:spacing w:before="1200" w:after="0"/>
        <w:jc w:val="center"/>
        <w:rPr>
          <w:rFonts w:ascii="Times New Roman" w:hAnsi="Times New Roman"/>
          <w:b/>
          <w:spacing w:val="0"/>
          <w:sz w:val="28"/>
        </w:rPr>
      </w:pPr>
      <w:r>
        <w:rPr>
          <w:rFonts w:ascii="Times New Roman" w:hAnsi="Times New Roman"/>
          <w:b/>
          <w:spacing w:val="0"/>
          <w:sz w:val="28"/>
        </w:rPr>
        <w:t xml:space="preserve">Up to 68,175,412 Shares of Common Stock </w:t>
      </w:r>
    </w:p>
    <w:p>
      <w:pPr>
        <w:pStyle w:val="TextBody"/>
        <w:spacing w:before="1200" w:after="0"/>
        <w:jc w:val="center"/>
        <w:rPr>
          <w:rFonts w:ascii="Times New Roman" w:hAnsi="Times New Roman"/>
          <w:b/>
          <w:spacing w:val="0"/>
          <w:sz w:val="24"/>
        </w:rPr>
      </w:pPr>
      <w:r>
        <w:rPr>
          <w:rFonts w:ascii="Times New Roman" w:hAnsi="Times New Roman"/>
          <w:b/>
          <w:spacing w:val="0"/>
          <w:sz w:val="24"/>
        </w:rPr>
        <w:t xml:space="preserve">PROSPECTUS </w:t>
      </w:r>
    </w:p>
    <w:p>
      <w:pPr>
        <w:pStyle w:val="TextBody"/>
        <w:spacing w:before="1920" w:after="0"/>
        <w:jc w:val="center"/>
        <w:rPr>
          <w:spacing w:val="0"/>
        </w:rPr>
      </w:pPr>
      <w:r>
        <w:rPr>
          <w:spacing w:val="0"/>
        </w:rPr>
        <w:t>                </w:t>
      </w:r>
      <w:r>
        <w:rPr>
          <w:rFonts w:ascii="Times New Roman" w:hAnsi="Times New Roman"/>
          <w:b/>
          <w:spacing w:val="0"/>
          <w:sz w:val="20"/>
        </w:rPr>
        <w:t xml:space="preserve">, 2021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PART II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INFORMATION NOT REQUIRED IN PROSPECTUS </w:t>
      </w:r>
    </w:p>
    <w:p>
      <w:pPr>
        <w:pStyle w:val="TextBody"/>
        <w:spacing w:before="0" w:after="0"/>
        <w:jc w:val="left"/>
        <w:rPr>
          <w:spacing w:val="0"/>
        </w:rPr>
      </w:pPr>
      <w:r>
        <w:rPr>
          <w:spacing w:val="0"/>
        </w:rPr>
        <w:t> </w:t>
      </w:r>
    </w:p>
    <w:tbl>
      <w:tblPr>
        <w:tblW w:w="4795" w:type="dxa"/>
        <w:jc w:val="left"/>
        <w:tblInd w:w="0" w:type="dxa"/>
        <w:tblCellMar>
          <w:top w:w="0" w:type="dxa"/>
          <w:left w:w="0" w:type="dxa"/>
          <w:bottom w:w="0" w:type="dxa"/>
          <w:right w:w="0" w:type="dxa"/>
        </w:tblCellMar>
      </w:tblPr>
      <w:tblGrid>
        <w:gridCol w:w="1040"/>
        <w:gridCol w:w="3755"/>
      </w:tblGrid>
      <w:tr>
        <w:trPr/>
        <w:tc>
          <w:tcPr>
            <w:tcW w:w="1040" w:type="dxa"/>
            <w:tcBorders/>
            <w:shd w:fill="auto" w:val="clear"/>
            <w:vAlign w:val="center"/>
          </w:tcPr>
          <w:p>
            <w:pPr>
              <w:pStyle w:val="TableContents"/>
              <w:spacing w:before="0" w:after="0"/>
              <w:jc w:val="left"/>
              <w:rPr>
                <w:b/>
                <w:spacing w:val="0"/>
              </w:rPr>
            </w:pPr>
            <w:r>
              <w:rPr>
                <w:b/>
                <w:spacing w:val="0"/>
              </w:rPr>
              <w:t>ITEM 13.</w:t>
            </w:r>
          </w:p>
        </w:tc>
        <w:tc>
          <w:tcPr>
            <w:tcW w:w="3755" w:type="dxa"/>
            <w:tcBorders/>
            <w:shd w:fill="auto" w:val="clear"/>
            <w:vAlign w:val="center"/>
          </w:tcPr>
          <w:p>
            <w:pPr>
              <w:pStyle w:val="TableContents"/>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Other Expenses of Issuance and Distribution.</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sets forth the costs and expenses will be paid by us in connection with the issuance and distribution of the securities being registered. 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All amounts are estimates, except for the SEC registration fee. </w:t>
      </w:r>
    </w:p>
    <w:p>
      <w:pPr>
        <w:pStyle w:val="TextBody"/>
        <w:spacing w:before="0" w:after="0"/>
        <w:jc w:val="left"/>
        <w:rPr>
          <w:spacing w:val="0"/>
        </w:rPr>
      </w:pPr>
      <w:r>
        <w:rPr>
          <w:spacing w:val="0"/>
        </w:rPr>
        <w:t> </w:t>
      </w:r>
    </w:p>
    <w:tbl>
      <w:tblPr>
        <w:tblW w:w="4140" w:type="dxa"/>
        <w:jc w:val="left"/>
        <w:tblInd w:w="0" w:type="dxa"/>
        <w:tblCellMar>
          <w:top w:w="0" w:type="dxa"/>
          <w:left w:w="0" w:type="dxa"/>
          <w:bottom w:w="0" w:type="dxa"/>
          <w:right w:w="0" w:type="dxa"/>
        </w:tblCellMar>
      </w:tblPr>
      <w:tblGrid>
        <w:gridCol w:w="2705"/>
        <w:gridCol w:w="120"/>
        <w:gridCol w:w="140"/>
        <w:gridCol w:w="1100"/>
        <w:gridCol w:w="75"/>
      </w:tblGrid>
      <w:tr>
        <w:trPr/>
        <w:tc>
          <w:tcPr>
            <w:tcW w:w="27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Amount</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SEC registration fee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109,635.20</w:t>
            </w:r>
          </w:p>
        </w:tc>
        <w:tc>
          <w:tcPr>
            <w:tcW w:w="75"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Accounting fees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32,500</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Legal fees and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100,000</w:t>
            </w:r>
          </w:p>
        </w:tc>
        <w:tc>
          <w:tcPr>
            <w:tcW w:w="75"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Miscellaneous fees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125,000</w:t>
            </w:r>
          </w:p>
        </w:tc>
        <w:tc>
          <w:tcPr>
            <w:tcW w:w="75"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367,135.20</w:t>
            </w:r>
          </w:p>
        </w:tc>
        <w:tc>
          <w:tcPr>
            <w:tcW w:w="75"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4480" w:type="dxa"/>
        <w:jc w:val="left"/>
        <w:tblInd w:w="0" w:type="dxa"/>
        <w:tblCellMar>
          <w:top w:w="0" w:type="dxa"/>
          <w:left w:w="0" w:type="dxa"/>
          <w:bottom w:w="0" w:type="dxa"/>
          <w:right w:w="0" w:type="dxa"/>
        </w:tblCellMar>
      </w:tblPr>
      <w:tblGrid>
        <w:gridCol w:w="1040"/>
        <w:gridCol w:w="3440"/>
      </w:tblGrid>
      <w:tr>
        <w:trPr/>
        <w:tc>
          <w:tcPr>
            <w:tcW w:w="1040" w:type="dxa"/>
            <w:tcBorders/>
            <w:shd w:fill="auto" w:val="clear"/>
            <w:vAlign w:val="center"/>
          </w:tcPr>
          <w:p>
            <w:pPr>
              <w:pStyle w:val="TableContents"/>
              <w:spacing w:before="0" w:after="0"/>
              <w:jc w:val="left"/>
              <w:rPr>
                <w:b/>
                <w:spacing w:val="0"/>
              </w:rPr>
            </w:pPr>
            <w:r>
              <w:rPr>
                <w:b/>
                <w:spacing w:val="0"/>
              </w:rPr>
              <w:t>ITEM 14.</w:t>
            </w:r>
          </w:p>
        </w:tc>
        <w:tc>
          <w:tcPr>
            <w:tcW w:w="3440" w:type="dxa"/>
            <w:tcBorders/>
            <w:shd w:fill="auto" w:val="clear"/>
            <w:vAlign w:val="center"/>
          </w:tcPr>
          <w:p>
            <w:pPr>
              <w:pStyle w:val="TableContents"/>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Indemnification of Directors and Officers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Section 145(g) of the DGCL provides, in general, that a corporation may purchase and maintain insurance on behalf of any person who is or was a director, officer, employee or agent of the corporation, or is or was serving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II-1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Certificate of Incorporation, which became effective upon completion of the Business Combination, provides that no director of ours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the DGCL is amended to authorize the further elimination or limitation of the liability of directors, then the liability of a director of ours shall be eliminated or limited to the fullest extent permitted by the DGCL, as so amended.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Certificate of Incorporation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Indemnitees in connection with a legal proceeding, subject to limited exceptions.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connection with the Business Combination, we entered into indemnification agreements with each of our directors and executive officers. These agreements provide that we will indemnify each of our directors and such officers to the fullest extent permitted by law and our Certificate of Incorporation and our Bylaws.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will also maintain a general liability insurance policy, which will cover certain liabilities of directors and officers of ours arising out of claims based on acts or omissions in their capacities as directors or officers. </w:t>
      </w:r>
    </w:p>
    <w:p>
      <w:pPr>
        <w:pStyle w:val="TextBody"/>
        <w:spacing w:before="0" w:after="0"/>
        <w:jc w:val="left"/>
        <w:rPr>
          <w:spacing w:val="0"/>
        </w:rPr>
      </w:pPr>
      <w:r>
        <w:rPr>
          <w:spacing w:val="0"/>
        </w:rPr>
        <w:t> </w:t>
      </w:r>
    </w:p>
    <w:tbl>
      <w:tblPr>
        <w:tblW w:w="4345" w:type="dxa"/>
        <w:jc w:val="left"/>
        <w:tblInd w:w="0" w:type="dxa"/>
        <w:tblCellMar>
          <w:top w:w="0" w:type="dxa"/>
          <w:left w:w="0" w:type="dxa"/>
          <w:bottom w:w="0" w:type="dxa"/>
          <w:right w:w="0" w:type="dxa"/>
        </w:tblCellMar>
      </w:tblPr>
      <w:tblGrid>
        <w:gridCol w:w="1040"/>
        <w:gridCol w:w="3305"/>
      </w:tblGrid>
      <w:tr>
        <w:trPr/>
        <w:tc>
          <w:tcPr>
            <w:tcW w:w="1040" w:type="dxa"/>
            <w:tcBorders/>
            <w:shd w:fill="auto" w:val="clear"/>
            <w:vAlign w:val="center"/>
          </w:tcPr>
          <w:p>
            <w:pPr>
              <w:pStyle w:val="TableContents"/>
              <w:spacing w:before="0" w:after="0"/>
              <w:jc w:val="left"/>
              <w:rPr>
                <w:b/>
                <w:spacing w:val="0"/>
              </w:rPr>
            </w:pPr>
            <w:r>
              <w:rPr>
                <w:b/>
                <w:spacing w:val="0"/>
              </w:rPr>
              <w:t>ITEM 15.</w:t>
            </w:r>
          </w:p>
        </w:tc>
        <w:tc>
          <w:tcPr>
            <w:tcW w:w="3305" w:type="dxa"/>
            <w:tcBorders/>
            <w:shd w:fill="auto" w:val="clear"/>
            <w:vAlign w:val="center"/>
          </w:tcPr>
          <w:p>
            <w:pPr>
              <w:pStyle w:val="TableContents"/>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Recent Sales of Unregistered Securities.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sold the securities described below within the past three years which were not registered under the Securities Act. All of the sales listed below were made pursuant to an exemption from registration afforded by Section 4(a)(2) of the Securities Act and Regulation D thereunder.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PIPE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Concurrently with the execution of the Business Combination Agreement, BCTG entered into subscription agreements with each of the PIPE Investors, pursuant to which, at the Closing, the PIPE Investors subscribed for and purchased an aggregate of 18,610,000 shares of Common Stock at a price of $10.00 per share for aggregate gross proceeds of $186,100,000.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II-2 </w:t>
      </w:r>
    </w:p>
    <w:p>
      <w:pPr>
        <w:pStyle w:val="HorizontalLine"/>
        <w:rPr/>
      </w:pPr>
      <w:r>
        <w:rPr/>
      </w:r>
    </w:p>
    <w:p>
      <w:pPr>
        <w:pStyle w:val="TextBody"/>
        <w:spacing w:before="0" w:after="0"/>
        <w:rPr/>
      </w:pPr>
      <w:hyperlink w:anchor="toc">
        <w:r>
          <w:rPr>
            <w:rStyle w:val="InternetLink"/>
            <w:b/>
            <w:sz w:val="20"/>
          </w:rPr>
          <w:t>Table of Contents</w:t>
        </w:r>
      </w:hyperlink>
    </w:p>
    <w:tbl>
      <w:tblPr>
        <w:tblW w:w="4795" w:type="dxa"/>
        <w:jc w:val="left"/>
        <w:tblInd w:w="0" w:type="dxa"/>
        <w:tblCellMar>
          <w:top w:w="0" w:type="dxa"/>
          <w:left w:w="0" w:type="dxa"/>
          <w:bottom w:w="0" w:type="dxa"/>
          <w:right w:w="0" w:type="dxa"/>
        </w:tblCellMar>
      </w:tblPr>
      <w:tblGrid>
        <w:gridCol w:w="1040"/>
        <w:gridCol w:w="3755"/>
      </w:tblGrid>
      <w:tr>
        <w:trPr/>
        <w:tc>
          <w:tcPr>
            <w:tcW w:w="1040" w:type="dxa"/>
            <w:tcBorders/>
            <w:shd w:fill="auto" w:val="clear"/>
            <w:vAlign w:val="center"/>
          </w:tcPr>
          <w:p>
            <w:pPr>
              <w:pStyle w:val="TableContents"/>
              <w:spacing w:before="0" w:after="0"/>
              <w:jc w:val="left"/>
              <w:rPr>
                <w:b/>
                <w:spacing w:val="0"/>
              </w:rPr>
            </w:pPr>
            <w:r>
              <w:rPr>
                <w:b/>
                <w:spacing w:val="0"/>
              </w:rPr>
              <w:t>ITEM 16.</w:t>
            </w:r>
          </w:p>
        </w:tc>
        <w:tc>
          <w:tcPr>
            <w:tcW w:w="3755" w:type="dxa"/>
            <w:tcBorders/>
            <w:shd w:fill="auto" w:val="clear"/>
            <w:vAlign w:val="center"/>
          </w:tcPr>
          <w:p>
            <w:pPr>
              <w:pStyle w:val="TableContents"/>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Exhibits and Financial Statement Schedules.</w:t>
            </w:r>
          </w:p>
        </w:tc>
      </w:tr>
    </w:tbl>
    <w:p>
      <w:pPr>
        <w:pStyle w:val="TextBody"/>
        <w:spacing w:before="0" w:after="0"/>
        <w:jc w:val="left"/>
        <w:rPr>
          <w:spacing w:val="0"/>
        </w:rPr>
      </w:pPr>
      <w:r>
        <w:rPr>
          <w:spacing w:val="0"/>
        </w:rPr>
        <w:t> </w:t>
      </w:r>
    </w:p>
    <w:tbl>
      <w:tblPr>
        <w:tblW w:w="1060" w:type="dxa"/>
        <w:jc w:val="left"/>
        <w:tblInd w:w="0" w:type="dxa"/>
        <w:tblCellMar>
          <w:top w:w="0" w:type="dxa"/>
          <w:left w:w="0" w:type="dxa"/>
          <w:bottom w:w="0" w:type="dxa"/>
          <w:right w:w="0" w:type="dxa"/>
        </w:tblCellMar>
      </w:tblPr>
      <w:tblGrid>
        <w:gridCol w:w="290"/>
        <w:gridCol w:w="770"/>
      </w:tblGrid>
      <w:tr>
        <w:trPr/>
        <w:tc>
          <w:tcPr>
            <w:tcW w:w="290" w:type="dxa"/>
            <w:tcBorders/>
            <w:shd w:fill="auto" w:val="clear"/>
            <w:vAlign w:val="center"/>
          </w:tcPr>
          <w:p>
            <w:pPr>
              <w:pStyle w:val="TableContents"/>
              <w:spacing w:before="0" w:after="283"/>
              <w:jc w:val="left"/>
              <w:rPr/>
            </w:pPr>
            <w:r>
              <w:rPr/>
              <w:t>(a)</w:t>
            </w:r>
          </w:p>
        </w:tc>
        <w:tc>
          <w:tcPr>
            <w:tcW w:w="7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Exhibits </w:t>
            </w:r>
          </w:p>
        </w:tc>
      </w:tr>
    </w:tbl>
    <w:p>
      <w:pPr>
        <w:pStyle w:val="TextBody"/>
        <w:spacing w:before="480" w:after="0"/>
        <w:jc w:val="center"/>
        <w:rPr>
          <w:rFonts w:ascii="Times New Roman" w:hAnsi="Times New Roman"/>
          <w:b/>
          <w:spacing w:val="0"/>
          <w:sz w:val="20"/>
        </w:rPr>
      </w:pPr>
      <w:r>
        <w:rPr>
          <w:rFonts w:ascii="Times New Roman" w:hAnsi="Times New Roman"/>
          <w:b/>
          <w:spacing w:val="0"/>
          <w:sz w:val="20"/>
        </w:rPr>
        <w:t xml:space="preserve">Exhibit Index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890"/>
        <w:gridCol w:w="120"/>
        <w:gridCol w:w="9195"/>
      </w:tblGrid>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95"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center"/>
          </w:tcPr>
          <w:p>
            <w:pPr>
              <w:pStyle w:val="TableContents"/>
              <w:spacing w:before="0" w:after="0"/>
              <w:jc w:val="center"/>
              <w:rPr>
                <w:b/>
                <w:spacing w:val="0"/>
              </w:rPr>
            </w:pPr>
            <w:r>
              <w:rPr>
                <w:b/>
                <w:spacing w:val="0"/>
              </w:rPr>
              <w:t>Exhibit</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Description</w:t>
            </w:r>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1.1*</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r>
              <w:rPr/>
              <w:t>Form of Underwriting Agreement.</w:t>
            </w:r>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r>
              <w:fldChar w:fldCharType="begin"/>
            </w:r>
            <w:r>
              <w:rPr>
                <w:rStyle w:val="InternetLink"/>
              </w:rPr>
              <w:instrText> HYPERLINK "http://www.sec.gov/Archives/edgar/data/1819133/000121390021022195/fs42021_bctgacquisition.htm" \l "T112"</w:instrText>
            </w:r>
            <w:r>
              <w:rPr>
                <w:rStyle w:val="InternetLink"/>
              </w:rPr>
              <w:fldChar w:fldCharType="separate"/>
            </w:r>
            <w:r>
              <w:rPr>
                <w:rStyle w:val="InternetLink"/>
              </w:rPr>
              <w:t xml:space="preserve">Agreement and Plan of Merger, dated as of April 13, 2021, by and among BCTG Acquisition Corp., BCTG Merger Sub Inc. and Tango Therapeutics, Inc. (incorporated by reference to Annex A to the Proxy Statement/ Prospectus). </w:t>
            </w:r>
            <w:r>
              <w:rPr>
                <w:rStyle w:val="InternetLink"/>
              </w:rPr>
              <w:fldChar w:fldCharType="end"/>
            </w:r>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3.1**</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w:anchor="d118907dex31.htm">
              <w:r>
                <w:rPr>
                  <w:rStyle w:val="InternetLink"/>
                </w:rPr>
                <w:t>Second Amended and Restated Certificate of Incorporation of Tango Therapeutics, Inc.</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3.2</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r>
              <w:fldChar w:fldCharType="begin"/>
            </w:r>
            <w:r>
              <w:rPr>
                <w:rStyle w:val="InternetLink"/>
              </w:rPr>
              <w:instrText> HYPERLINK "http://www.sec.gov/Archives/edgar/data/1819133/000121390021022195/fs42021_bctgacquisition.htm" \l "T112"</w:instrText>
            </w:r>
            <w:r>
              <w:rPr>
                <w:rStyle w:val="InternetLink"/>
              </w:rPr>
              <w:fldChar w:fldCharType="separate"/>
            </w:r>
            <w:r>
              <w:rPr>
                <w:rStyle w:val="InternetLink"/>
              </w:rPr>
              <w:t xml:space="preserve">Amended and Restated By-laws of Tango Therapeutics, Inc. (incorporated by reference to Exhibit F of Annex A to the Proxy Statement/Prospectus). </w:t>
            </w:r>
            <w:r>
              <w:rPr>
                <w:rStyle w:val="InternetLink"/>
              </w:rPr>
              <w:fldChar w:fldCharType="end"/>
            </w:r>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5.1**</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w:anchor="d118907dex51.htm">
              <w:r>
                <w:rPr>
                  <w:rStyle w:val="InternetLink"/>
                </w:rPr>
                <w:t xml:space="preserve">Opinion of Goodwin Procter LLP.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10.1</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0">
              <w:r>
                <w:rPr>
                  <w:rStyle w:val="InternetLink"/>
                </w:rPr>
                <w:t xml:space="preserve">Form of Subscription Agreement, dated as of April 13, 2021 by and among BCTG Acquisition Corp. and certain institutional and accredited investors (incorporated by reference to Exhibit 10.1 to the Registration Statement on Form 8-K filed by the Registrant on April 14, 2021).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10.2</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r>
              <w:fldChar w:fldCharType="begin"/>
            </w:r>
            <w:r>
              <w:rPr>
                <w:rStyle w:val="InternetLink"/>
              </w:rPr>
              <w:instrText> HYPERLINK "http://www.sec.gov/Archives/edgar/data/1819133/000121390021022195/fs42021_bctgacquisition.htm" \l "T112"</w:instrText>
            </w:r>
            <w:r>
              <w:rPr>
                <w:rStyle w:val="InternetLink"/>
              </w:rPr>
              <w:fldChar w:fldCharType="separate"/>
            </w:r>
            <w:r>
              <w:rPr>
                <w:rStyle w:val="InternetLink"/>
              </w:rPr>
              <w:t xml:space="preserve">Form of Lock-Up Agreement (incorporated by reference to Exhibit D to Annex A to the Proxy Statement/Prospectus). </w:t>
            </w:r>
            <w:r>
              <w:rPr>
                <w:rStyle w:val="InternetLink"/>
              </w:rPr>
              <w:fldChar w:fldCharType="end"/>
            </w:r>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10.3</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1">
              <w:r>
                <w:rPr>
                  <w:rStyle w:val="InternetLink"/>
                </w:rPr>
                <w:t xml:space="preserve">Amended and Restated Registration and Stockholder Rights Agreement, dated August 10, 2021, by and among Tango Therapeutics, Inc. and the stockholders party thereto (incorporated by reference to Exhibit 10.2 to the Current Report on Form 8-K filed by the Registrant on August 13, 2021).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10.4††</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2">
              <w:r>
                <w:rPr>
                  <w:rStyle w:val="InternetLink"/>
                </w:rPr>
                <w:t xml:space="preserve">Amended and Restated Research Collaboration and License Agreement between Tango Therapeutics, Inc. and Gilead Sciences, Inc., dated August 17, 2020 (incorporated by reference to Exhibit 10.19 to the Registration Statement on Form S-4/A filed by the Registrant on June 17, 2021).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10.5††</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3">
              <w:r>
                <w:rPr>
                  <w:rStyle w:val="InternetLink"/>
                </w:rPr>
                <w:t xml:space="preserve">License Agreement between Tango Therapeutics, Inc. and Medivir AB, dated March 12, 2020 (incorporated by reference to Exhibit 10.20 to the Registration Statement on Form S-4/A filed by the Registrant on June 17, 2021).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10.6#</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4">
              <w:r>
                <w:rPr>
                  <w:rStyle w:val="InternetLink"/>
                </w:rPr>
                <w:t xml:space="preserve">Tango Therapeutics, Inc. 2021 Stock Option and Incentive Plan (incorporated by reference to Exhibit 10.4 to the Current Report on Form 8-K filed by the Registrant on August 13, 2021).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10.7#</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5">
              <w:r>
                <w:rPr>
                  <w:rStyle w:val="InternetLink"/>
                </w:rPr>
                <w:t xml:space="preserve">Forms of Award Agreements under the Tango Therapeutics, Inc. 2021 Stock Option and Incentive Plan (incorporated by reference to Exhibit 10.5 to the Current Report on Form 8-K filed by the Registrant on August 13, 2021).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10.8#</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r>
              <w:rPr/>
              <w:t>T</w:t>
            </w:r>
            <w:hyperlink r:id="rId36">
              <w:r>
                <w:rPr>
                  <w:rStyle w:val="InternetLink"/>
                </w:rPr>
                <w:t>ango Therapeutics, Inc. 2021 Employee Stock Purchase Plan (incorporated by reference to Exhibit 10.6 to the Current Report on Form 8-K filed by the Registrant on August 13, 2021)</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10.9#</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7">
              <w:r>
                <w:rPr>
                  <w:rStyle w:val="InternetLink"/>
                </w:rPr>
                <w:t xml:space="preserve">Form of Executive Employment Agreement (incorporated by reference to Exhibit 10.7 to the Current Report on Form 8-K filed by the Registrant on August 13, 2021). </w:t>
              </w:r>
            </w:hyperlink>
          </w:p>
        </w:tc>
      </w:tr>
      <w:tr>
        <w:trPr/>
        <w:tc>
          <w:tcPr>
            <w:tcW w:w="890" w:type="dxa"/>
            <w:tcBorders/>
            <w:shd w:fill="auto" w:val="clear"/>
            <w:vAlign w:val="center"/>
          </w:tcPr>
          <w:p>
            <w:pPr>
              <w:pStyle w:val="TableContents"/>
              <w:spacing w:before="0" w:after="283"/>
              <w:rPr/>
            </w:pPr>
            <w:r>
              <w:rPr/>
              <w:t> </w:t>
            </w:r>
          </w:p>
        </w:tc>
        <w:tc>
          <w:tcPr>
            <w:tcW w:w="9315" w:type="dxa"/>
            <w:gridSpan w:val="2"/>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pPr>
            <w:r>
              <w:rPr/>
              <w:t>  </w:t>
            </w:r>
            <w:r>
              <w:rPr/>
              <w:t>10.10</w:t>
            </w:r>
          </w:p>
        </w:tc>
        <w:tc>
          <w:tcPr>
            <w:tcW w:w="120" w:type="dxa"/>
            <w:tcBorders/>
            <w:shd w:fill="auto" w:val="clear"/>
            <w:vAlign w:val="center"/>
          </w:tcPr>
          <w:p>
            <w:pPr>
              <w:pStyle w:val="TableContents"/>
              <w:spacing w:before="0" w:after="283"/>
              <w:rPr/>
            </w:pPr>
            <w:r>
              <w:rPr/>
              <w:t>  </w:t>
            </w:r>
          </w:p>
        </w:tc>
        <w:tc>
          <w:tcPr>
            <w:tcW w:w="9195" w:type="dxa"/>
            <w:tcBorders/>
            <w:shd w:fill="auto" w:val="clear"/>
            <w:vAlign w:val="center"/>
          </w:tcPr>
          <w:p>
            <w:pPr>
              <w:pStyle w:val="TableContents"/>
              <w:spacing w:before="0" w:after="283"/>
              <w:rPr/>
            </w:pPr>
            <w:hyperlink r:id="rId38">
              <w:r>
                <w:rPr>
                  <w:rStyle w:val="InternetLink"/>
                </w:rPr>
                <w:t xml:space="preserve">Non-Employee Director Compensation Policy (incorporated by reference to Exhibit 10.8 to the Current Report on Form 8-K filed by the Registrant on August 13, 2021). </w:t>
              </w:r>
            </w:hyperlink>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II-3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1027"/>
        <w:gridCol w:w="120"/>
        <w:gridCol w:w="9058"/>
      </w:tblGrid>
      <w:tr>
        <w:trPr/>
        <w:tc>
          <w:tcPr>
            <w:tcW w:w="10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58" w:type="dxa"/>
            <w:tcBorders/>
            <w:shd w:fill="auto" w:val="clear"/>
            <w:vAlign w:val="center"/>
          </w:tcPr>
          <w:p>
            <w:pPr>
              <w:pStyle w:val="TableContents"/>
              <w:spacing w:before="0" w:after="283"/>
              <w:rPr>
                <w:sz w:val="4"/>
                <w:szCs w:val="4"/>
              </w:rPr>
            </w:pPr>
            <w:r>
              <w:rPr>
                <w:sz w:val="4"/>
                <w:szCs w:val="4"/>
              </w:rPr>
            </w:r>
          </w:p>
        </w:tc>
      </w:tr>
      <w:tr>
        <w:trPr/>
        <w:tc>
          <w:tcPr>
            <w:tcW w:w="1027" w:type="dxa"/>
            <w:tcBorders/>
            <w:shd w:fill="auto" w:val="clear"/>
            <w:vAlign w:val="center"/>
          </w:tcPr>
          <w:p>
            <w:pPr>
              <w:pStyle w:val="TableContents"/>
              <w:spacing w:before="0" w:after="0"/>
              <w:jc w:val="center"/>
              <w:rPr>
                <w:b/>
                <w:spacing w:val="0"/>
              </w:rPr>
            </w:pPr>
            <w:r>
              <w:rPr>
                <w:b/>
                <w:spacing w:val="0"/>
              </w:rPr>
              <w:t>Exhibit</w:t>
            </w:r>
          </w:p>
          <w:p>
            <w:pPr>
              <w:pStyle w:val="TableContents"/>
              <w:spacing w:before="0" w:after="0"/>
              <w:jc w:val="center"/>
              <w:rPr/>
            </w:pPr>
            <w:r>
              <w:rPr/>
            </w:r>
          </w:p>
          <w:p>
            <w:pPr>
              <w:pStyle w:val="TableContents"/>
              <w:spacing w:before="0" w:after="0"/>
              <w:jc w:val="center"/>
              <w:rPr>
                <w:b/>
                <w:spacing w:val="0"/>
              </w:rPr>
            </w:pPr>
            <w:r>
              <w:rPr>
                <w:b/>
                <w:spacing w:val="0"/>
              </w:rPr>
              <w:t>Number</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Description</w:t>
            </w:r>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10.11</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r:id="rId39">
              <w:r>
                <w:rPr>
                  <w:rStyle w:val="InternetLink"/>
                </w:rPr>
                <w:t xml:space="preserve">Form of Indemnification Agreement (Directors) (incorporated by reference to Exhibit 10.9 to the Current Report on Form 8-K filed by the Registrant on August 13, 2021).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10.12#</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r:id="rId40">
              <w:r>
                <w:rPr>
                  <w:rStyle w:val="InternetLink"/>
                </w:rPr>
                <w:t xml:space="preserve">Form of Indemnification Agreement (Officers) (incorporated by reference to Exhibit 10.10 to the Current Report on Form 8-K filed by the Registrant on August 13, 2021).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10.13#</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r:id="rId41">
              <w:r>
                <w:rPr>
                  <w:rStyle w:val="InternetLink"/>
                </w:rPr>
                <w:t xml:space="preserve">Senior Executive Cash Annual Incentive Plan (incorporated by reference to Exhibit 10.11 to the Current Report on Form 8-K filed by the Registrant on August 13, 2021).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16.1</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r:id="rId42">
              <w:r>
                <w:rPr>
                  <w:rStyle w:val="InternetLink"/>
                </w:rPr>
                <w:t xml:space="preserve">Letter dated August 13, 2021 from Withum to the SEC (incorporated by reference to Exhibit 16.1 to the Current Report on Form 8-K filed by the Registrant on August 13, 2021).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21.1**</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w:anchor="d118907dex211.htm">
              <w:r>
                <w:rPr>
                  <w:rStyle w:val="InternetLink"/>
                </w:rPr>
                <w:t xml:space="preserve">List of subsidiaries of Tango Therapeutics, Inc.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23.1**</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w:anchor="d118907dex231.htm">
              <w:r>
                <w:rPr>
                  <w:rStyle w:val="InternetLink"/>
                </w:rPr>
                <w:t xml:space="preserve">Consent of WithumSmith+Brown, PC, independent registered accounting firm for BCTG.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23.2**</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w:anchor="d118907dex232.htm">
              <w:r>
                <w:rPr>
                  <w:rStyle w:val="InternetLink"/>
                </w:rPr>
                <w:t xml:space="preserve">Consent of PricewaterhouseCoopers LLP, independent registered public accounting firm of Tango Therapeutics, Inc.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23.3**</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w:anchor="d118907dex51.htm">
              <w:r>
                <w:rPr>
                  <w:rStyle w:val="InternetLink"/>
                </w:rPr>
                <w:t xml:space="preserve">Consent of Goodwin Procter LLP (included as part of Exhibit 5.1).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  </w:t>
            </w:r>
            <w:r>
              <w:rPr/>
              <w:t>24.1**</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hyperlink w:anchor="sig">
              <w:r>
                <w:rPr>
                  <w:rStyle w:val="InternetLink"/>
                </w:rPr>
                <w:t xml:space="preserve">Power of Attorney (included on signature page of the Registration Statement). </w:t>
              </w:r>
            </w:hyperlink>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XBRL Instance Document</w:t>
            </w:r>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XBRL Taxonomy Extension Schema Document</w:t>
            </w:r>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XBRL Taxonomy Extension Calculation Linkbase Document</w:t>
            </w:r>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XBRL Taxonomy Extension Definition Linkbase Document</w:t>
            </w:r>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XBRL Taxonomy Extension Label Linkbase Document</w:t>
            </w:r>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XBRL Taxonomy Extension Label Linkbase Document</w:t>
            </w:r>
          </w:p>
        </w:tc>
      </w:tr>
      <w:tr>
        <w:trPr/>
        <w:tc>
          <w:tcPr>
            <w:tcW w:w="1027" w:type="dxa"/>
            <w:tcBorders/>
            <w:shd w:fill="auto" w:val="clear"/>
            <w:vAlign w:val="center"/>
          </w:tcPr>
          <w:p>
            <w:pPr>
              <w:pStyle w:val="TableContents"/>
              <w:spacing w:before="0" w:after="283"/>
              <w:rPr/>
            </w:pPr>
            <w:r>
              <w:rPr/>
              <w:t> </w:t>
            </w:r>
          </w:p>
        </w:tc>
        <w:tc>
          <w:tcPr>
            <w:tcW w:w="9178" w:type="dxa"/>
            <w:gridSpan w:val="2"/>
            <w:tcBorders/>
            <w:shd w:fill="auto" w:val="clear"/>
            <w:vAlign w:val="center"/>
          </w:tcPr>
          <w:p>
            <w:pPr>
              <w:pStyle w:val="TableContents"/>
              <w:spacing w:before="0" w:after="283"/>
              <w:rPr/>
            </w:pPr>
            <w:r>
              <w:rPr/>
              <w:t> </w:t>
            </w:r>
          </w:p>
        </w:tc>
      </w:tr>
      <w:tr>
        <w:trPr/>
        <w:tc>
          <w:tcPr>
            <w:tcW w:w="1027"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be filed, if necessary, subsequent to the effectiveness of this registration statement by an amendment to this registration statement or incorporated by reference pursuant to a Current Report on Form 8-K in connection with the offering of securities. </w:t>
            </w:r>
          </w:p>
        </w:tc>
      </w:tr>
    </w:tbl>
    <w:tbl>
      <w:tblPr>
        <w:tblW w:w="1570" w:type="dxa"/>
        <w:jc w:val="left"/>
        <w:tblInd w:w="0" w:type="dxa"/>
        <w:tblCellMar>
          <w:top w:w="0" w:type="dxa"/>
          <w:left w:w="0" w:type="dxa"/>
          <w:bottom w:w="0" w:type="dxa"/>
          <w:right w:w="0" w:type="dxa"/>
        </w:tblCellMar>
      </w:tblPr>
      <w:tblGrid>
        <w:gridCol w:w="275"/>
        <w:gridCol w:w="1295"/>
      </w:tblGrid>
      <w:tr>
        <w:trPr/>
        <w:tc>
          <w:tcPr>
            <w:tcW w:w="275" w:type="dxa"/>
            <w:tcBorders/>
            <w:shd w:fill="auto" w:val="clear"/>
            <w:vAlign w:val="center"/>
          </w:tcPr>
          <w:p>
            <w:pPr>
              <w:pStyle w:val="TableContents"/>
              <w:spacing w:before="0" w:after="283"/>
              <w:jc w:val="left"/>
              <w:rPr/>
            </w:pPr>
            <w:r>
              <w:rPr/>
              <w:t>**</w:t>
            </w:r>
          </w:p>
        </w:tc>
        <w:tc>
          <w:tcPr>
            <w:tcW w:w="12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Filed herewith. </w:t>
            </w:r>
          </w:p>
        </w:tc>
      </w:tr>
    </w:tbl>
    <w:tbl>
      <w:tblPr>
        <w:tblW w:w="7090" w:type="dxa"/>
        <w:jc w:val="left"/>
        <w:tblInd w:w="0" w:type="dxa"/>
        <w:tblCellMar>
          <w:top w:w="0" w:type="dxa"/>
          <w:left w:w="0" w:type="dxa"/>
          <w:bottom w:w="0" w:type="dxa"/>
          <w:right w:w="0" w:type="dxa"/>
        </w:tblCellMar>
      </w:tblPr>
      <w:tblGrid>
        <w:gridCol w:w="155"/>
        <w:gridCol w:w="6935"/>
      </w:tblGrid>
      <w:tr>
        <w:trPr/>
        <w:tc>
          <w:tcPr>
            <w:tcW w:w="155" w:type="dxa"/>
            <w:tcBorders/>
            <w:shd w:fill="auto" w:val="clear"/>
            <w:vAlign w:val="center"/>
          </w:tcPr>
          <w:p>
            <w:pPr>
              <w:pStyle w:val="TableContents"/>
              <w:spacing w:before="0" w:after="283"/>
              <w:jc w:val="left"/>
              <w:rPr/>
            </w:pPr>
            <w:r>
              <w:rPr/>
              <w:t>#</w:t>
            </w:r>
          </w:p>
        </w:tc>
        <w:tc>
          <w:tcPr>
            <w:tcW w:w="69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Indicates a management contract or any compensatory plan, contract or arrangement.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Schedules and exhibits to this Exhibit omitted pursuant to Regulation S-K Item 601(b)(2). The Registrant agrees to furnish supplementally a copy of any omitted schedule or exhibit to the SEC upon request. </w:t>
            </w:r>
          </w:p>
        </w:tc>
      </w:tr>
    </w:tbl>
    <w:tbl>
      <w:tblPr>
        <w:tblW w:w="8680" w:type="dxa"/>
        <w:jc w:val="left"/>
        <w:tblInd w:w="0" w:type="dxa"/>
        <w:tblCellMar>
          <w:top w:w="0" w:type="dxa"/>
          <w:left w:w="0" w:type="dxa"/>
          <w:bottom w:w="0" w:type="dxa"/>
          <w:right w:w="0" w:type="dxa"/>
        </w:tblCellMar>
      </w:tblPr>
      <w:tblGrid>
        <w:gridCol w:w="275"/>
        <w:gridCol w:w="8405"/>
      </w:tblGrid>
      <w:tr>
        <w:trPr/>
        <w:tc>
          <w:tcPr>
            <w:tcW w:w="275" w:type="dxa"/>
            <w:tcBorders/>
            <w:shd w:fill="auto" w:val="clear"/>
            <w:vAlign w:val="center"/>
          </w:tcPr>
          <w:p>
            <w:pPr>
              <w:pStyle w:val="TableContents"/>
              <w:spacing w:before="0" w:after="283"/>
              <w:jc w:val="left"/>
              <w:rPr/>
            </w:pPr>
            <w:r>
              <w:rPr/>
              <w:t>††</w:t>
            </w:r>
          </w:p>
        </w:tc>
        <w:tc>
          <w:tcPr>
            <w:tcW w:w="84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Certain confidential portions (indicated by brackets and asterisks) have been omitted from this exhibit. </w:t>
            </w:r>
          </w:p>
        </w:tc>
      </w:tr>
    </w:tbl>
    <w:tbl>
      <w:tblPr>
        <w:tblW w:w="2875" w:type="dxa"/>
        <w:jc w:val="left"/>
        <w:tblInd w:w="0" w:type="dxa"/>
        <w:tblCellMar>
          <w:top w:w="0" w:type="dxa"/>
          <w:left w:w="0" w:type="dxa"/>
          <w:bottom w:w="0" w:type="dxa"/>
          <w:right w:w="0" w:type="dxa"/>
        </w:tblCellMar>
      </w:tblPr>
      <w:tblGrid>
        <w:gridCol w:w="305"/>
        <w:gridCol w:w="2570"/>
      </w:tblGrid>
      <w:tr>
        <w:trPr/>
        <w:tc>
          <w:tcPr>
            <w:tcW w:w="305" w:type="dxa"/>
            <w:tcBorders/>
            <w:shd w:fill="auto" w:val="clear"/>
            <w:vAlign w:val="center"/>
          </w:tcPr>
          <w:p>
            <w:pPr>
              <w:pStyle w:val="TableContents"/>
              <w:spacing w:before="0" w:after="283"/>
              <w:jc w:val="left"/>
              <w:rPr/>
            </w:pPr>
            <w:r>
              <w:rPr/>
              <w:t>(b)</w:t>
            </w:r>
          </w:p>
        </w:tc>
        <w:tc>
          <w:tcPr>
            <w:tcW w:w="25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Financial Statement Schedules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All schedules have been omitted as not applicable or not required under the rules of Regulation S-X. </w:t>
      </w:r>
    </w:p>
    <w:p>
      <w:pPr>
        <w:pStyle w:val="TextBody"/>
        <w:spacing w:before="0" w:after="0"/>
        <w:jc w:val="left"/>
        <w:rPr>
          <w:spacing w:val="0"/>
        </w:rPr>
      </w:pPr>
      <w:r>
        <w:rPr>
          <w:spacing w:val="0"/>
        </w:rPr>
        <w:t> </w:t>
      </w:r>
    </w:p>
    <w:tbl>
      <w:tblPr>
        <w:tblW w:w="2245" w:type="dxa"/>
        <w:jc w:val="left"/>
        <w:tblInd w:w="0" w:type="dxa"/>
        <w:tblCellMar>
          <w:top w:w="0" w:type="dxa"/>
          <w:left w:w="0" w:type="dxa"/>
          <w:bottom w:w="0" w:type="dxa"/>
          <w:right w:w="0" w:type="dxa"/>
        </w:tblCellMar>
      </w:tblPr>
      <w:tblGrid>
        <w:gridCol w:w="1040"/>
        <w:gridCol w:w="1205"/>
      </w:tblGrid>
      <w:tr>
        <w:trPr/>
        <w:tc>
          <w:tcPr>
            <w:tcW w:w="1040" w:type="dxa"/>
            <w:tcBorders/>
            <w:shd w:fill="auto" w:val="clear"/>
            <w:vAlign w:val="center"/>
          </w:tcPr>
          <w:p>
            <w:pPr>
              <w:pStyle w:val="TableContents"/>
              <w:spacing w:before="0" w:after="0"/>
              <w:jc w:val="left"/>
              <w:rPr>
                <w:b/>
                <w:spacing w:val="0"/>
              </w:rPr>
            </w:pPr>
            <w:r>
              <w:rPr>
                <w:b/>
                <w:spacing w:val="0"/>
              </w:rPr>
              <w:t>ITEM 17.</w:t>
            </w:r>
          </w:p>
        </w:tc>
        <w:tc>
          <w:tcPr>
            <w:tcW w:w="1205" w:type="dxa"/>
            <w:tcBorders/>
            <w:shd w:fill="auto" w:val="clear"/>
            <w:vAlign w:val="center"/>
          </w:tcPr>
          <w:p>
            <w:pPr>
              <w:pStyle w:val="TableContents"/>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Undertakings.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undersigned registrant hereby undertakes: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jc w:val="left"/>
              <w:rPr/>
            </w:pPr>
            <w:r>
              <w:rPr/>
              <w:t>A.</w:t>
            </w:r>
          </w:p>
        </w:tc>
        <w:tc>
          <w:tcPr>
            <w:tcW w:w="99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file, during any period in which offers or sales are being made, a post-effective amendment to this registration statement: </w:t>
            </w:r>
          </w:p>
        </w:tc>
      </w:tr>
    </w:tbl>
    <w:p>
      <w:pPr>
        <w:pStyle w:val="TextBody"/>
        <w:spacing w:before="0" w:after="0"/>
        <w:jc w:val="left"/>
        <w:rPr>
          <w:spacing w:val="0"/>
        </w:rPr>
      </w:pPr>
      <w:r>
        <w:rPr>
          <w:spacing w:val="0"/>
        </w:rPr>
        <w:t> </w:t>
      </w:r>
    </w:p>
    <w:tbl>
      <w:tblPr>
        <w:tblW w:w="6565" w:type="dxa"/>
        <w:jc w:val="left"/>
        <w:tblInd w:w="0" w:type="dxa"/>
        <w:tblCellMar>
          <w:top w:w="0" w:type="dxa"/>
          <w:left w:w="0" w:type="dxa"/>
          <w:bottom w:w="0" w:type="dxa"/>
          <w:right w:w="0" w:type="dxa"/>
        </w:tblCellMar>
      </w:tblPr>
      <w:tblGrid>
        <w:gridCol w:w="75"/>
        <w:gridCol w:w="230"/>
        <w:gridCol w:w="626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r>
              <w:rPr/>
              <w:t>(i)</w:t>
            </w:r>
          </w:p>
        </w:tc>
        <w:tc>
          <w:tcPr>
            <w:tcW w:w="62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include any prospectus required by section 10(a)(3) of the Securities Act;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II-4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224"/>
        <w:gridCol w:w="9906"/>
      </w:tblGrid>
      <w:tr>
        <w:trPr/>
        <w:tc>
          <w:tcPr>
            <w:tcW w:w="75"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jc w:val="left"/>
              <w:rPr/>
            </w:pPr>
            <w:r>
              <w:rPr/>
              <w:t>(ii)</w:t>
            </w:r>
          </w:p>
        </w:tc>
        <w:tc>
          <w:tcPr>
            <w:tcW w:w="9906"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317"/>
        <w:gridCol w:w="9813"/>
      </w:tblGrid>
      <w:tr>
        <w:trPr/>
        <w:tc>
          <w:tcPr>
            <w:tcW w:w="75"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jc w:val="left"/>
              <w:rPr/>
            </w:pPr>
            <w:r>
              <w:rPr/>
              <w:t>(iii)</w:t>
            </w:r>
          </w:p>
        </w:tc>
        <w:tc>
          <w:tcPr>
            <w:tcW w:w="981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B.</w:t>
            </w:r>
          </w:p>
        </w:tc>
        <w:tc>
          <w:tcPr>
            <w:tcW w:w="99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C.</w:t>
            </w:r>
          </w:p>
        </w:tc>
        <w:tc>
          <w:tcPr>
            <w:tcW w:w="99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jc w:val="left"/>
              <w:rPr/>
            </w:pPr>
            <w:r>
              <w:rPr/>
              <w:t>D.</w:t>
            </w:r>
          </w:p>
        </w:tc>
        <w:tc>
          <w:tcPr>
            <w:tcW w:w="99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E.</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II-5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SIGNATURES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requirements of the Securities Act, the Registrant has duly caused this Registration Statement to be signed on its behalf by the undersigned, thereunto duly authorized, in Cambridge, Massachusetts, on September 10, 2021. </w:t>
      </w:r>
    </w:p>
    <w:p>
      <w:pPr>
        <w:pStyle w:val="TextBody"/>
        <w:spacing w:before="0" w:after="0"/>
        <w:jc w:val="left"/>
        <w:rPr>
          <w:spacing w:val="0"/>
        </w:rPr>
      </w:pPr>
      <w:r>
        <w:rPr>
          <w:spacing w:val="0"/>
        </w:rPr>
        <w:t> </w:t>
      </w:r>
    </w:p>
    <w:tbl>
      <w:tblPr>
        <w:tblW w:w="4360" w:type="dxa"/>
        <w:jc w:val="left"/>
        <w:tblInd w:w="0" w:type="dxa"/>
        <w:tblCellMar>
          <w:top w:w="0" w:type="dxa"/>
          <w:left w:w="0" w:type="dxa"/>
          <w:bottom w:w="0" w:type="dxa"/>
          <w:right w:w="0" w:type="dxa"/>
        </w:tblCellMar>
      </w:tblPr>
      <w:tblGrid>
        <w:gridCol w:w="665"/>
        <w:gridCol w:w="60"/>
        <w:gridCol w:w="3635"/>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35" w:type="dxa"/>
            <w:tcBorders/>
            <w:shd w:fill="auto" w:val="clear"/>
            <w:vAlign w:val="center"/>
          </w:tcPr>
          <w:p>
            <w:pPr>
              <w:pStyle w:val="TableContents"/>
              <w:spacing w:before="0" w:after="283"/>
              <w:rPr>
                <w:sz w:val="4"/>
                <w:szCs w:val="4"/>
              </w:rPr>
            </w:pPr>
            <w:r>
              <w:rPr>
                <w:sz w:val="4"/>
                <w:szCs w:val="4"/>
              </w:rPr>
            </w:r>
          </w:p>
        </w:tc>
      </w:tr>
      <w:tr>
        <w:trPr/>
        <w:tc>
          <w:tcPr>
            <w:tcW w:w="4360" w:type="dxa"/>
            <w:gridSpan w:val="3"/>
            <w:tcBorders/>
            <w:shd w:fill="auto" w:val="clear"/>
            <w:vAlign w:val="center"/>
          </w:tcPr>
          <w:p>
            <w:pPr>
              <w:pStyle w:val="TableContents"/>
              <w:spacing w:before="0" w:after="283"/>
              <w:rPr/>
            </w:pPr>
            <w:r>
              <w:rPr/>
              <w:t>TANGO THERAPEUTICS, INC.</w:t>
            </w:r>
          </w:p>
        </w:tc>
      </w:tr>
      <w:tr>
        <w:trPr/>
        <w:tc>
          <w:tcPr>
            <w:tcW w:w="665" w:type="dxa"/>
            <w:tcBorders/>
            <w:shd w:fill="auto" w:val="clear"/>
            <w:vAlign w:val="center"/>
          </w:tcPr>
          <w:p>
            <w:pPr>
              <w:pStyle w:val="TableContents"/>
              <w:spacing w:before="0" w:after="283"/>
              <w:rPr/>
            </w:pPr>
            <w:r>
              <w:rPr/>
              <w:t> </w:t>
            </w:r>
          </w:p>
        </w:tc>
        <w:tc>
          <w:tcPr>
            <w:tcW w:w="3695" w:type="dxa"/>
            <w:gridSpan w:val="2"/>
            <w:tcBorders/>
            <w:shd w:fill="auto" w:val="clear"/>
            <w:vAlign w:val="center"/>
          </w:tcPr>
          <w:p>
            <w:pPr>
              <w:pStyle w:val="TableContents"/>
              <w:spacing w:before="0" w:after="283"/>
              <w:rPr/>
            </w:pPr>
            <w:r>
              <w:rPr/>
              <w:t> </w:t>
            </w:r>
          </w:p>
        </w:tc>
      </w:tr>
      <w:tr>
        <w:trPr/>
        <w:tc>
          <w:tcPr>
            <w:tcW w:w="6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/s/ Barbara Weber</w:t>
            </w:r>
          </w:p>
        </w:tc>
      </w:tr>
      <w:tr>
        <w:trPr/>
        <w:tc>
          <w:tcPr>
            <w:tcW w:w="665"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Barbara Weber</w:t>
            </w:r>
          </w:p>
        </w:tc>
      </w:tr>
      <w:tr>
        <w:trPr/>
        <w:tc>
          <w:tcPr>
            <w:tcW w:w="665"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480" w:after="0"/>
        <w:jc w:val="center"/>
        <w:rPr>
          <w:rFonts w:ascii="Times New Roman" w:hAnsi="Times New Roman"/>
          <w:b/>
          <w:spacing w:val="0"/>
          <w:sz w:val="20"/>
        </w:rPr>
      </w:pPr>
      <w:r>
        <w:rPr>
          <w:rFonts w:ascii="Times New Roman" w:hAnsi="Times New Roman"/>
          <w:b/>
          <w:spacing w:val="0"/>
          <w:sz w:val="20"/>
        </w:rPr>
        <w:t xml:space="preserve">POWER OF ATTORNEY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Each person whose signature appears below constitutes and appoints each of Barbara Weber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requirements of the Securities Act, this Registration Statement has been signed by the following persons in the capacities and on the dated indicated.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430"/>
        <w:gridCol w:w="120"/>
        <w:gridCol w:w="6973"/>
        <w:gridCol w:w="60"/>
        <w:gridCol w:w="1622"/>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Signature</w:t>
            </w:r>
          </w:p>
        </w:tc>
        <w:tc>
          <w:tcPr>
            <w:tcW w:w="120" w:type="dxa"/>
            <w:tcBorders/>
            <w:shd w:fill="auto" w:val="clear"/>
            <w:vAlign w:val="center"/>
          </w:tcPr>
          <w:p>
            <w:pPr>
              <w:pStyle w:val="TableContents"/>
              <w:spacing w:before="0" w:after="283"/>
              <w:rPr/>
            </w:pPr>
            <w:r>
              <w:rPr/>
              <w:t>  </w:t>
            </w:r>
          </w:p>
        </w:tc>
        <w:tc>
          <w:tcPr>
            <w:tcW w:w="6973"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Title</w:t>
            </w:r>
          </w:p>
        </w:tc>
        <w:tc>
          <w:tcPr>
            <w:tcW w:w="60" w:type="dxa"/>
            <w:tcBorders/>
            <w:shd w:fill="auto" w:val="clear"/>
            <w:vAlign w:val="center"/>
          </w:tcPr>
          <w:p>
            <w:pPr>
              <w:pStyle w:val="TableContents"/>
              <w:spacing w:before="0" w:after="283"/>
              <w:rPr/>
            </w:pPr>
            <w:r>
              <w:rPr/>
              <w:t> </w:t>
            </w:r>
          </w:p>
        </w:tc>
        <w:tc>
          <w:tcPr>
            <w:tcW w:w="1622"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Date</w:t>
            </w:r>
          </w:p>
        </w:tc>
      </w:tr>
      <w:tr>
        <w:trPr/>
        <w:tc>
          <w:tcPr>
            <w:tcW w:w="1430" w:type="dxa"/>
            <w:tcBorders/>
            <w:shd w:fill="auto" w:val="clear"/>
            <w:vAlign w:val="center"/>
          </w:tcPr>
          <w:p>
            <w:pPr>
              <w:pStyle w:val="TableContents"/>
              <w:spacing w:before="0" w:after="283"/>
              <w:rPr/>
            </w:pPr>
            <w:r>
              <w:rPr/>
              <w:t> </w:t>
            </w:r>
          </w:p>
        </w:tc>
        <w:tc>
          <w:tcPr>
            <w:tcW w:w="7093" w:type="dxa"/>
            <w:gridSpan w:val="2"/>
            <w:tcBorders/>
            <w:shd w:fill="auto" w:val="clear"/>
            <w:vAlign w:val="center"/>
          </w:tcPr>
          <w:p>
            <w:pPr>
              <w:pStyle w:val="TableContents"/>
              <w:spacing w:before="0" w:after="283"/>
              <w:rPr/>
            </w:pPr>
            <w:r>
              <w:rPr/>
              <w:t> </w:t>
            </w:r>
          </w:p>
        </w:tc>
        <w:tc>
          <w:tcPr>
            <w:tcW w:w="1682" w:type="dxa"/>
            <w:gridSpan w:val="2"/>
            <w:tcBorders/>
            <w:shd w:fill="auto" w:val="clear"/>
            <w:vAlign w:val="center"/>
          </w:tcPr>
          <w:p>
            <w:pPr>
              <w:pStyle w:val="TableContents"/>
              <w:spacing w:before="0" w:after="283"/>
              <w:ind w:left="0" w:right="0" w:hanging="0"/>
              <w:rPr/>
            </w:pPr>
            <w:r>
              <w:rPr/>
              <w:t> </w:t>
            </w:r>
          </w:p>
        </w:tc>
      </w:tr>
      <w:tr>
        <w:trPr/>
        <w:tc>
          <w:tcPr>
            <w:tcW w:w="14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Barbara Weber</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Barbara Weber</w:t>
            </w:r>
          </w:p>
        </w:tc>
        <w:tc>
          <w:tcPr>
            <w:tcW w:w="120" w:type="dxa"/>
            <w:tcBorders/>
            <w:shd w:fill="auto" w:val="clear"/>
            <w:vAlign w:val="center"/>
          </w:tcPr>
          <w:p>
            <w:pPr>
              <w:pStyle w:val="TableContents"/>
              <w:spacing w:before="0" w:after="283"/>
              <w:ind w:left="0" w:right="0" w:hanging="0"/>
              <w:rPr/>
            </w:pPr>
            <w:r>
              <w:rPr/>
              <w:t>  </w:t>
            </w:r>
          </w:p>
        </w:tc>
        <w:tc>
          <w:tcPr>
            <w:tcW w:w="6973" w:type="dxa"/>
            <w:tcBorders/>
            <w:shd w:fill="auto" w:val="clear"/>
            <w:vAlign w:val="center"/>
          </w:tcPr>
          <w:p>
            <w:pPr>
              <w:pStyle w:val="TableContents"/>
              <w:spacing w:before="0" w:after="283"/>
              <w:ind w:left="0" w:right="0" w:hanging="0"/>
              <w:jc w:val="center"/>
              <w:rPr/>
            </w:pPr>
            <w:r>
              <w:rPr/>
              <w:t>Director, President and Chief Executive Officer (Principal Executive Officer)</w:t>
            </w:r>
          </w:p>
        </w:tc>
        <w:tc>
          <w:tcPr>
            <w:tcW w:w="60" w:type="dxa"/>
            <w:tcBorders/>
            <w:shd w:fill="auto" w:val="clear"/>
            <w:vAlign w:val="center"/>
          </w:tcPr>
          <w:p>
            <w:pPr>
              <w:pStyle w:val="TableContents"/>
              <w:spacing w:before="0" w:after="283"/>
              <w:ind w:left="0" w:right="0" w:hanging="0"/>
              <w:rPr/>
            </w:pPr>
            <w:r>
              <w:rPr/>
              <w:t> </w:t>
            </w:r>
          </w:p>
        </w:tc>
        <w:tc>
          <w:tcPr>
            <w:tcW w:w="1622" w:type="dxa"/>
            <w:tcBorders/>
            <w:shd w:fill="auto" w:val="clear"/>
            <w:vAlign w:val="center"/>
          </w:tcPr>
          <w:p>
            <w:pPr>
              <w:pStyle w:val="TableContents"/>
              <w:spacing w:before="0" w:after="283"/>
              <w:jc w:val="center"/>
              <w:rPr/>
            </w:pPr>
            <w:r>
              <w:rPr/>
              <w:t>September 10, 2021</w:t>
            </w:r>
          </w:p>
        </w:tc>
      </w:tr>
      <w:tr>
        <w:trPr/>
        <w:tc>
          <w:tcPr>
            <w:tcW w:w="1430" w:type="dxa"/>
            <w:tcBorders/>
            <w:shd w:fill="auto" w:val="clear"/>
            <w:vAlign w:val="center"/>
          </w:tcPr>
          <w:p>
            <w:pPr>
              <w:pStyle w:val="TableContents"/>
              <w:spacing w:before="0" w:after="283"/>
              <w:rPr/>
            </w:pPr>
            <w:r>
              <w:rPr/>
              <w:t> </w:t>
            </w:r>
          </w:p>
        </w:tc>
        <w:tc>
          <w:tcPr>
            <w:tcW w:w="7093" w:type="dxa"/>
            <w:gridSpan w:val="2"/>
            <w:tcBorders/>
            <w:shd w:fill="auto" w:val="clear"/>
            <w:vAlign w:val="center"/>
          </w:tcPr>
          <w:p>
            <w:pPr>
              <w:pStyle w:val="TableContents"/>
              <w:spacing w:before="0" w:after="283"/>
              <w:rPr/>
            </w:pPr>
            <w:r>
              <w:rPr/>
              <w:t> </w:t>
            </w:r>
          </w:p>
        </w:tc>
        <w:tc>
          <w:tcPr>
            <w:tcW w:w="1682" w:type="dxa"/>
            <w:gridSpan w:val="2"/>
            <w:tcBorders/>
            <w:shd w:fill="auto" w:val="clear"/>
            <w:vAlign w:val="center"/>
          </w:tcPr>
          <w:p>
            <w:pPr>
              <w:pStyle w:val="TableContents"/>
              <w:spacing w:before="0" w:after="283"/>
              <w:ind w:left="0" w:right="0" w:hanging="0"/>
              <w:rPr/>
            </w:pPr>
            <w:r>
              <w:rPr/>
              <w:t> </w:t>
            </w:r>
          </w:p>
        </w:tc>
      </w:tr>
      <w:tr>
        <w:trPr/>
        <w:tc>
          <w:tcPr>
            <w:tcW w:w="14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Daniella Beckman</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Daniella Beckman</w:t>
            </w:r>
          </w:p>
        </w:tc>
        <w:tc>
          <w:tcPr>
            <w:tcW w:w="120" w:type="dxa"/>
            <w:tcBorders/>
            <w:shd w:fill="auto" w:val="clear"/>
            <w:vAlign w:val="center"/>
          </w:tcPr>
          <w:p>
            <w:pPr>
              <w:pStyle w:val="TableContents"/>
              <w:spacing w:before="0" w:after="283"/>
              <w:ind w:left="0" w:right="0" w:hanging="0"/>
              <w:rPr/>
            </w:pPr>
            <w:r>
              <w:rPr/>
              <w:t>  </w:t>
            </w:r>
          </w:p>
        </w:tc>
        <w:tc>
          <w:tcPr>
            <w:tcW w:w="6973" w:type="dxa"/>
            <w:tcBorders/>
            <w:shd w:fill="auto" w:val="clear"/>
            <w:vAlign w:val="center"/>
          </w:tcPr>
          <w:p>
            <w:pPr>
              <w:pStyle w:val="TableContents"/>
              <w:spacing w:before="0" w:after="283"/>
              <w:ind w:left="0" w:right="0" w:hanging="0"/>
              <w:jc w:val="center"/>
              <w:rPr/>
            </w:pPr>
            <w:r>
              <w:rPr/>
              <w:t>Chief Financial Officer (Principal Financial Officer and Principal Accounting Officer)</w:t>
            </w:r>
          </w:p>
        </w:tc>
        <w:tc>
          <w:tcPr>
            <w:tcW w:w="60" w:type="dxa"/>
            <w:tcBorders/>
            <w:shd w:fill="auto" w:val="clear"/>
            <w:vAlign w:val="center"/>
          </w:tcPr>
          <w:p>
            <w:pPr>
              <w:pStyle w:val="TableContents"/>
              <w:spacing w:before="0" w:after="283"/>
              <w:ind w:left="0" w:right="0" w:hanging="0"/>
              <w:rPr/>
            </w:pPr>
            <w:r>
              <w:rPr/>
              <w:t> </w:t>
            </w:r>
          </w:p>
        </w:tc>
        <w:tc>
          <w:tcPr>
            <w:tcW w:w="1622" w:type="dxa"/>
            <w:tcBorders/>
            <w:shd w:fill="auto" w:val="clear"/>
            <w:vAlign w:val="center"/>
          </w:tcPr>
          <w:p>
            <w:pPr>
              <w:pStyle w:val="TableContents"/>
              <w:spacing w:before="0" w:after="283"/>
              <w:jc w:val="center"/>
              <w:rPr/>
            </w:pPr>
            <w:r>
              <w:rPr/>
              <w:t>September 10, 2021</w:t>
            </w:r>
          </w:p>
        </w:tc>
      </w:tr>
      <w:tr>
        <w:trPr/>
        <w:tc>
          <w:tcPr>
            <w:tcW w:w="1430" w:type="dxa"/>
            <w:tcBorders/>
            <w:shd w:fill="auto" w:val="clear"/>
            <w:vAlign w:val="center"/>
          </w:tcPr>
          <w:p>
            <w:pPr>
              <w:pStyle w:val="TableContents"/>
              <w:spacing w:before="0" w:after="283"/>
              <w:rPr/>
            </w:pPr>
            <w:r>
              <w:rPr/>
              <w:t> </w:t>
            </w:r>
          </w:p>
        </w:tc>
        <w:tc>
          <w:tcPr>
            <w:tcW w:w="7093" w:type="dxa"/>
            <w:gridSpan w:val="2"/>
            <w:tcBorders/>
            <w:shd w:fill="auto" w:val="clear"/>
            <w:vAlign w:val="center"/>
          </w:tcPr>
          <w:p>
            <w:pPr>
              <w:pStyle w:val="TableContents"/>
              <w:spacing w:before="0" w:after="283"/>
              <w:rPr/>
            </w:pPr>
            <w:r>
              <w:rPr/>
              <w:t> </w:t>
            </w:r>
          </w:p>
        </w:tc>
        <w:tc>
          <w:tcPr>
            <w:tcW w:w="1682" w:type="dxa"/>
            <w:gridSpan w:val="2"/>
            <w:tcBorders/>
            <w:shd w:fill="auto" w:val="clear"/>
            <w:vAlign w:val="center"/>
          </w:tcPr>
          <w:p>
            <w:pPr>
              <w:pStyle w:val="TableContents"/>
              <w:spacing w:before="0" w:after="283"/>
              <w:ind w:left="0" w:right="0" w:hanging="0"/>
              <w:rPr/>
            </w:pPr>
            <w:r>
              <w:rPr/>
              <w:t> </w:t>
            </w:r>
          </w:p>
        </w:tc>
      </w:tr>
      <w:tr>
        <w:trPr/>
        <w:tc>
          <w:tcPr>
            <w:tcW w:w="14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Alexis Borisy</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Alexis Borisy</w:t>
            </w:r>
          </w:p>
        </w:tc>
        <w:tc>
          <w:tcPr>
            <w:tcW w:w="120" w:type="dxa"/>
            <w:tcBorders/>
            <w:shd w:fill="auto" w:val="clear"/>
            <w:vAlign w:val="center"/>
          </w:tcPr>
          <w:p>
            <w:pPr>
              <w:pStyle w:val="TableContents"/>
              <w:spacing w:before="0" w:after="283"/>
              <w:ind w:left="0" w:right="0" w:hanging="0"/>
              <w:rPr/>
            </w:pPr>
            <w:r>
              <w:rPr/>
              <w:t>  </w:t>
            </w:r>
          </w:p>
        </w:tc>
        <w:tc>
          <w:tcPr>
            <w:tcW w:w="6973" w:type="dxa"/>
            <w:tcBorders/>
            <w:shd w:fill="auto" w:val="clear"/>
            <w:vAlign w:val="center"/>
          </w:tcPr>
          <w:p>
            <w:pPr>
              <w:pStyle w:val="TableContents"/>
              <w:spacing w:before="0" w:after="283"/>
              <w:ind w:left="0" w:right="0" w:hanging="0"/>
              <w:jc w:val="center"/>
              <w:rPr/>
            </w:pPr>
            <w:r>
              <w:rPr/>
              <w:t>Director</w:t>
            </w:r>
          </w:p>
        </w:tc>
        <w:tc>
          <w:tcPr>
            <w:tcW w:w="60" w:type="dxa"/>
            <w:tcBorders/>
            <w:shd w:fill="auto" w:val="clear"/>
            <w:vAlign w:val="center"/>
          </w:tcPr>
          <w:p>
            <w:pPr>
              <w:pStyle w:val="TableContents"/>
              <w:spacing w:before="0" w:after="283"/>
              <w:ind w:left="0" w:right="0" w:hanging="0"/>
              <w:rPr/>
            </w:pPr>
            <w:r>
              <w:rPr/>
              <w:t> </w:t>
            </w:r>
          </w:p>
        </w:tc>
        <w:tc>
          <w:tcPr>
            <w:tcW w:w="1622" w:type="dxa"/>
            <w:tcBorders/>
            <w:shd w:fill="auto" w:val="clear"/>
            <w:vAlign w:val="center"/>
          </w:tcPr>
          <w:p>
            <w:pPr>
              <w:pStyle w:val="TableContents"/>
              <w:spacing w:before="0" w:after="283"/>
              <w:jc w:val="center"/>
              <w:rPr/>
            </w:pPr>
            <w:r>
              <w:rPr/>
              <w:t>September 10, 2021</w:t>
            </w:r>
          </w:p>
        </w:tc>
      </w:tr>
      <w:tr>
        <w:trPr/>
        <w:tc>
          <w:tcPr>
            <w:tcW w:w="1430" w:type="dxa"/>
            <w:tcBorders/>
            <w:shd w:fill="auto" w:val="clear"/>
            <w:vAlign w:val="center"/>
          </w:tcPr>
          <w:p>
            <w:pPr>
              <w:pStyle w:val="TableContents"/>
              <w:spacing w:before="0" w:after="283"/>
              <w:rPr/>
            </w:pPr>
            <w:r>
              <w:rPr/>
              <w:t> </w:t>
            </w:r>
          </w:p>
        </w:tc>
        <w:tc>
          <w:tcPr>
            <w:tcW w:w="7093" w:type="dxa"/>
            <w:gridSpan w:val="2"/>
            <w:tcBorders/>
            <w:shd w:fill="auto" w:val="clear"/>
            <w:vAlign w:val="center"/>
          </w:tcPr>
          <w:p>
            <w:pPr>
              <w:pStyle w:val="TableContents"/>
              <w:spacing w:before="0" w:after="283"/>
              <w:rPr/>
            </w:pPr>
            <w:r>
              <w:rPr/>
              <w:t> </w:t>
            </w:r>
          </w:p>
        </w:tc>
        <w:tc>
          <w:tcPr>
            <w:tcW w:w="1682" w:type="dxa"/>
            <w:gridSpan w:val="2"/>
            <w:tcBorders/>
            <w:shd w:fill="auto" w:val="clear"/>
            <w:vAlign w:val="center"/>
          </w:tcPr>
          <w:p>
            <w:pPr>
              <w:pStyle w:val="TableContents"/>
              <w:spacing w:before="0" w:after="283"/>
              <w:ind w:left="0" w:right="0" w:hanging="0"/>
              <w:rPr/>
            </w:pPr>
            <w:r>
              <w:rPr/>
              <w:t> </w:t>
            </w:r>
          </w:p>
        </w:tc>
      </w:tr>
      <w:tr>
        <w:trPr/>
        <w:tc>
          <w:tcPr>
            <w:tcW w:w="14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Lesley Calhoun</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Lesley Calhoun</w:t>
            </w:r>
          </w:p>
        </w:tc>
        <w:tc>
          <w:tcPr>
            <w:tcW w:w="120" w:type="dxa"/>
            <w:tcBorders/>
            <w:shd w:fill="auto" w:val="clear"/>
            <w:vAlign w:val="center"/>
          </w:tcPr>
          <w:p>
            <w:pPr>
              <w:pStyle w:val="TableContents"/>
              <w:spacing w:before="0" w:after="283"/>
              <w:ind w:left="0" w:right="0" w:hanging="0"/>
              <w:rPr/>
            </w:pPr>
            <w:r>
              <w:rPr/>
              <w:t>  </w:t>
            </w:r>
          </w:p>
        </w:tc>
        <w:tc>
          <w:tcPr>
            <w:tcW w:w="6973" w:type="dxa"/>
            <w:tcBorders/>
            <w:shd w:fill="auto" w:val="clear"/>
            <w:vAlign w:val="center"/>
          </w:tcPr>
          <w:p>
            <w:pPr>
              <w:pStyle w:val="TableContents"/>
              <w:spacing w:before="0" w:after="283"/>
              <w:ind w:left="0" w:right="0" w:hanging="0"/>
              <w:jc w:val="center"/>
              <w:rPr/>
            </w:pPr>
            <w:r>
              <w:rPr/>
              <w:t>Director</w:t>
            </w:r>
          </w:p>
        </w:tc>
        <w:tc>
          <w:tcPr>
            <w:tcW w:w="60" w:type="dxa"/>
            <w:tcBorders/>
            <w:shd w:fill="auto" w:val="clear"/>
            <w:vAlign w:val="center"/>
          </w:tcPr>
          <w:p>
            <w:pPr>
              <w:pStyle w:val="TableContents"/>
              <w:spacing w:before="0" w:after="283"/>
              <w:ind w:left="0" w:right="0" w:hanging="0"/>
              <w:rPr/>
            </w:pPr>
            <w:r>
              <w:rPr/>
              <w:t> </w:t>
            </w:r>
          </w:p>
        </w:tc>
        <w:tc>
          <w:tcPr>
            <w:tcW w:w="1622" w:type="dxa"/>
            <w:tcBorders/>
            <w:shd w:fill="auto" w:val="clear"/>
            <w:vAlign w:val="center"/>
          </w:tcPr>
          <w:p>
            <w:pPr>
              <w:pStyle w:val="TableContents"/>
              <w:spacing w:before="0" w:after="283"/>
              <w:jc w:val="center"/>
              <w:rPr/>
            </w:pPr>
            <w:r>
              <w:rPr/>
              <w:t>September 10, 2021</w:t>
            </w:r>
          </w:p>
        </w:tc>
      </w:tr>
      <w:tr>
        <w:trPr/>
        <w:tc>
          <w:tcPr>
            <w:tcW w:w="1430" w:type="dxa"/>
            <w:tcBorders/>
            <w:shd w:fill="auto" w:val="clear"/>
            <w:vAlign w:val="center"/>
          </w:tcPr>
          <w:p>
            <w:pPr>
              <w:pStyle w:val="TableContents"/>
              <w:spacing w:before="0" w:after="283"/>
              <w:rPr/>
            </w:pPr>
            <w:r>
              <w:rPr/>
              <w:t> </w:t>
            </w:r>
          </w:p>
        </w:tc>
        <w:tc>
          <w:tcPr>
            <w:tcW w:w="7093" w:type="dxa"/>
            <w:gridSpan w:val="2"/>
            <w:tcBorders/>
            <w:shd w:fill="auto" w:val="clear"/>
            <w:vAlign w:val="center"/>
          </w:tcPr>
          <w:p>
            <w:pPr>
              <w:pStyle w:val="TableContents"/>
              <w:spacing w:before="0" w:after="283"/>
              <w:rPr/>
            </w:pPr>
            <w:r>
              <w:rPr/>
              <w:t> </w:t>
            </w:r>
          </w:p>
        </w:tc>
        <w:tc>
          <w:tcPr>
            <w:tcW w:w="1682" w:type="dxa"/>
            <w:gridSpan w:val="2"/>
            <w:tcBorders/>
            <w:shd w:fill="auto" w:val="clear"/>
            <w:vAlign w:val="center"/>
          </w:tcPr>
          <w:p>
            <w:pPr>
              <w:pStyle w:val="TableContents"/>
              <w:spacing w:before="0" w:after="283"/>
              <w:ind w:left="0" w:right="0" w:hanging="0"/>
              <w:rPr/>
            </w:pPr>
            <w:r>
              <w:rPr/>
              <w:t> </w:t>
            </w:r>
          </w:p>
        </w:tc>
      </w:tr>
      <w:tr>
        <w:trPr/>
        <w:tc>
          <w:tcPr>
            <w:tcW w:w="14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Aaron Davis</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Aaron Davis</w:t>
            </w:r>
          </w:p>
        </w:tc>
        <w:tc>
          <w:tcPr>
            <w:tcW w:w="120" w:type="dxa"/>
            <w:tcBorders/>
            <w:shd w:fill="auto" w:val="clear"/>
            <w:vAlign w:val="center"/>
          </w:tcPr>
          <w:p>
            <w:pPr>
              <w:pStyle w:val="TableContents"/>
              <w:spacing w:before="0" w:after="283"/>
              <w:ind w:left="0" w:right="0" w:hanging="0"/>
              <w:rPr/>
            </w:pPr>
            <w:r>
              <w:rPr/>
              <w:t>  </w:t>
            </w:r>
          </w:p>
        </w:tc>
        <w:tc>
          <w:tcPr>
            <w:tcW w:w="6973" w:type="dxa"/>
            <w:tcBorders/>
            <w:shd w:fill="auto" w:val="clear"/>
            <w:vAlign w:val="center"/>
          </w:tcPr>
          <w:p>
            <w:pPr>
              <w:pStyle w:val="TableContents"/>
              <w:spacing w:before="0" w:after="283"/>
              <w:ind w:left="0" w:right="0" w:hanging="0"/>
              <w:jc w:val="center"/>
              <w:rPr/>
            </w:pPr>
            <w:r>
              <w:rPr/>
              <w:t>Director</w:t>
            </w:r>
          </w:p>
        </w:tc>
        <w:tc>
          <w:tcPr>
            <w:tcW w:w="60" w:type="dxa"/>
            <w:tcBorders/>
            <w:shd w:fill="auto" w:val="clear"/>
            <w:vAlign w:val="center"/>
          </w:tcPr>
          <w:p>
            <w:pPr>
              <w:pStyle w:val="TableContents"/>
              <w:spacing w:before="0" w:after="283"/>
              <w:ind w:left="0" w:right="0" w:hanging="0"/>
              <w:rPr/>
            </w:pPr>
            <w:r>
              <w:rPr/>
              <w:t> </w:t>
            </w:r>
          </w:p>
        </w:tc>
        <w:tc>
          <w:tcPr>
            <w:tcW w:w="1622" w:type="dxa"/>
            <w:tcBorders/>
            <w:shd w:fill="auto" w:val="clear"/>
            <w:vAlign w:val="center"/>
          </w:tcPr>
          <w:p>
            <w:pPr>
              <w:pStyle w:val="TableContents"/>
              <w:spacing w:before="0" w:after="283"/>
              <w:jc w:val="center"/>
              <w:rPr/>
            </w:pPr>
            <w:r>
              <w:rPr/>
              <w:t>September 10, 2021</w:t>
            </w:r>
          </w:p>
        </w:tc>
      </w:tr>
      <w:tr>
        <w:trPr/>
        <w:tc>
          <w:tcPr>
            <w:tcW w:w="1430" w:type="dxa"/>
            <w:tcBorders/>
            <w:shd w:fill="auto" w:val="clear"/>
            <w:vAlign w:val="center"/>
          </w:tcPr>
          <w:p>
            <w:pPr>
              <w:pStyle w:val="TableContents"/>
              <w:spacing w:before="0" w:after="283"/>
              <w:rPr/>
            </w:pPr>
            <w:r>
              <w:rPr/>
              <w:t> </w:t>
            </w:r>
          </w:p>
        </w:tc>
        <w:tc>
          <w:tcPr>
            <w:tcW w:w="7093" w:type="dxa"/>
            <w:gridSpan w:val="2"/>
            <w:tcBorders/>
            <w:shd w:fill="auto" w:val="clear"/>
            <w:vAlign w:val="center"/>
          </w:tcPr>
          <w:p>
            <w:pPr>
              <w:pStyle w:val="TableContents"/>
              <w:spacing w:before="0" w:after="283"/>
              <w:rPr/>
            </w:pPr>
            <w:r>
              <w:rPr/>
              <w:t> </w:t>
            </w:r>
          </w:p>
        </w:tc>
        <w:tc>
          <w:tcPr>
            <w:tcW w:w="1682" w:type="dxa"/>
            <w:gridSpan w:val="2"/>
            <w:tcBorders/>
            <w:shd w:fill="auto" w:val="clear"/>
            <w:vAlign w:val="center"/>
          </w:tcPr>
          <w:p>
            <w:pPr>
              <w:pStyle w:val="TableContents"/>
              <w:spacing w:before="0" w:after="283"/>
              <w:ind w:left="0" w:right="0" w:hanging="0"/>
              <w:rPr/>
            </w:pPr>
            <w:r>
              <w:rPr/>
              <w:t> </w:t>
            </w:r>
          </w:p>
        </w:tc>
      </w:tr>
      <w:tr>
        <w:trPr/>
        <w:tc>
          <w:tcPr>
            <w:tcW w:w="14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Reid Huber</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Reid Huber</w:t>
            </w:r>
          </w:p>
        </w:tc>
        <w:tc>
          <w:tcPr>
            <w:tcW w:w="120" w:type="dxa"/>
            <w:tcBorders/>
            <w:shd w:fill="auto" w:val="clear"/>
            <w:vAlign w:val="center"/>
          </w:tcPr>
          <w:p>
            <w:pPr>
              <w:pStyle w:val="TableContents"/>
              <w:spacing w:before="0" w:after="283"/>
              <w:ind w:left="0" w:right="0" w:hanging="0"/>
              <w:rPr/>
            </w:pPr>
            <w:r>
              <w:rPr/>
              <w:t>  </w:t>
            </w:r>
          </w:p>
        </w:tc>
        <w:tc>
          <w:tcPr>
            <w:tcW w:w="6973" w:type="dxa"/>
            <w:tcBorders/>
            <w:shd w:fill="auto" w:val="clear"/>
            <w:vAlign w:val="center"/>
          </w:tcPr>
          <w:p>
            <w:pPr>
              <w:pStyle w:val="TableContents"/>
              <w:spacing w:before="0" w:after="283"/>
              <w:ind w:left="0" w:right="0" w:hanging="0"/>
              <w:jc w:val="center"/>
              <w:rPr/>
            </w:pPr>
            <w:r>
              <w:rPr/>
              <w:t>Director</w:t>
            </w:r>
          </w:p>
        </w:tc>
        <w:tc>
          <w:tcPr>
            <w:tcW w:w="60" w:type="dxa"/>
            <w:tcBorders/>
            <w:shd w:fill="auto" w:val="clear"/>
            <w:vAlign w:val="center"/>
          </w:tcPr>
          <w:p>
            <w:pPr>
              <w:pStyle w:val="TableContents"/>
              <w:spacing w:before="0" w:after="283"/>
              <w:ind w:left="0" w:right="0" w:hanging="0"/>
              <w:rPr/>
            </w:pPr>
            <w:r>
              <w:rPr/>
              <w:t> </w:t>
            </w:r>
          </w:p>
        </w:tc>
        <w:tc>
          <w:tcPr>
            <w:tcW w:w="1622" w:type="dxa"/>
            <w:tcBorders/>
            <w:shd w:fill="auto" w:val="clear"/>
            <w:vAlign w:val="center"/>
          </w:tcPr>
          <w:p>
            <w:pPr>
              <w:pStyle w:val="TableContents"/>
              <w:spacing w:before="0" w:after="283"/>
              <w:jc w:val="center"/>
              <w:rPr/>
            </w:pPr>
            <w:r>
              <w:rPr/>
              <w:t>September 10, 2021</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II-6 </w:t>
      </w:r>
    </w:p>
    <w:p>
      <w:pPr>
        <w:pStyle w:val="HorizontalLine"/>
        <w:rPr/>
      </w:pPr>
      <w:r>
        <w:rPr/>
      </w:r>
    </w:p>
    <w:p>
      <w:pPr>
        <w:pStyle w:val="TextBody"/>
        <w:spacing w:before="0" w:after="0"/>
        <w:rPr/>
      </w:pPr>
      <w:hyperlink w:anchor="toc">
        <w:r>
          <w:rPr>
            <w:rStyle w:val="InternetLink"/>
            <w:b/>
            <w:sz w:val="20"/>
          </w:rPr>
          <w:t>Table of Contents</w:t>
        </w:r>
      </w:hyperlink>
    </w:p>
    <w:tbl>
      <w:tblPr>
        <w:tblW w:w="4650" w:type="dxa"/>
        <w:jc w:val="left"/>
        <w:tblInd w:w="0" w:type="dxa"/>
        <w:tblCellMar>
          <w:top w:w="0" w:type="dxa"/>
          <w:left w:w="0" w:type="dxa"/>
          <w:bottom w:w="0" w:type="dxa"/>
          <w:right w:w="0" w:type="dxa"/>
        </w:tblCellMar>
      </w:tblPr>
      <w:tblGrid>
        <w:gridCol w:w="1730"/>
        <w:gridCol w:w="120"/>
        <w:gridCol w:w="800"/>
        <w:gridCol w:w="60"/>
        <w:gridCol w:w="1940"/>
      </w:tblGrid>
      <w:tr>
        <w:trPr/>
        <w:tc>
          <w:tcPr>
            <w:tcW w:w="1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Signature</w:t>
            </w:r>
          </w:p>
        </w:tc>
        <w:tc>
          <w:tcPr>
            <w:tcW w:w="12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Title</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Date</w:t>
            </w:r>
          </w:p>
        </w:tc>
      </w:tr>
      <w:tr>
        <w:trPr/>
        <w:tc>
          <w:tcPr>
            <w:tcW w:w="173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283"/>
              <w:rPr/>
            </w:pPr>
            <w:r>
              <w:rPr/>
              <w:t> </w:t>
            </w:r>
          </w:p>
        </w:tc>
        <w:tc>
          <w:tcPr>
            <w:tcW w:w="2000" w:type="dxa"/>
            <w:gridSpan w:val="2"/>
            <w:tcBorders/>
            <w:shd w:fill="auto" w:val="clear"/>
            <w:vAlign w:val="center"/>
          </w:tcPr>
          <w:p>
            <w:pPr>
              <w:pStyle w:val="TableContents"/>
              <w:spacing w:before="0" w:after="283"/>
              <w:ind w:left="0" w:right="0" w:hanging="0"/>
              <w:rPr/>
            </w:pPr>
            <w:r>
              <w:rPr/>
              <w:t> </w:t>
            </w:r>
          </w:p>
        </w:tc>
      </w:tr>
      <w:tr>
        <w:trPr/>
        <w:tc>
          <w:tcPr>
            <w:tcW w:w="17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Malte Peters</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Malte Peters</w:t>
            </w:r>
          </w:p>
        </w:tc>
        <w:tc>
          <w:tcPr>
            <w:tcW w:w="120" w:type="dxa"/>
            <w:tcBorders/>
            <w:shd w:fill="auto" w:val="clear"/>
            <w:vAlign w:val="center"/>
          </w:tcPr>
          <w:p>
            <w:pPr>
              <w:pStyle w:val="TableContents"/>
              <w:spacing w:before="0" w:after="283"/>
              <w:ind w:left="0" w:right="0" w:hanging="0"/>
              <w:rPr/>
            </w:pPr>
            <w:r>
              <w:rPr/>
              <w:t>  </w:t>
            </w:r>
          </w:p>
        </w:tc>
        <w:tc>
          <w:tcPr>
            <w:tcW w:w="800" w:type="dxa"/>
            <w:tcBorders/>
            <w:shd w:fill="auto" w:val="clear"/>
            <w:vAlign w:val="center"/>
          </w:tcPr>
          <w:p>
            <w:pPr>
              <w:pStyle w:val="TableContents"/>
              <w:spacing w:before="0" w:after="283"/>
              <w:ind w:left="0" w:right="0" w:hanging="0"/>
              <w:jc w:val="center"/>
              <w:rPr/>
            </w:pPr>
            <w:r>
              <w:rPr/>
              <w:t>Director</w:t>
            </w:r>
          </w:p>
        </w:tc>
        <w:tc>
          <w:tcPr>
            <w:tcW w:w="60" w:type="dxa"/>
            <w:tcBorders/>
            <w:shd w:fill="auto" w:val="clear"/>
            <w:vAlign w:val="center"/>
          </w:tcPr>
          <w:p>
            <w:pPr>
              <w:pStyle w:val="TableContents"/>
              <w:spacing w:before="0" w:after="283"/>
              <w:ind w:left="0" w:right="0" w:hanging="0"/>
              <w:rPr/>
            </w:pPr>
            <w:r>
              <w:rPr/>
              <w:t> </w:t>
            </w:r>
          </w:p>
        </w:tc>
        <w:tc>
          <w:tcPr>
            <w:tcW w:w="1940" w:type="dxa"/>
            <w:tcBorders/>
            <w:shd w:fill="auto" w:val="clear"/>
            <w:vAlign w:val="center"/>
          </w:tcPr>
          <w:p>
            <w:pPr>
              <w:pStyle w:val="TableContents"/>
              <w:spacing w:before="0" w:after="283"/>
              <w:jc w:val="center"/>
              <w:rPr/>
            </w:pPr>
            <w:r>
              <w:rPr/>
              <w:t>September 10, 2021</w:t>
            </w:r>
          </w:p>
        </w:tc>
      </w:tr>
      <w:tr>
        <w:trPr/>
        <w:tc>
          <w:tcPr>
            <w:tcW w:w="173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283"/>
              <w:rPr/>
            </w:pPr>
            <w:r>
              <w:rPr/>
              <w:t> </w:t>
            </w:r>
          </w:p>
        </w:tc>
        <w:tc>
          <w:tcPr>
            <w:tcW w:w="2000" w:type="dxa"/>
            <w:gridSpan w:val="2"/>
            <w:tcBorders/>
            <w:shd w:fill="auto" w:val="clear"/>
            <w:vAlign w:val="center"/>
          </w:tcPr>
          <w:p>
            <w:pPr>
              <w:pStyle w:val="TableContents"/>
              <w:spacing w:before="0" w:after="283"/>
              <w:ind w:left="0" w:right="0" w:hanging="0"/>
              <w:rPr/>
            </w:pPr>
            <w:r>
              <w:rPr/>
              <w:t> </w:t>
            </w:r>
          </w:p>
        </w:tc>
      </w:tr>
      <w:tr>
        <w:trPr/>
        <w:tc>
          <w:tcPr>
            <w:tcW w:w="1730" w:type="dxa"/>
            <w:tcBorders/>
            <w:shd w:fill="auto" w:val="clear"/>
            <w:vAlign w:val="center"/>
          </w:tcPr>
          <w:p>
            <w:pPr>
              <w:pStyle w:val="TableContents"/>
              <w:spacing w:before="0" w:after="0"/>
              <w:jc w:val="center"/>
              <w:rPr>
                <w:rFonts w:ascii="Times New Roman" w:hAnsi="Times New Roman"/>
                <w:spacing w:val="0"/>
                <w:sz w:val="20"/>
                <w:bdr w:val="single" w:sz="2" w:space="1" w:color="000000"/>
              </w:rPr>
            </w:pPr>
            <w:r>
              <w:rPr>
                <w:rFonts w:ascii="Times New Roman" w:hAnsi="Times New Roman"/>
                <w:spacing w:val="0"/>
                <w:sz w:val="20"/>
                <w:bdr w:val="single" w:sz="2" w:space="1" w:color="000000"/>
              </w:rPr>
              <w:t>/s/ Mace Rothenberg</w:t>
            </w:r>
          </w:p>
          <w:p>
            <w:pPr>
              <w:pStyle w:val="TableContents"/>
              <w:spacing w:before="0" w:after="20"/>
              <w:ind w:left="0" w:right="0" w:hanging="0"/>
              <w:jc w:val="center"/>
              <w:rPr>
                <w:rFonts w:ascii="Times New Roman" w:hAnsi="Times New Roman"/>
                <w:spacing w:val="0"/>
                <w:sz w:val="20"/>
              </w:rPr>
            </w:pPr>
            <w:r>
              <w:rPr>
                <w:rFonts w:ascii="Times New Roman" w:hAnsi="Times New Roman"/>
                <w:spacing w:val="0"/>
                <w:sz w:val="20"/>
              </w:rPr>
              <w:t>Mace Rothenberg</w:t>
            </w:r>
          </w:p>
        </w:tc>
        <w:tc>
          <w:tcPr>
            <w:tcW w:w="120" w:type="dxa"/>
            <w:tcBorders/>
            <w:shd w:fill="auto" w:val="clear"/>
            <w:vAlign w:val="center"/>
          </w:tcPr>
          <w:p>
            <w:pPr>
              <w:pStyle w:val="TableContents"/>
              <w:spacing w:before="0" w:after="283"/>
              <w:ind w:left="0" w:right="0" w:hanging="0"/>
              <w:rPr/>
            </w:pPr>
            <w:r>
              <w:rPr/>
              <w:t>  </w:t>
            </w:r>
          </w:p>
        </w:tc>
        <w:tc>
          <w:tcPr>
            <w:tcW w:w="800" w:type="dxa"/>
            <w:tcBorders/>
            <w:shd w:fill="auto" w:val="clear"/>
            <w:vAlign w:val="center"/>
          </w:tcPr>
          <w:p>
            <w:pPr>
              <w:pStyle w:val="TableContents"/>
              <w:spacing w:before="0" w:after="283"/>
              <w:ind w:left="0" w:right="0" w:hanging="0"/>
              <w:jc w:val="center"/>
              <w:rPr/>
            </w:pPr>
            <w:r>
              <w:rPr/>
              <w:t>Director</w:t>
            </w:r>
          </w:p>
        </w:tc>
        <w:tc>
          <w:tcPr>
            <w:tcW w:w="60" w:type="dxa"/>
            <w:tcBorders/>
            <w:shd w:fill="auto" w:val="clear"/>
            <w:vAlign w:val="center"/>
          </w:tcPr>
          <w:p>
            <w:pPr>
              <w:pStyle w:val="TableContents"/>
              <w:spacing w:before="0" w:after="283"/>
              <w:ind w:left="0" w:right="0" w:hanging="0"/>
              <w:rPr/>
            </w:pPr>
            <w:r>
              <w:rPr/>
              <w:t> </w:t>
            </w:r>
          </w:p>
        </w:tc>
        <w:tc>
          <w:tcPr>
            <w:tcW w:w="1940" w:type="dxa"/>
            <w:tcBorders/>
            <w:shd w:fill="auto" w:val="clear"/>
            <w:vAlign w:val="center"/>
          </w:tcPr>
          <w:p>
            <w:pPr>
              <w:pStyle w:val="TableContents"/>
              <w:spacing w:before="0" w:after="283"/>
              <w:jc w:val="center"/>
              <w:rPr/>
            </w:pPr>
            <w:r>
              <w:rPr/>
              <w:t>September 10, 2021</w:t>
            </w:r>
          </w:p>
        </w:tc>
      </w:tr>
    </w:tbl>
    <w:p>
      <w:pPr>
        <w:pStyle w:val="TextBody"/>
        <w:spacing w:before="0" w:after="0"/>
        <w:ind w:left="0" w:right="0" w:hanging="0"/>
        <w:jc w:val="left"/>
        <w:rPr>
          <w:spacing w:val="0"/>
        </w:rPr>
      </w:pPr>
      <w:r>
        <w:rPr>
          <w:spacing w:val="0"/>
        </w:rPr>
        <w:t> </w:t>
      </w:r>
    </w:p>
    <w:p>
      <w:pPr>
        <w:pStyle w:val="TextBody"/>
        <w:ind w:left="0" w:right="0" w:hanging="0"/>
        <w:jc w:val="center"/>
        <w:rPr>
          <w:rFonts w:ascii="Times New Roman" w:hAnsi="Times New Roman"/>
          <w:spacing w:val="0"/>
          <w:sz w:val="20"/>
        </w:rPr>
      </w:pPr>
      <w:r>
        <w:rPr>
          <w:rFonts w:ascii="Times New Roman" w:hAnsi="Times New Roman"/>
          <w:spacing w:val="0"/>
          <w:sz w:val="20"/>
        </w:rPr>
        <w:t xml:space="preserve">II-7 </w:t>
      </w:r>
      <w:r>
        <w:br w:type="page"/>
      </w:r>
    </w:p>
    <w:p>
      <w:pPr>
        <w:pStyle w:val="TextBody"/>
        <w:spacing w:before="0" w:after="0"/>
        <w:jc w:val="right"/>
        <w:rPr>
          <w:rFonts w:ascii="Times New Roman" w:hAnsi="Times New Roman"/>
          <w:b/>
          <w:sz w:val="20"/>
        </w:rPr>
      </w:pPr>
      <w:bookmarkStart w:id="2" w:name="d118907dex31.htm"/>
      <w:bookmarkStart w:id="3" w:name="ksd118907dex31"/>
      <w:bookmarkEnd w:id="2"/>
      <w:bookmarkEnd w:id="3"/>
      <w:r>
        <w:rPr>
          <w:rFonts w:ascii="Times New Roman" w:hAnsi="Times New Roman"/>
          <w:b/>
          <w:sz w:val="20"/>
        </w:rPr>
        <w:t xml:space="preserve">Exhibit 3.1 </w:t>
      </w:r>
    </w:p>
    <w:p>
      <w:pPr>
        <w:pStyle w:val="TextBody"/>
        <w:spacing w:before="240" w:after="0"/>
        <w:jc w:val="center"/>
        <w:rPr>
          <w:rFonts w:ascii="Times New Roman" w:hAnsi="Times New Roman"/>
          <w:b/>
          <w:sz w:val="20"/>
        </w:rPr>
      </w:pPr>
      <w:r>
        <w:rPr>
          <w:rFonts w:ascii="Times New Roman" w:hAnsi="Times New Roman"/>
          <w:b/>
          <w:sz w:val="20"/>
        </w:rPr>
        <w:t xml:space="preserve">SECOND </w:t>
      </w:r>
    </w:p>
    <w:p>
      <w:pPr>
        <w:pStyle w:val="TextBody"/>
        <w:spacing w:before="120" w:after="0"/>
        <w:jc w:val="center"/>
        <w:rPr>
          <w:rFonts w:ascii="Times New Roman" w:hAnsi="Times New Roman"/>
          <w:b/>
          <w:sz w:val="20"/>
        </w:rPr>
      </w:pPr>
      <w:r>
        <w:rPr>
          <w:rFonts w:ascii="Times New Roman" w:hAnsi="Times New Roman"/>
          <w:b/>
          <w:sz w:val="20"/>
        </w:rPr>
        <w:t xml:space="preserve">AMENDED AND RESTATED </w:t>
      </w:r>
    </w:p>
    <w:p>
      <w:pPr>
        <w:pStyle w:val="TextBody"/>
        <w:spacing w:before="120" w:after="0"/>
        <w:jc w:val="center"/>
        <w:rPr>
          <w:rFonts w:ascii="Times New Roman" w:hAnsi="Times New Roman"/>
          <w:b/>
          <w:sz w:val="20"/>
        </w:rPr>
      </w:pPr>
      <w:r>
        <w:rPr>
          <w:rFonts w:ascii="Times New Roman" w:hAnsi="Times New Roman"/>
          <w:b/>
          <w:sz w:val="20"/>
        </w:rPr>
        <w:t xml:space="preserve">CERTIFICATE OF INCORPORATION </w:t>
      </w:r>
    </w:p>
    <w:p>
      <w:pPr>
        <w:pStyle w:val="TextBody"/>
        <w:spacing w:before="120" w:after="0"/>
        <w:jc w:val="center"/>
        <w:rPr>
          <w:rFonts w:ascii="Times New Roman" w:hAnsi="Times New Roman"/>
          <w:b/>
          <w:sz w:val="20"/>
        </w:rPr>
      </w:pPr>
      <w:r>
        <w:rPr>
          <w:rFonts w:ascii="Times New Roman" w:hAnsi="Times New Roman"/>
          <w:b/>
          <w:sz w:val="20"/>
        </w:rPr>
        <w:t xml:space="preserve">OF </w:t>
      </w:r>
    </w:p>
    <w:p>
      <w:pPr>
        <w:pStyle w:val="TextBody"/>
        <w:spacing w:before="120" w:after="0"/>
        <w:jc w:val="center"/>
        <w:rPr>
          <w:rFonts w:ascii="Times New Roman" w:hAnsi="Times New Roman"/>
          <w:b/>
          <w:sz w:val="20"/>
        </w:rPr>
      </w:pPr>
      <w:r>
        <w:rPr>
          <w:rFonts w:ascii="Times New Roman" w:hAnsi="Times New Roman"/>
          <w:b/>
          <w:sz w:val="20"/>
        </w:rPr>
        <w:t xml:space="preserve">BCTG ACQUISITION CORP. </w:t>
      </w:r>
    </w:p>
    <w:p>
      <w:pPr>
        <w:pStyle w:val="TextBody"/>
        <w:spacing w:before="240" w:after="0"/>
        <w:jc w:val="center"/>
        <w:rPr>
          <w:rFonts w:ascii="Times New Roman" w:hAnsi="Times New Roman"/>
          <w:sz w:val="20"/>
        </w:rPr>
      </w:pPr>
      <w:r>
        <w:rPr>
          <w:rFonts w:ascii="Times New Roman" w:hAnsi="Times New Roman"/>
          <w:sz w:val="20"/>
        </w:rPr>
        <w:t xml:space="preserve">August 10, 2021 </w:t>
      </w:r>
    </w:p>
    <w:p>
      <w:pPr>
        <w:pStyle w:val="TextBody"/>
        <w:spacing w:before="240" w:after="0"/>
        <w:jc w:val="left"/>
        <w:rPr>
          <w:rFonts w:ascii="Times New Roman" w:hAnsi="Times New Roman"/>
          <w:sz w:val="20"/>
        </w:rPr>
      </w:pPr>
      <w:r>
        <w:rPr>
          <w:rFonts w:ascii="Times New Roman" w:hAnsi="Times New Roman"/>
          <w:sz w:val="20"/>
        </w:rPr>
        <w:t>BCTG Acquisition Corp., a corporation organized and existing under the laws of the State of Delaware (the </w:t>
      </w:r>
      <w:r>
        <w:rPr>
          <w:rFonts w:ascii="Times New Roman" w:hAnsi="Times New Roman"/>
          <w:sz w:val="20"/>
          <w:u w:val="single"/>
        </w:rPr>
        <w:t>Corporation</w:t>
      </w:r>
      <w:r>
        <w:rPr>
          <w:rFonts w:ascii="Times New Roman" w:hAnsi="Times New Roman"/>
          <w:sz w:val="20"/>
        </w:rPr>
        <w:t xml:space="preserve">), DOES HEREBY CERTIFY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name of the Corporation is BCTG Acquisition Corp. The original certificate of incorporation was filed with the Secretary of State of the State of Delaware on May 21, 2020 (the </w:t>
            </w:r>
            <w:r>
              <w:rPr>
                <w:rFonts w:ascii="Times New Roman" w:hAnsi="Times New Roman"/>
                <w:sz w:val="20"/>
                <w:u w:val="single"/>
              </w:rPr>
              <w:t>Original Certificate</w:t>
            </w:r>
            <w:r>
              <w:rPr>
                <w:rFonts w:ascii="Times New Roman" w:hAnsi="Times New Roman"/>
                <w:sz w:val="20"/>
              </w:rPr>
              <w:t>). The Amended and Restated Certificate of Incorporation (the </w:t>
            </w:r>
            <w:r>
              <w:rPr>
                <w:rFonts w:ascii="Times New Roman" w:hAnsi="Times New Roman"/>
                <w:sz w:val="20"/>
                <w:u w:val="single"/>
              </w:rPr>
              <w:t>First Amended and Restated Certificate</w:t>
            </w:r>
            <w:r>
              <w:rPr>
                <w:rFonts w:ascii="Times New Roman" w:hAnsi="Times New Roman"/>
                <w:sz w:val="20"/>
              </w:rPr>
              <w:t xml:space="preserve">), which both restated and amended the provisions of the Original Certificate was filed with the Secretary of the State of Delaware on September 2,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This Second Amended and Restated Certificate of Incorporation (the </w:t>
            </w:r>
            <w:r>
              <w:rPr>
                <w:rFonts w:ascii="Times New Roman" w:hAnsi="Times New Roman"/>
                <w:sz w:val="20"/>
                <w:u w:val="single"/>
              </w:rPr>
              <w:t>Second Amended and Restated Certificate</w:t>
            </w:r>
            <w:r>
              <w:rPr>
                <w:rFonts w:ascii="Times New Roman" w:hAnsi="Times New Roman"/>
                <w:sz w:val="20"/>
              </w:rPr>
              <w:t>), which both restates and amends the provisions of the First Amended and Restated Certificate, was duly adopted in accordance with Sections 228, 242 and 245 of the General Corporation Law of the State of Delaware (as amended from time to time, the </w:t>
            </w:r>
            <w:r>
              <w:rPr>
                <w:rFonts w:ascii="Times New Roman" w:hAnsi="Times New Roman"/>
                <w:sz w:val="20"/>
                <w:u w:val="single"/>
              </w:rPr>
              <w:t>DGCL</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Second Amended and Restated Certificate shall become effective on the date of filing with the Secretary of State of Delaware.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capitalized terms used in this Second Amended and Restated Certificate are defined where appropriate 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Second Amended and Restated Certificate is being amended and restated in connection with the transactions contemplated by that certain Agreement and Plan of Merger, dated April 13, 2021 (the Merger Agreement), by and among the Corporation, Tango Therapeutics, Inc., and BCTG Merger Sub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text of the First Amended and Restated Certificate is hereby restated and amended in its entirety to read as follows: </w:t>
            </w:r>
          </w:p>
        </w:tc>
      </w:tr>
    </w:tbl>
    <w:p>
      <w:pPr>
        <w:pStyle w:val="TextBody"/>
        <w:spacing w:before="480" w:after="0"/>
        <w:jc w:val="center"/>
        <w:rPr>
          <w:rFonts w:ascii="Times New Roman" w:hAnsi="Times New Roman"/>
          <w:sz w:val="20"/>
        </w:rPr>
      </w:pPr>
      <w:r>
        <w:rPr>
          <w:rFonts w:ascii="Times New Roman" w:hAnsi="Times New Roman"/>
          <w:sz w:val="20"/>
        </w:rPr>
        <w:t xml:space="preserve">ARTICLE I </w:t>
      </w:r>
    </w:p>
    <w:p>
      <w:pPr>
        <w:pStyle w:val="TextBody"/>
        <w:spacing w:before="240" w:after="0"/>
        <w:jc w:val="left"/>
        <w:rPr>
          <w:rFonts w:ascii="Times New Roman" w:hAnsi="Times New Roman"/>
          <w:sz w:val="20"/>
        </w:rPr>
      </w:pPr>
      <w:r>
        <w:rPr>
          <w:rFonts w:ascii="Times New Roman" w:hAnsi="Times New Roman"/>
          <w:sz w:val="20"/>
        </w:rPr>
        <w:t xml:space="preserve">The name of the Corporation is Tango Therapeutics, Inc.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II </w:t>
      </w:r>
    </w:p>
    <w:p>
      <w:pPr>
        <w:pStyle w:val="TextBody"/>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c/o The Corporation Trust Company, 1209 Orange Street in the City of Wilmington, County of New Castle. The name of its registered agent at such address is The Corporation Trust Company. </w:t>
      </w:r>
    </w:p>
    <w:p>
      <w:pPr>
        <w:pStyle w:val="TextBody"/>
        <w:spacing w:before="480" w:after="0"/>
        <w:jc w:val="center"/>
        <w:rPr>
          <w:rFonts w:ascii="Times New Roman" w:hAnsi="Times New Roman"/>
          <w:sz w:val="20"/>
        </w:rPr>
      </w:pPr>
      <w:r>
        <w:rPr>
          <w:rFonts w:ascii="Times New Roman" w:hAnsi="Times New Roman"/>
          <w:sz w:val="20"/>
        </w:rPr>
        <w:t xml:space="preserve">ARTICLE III </w:t>
      </w:r>
    </w:p>
    <w:p>
      <w:pPr>
        <w:pStyle w:val="TextBody"/>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The Corporation is to have a perpetual existence. </w:t>
      </w:r>
    </w:p>
    <w:p>
      <w:pPr>
        <w:pStyle w:val="TextBody"/>
        <w:spacing w:before="480" w:after="0"/>
        <w:jc w:val="center"/>
        <w:rPr>
          <w:rFonts w:ascii="Times New Roman" w:hAnsi="Times New Roman"/>
          <w:sz w:val="20"/>
        </w:rPr>
      </w:pPr>
      <w:r>
        <w:rPr>
          <w:rFonts w:ascii="Times New Roman" w:hAnsi="Times New Roman"/>
          <w:sz w:val="20"/>
        </w:rPr>
        <w:t xml:space="preserve">ARTICLE IV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CAPITAL STOCK </w:t>
      </w:r>
    </w:p>
    <w:p>
      <w:pPr>
        <w:pStyle w:val="TextBody"/>
        <w:spacing w:before="240" w:after="0"/>
        <w:jc w:val="left"/>
        <w:rPr>
          <w:rFonts w:ascii="Times New Roman" w:hAnsi="Times New Roman"/>
          <w:sz w:val="20"/>
        </w:rPr>
      </w:pPr>
      <w:r>
        <w:rPr>
          <w:rFonts w:ascii="Times New Roman" w:hAnsi="Times New Roman"/>
          <w:sz w:val="20"/>
        </w:rPr>
        <w:t>The total number of shares of capital stock which the Corporation shall have authority to issue is two hundred and ten million (210,000,000), of which (i) two hundred million (200,000,000) shares shall be a class designated as common stock, par value $0.001 per share (the Common Stock), and (ii) ten million (10,000,000) shares shall be a class designated as undesignated preferred stock, par value $0.001 per share (the </w:t>
      </w:r>
      <w:r>
        <w:rPr>
          <w:rFonts w:ascii="Times New Roman" w:hAnsi="Times New Roman"/>
          <w:sz w:val="20"/>
          <w:u w:val="single"/>
        </w:rPr>
        <w:t>Undesignated Preferred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 </w:t>
      </w:r>
    </w:p>
    <w:p>
      <w:pPr>
        <w:pStyle w:val="TextBody"/>
        <w:spacing w:before="240" w:after="0"/>
        <w:jc w:val="left"/>
        <w:rPr>
          <w:rFonts w:ascii="Times New Roman" w:hAnsi="Times New Roman"/>
          <w:sz w:val="20"/>
        </w:rPr>
      </w:pPr>
      <w:r>
        <w:rPr>
          <w:rFonts w:ascii="Times New Roman" w:hAnsi="Times New Roman"/>
          <w:sz w:val="20"/>
        </w:rPr>
        <w:t xml:space="preserve">The powers, preferences and rights of, and the qualifications, limitations and restrictions upon, each class or series of stock shall be determined in accordance with, or as set forth below in, this Article IV. </w:t>
      </w:r>
    </w:p>
    <w:p>
      <w:pPr>
        <w:pStyle w:val="TextBody"/>
        <w:spacing w:before="480" w:after="0"/>
        <w:jc w:val="center"/>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Subject to all the rights, powers and preferences of the Undesignated Preferred Stock and except as provided by law or in this Certificate (or in any certificate of designations of any series of Undesignated Preferred Stock): </w:t>
      </w:r>
    </w:p>
    <w:p>
      <w:pPr>
        <w:pStyle w:val="TextBody"/>
        <w:spacing w:before="240" w:after="0"/>
        <w:jc w:val="left"/>
        <w:rPr>
          <w:rFonts w:ascii="Times New Roman" w:hAnsi="Times New Roman"/>
          <w:sz w:val="20"/>
        </w:rPr>
      </w:pPr>
      <w:r>
        <w:rPr>
          <w:rFonts w:ascii="Times New Roman" w:hAnsi="Times New Roman"/>
          <w:sz w:val="20"/>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required by law, holders of Common Stock, as such, shall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 </w:t>
      </w:r>
    </w:p>
    <w:p>
      <w:pPr>
        <w:pStyle w:val="TextBody"/>
        <w:spacing w:before="240" w:after="0"/>
        <w:jc w:val="left"/>
        <w:rPr>
          <w:rFonts w:ascii="Times New Roman" w:hAnsi="Times New Roman"/>
          <w:sz w:val="20"/>
        </w:rPr>
      </w:pPr>
      <w:r>
        <w:rPr>
          <w:rFonts w:ascii="Times New Roman" w:hAnsi="Times New Roman"/>
          <w:sz w:val="20"/>
        </w:rPr>
        <w:t xml:space="preserve">(b)    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 </w:t>
      </w:r>
    </w:p>
    <w:p>
      <w:pPr>
        <w:pStyle w:val="TextBody"/>
        <w:spacing w:before="240" w:after="0"/>
        <w:jc w:val="left"/>
        <w:rPr>
          <w:rFonts w:ascii="Times New Roman" w:hAnsi="Times New Roman"/>
          <w:sz w:val="20"/>
        </w:rPr>
      </w:pPr>
      <w:r>
        <w:rPr>
          <w:rFonts w:ascii="Times New Roman" w:hAnsi="Times New Roman"/>
          <w:sz w:val="20"/>
        </w:rPr>
        <w:t xml:space="preserve">(c)    upon the voluntary or involuntary liquidation, dissolution or winding up of the Corporation, the net assets of the Corporation shall be distributed pro rata to the holders of the Common Stock. </w:t>
      </w:r>
    </w:p>
    <w:p>
      <w:pPr>
        <w:pStyle w:val="TextBody"/>
        <w:spacing w:before="480" w:after="0"/>
        <w:jc w:val="center"/>
        <w:rPr>
          <w:rFonts w:ascii="Times New Roman" w:hAnsi="Times New Roman"/>
          <w:sz w:val="20"/>
        </w:rPr>
      </w:pPr>
      <w:r>
        <w:rPr>
          <w:rFonts w:ascii="Times New Roman" w:hAnsi="Times New Roman"/>
          <w:sz w:val="20"/>
        </w:rPr>
        <w:t xml:space="preserve">B. </w:t>
      </w:r>
      <w:r>
        <w:rPr>
          <w:rFonts w:ascii="Times New Roman" w:hAnsi="Times New Roman"/>
          <w:sz w:val="20"/>
          <w:u w:val="single"/>
        </w:rPr>
        <w:t>UNDESIGNATED PREFERRED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 </w:t>
      </w:r>
    </w:p>
    <w:p>
      <w:pPr>
        <w:pStyle w:val="TextBody"/>
        <w:spacing w:before="480" w:after="0"/>
        <w:jc w:val="center"/>
        <w:rPr>
          <w:rFonts w:ascii="Times New Roman" w:hAnsi="Times New Roman"/>
          <w:sz w:val="20"/>
        </w:rPr>
      </w:pPr>
      <w:r>
        <w:rPr>
          <w:rFonts w:ascii="Times New Roman" w:hAnsi="Times New Roman"/>
          <w:sz w:val="20"/>
        </w:rPr>
        <w:t xml:space="preserve">ARTICLE V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STOCKHOLDER ACTION </w:t>
      </w:r>
    </w:p>
    <w:p>
      <w:pPr>
        <w:pStyle w:val="TextBody"/>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Action without Meeting</w:t>
      </w:r>
      <w:r>
        <w:rPr>
          <w:rFonts w:ascii="Times New Roman" w:hAnsi="Times New Roman"/>
          <w:sz w:val="20"/>
        </w:rPr>
        <w:t xml:space="preserve">.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2.    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 </w:t>
      </w:r>
    </w:p>
    <w:p>
      <w:pPr>
        <w:pStyle w:val="TextBody"/>
        <w:spacing w:before="480" w:after="0"/>
        <w:jc w:val="center"/>
        <w:rPr>
          <w:rFonts w:ascii="Times New Roman" w:hAnsi="Times New Roman"/>
          <w:sz w:val="20"/>
        </w:rPr>
      </w:pPr>
      <w:r>
        <w:rPr>
          <w:rFonts w:ascii="Times New Roman" w:hAnsi="Times New Roman"/>
          <w:sz w:val="20"/>
        </w:rPr>
        <w:t xml:space="preserve">ARTICLE VI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DIRECTORS </w:t>
      </w:r>
    </w:p>
    <w:p>
      <w:pPr>
        <w:pStyle w:val="TextBody"/>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General</w:t>
      </w:r>
      <w:r>
        <w:rPr>
          <w:rFonts w:ascii="Times New Roman" w:hAnsi="Times New Roman"/>
          <w:sz w:val="20"/>
        </w:rPr>
        <w:t xml:space="preserve">. The business and affairs of the Corporation shall be managed by or under the direction of the Board of Directors except as otherwise provided herein or required by law. </w:t>
      </w:r>
    </w:p>
    <w:p>
      <w:pPr>
        <w:pStyle w:val="TextBody"/>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Election of Directors</w:t>
      </w:r>
      <w:r>
        <w:rPr>
          <w:rFonts w:ascii="Times New Roman" w:hAnsi="Times New Roman"/>
          <w:sz w:val="20"/>
        </w:rPr>
        <w:t xml:space="preserve">. Election of Directors need not be by written ballot unless the By-laws of the Corporation (the By-laws) shall so provide. </w:t>
      </w:r>
    </w:p>
    <w:p>
      <w:pPr>
        <w:pStyle w:val="TextBody"/>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Number of Directors; Term of Office</w:t>
      </w:r>
      <w:r>
        <w:rPr>
          <w:rFonts w:ascii="Times New Roman" w:hAnsi="Times New Roman"/>
          <w:sz w:val="20"/>
        </w:rPr>
        <w:t xml:space="preserve">.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Lesley Calhoun and Reid Huber; the initial Class II Directors of the Corporation shall be Malte Peters and Mace Rothenberg; and the initial Class III Directors of the Corporation shall be Alexis Borisy, Aaron Davis and Barbara Weber.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The mailing address for each person who is to serve initially as a director is c/o Tango Therapeutic, Inc., 100 Binney Street, Suite 700, Cambridge, MA 02142.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 </w:t>
      </w:r>
    </w:p>
    <w:p>
      <w:pPr>
        <w:pStyle w:val="TextBody"/>
        <w:spacing w:before="240" w:after="0"/>
        <w:jc w:val="left"/>
        <w:rPr>
          <w:rFonts w:ascii="Times New Roman" w:hAnsi="Times New Roman"/>
          <w:sz w:val="20"/>
        </w:rPr>
      </w:pPr>
      <w:r>
        <w:rPr>
          <w:rFonts w:ascii="Times New Roman" w:hAnsi="Times New Roman"/>
          <w:sz w:val="20"/>
        </w:rPr>
        <w:t xml:space="preserve">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 </w:t>
      </w:r>
    </w:p>
    <w:p>
      <w:pPr>
        <w:pStyle w:val="TextBody"/>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Vacancies</w:t>
      </w:r>
      <w:r>
        <w:rPr>
          <w:rFonts w:ascii="Times New Roman" w:hAnsi="Times New Roman"/>
          <w:sz w:val="20"/>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5.    </w:t>
      </w:r>
      <w:r>
        <w:rPr>
          <w:rFonts w:ascii="Times New Roman" w:hAnsi="Times New Roman"/>
          <w:sz w:val="20"/>
          <w:u w:val="single"/>
        </w:rPr>
        <w:t>Removal</w:t>
      </w:r>
      <w:r>
        <w:rPr>
          <w:rFonts w:ascii="Times New Roman" w:hAnsi="Times New Roman"/>
          <w:sz w:val="20"/>
        </w:rPr>
        <w:t xml:space="preserve">.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 </w:t>
      </w:r>
    </w:p>
    <w:p>
      <w:pPr>
        <w:pStyle w:val="TextBody"/>
        <w:spacing w:before="480" w:after="0"/>
        <w:jc w:val="center"/>
        <w:rPr>
          <w:rFonts w:ascii="Times New Roman" w:hAnsi="Times New Roman"/>
          <w:sz w:val="20"/>
        </w:rPr>
      </w:pPr>
      <w:r>
        <w:rPr>
          <w:rFonts w:ascii="Times New Roman" w:hAnsi="Times New Roman"/>
          <w:sz w:val="20"/>
        </w:rPr>
        <w:t xml:space="preserve">ARTICLE VII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LIMITATION OF LIABILITY </w:t>
      </w:r>
    </w:p>
    <w:p>
      <w:pPr>
        <w:pStyle w:val="TextBody"/>
        <w:spacing w:before="240" w:after="0"/>
        <w:jc w:val="left"/>
        <w:rPr>
          <w:rFonts w:ascii="Times New Roman" w:hAnsi="Times New Roman"/>
          <w:sz w:val="20"/>
        </w:rPr>
      </w:pPr>
      <w:r>
        <w:rPr>
          <w:rFonts w:ascii="Times New Roman" w:hAnsi="Times New Roman"/>
          <w:sz w:val="20"/>
        </w:rPr>
        <w:t xml:space="preserve">1.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 </w:t>
      </w:r>
    </w:p>
    <w:p>
      <w:pPr>
        <w:pStyle w:val="TextBody"/>
        <w:spacing w:before="240" w:after="0"/>
        <w:jc w:val="left"/>
        <w:rPr>
          <w:rFonts w:ascii="Times New Roman" w:hAnsi="Times New Roman"/>
          <w:sz w:val="20"/>
        </w:rPr>
      </w:pPr>
      <w:r>
        <w:rPr>
          <w:rFonts w:ascii="Times New Roman" w:hAnsi="Times New Roman"/>
          <w:sz w:val="20"/>
        </w:rPr>
        <w:t xml:space="preserve">2.    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 </w:t>
      </w:r>
    </w:p>
    <w:p>
      <w:pPr>
        <w:pStyle w:val="TextBody"/>
        <w:spacing w:before="240" w:after="0"/>
        <w:jc w:val="left"/>
        <w:rPr>
          <w:rFonts w:ascii="Times New Roman" w:hAnsi="Times New Roman"/>
          <w:sz w:val="20"/>
        </w:rPr>
      </w:pPr>
      <w:r>
        <w:rPr>
          <w:rFonts w:ascii="Times New Roman" w:hAnsi="Times New Roman"/>
          <w:sz w:val="20"/>
        </w:rPr>
        <w:t xml:space="preserve">3.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 </w:t>
      </w:r>
    </w:p>
    <w:p>
      <w:pPr>
        <w:pStyle w:val="TextBody"/>
        <w:spacing w:before="480" w:after="0"/>
        <w:jc w:val="center"/>
        <w:rPr>
          <w:rFonts w:ascii="Times New Roman" w:hAnsi="Times New Roman"/>
          <w:sz w:val="20"/>
        </w:rPr>
      </w:pPr>
      <w:r>
        <w:rPr>
          <w:rFonts w:ascii="Times New Roman" w:hAnsi="Times New Roman"/>
          <w:sz w:val="20"/>
        </w:rPr>
        <w:t xml:space="preserve">ARTICLE VIII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AMENDMENT OF BY-LAWS </w:t>
      </w:r>
    </w:p>
    <w:p>
      <w:pPr>
        <w:pStyle w:val="TextBody"/>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Amendment by Directors</w:t>
      </w:r>
      <w:r>
        <w:rPr>
          <w:rFonts w:ascii="Times New Roman" w:hAnsi="Times New Roman"/>
          <w:sz w:val="20"/>
        </w:rPr>
        <w:t xml:space="preserve">. Except as otherwise provided by law, the By-laws of the Corporation may be amended or repealed by the Board of Directors by the affirmative vote of a majority of the Directors then in office. </w:t>
      </w:r>
    </w:p>
    <w:p>
      <w:pPr>
        <w:pStyle w:val="TextBody"/>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Amendment by Stockholders</w:t>
      </w:r>
      <w:r>
        <w:rPr>
          <w:rFonts w:ascii="Times New Roman" w:hAnsi="Times New Roman"/>
          <w:sz w:val="20"/>
        </w:rPr>
        <w:t xml:space="preserve">. Except as otherwise provided therein, the By-laws of the Corporation may be amended or repealed at any annual meeting of stockholders, or special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meeting of stockholders called for such purpose, by the affirmative vote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 </w:t>
      </w:r>
    </w:p>
    <w:p>
      <w:pPr>
        <w:pStyle w:val="TextBody"/>
        <w:spacing w:before="480" w:after="0"/>
        <w:jc w:val="center"/>
        <w:rPr>
          <w:rFonts w:ascii="Times New Roman" w:hAnsi="Times New Roman"/>
          <w:sz w:val="20"/>
        </w:rPr>
      </w:pPr>
      <w:r>
        <w:rPr>
          <w:rFonts w:ascii="Times New Roman" w:hAnsi="Times New Roman"/>
          <w:sz w:val="20"/>
        </w:rPr>
        <w:t xml:space="preserve">ARTICLE IX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AMENDMENT OF CERTIFICATE OF INCORPORATION </w:t>
      </w:r>
    </w:p>
    <w:p>
      <w:pPr>
        <w:pStyle w:val="TextBody"/>
        <w:spacing w:before="240" w:after="0"/>
        <w:jc w:val="left"/>
        <w:rPr>
          <w:rFonts w:ascii="Times New Roman" w:hAnsi="Times New Roman"/>
          <w:sz w:val="20"/>
        </w:rPr>
      </w:pPr>
      <w:r>
        <w:rPr>
          <w:rFonts w:ascii="Times New Roman" w:hAnsi="Times New Roman"/>
          <w:sz w:val="20"/>
        </w:rPr>
        <w:t xml:space="preserve">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p>
    <w:p>
      <w:pPr>
        <w:pStyle w:val="TextBody"/>
        <w:spacing w:before="480" w:after="0"/>
        <w:jc w:val="center"/>
        <w:rPr>
          <w:rFonts w:ascii="Times New Roman" w:hAnsi="Times New Roman"/>
          <w:sz w:val="20"/>
        </w:rPr>
      </w:pPr>
      <w:r>
        <w:rPr>
          <w:rFonts w:ascii="Times New Roman" w:hAnsi="Times New Roman"/>
          <w:sz w:val="20"/>
        </w:rPr>
        <w:t xml:space="preserve">ARTICLE X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BUSINESS COMBINATIONS </w:t>
      </w:r>
    </w:p>
    <w:p>
      <w:pPr>
        <w:pStyle w:val="TextBody"/>
        <w:spacing w:before="240" w:after="0"/>
        <w:jc w:val="left"/>
        <w:rPr>
          <w:rFonts w:ascii="Times New Roman" w:hAnsi="Times New Roman"/>
          <w:sz w:val="20"/>
        </w:rPr>
      </w:pPr>
      <w:r>
        <w:rPr>
          <w:rFonts w:ascii="Times New Roman" w:hAnsi="Times New Roman"/>
          <w:sz w:val="20"/>
        </w:rPr>
        <w:t>1.     </w:t>
      </w:r>
      <w:r>
        <w:rPr>
          <w:rFonts w:ascii="Times New Roman" w:hAnsi="Times New Roman"/>
          <w:sz w:val="20"/>
          <w:u w:val="single"/>
        </w:rPr>
        <w:t>Opt Out of DGCL 203</w:t>
      </w:r>
      <w:r>
        <w:rPr>
          <w:rFonts w:ascii="Times New Roman" w:hAnsi="Times New Roman"/>
          <w:sz w:val="20"/>
        </w:rPr>
        <w:t xml:space="preserve">. The Corporation shall not be governed by Section 203 of the DGCL. </w:t>
      </w:r>
    </w:p>
    <w:p>
      <w:pPr>
        <w:pStyle w:val="TextBody"/>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Excluded Opportunity</w:t>
      </w:r>
      <w:r>
        <w:rPr>
          <w:rFonts w:ascii="Times New Roman" w:hAnsi="Times New Roman"/>
          <w:sz w:val="20"/>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hAnsi="Times New Roman"/>
          <w:sz w:val="20"/>
          <w:u w:val="single"/>
        </w:rPr>
        <w:t>Covered Person</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the Corporation. </w:t>
      </w:r>
    </w:p>
    <w:p>
      <w:pPr>
        <w:pStyle w:val="TextBody"/>
        <w:spacing w:before="480" w:after="0"/>
        <w:jc w:val="center"/>
        <w:rPr>
          <w:rFonts w:ascii="Times New Roman" w:hAnsi="Times New Roman"/>
          <w:sz w:val="20"/>
        </w:rPr>
      </w:pPr>
      <w:r>
        <w:rPr>
          <w:rFonts w:ascii="Times New Roman" w:hAnsi="Times New Roman"/>
          <w:sz w:val="20"/>
        </w:rPr>
        <w:t xml:space="preserve">*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THIS SECOND AMENDED AND RESTATED CERTIFICATE OF INCORPORATION is executed as of this 10th day of August 2021. </w:t>
      </w:r>
    </w:p>
    <w:p>
      <w:pPr>
        <w:pStyle w:val="TextBody"/>
        <w:spacing w:before="240" w:after="0"/>
        <w:jc w:val="left"/>
        <w:rPr>
          <w:rFonts w:ascii="Times New Roman" w:hAnsi="Times New Roman"/>
          <w:sz w:val="20"/>
        </w:rPr>
      </w:pPr>
      <w:r>
        <w:rPr>
          <w:rFonts w:ascii="Times New Roman" w:hAnsi="Times New Roman"/>
          <w:sz w:val="20"/>
        </w:rPr>
        <w:t xml:space="preserve">BCTG ACQUISITION CORP. </w:t>
      </w:r>
    </w:p>
    <w:p>
      <w:pPr>
        <w:pStyle w:val="TextBody"/>
        <w:spacing w:before="24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Aaron Davis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Name: Aaron Davis </w:t>
      </w:r>
    </w:p>
    <w:p>
      <w:pPr>
        <w:pStyle w:val="TextBody"/>
        <w:spacing w:before="0" w:after="0"/>
        <w:jc w:val="left"/>
        <w:rPr>
          <w:rFonts w:ascii="Times New Roman" w:hAnsi="Times New Roman"/>
          <w:sz w:val="20"/>
        </w:rPr>
      </w:pPr>
      <w:r>
        <w:rPr>
          <w:rFonts w:ascii="Times New Roman" w:hAnsi="Times New Roman"/>
          <w:sz w:val="20"/>
        </w:rPr>
        <w:t xml:space="preserve">Title: Chief Executive Officer </w:t>
      </w:r>
      <w:r>
        <w:br w:type="page"/>
      </w:r>
    </w:p>
    <w:p>
      <w:pPr>
        <w:pStyle w:val="TextBody"/>
        <w:spacing w:before="0" w:after="0"/>
        <w:jc w:val="right"/>
        <w:rPr>
          <w:rFonts w:ascii="Times New Roman" w:hAnsi="Times New Roman"/>
          <w:b/>
          <w:sz w:val="20"/>
        </w:rPr>
      </w:pPr>
      <w:bookmarkStart w:id="4" w:name="d118907dex51.htm"/>
      <w:bookmarkStart w:id="5" w:name="ksd118907dex51"/>
      <w:bookmarkEnd w:id="4"/>
      <w:bookmarkEnd w:id="5"/>
      <w:r>
        <w:rPr>
          <w:rFonts w:ascii="Times New Roman" w:hAnsi="Times New Roman"/>
          <w:b/>
          <w:sz w:val="20"/>
        </w:rPr>
        <w:t xml:space="preserve">Exhibit 5.1 </w:t>
      </w:r>
    </w:p>
    <w:p>
      <w:pPr>
        <w:pStyle w:val="TextBody"/>
        <w:spacing w:before="240" w:after="0"/>
        <w:jc w:val="right"/>
        <w:rPr>
          <w:rFonts w:ascii="Times New Roman" w:hAnsi="Times New Roman"/>
          <w:sz w:val="20"/>
        </w:rPr>
      </w:pPr>
      <w:r>
        <w:rPr>
          <w:rFonts w:ascii="Times New Roman" w:hAnsi="Times New Roman"/>
          <w:sz w:val="20"/>
        </w:rPr>
        <w:t xml:space="preserve">September 10, 2021             </w:t>
      </w:r>
    </w:p>
    <w:p>
      <w:pPr>
        <w:pStyle w:val="TextBody"/>
        <w:spacing w:before="240" w:after="0"/>
        <w:jc w:val="left"/>
        <w:rPr>
          <w:rFonts w:ascii="Times New Roman" w:hAnsi="Times New Roman"/>
          <w:sz w:val="20"/>
        </w:rPr>
      </w:pPr>
      <w:r>
        <w:rPr>
          <w:rFonts w:ascii="Times New Roman" w:hAnsi="Times New Roman"/>
          <w:sz w:val="20"/>
        </w:rPr>
        <w:t xml:space="preserve">Tango Therapeutics, Inc. </w:t>
      </w:r>
    </w:p>
    <w:p>
      <w:pPr>
        <w:pStyle w:val="TextBody"/>
        <w:spacing w:before="0" w:after="0"/>
        <w:jc w:val="left"/>
        <w:rPr>
          <w:rFonts w:ascii="Times New Roman" w:hAnsi="Times New Roman"/>
          <w:sz w:val="20"/>
        </w:rPr>
      </w:pPr>
      <w:r>
        <w:rPr>
          <w:rFonts w:ascii="Times New Roman" w:hAnsi="Times New Roman"/>
          <w:sz w:val="20"/>
        </w:rPr>
        <w:t xml:space="preserve">100 Binney St., Suite 700 </w:t>
      </w:r>
    </w:p>
    <w:p>
      <w:pPr>
        <w:pStyle w:val="TextBody"/>
        <w:spacing w:before="0" w:after="0"/>
        <w:jc w:val="left"/>
        <w:rPr>
          <w:rFonts w:ascii="Times New Roman" w:hAnsi="Times New Roman"/>
          <w:sz w:val="20"/>
        </w:rPr>
      </w:pPr>
      <w:r>
        <w:rPr>
          <w:rFonts w:ascii="Times New Roman" w:hAnsi="Times New Roman"/>
          <w:sz w:val="20"/>
        </w:rPr>
        <w:t xml:space="preserve">Cambridge, MA 02142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Re:</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Securities Registered under Registration Statement on Form S-1</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S-1 (as amended or supplemented, the Registration Statement) pursuant to the Securities Act of 1933, as amended (the Securities Act), relating to the registration of the offering by Tango Therapeutics, Inc., a Delaware corporation (the Company) of up to 68,175,412 shares of the Companys Common Stock, $0.001 par value per share (the Selling Stockholder Shares) to be sold by the selling stockholders listed in the Registration Statement under Selling Securityholders (the Selling Stockholders). </w:t>
      </w:r>
    </w:p>
    <w:p>
      <w:pPr>
        <w:pStyle w:val="TextBody"/>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spacing w:before="240" w:after="0"/>
        <w:jc w:val="left"/>
        <w:rPr>
          <w:rFonts w:ascii="Times New Roman" w:hAnsi="Times New Roman"/>
          <w:sz w:val="20"/>
        </w:rPr>
      </w:pPr>
      <w:r>
        <w:rPr>
          <w:rFonts w:ascii="Times New Roman" w:hAnsi="Times New Roman"/>
          <w:sz w:val="20"/>
        </w:rPr>
        <w:t xml:space="preserve">Based on the foregoing, we are of the opinion that the Selling Stockholder Shares have been duly authorized and validly issued and are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Goodwin Procter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pPr>
            <w:r>
              <w:rPr/>
              <w:t>GOODWIN PROCTER LLP</w:t>
            </w:r>
          </w:p>
        </w:tc>
      </w:tr>
    </w:tbl>
    <w:p>
      <w:pPr>
        <w:pStyle w:val="TextBody"/>
        <w:spacing w:before="0" w:after="0"/>
        <w:jc w:val="right"/>
        <w:rPr>
          <w:rFonts w:ascii="Times New Roman" w:hAnsi="Times New Roman"/>
          <w:b/>
          <w:sz w:val="20"/>
          <w:u w:val="single"/>
        </w:rPr>
      </w:pPr>
      <w:r>
        <w:br w:type="page"/>
      </w:r>
      <w:bookmarkStart w:id="6" w:name="d118907dex211.htm"/>
      <w:bookmarkStart w:id="7" w:name="ksd118907dex211"/>
      <w:bookmarkEnd w:id="6"/>
      <w:bookmarkEnd w:id="7"/>
      <w:r>
        <w:rPr>
          <w:rFonts w:ascii="Times New Roman" w:hAnsi="Times New Roman"/>
          <w:b/>
          <w:sz w:val="20"/>
          <w:u w:val="single"/>
        </w:rPr>
        <w:t xml:space="preserve">Exhibit 21.1 </w:t>
      </w:r>
    </w:p>
    <w:p>
      <w:pPr>
        <w:pStyle w:val="TextBody"/>
        <w:spacing w:before="240" w:after="0"/>
        <w:jc w:val="center"/>
        <w:rPr>
          <w:rFonts w:ascii="Times New Roman" w:hAnsi="Times New Roman"/>
          <w:b/>
          <w:sz w:val="20"/>
        </w:rPr>
      </w:pPr>
      <w:r>
        <w:rPr>
          <w:rFonts w:ascii="Times New Roman" w:hAnsi="Times New Roman"/>
          <w:b/>
          <w:sz w:val="20"/>
        </w:rPr>
        <w:t xml:space="preserve">SUBSIDIARIES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15"/>
        <w:gridCol w:w="123"/>
        <w:gridCol w:w="3056"/>
        <w:gridCol w:w="123"/>
        <w:gridCol w:w="3288"/>
      </w:tblGrid>
      <w:tr>
        <w:trPr/>
        <w:tc>
          <w:tcPr>
            <w:tcW w:w="361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05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288" w:type="dxa"/>
            <w:tcBorders/>
            <w:shd w:fill="auto" w:val="clear"/>
            <w:vAlign w:val="center"/>
          </w:tcPr>
          <w:p>
            <w:pPr>
              <w:pStyle w:val="TableContents"/>
              <w:spacing w:before="0" w:after="283"/>
              <w:rPr>
                <w:sz w:val="4"/>
                <w:szCs w:val="4"/>
              </w:rPr>
            </w:pPr>
            <w:r>
              <w:rPr>
                <w:sz w:val="4"/>
                <w:szCs w:val="4"/>
              </w:rPr>
            </w:r>
          </w:p>
        </w:tc>
      </w:tr>
      <w:tr>
        <w:trPr/>
        <w:tc>
          <w:tcPr>
            <w:tcW w:w="3615" w:type="dxa"/>
            <w:tcBorders/>
            <w:shd w:fill="auto" w:val="clear"/>
            <w:vAlign w:val="bottom"/>
          </w:tcPr>
          <w:p>
            <w:pPr>
              <w:pStyle w:val="TableContents"/>
              <w:spacing w:before="0" w:after="283"/>
              <w:rPr>
                <w:b/>
              </w:rPr>
            </w:pPr>
            <w:r>
              <w:rPr>
                <w:b/>
              </w:rPr>
              <w:t>Subsidiary</w:t>
            </w:r>
          </w:p>
        </w:tc>
        <w:tc>
          <w:tcPr>
            <w:tcW w:w="123" w:type="dxa"/>
            <w:tcBorders/>
            <w:shd w:fill="auto" w:val="clear"/>
            <w:vAlign w:val="bottom"/>
          </w:tcPr>
          <w:p>
            <w:pPr>
              <w:pStyle w:val="TableContents"/>
              <w:spacing w:before="0" w:after="283"/>
              <w:rPr/>
            </w:pPr>
            <w:r>
              <w:rPr/>
              <w:t>  </w:t>
            </w:r>
          </w:p>
        </w:tc>
        <w:tc>
          <w:tcPr>
            <w:tcW w:w="305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288" w:type="dxa"/>
            <w:tcBorders/>
            <w:shd w:fill="auto" w:val="clear"/>
            <w:vAlign w:val="bottom"/>
          </w:tcPr>
          <w:p>
            <w:pPr>
              <w:pStyle w:val="TableContents"/>
              <w:spacing w:before="0" w:after="283"/>
              <w:rPr>
                <w:b/>
              </w:rPr>
            </w:pPr>
            <w:r>
              <w:rPr>
                <w:b/>
              </w:rPr>
              <w:t>Jurisdiction of Incorporation</w:t>
            </w:r>
          </w:p>
        </w:tc>
      </w:tr>
      <w:tr>
        <w:trPr>
          <w:trHeight w:val="120" w:hRule="atLeast"/>
        </w:trPr>
        <w:tc>
          <w:tcPr>
            <w:tcW w:w="3615" w:type="dxa"/>
            <w:tcBorders/>
            <w:shd w:fill="auto" w:val="clear"/>
            <w:vAlign w:val="center"/>
          </w:tcPr>
          <w:p>
            <w:pPr>
              <w:pStyle w:val="TableContents"/>
              <w:spacing w:before="0" w:after="283"/>
              <w:rPr>
                <w:sz w:val="4"/>
                <w:szCs w:val="4"/>
              </w:rPr>
            </w:pPr>
            <w:r>
              <w:rPr>
                <w:sz w:val="4"/>
                <w:szCs w:val="4"/>
              </w:rPr>
            </w:r>
          </w:p>
        </w:tc>
        <w:tc>
          <w:tcPr>
            <w:tcW w:w="3179" w:type="dxa"/>
            <w:gridSpan w:val="2"/>
            <w:tcBorders/>
            <w:shd w:fill="auto" w:val="clear"/>
            <w:vAlign w:val="center"/>
          </w:tcPr>
          <w:p>
            <w:pPr>
              <w:pStyle w:val="TableContents"/>
              <w:spacing w:before="0" w:after="283"/>
              <w:rPr>
                <w:sz w:val="4"/>
                <w:szCs w:val="4"/>
              </w:rPr>
            </w:pPr>
            <w:r>
              <w:rPr>
                <w:sz w:val="4"/>
                <w:szCs w:val="4"/>
              </w:rPr>
            </w:r>
          </w:p>
        </w:tc>
        <w:tc>
          <w:tcPr>
            <w:tcW w:w="3411" w:type="dxa"/>
            <w:gridSpan w:val="2"/>
            <w:tcBorders/>
            <w:shd w:fill="auto" w:val="clear"/>
            <w:vAlign w:val="center"/>
          </w:tcPr>
          <w:p>
            <w:pPr>
              <w:pStyle w:val="TableContents"/>
              <w:spacing w:before="0" w:after="283"/>
              <w:rPr>
                <w:sz w:val="4"/>
                <w:szCs w:val="4"/>
              </w:rPr>
            </w:pPr>
            <w:r>
              <w:rPr>
                <w:sz w:val="4"/>
                <w:szCs w:val="4"/>
              </w:rPr>
            </w:r>
          </w:p>
        </w:tc>
      </w:tr>
      <w:tr>
        <w:trPr/>
        <w:tc>
          <w:tcPr>
            <w:tcW w:w="3615" w:type="dxa"/>
            <w:tcBorders/>
            <w:shd w:fill="auto" w:val="clear"/>
          </w:tcPr>
          <w:p>
            <w:pPr>
              <w:pStyle w:val="TableContents"/>
              <w:spacing w:before="0" w:after="283"/>
              <w:rPr/>
            </w:pPr>
            <w:r>
              <w:rPr/>
              <w:t>Tango Therapeutics Sub, Inc.</w:t>
            </w:r>
          </w:p>
        </w:tc>
        <w:tc>
          <w:tcPr>
            <w:tcW w:w="123" w:type="dxa"/>
            <w:tcBorders/>
            <w:shd w:fill="auto" w:val="clear"/>
            <w:vAlign w:val="bottom"/>
          </w:tcPr>
          <w:p>
            <w:pPr>
              <w:pStyle w:val="TableContents"/>
              <w:spacing w:before="0" w:after="283"/>
              <w:rPr/>
            </w:pPr>
            <w:r>
              <w:rPr/>
              <w:t>  </w:t>
            </w:r>
          </w:p>
        </w:tc>
        <w:tc>
          <w:tcPr>
            <w:tcW w:w="3056"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3288" w:type="dxa"/>
            <w:tcBorders/>
            <w:shd w:fill="auto" w:val="clear"/>
          </w:tcPr>
          <w:p>
            <w:pPr>
              <w:pStyle w:val="TableContents"/>
              <w:spacing w:before="0" w:after="283"/>
              <w:rPr/>
            </w:pPr>
            <w:r>
              <w:rPr/>
              <w:t>Delaware</w:t>
            </w:r>
          </w:p>
        </w:tc>
      </w:tr>
      <w:tr>
        <w:trPr/>
        <w:tc>
          <w:tcPr>
            <w:tcW w:w="3615" w:type="dxa"/>
            <w:tcBorders/>
            <w:shd w:fill="auto" w:val="clear"/>
          </w:tcPr>
          <w:p>
            <w:pPr>
              <w:pStyle w:val="TableContents"/>
              <w:spacing w:before="0" w:after="283"/>
              <w:rPr/>
            </w:pPr>
            <w:r>
              <w:rPr/>
              <w:t>Tango Securities Corporation</w:t>
            </w:r>
          </w:p>
        </w:tc>
        <w:tc>
          <w:tcPr>
            <w:tcW w:w="123" w:type="dxa"/>
            <w:tcBorders/>
            <w:shd w:fill="auto" w:val="clear"/>
            <w:vAlign w:val="bottom"/>
          </w:tcPr>
          <w:p>
            <w:pPr>
              <w:pStyle w:val="TableContents"/>
              <w:spacing w:before="0" w:after="283"/>
              <w:rPr/>
            </w:pPr>
            <w:r>
              <w:rPr/>
              <w:t>  </w:t>
            </w:r>
          </w:p>
        </w:tc>
        <w:tc>
          <w:tcPr>
            <w:tcW w:w="3056"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3288" w:type="dxa"/>
            <w:tcBorders/>
            <w:shd w:fill="auto" w:val="clear"/>
          </w:tcPr>
          <w:p>
            <w:pPr>
              <w:pStyle w:val="TableContents"/>
              <w:spacing w:before="0" w:after="283"/>
              <w:rPr/>
            </w:pPr>
            <w:r>
              <w:rPr/>
              <w:t>Massachusetts</w:t>
            </w:r>
          </w:p>
        </w:tc>
      </w:tr>
    </w:tbl>
    <w:p>
      <w:pPr>
        <w:pStyle w:val="TextBody"/>
        <w:spacing w:before="0" w:after="0"/>
        <w:jc w:val="right"/>
        <w:rPr>
          <w:rFonts w:ascii="Times New Roman" w:hAnsi="Times New Roman"/>
          <w:b/>
          <w:sz w:val="20"/>
        </w:rPr>
      </w:pPr>
      <w:r>
        <w:br w:type="page"/>
      </w:r>
      <w:bookmarkStart w:id="8" w:name="d118907dex231.htm"/>
      <w:bookmarkStart w:id="9" w:name="ksd118907dex231"/>
      <w:bookmarkEnd w:id="8"/>
      <w:bookmarkEnd w:id="9"/>
      <w:r>
        <w:rPr>
          <w:rFonts w:ascii="Times New Roman" w:hAnsi="Times New Roman"/>
          <w:b/>
          <w:sz w:val="20"/>
        </w:rPr>
        <w:t xml:space="preserve">Exhibit 23.1 </w:t>
      </w:r>
    </w:p>
    <w:p>
      <w:pPr>
        <w:pStyle w:val="TextBody"/>
        <w:spacing w:before="72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use in the Prospectus constituting a part of this Registration Statement on Form S-1 of our report dated March 31, 2021, relating to the financial statements of BCTG Acquisition Corp., which is contained in that Prospectus. We also consent to the reference to us under the caption Experts in the Prospectus. </w:t>
      </w:r>
    </w:p>
    <w:p>
      <w:pPr>
        <w:pStyle w:val="TextBody"/>
        <w:spacing w:before="240" w:after="0"/>
        <w:jc w:val="left"/>
        <w:rPr>
          <w:rFonts w:ascii="Times New Roman" w:hAnsi="Times New Roman"/>
          <w:sz w:val="20"/>
        </w:rPr>
      </w:pPr>
      <w:r>
        <w:rPr>
          <w:rFonts w:ascii="Times New Roman" w:hAnsi="Times New Roman"/>
          <w:sz w:val="20"/>
        </w:rPr>
        <w:t xml:space="preserve">/s/ WithumSmith+Brown, PC </w:t>
      </w:r>
    </w:p>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0" w:after="0"/>
        <w:jc w:val="left"/>
        <w:rPr>
          <w:rFonts w:ascii="Times New Roman" w:hAnsi="Times New Roman"/>
          <w:sz w:val="20"/>
        </w:rPr>
      </w:pPr>
      <w:r>
        <w:rPr>
          <w:rFonts w:ascii="Times New Roman" w:hAnsi="Times New Roman"/>
          <w:sz w:val="20"/>
        </w:rPr>
        <w:t xml:space="preserve">September 9, 2021 </w:t>
      </w:r>
      <w:r>
        <w:br w:type="page"/>
      </w:r>
    </w:p>
    <w:p>
      <w:pPr>
        <w:pStyle w:val="TextBody"/>
        <w:spacing w:before="0" w:after="0"/>
        <w:jc w:val="right"/>
        <w:rPr>
          <w:rFonts w:ascii="Times New Roman" w:hAnsi="Times New Roman"/>
          <w:b/>
          <w:sz w:val="20"/>
        </w:rPr>
      </w:pPr>
      <w:bookmarkStart w:id="10" w:name="d118907dex232.htm"/>
      <w:bookmarkStart w:id="11" w:name="ksd118907dex232"/>
      <w:bookmarkEnd w:id="10"/>
      <w:bookmarkEnd w:id="11"/>
      <w:r>
        <w:rPr>
          <w:rFonts w:ascii="Times New Roman" w:hAnsi="Times New Roman"/>
          <w:b/>
          <w:sz w:val="20"/>
        </w:rPr>
        <w:t xml:space="preserve">Exhibit 23.2 </w:t>
      </w:r>
    </w:p>
    <w:p>
      <w:pPr>
        <w:pStyle w:val="TextBody"/>
        <w:spacing w:before="72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use in this Registration Statement on Form S-1 of Tango Therapeutics, Inc. of our report dated April 12, 2021, relating to the financial statements of Tango Therapeutics, Inc., which appears in this Registration Statement. We also consent to the reference to us under the heading Experts in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spacing w:before="240" w:after="0"/>
        <w:jc w:val="left"/>
        <w:rPr>
          <w:rFonts w:ascii="Times New Roman" w:hAnsi="Times New Roman"/>
          <w:sz w:val="20"/>
        </w:rPr>
      </w:pPr>
      <w:r>
        <w:rPr>
          <w:rFonts w:ascii="Times New Roman" w:hAnsi="Times New Roman"/>
          <w:sz w:val="20"/>
        </w:rPr>
        <w:t>Boston, Massachusetts</w:t>
      </w:r>
    </w:p>
    <w:p>
      <w:pPr>
        <w:pStyle w:val="TextBody"/>
        <w:spacing w:before="0" w:after="0"/>
        <w:jc w:val="left"/>
        <w:rPr>
          <w:rFonts w:ascii="Times New Roman" w:hAnsi="Times New Roman"/>
          <w:sz w:val="20"/>
        </w:rPr>
      </w:pPr>
      <w:r>
        <w:rPr>
          <w:rFonts w:ascii="Times New Roman" w:hAnsi="Times New Roman"/>
          <w:sz w:val="20"/>
        </w:rPr>
        <w:t xml:space="preserve">September 10, 2021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hyperlink" Target="http://www.sec.gov/Archives/edgar/data/1819133/000121390021021456/ea139433ex10-1_bctgacq.htm" TargetMode="External"/><Relationship Id="rId31" Type="http://schemas.openxmlformats.org/officeDocument/2006/relationships/hyperlink" Target="http://www.sec.gov/Archives/edgar/data/1819133/000119312521246234/d203347dex102.htm" TargetMode="External"/><Relationship Id="rId32" Type="http://schemas.openxmlformats.org/officeDocument/2006/relationships/hyperlink" Target="http://www.sec.gov/Archives/edgar/data/1819133/000121390021032845/fs42021a1ex10-19_bctgacq.htm" TargetMode="External"/><Relationship Id="rId33" Type="http://schemas.openxmlformats.org/officeDocument/2006/relationships/hyperlink" Target="http://www.sec.gov/Archives/edgar/data/1819133/000121390021032845/fs42021a1ex10-20_bctgacq.htm" TargetMode="External"/><Relationship Id="rId34" Type="http://schemas.openxmlformats.org/officeDocument/2006/relationships/hyperlink" Target="http://www.sec.gov/Archives/edgar/data/1819133/000119312521246234/d203347dex104.htm" TargetMode="External"/><Relationship Id="rId35" Type="http://schemas.openxmlformats.org/officeDocument/2006/relationships/hyperlink" Target="http://www.sec.gov/Archives/edgar/data/1819133/000119312521246234/d203347dex105.htm" TargetMode="External"/><Relationship Id="rId36" Type="http://schemas.openxmlformats.org/officeDocument/2006/relationships/hyperlink" Target="http://www.sec.gov/Archives/edgar/data/1819133/000119312521246234/d203347dex106.htm" TargetMode="External"/><Relationship Id="rId37" Type="http://schemas.openxmlformats.org/officeDocument/2006/relationships/hyperlink" Target="http://www.sec.gov/Archives/edgar/data/1819133/000119312521246234/d203347dex107.htm" TargetMode="External"/><Relationship Id="rId38" Type="http://schemas.openxmlformats.org/officeDocument/2006/relationships/hyperlink" Target="http://www.sec.gov/Archives/edgar/data/1819133/000119312521246234/d203347dex108.htm" TargetMode="External"/><Relationship Id="rId39" Type="http://schemas.openxmlformats.org/officeDocument/2006/relationships/hyperlink" Target="http://www.sec.gov/Archives/edgar/data/1819133/000119312521246234/d203347dex109.htm" TargetMode="External"/><Relationship Id="rId40" Type="http://schemas.openxmlformats.org/officeDocument/2006/relationships/hyperlink" Target="http://www.sec.gov/Archives/edgar/data/1819133/000119312521246234/d203347dex1010.htm" TargetMode="External"/><Relationship Id="rId41" Type="http://schemas.openxmlformats.org/officeDocument/2006/relationships/hyperlink" Target="http://www.sec.gov/Archives/edgar/data/1819133/000119312521246234/d203347dex1011.htm" TargetMode="External"/><Relationship Id="rId42" Type="http://schemas.openxmlformats.org/officeDocument/2006/relationships/hyperlink" Target="http://www.sec.gov/Archives/edgar/data/1819133/000119312521246234/d203347dex161.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39</Pages>
  <Words>165206</Words>
  <CharactersWithSpaces>1091767</CharactersWithSpaces>
  <Paragraphs>24854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