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 2020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BCTG Acquisition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001-39485</w:t>
            </w:r>
          </w:p>
        </w:tc>
        <w:tc>
          <w:tcPr>
            <w:tcW w:w="38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85-1195036</w:t>
            </w:r>
          </w:p>
        </w:tc>
        <w:tc>
          <w:tcPr>
            <w:tcW w:w="20" w:type="dxa"/>
            <w:vAlign w:val="bottom"/>
          </w:tcPr>
          <w:p>
            <w:pPr>
              <w:spacing w:after="0"/>
              <w:rPr>
                <w:sz w:val="21"/>
                <w:szCs w:val="21"/>
                <w:color w:val="auto"/>
              </w:rPr>
            </w:pPr>
          </w:p>
        </w:tc>
      </w:tr>
      <w:tr>
        <w:trPr>
          <w:trHeight w:val="211"/>
        </w:trPr>
        <w:tc>
          <w:tcPr>
            <w:tcW w:w="2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4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44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11682 El Camino Real, Suite 320</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San Diego,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92130</w:t>
            </w:r>
          </w:p>
        </w:tc>
        <w:tc>
          <w:tcPr>
            <w:tcW w:w="20" w:type="dxa"/>
            <w:vAlign w:val="bottom"/>
            <w:tcBorders>
              <w:bottom w:val="single" w:sz="8" w:color="auto"/>
            </w:tcBorders>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4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0"/>
                <w:szCs w:val="20"/>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(858) 400-3112</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45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BCTG</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Nadsaq Stock Market LLC</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8, 2020, BCTG Acquisition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consummated its initial public offering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of 16,675,000 shares of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which includes full exercise of the underwriter’s over-allotment option. The shares of Common Stock were sold at a price of $10.00 per share of Common Stock, generating gross proceeds to the Company of $166,750,000.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IPO, the Company entered into the following agreements, forms of which were previously filed as exhibits to the Company’s Registration Statement on Form S-1 (File No. 333-240237) related to the IPO, originally filed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on July 30, 2020 (as amended, and including the Registration Statement on Form S-1/A (File No. 333-248570) filed with the Commission on September 2, 2020,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Underwriting Agreement, dated September 2, 2020, by and between the Company and SVB Leerink LLC, as representative of the several underwriters, a copy of which is attached as Exhibit 1.1 hereto and incorporated herein by reference.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Letter Agreement, dated September 2, 2020, by and among the Company and its officers, directors and initial stockholders (including BCTG Holdings, LLC, the Company’s sponsor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 copy of which is attached as Exhibit 10.1 hereto and incorporated herein by reference.</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Management Trust Agreement, dated September 2, 2020, by and between the Company and Continental Stock Transfer &amp; Trust Company, LLC as trustee, a copy of which is attached as Exhibit 10.2 hereto and incorporated herein by reference.</w:t>
      </w:r>
    </w:p>
    <w:p>
      <w:pPr>
        <w:spacing w:after="0" w:line="161" w:lineRule="exact"/>
        <w:rPr>
          <w:rFonts w:ascii="Times New Roman" w:cs="Times New Roman" w:eastAsia="Times New Roman" w:hAnsi="Times New Roman"/>
          <w:sz w:val="18"/>
          <w:szCs w:val="18"/>
          <w:color w:val="auto"/>
        </w:rPr>
      </w:pPr>
    </w:p>
    <w:p>
      <w:pPr>
        <w:ind w:left="980" w:hanging="324"/>
        <w:spacing w:after="0" w:line="312" w:lineRule="auto"/>
        <w:tabs>
          <w:tab w:leader="none" w:pos="9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Escrow Agreement, dated September 2, 2020, by and among the Company, Continental Stock Transfer &amp; Trust Company, LLC, as escrow agent, and the Company’s initial stockholders, a copy of which is attached as Exhibit 10.3 hereto and incorporated herein by reference.</w:t>
      </w:r>
    </w:p>
    <w:p>
      <w:pPr>
        <w:spacing w:after="0" w:line="139" w:lineRule="exact"/>
        <w:rPr>
          <w:rFonts w:ascii="Times New Roman" w:cs="Times New Roman" w:eastAsia="Times New Roman" w:hAnsi="Times New Roman"/>
          <w:sz w:val="17"/>
          <w:szCs w:val="17"/>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Rights Agreement, dated September 2, 2020, by and among the Company, Continental Stock Transfer &amp; Trust Company, LLC, and the Company’s initial stockholders, a copy of which is attached as Exhibit 10.4 hereto and incorporated herein by reference.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Subscription Agreement, dated September 2, 2020, by and between the Company and the Sponsor, a copy of which is attached as Exhibit 10.5 hereto and incorporated herein by reference.</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Administrative Support Agreement, dated September 2, 2020, by and between the Company and Boxer Capital, LLC, an affiliate of the Sponsor, a copy of which is attached as Exhibit 10.6 hereto and incorporated herein by reference.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Agreements, each dated September 2, 2020, by and between the Company and each of the Company’s officers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IPO, the Company consummated the private placement (“</w:t>
      </w: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with the Sponsor of 533,500 shares of Common Stock (the “</w:t>
      </w:r>
      <w:r>
        <w:rPr>
          <w:rFonts w:ascii="Times New Roman" w:cs="Times New Roman" w:eastAsia="Times New Roman" w:hAnsi="Times New Roman"/>
          <w:sz w:val="18"/>
          <w:szCs w:val="18"/>
          <w:u w:val="single" w:color="auto"/>
          <w:color w:val="auto"/>
        </w:rPr>
        <w:t>Private Shares</w:t>
      </w:r>
      <w:r>
        <w:rPr>
          <w:rFonts w:ascii="Times New Roman" w:cs="Times New Roman" w:eastAsia="Times New Roman" w:hAnsi="Times New Roman"/>
          <w:sz w:val="18"/>
          <w:szCs w:val="18"/>
          <w:color w:val="auto"/>
        </w:rPr>
        <w:t>”) at a price of $10.00 per share, generating total proceeds of $5,335,000.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Shares are identical to the shares of Common Stock sold in the IPO. Additionally, the Sponsor has agreed not to transfer, assign, or sell any of the Private Shares (except in limited circumstances, as described in the Registration Statement) until the date that is 30 days after the date we complete our initial business combination. Our Sponsor was granted certain demand and piggyback registration rights in connection with the purchase of the Private Shares.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The Private Shares were issued pursuant to Section 4(a)(2) of the Securities Act of 1933, as amended, as the transactions did not involve a public offering.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Certificate of Incorporation or Bylaws; Change in Fiscal Year</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2, 2020, in connection with the IPO, the Company filed its Amended and Restated Certificate of Incorporation with the Delaware Secretary of State. The terms of the Amended and Restated Certificate of Incorporation are set forth in the Registration Statement and are incorporated herein by reference. A copy of the Company’s Amended and Restated Certificate of Incorporation is attached as Exhibit 3.2 hereto and is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8, 2020, a total of $166,750,000.00. of the net proceeds from the IPO and the Private Placement were deposited in a trust account established for the benefit of the Company’s public stockholders. An audited balance sheet as of September 8, 2020 reflecting receipt of the proceeds upon consummation of the IPO and the Private Placement will be filed within 4 business days of the consummation of the IPO. The Company issued a press release in connection with the closing of the IPO, a copy of which is attached as Exhibit 99.1 hereto and incorporated by reference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Underwriting Agreement, dated September 2, 2020, by and between the Registrant and SVB Leerink LLC, as representative of the several</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underwriters</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36">
              <w:r>
                <w:rPr>
                  <w:rFonts w:ascii="Times New Roman" w:cs="Times New Roman" w:eastAsia="Times New Roman" w:hAnsi="Times New Roman"/>
                  <w:sz w:val="18"/>
                  <w:szCs w:val="18"/>
                  <w:u w:val="single" w:color="auto"/>
                  <w:color w:val="0000EE"/>
                </w:rPr>
                <w:t>Amended and Restated Certificate of Incorporation of the Company</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43">
              <w:r>
                <w:rPr>
                  <w:rFonts w:ascii="Times New Roman" w:cs="Times New Roman" w:eastAsia="Times New Roman" w:hAnsi="Times New Roman"/>
                  <w:sz w:val="18"/>
                  <w:szCs w:val="18"/>
                  <w:u w:val="single" w:color="auto"/>
                  <w:color w:val="0000EE"/>
                </w:rPr>
                <w:t>Letter Agreement, dated September 2, 2020, by and among the Registrant and its officers, directors and initial stockholders</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Investment Management Trust Agreement, dated September 2, 2020, by and between the Registrant and Continental Stock Transfer &amp; Trust</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w:anchor="page51">
              <w:r>
                <w:rPr>
                  <w:rFonts w:ascii="Times New Roman" w:cs="Times New Roman" w:eastAsia="Times New Roman" w:hAnsi="Times New Roman"/>
                  <w:sz w:val="18"/>
                  <w:szCs w:val="18"/>
                  <w:color w:val="0000EE"/>
                </w:rPr>
                <w:t>Company, LLC as trustee</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Escrow Agreement, dated September 2, 2020, by and among the Registrant, Continental Stock Transfer &amp; Trust Company, LLC, as escrow</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agent, and the Registrant’s initial stockholders</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Registration Rights Agreement, dated September 2, 2020, by and among the Registrant, Continental Stock Transfer &amp; Trust Company,</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line="196" w:lineRule="exact"/>
              <w:rPr>
                <w:rFonts w:ascii="Times New Roman" w:cs="Times New Roman" w:eastAsia="Times New Roman" w:hAnsi="Times New Roman"/>
                <w:sz w:val="18"/>
                <w:szCs w:val="18"/>
                <w:color w:val="0000EE"/>
              </w:rPr>
            </w:pPr>
            <w:hyperlink w:anchor="page75">
              <w:r>
                <w:rPr>
                  <w:rFonts w:ascii="Times New Roman" w:cs="Times New Roman" w:eastAsia="Times New Roman" w:hAnsi="Times New Roman"/>
                  <w:sz w:val="18"/>
                  <w:szCs w:val="18"/>
                  <w:color w:val="0000EE"/>
                </w:rPr>
                <w:t>LLC, and the Registrant’s initial stockholders</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Subscription Agreement, dated September 2, 2020, by and between the Registrant and the Sponsor</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5"/>
                <w:szCs w:val="15"/>
                <w:color w:val="auto"/>
              </w:rPr>
            </w:pPr>
          </w:p>
        </w:tc>
        <w:tc>
          <w:tcPr>
            <w:tcW w:w="10100" w:type="dxa"/>
            <w:vAlign w:val="bottom"/>
            <w:gridSpan w:val="7"/>
            <w:shd w:val="clear" w:color="auto" w:fill="CCEEFF"/>
          </w:tcPr>
          <w:p>
            <w:pPr>
              <w:spacing w:after="0" w:line="176"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Administrative Support Agreement, dated September 2, 2020, by and between the Registrant and Boxer Capital, LLC, an affiliate of the</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rPr>
            </w:pPr>
            <w:hyperlink w:anchor="page99">
              <w:r>
                <w:rPr>
                  <w:rFonts w:ascii="Times New Roman" w:cs="Times New Roman" w:eastAsia="Times New Roman" w:hAnsi="Times New Roman"/>
                  <w:sz w:val="18"/>
                  <w:szCs w:val="18"/>
                  <w:color w:val="0000EE"/>
                </w:rPr>
                <w:t>Sponsor</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7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101">
              <w:r>
                <w:rPr>
                  <w:rFonts w:ascii="Times New Roman" w:cs="Times New Roman" w:eastAsia="Times New Roman" w:hAnsi="Times New Roman"/>
                  <w:sz w:val="18"/>
                  <w:szCs w:val="18"/>
                  <w:u w:val="single" w:color="auto"/>
                  <w:color w:val="0000EE"/>
                </w:rPr>
                <w:t>Indemnity Agreements, each dated September 2, 2020, by and between the Registrant and each of the Registrant’s officers and directors</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8"/>
                <w:szCs w:val="18"/>
                <w:color w:val="auto"/>
              </w:rPr>
            </w:pPr>
          </w:p>
        </w:tc>
        <w:tc>
          <w:tcPr>
            <w:tcW w:w="10100" w:type="dxa"/>
            <w:vAlign w:val="bottom"/>
            <w:gridSpan w:val="7"/>
            <w:shd w:val="clear" w:color="auto" w:fill="CCEEFF"/>
          </w:tcPr>
          <w:p>
            <w:pPr>
              <w:spacing w:after="0"/>
              <w:rPr>
                <w:rFonts w:ascii="Times New Roman" w:cs="Times New Roman" w:eastAsia="Times New Roman" w:hAnsi="Times New Roman"/>
                <w:sz w:val="18"/>
                <w:szCs w:val="18"/>
                <w:u w:val="single" w:color="auto"/>
                <w:color w:val="0000EE"/>
              </w:rPr>
            </w:pPr>
            <w:hyperlink w:anchor="page245">
              <w:r>
                <w:rPr>
                  <w:rFonts w:ascii="Times New Roman" w:cs="Times New Roman" w:eastAsia="Times New Roman" w:hAnsi="Times New Roman"/>
                  <w:sz w:val="18"/>
                  <w:szCs w:val="18"/>
                  <w:u w:val="single" w:color="auto"/>
                  <w:color w:val="0000EE"/>
                </w:rPr>
                <w:t>Press Release dated September 9, 2020</w:t>
              </w:r>
            </w:hyperlink>
          </w:p>
        </w:tc>
      </w:tr>
      <w:tr>
        <w:trPr>
          <w:trHeight w:val="682"/>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80" w:type="dxa"/>
            <w:vAlign w:val="bottom"/>
            <w:tcBorders>
              <w:bottom w:val="single" w:sz="8" w:color="auto"/>
            </w:tcBorders>
            <w:gridSpan w:val="6"/>
          </w:tcPr>
          <w:p>
            <w:pPr>
              <w:ind w:left="4440"/>
              <w:spacing w:after="0"/>
              <w:rPr>
                <w:sz w:val="20"/>
                <w:szCs w:val="20"/>
                <w:color w:val="auto"/>
              </w:rPr>
            </w:pPr>
            <w:r>
              <w:rPr>
                <w:rFonts w:ascii="Times New Roman" w:cs="Times New Roman" w:eastAsia="Times New Roman" w:hAnsi="Times New Roman"/>
                <w:sz w:val="22"/>
                <w:szCs w:val="22"/>
                <w:color w:val="auto"/>
              </w:rPr>
              <w:t>2</w:t>
            </w: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September 9,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I. Davis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-127635</wp:posOffset>
            </wp:positionV>
            <wp:extent cx="24860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240"/>
        <w:spacing w:after="0"/>
        <w:rPr>
          <w:sz w:val="20"/>
          <w:szCs w:val="20"/>
          <w:color w:val="auto"/>
        </w:rPr>
      </w:pPr>
      <w:r>
        <w:rPr>
          <w:rFonts w:ascii="Times New Roman" w:cs="Times New Roman" w:eastAsia="Times New Roman" w:hAnsi="Times New Roman"/>
          <w:sz w:val="21"/>
          <w:szCs w:val="21"/>
          <w:b w:val="1"/>
          <w:bCs w:val="1"/>
          <w:color w:val="auto"/>
        </w:rPr>
        <w:t>Exhibit 1.1</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14,500,000 Shares of Common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Federal Street, 37th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Introductory</w:t>
      </w:r>
      <w:r>
        <w:rPr>
          <w:rFonts w:ascii="Times New Roman" w:cs="Times New Roman" w:eastAsia="Times New Roman" w:hAnsi="Times New Roman"/>
          <w:sz w:val="18"/>
          <w:szCs w:val="18"/>
          <w:color w:val="auto"/>
        </w:rPr>
        <w:t>: The undersigned, BCTG Acquisition Corp.,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confirms its agreement with SVB Leerink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w:t>
      </w:r>
      <w:r>
        <w:rPr>
          <w:rFonts w:ascii="Times New Roman" w:cs="Times New Roman" w:eastAsia="Times New Roman" w:hAnsi="Times New Roman"/>
          <w:sz w:val="18"/>
          <w:szCs w:val="18"/>
          <w:b w:val="1"/>
          <w:bCs w:val="1"/>
          <w:color w:val="auto"/>
        </w:rPr>
        <w:t>SVB Leerink</w:t>
      </w:r>
      <w:r>
        <w:rPr>
          <w:rFonts w:ascii="Times New Roman" w:cs="Times New Roman" w:eastAsia="Times New Roman" w:hAnsi="Times New Roman"/>
          <w:sz w:val="18"/>
          <w:szCs w:val="18"/>
          <w:color w:val="auto"/>
        </w:rPr>
        <w:t>”) (hereinafter referred to as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SVB Leerink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as follows:</w:t>
      </w:r>
    </w:p>
    <w:p>
      <w:pPr>
        <w:spacing w:after="0" w:line="155" w:lineRule="exact"/>
        <w:rPr>
          <w:sz w:val="20"/>
          <w:szCs w:val="20"/>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Purchase and Sale of Securities.</w:t>
      </w:r>
    </w:p>
    <w:p>
      <w:pPr>
        <w:spacing w:after="0" w:line="22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Firm Securities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59"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Purchase of Firm Securities</w:t>
      </w:r>
      <w:r>
        <w:rPr>
          <w:rFonts w:ascii="Times New Roman" w:cs="Times New Roman" w:eastAsia="Times New Roman" w:hAnsi="Times New Roman"/>
          <w:sz w:val="18"/>
          <w:szCs w:val="18"/>
          <w:color w:val="auto"/>
        </w:rPr>
        <w:t>. On the basis of the representations and warranties herein contained, but subject to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herein set forth, the Company agrees to issue and sell, severally and not jointly, to you an aggregate of 14,500,000 shares (the “</w:t>
      </w:r>
      <w:r>
        <w:rPr>
          <w:rFonts w:ascii="Times New Roman" w:cs="Times New Roman" w:eastAsia="Times New Roman" w:hAnsi="Times New Roman"/>
          <w:sz w:val="18"/>
          <w:szCs w:val="18"/>
          <w:b w:val="1"/>
          <w:bCs w:val="1"/>
          <w:color w:val="auto"/>
        </w:rPr>
        <w:t>Firm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at a purchase price (net of discounts and commissions,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Deferred Underwriting Commission described below) of $9.45 per Firm Security. The Underwriter agrees to purchase from the Company the number of Firm Securities at a purchase price (net of discounts and commissions, including the Deferred Underwriting Commission described below) of $9.45 per Firm Security. The Firm Securities (and the Option Securities (as hereinafter defined), if any) are to be offered initially to the public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at the offering price of $10.00 per Firm Security. As used herein, the term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(as more fully described in the Registration Statement) shall mean any acquisition by share exchange, share reconstruction and amalgamation with, purchasing all or substantially all of the assets of, entering into contractual arrangements with, or engaging in any other similar business combination with one or more businesses or entities by the Company.</w:t>
      </w:r>
    </w:p>
    <w:p>
      <w:pPr>
        <w:spacing w:after="0" w:line="185" w:lineRule="exact"/>
        <w:rPr>
          <w:rFonts w:ascii="Times New Roman" w:cs="Times New Roman" w:eastAsia="Times New Roman" w:hAnsi="Times New Roman"/>
          <w:sz w:val="18"/>
          <w:szCs w:val="18"/>
          <w:color w:val="auto"/>
        </w:rPr>
      </w:pPr>
    </w:p>
    <w:p>
      <w:pPr>
        <w:jc w:val="both"/>
        <w:ind w:firstLine="1952"/>
        <w:spacing w:after="0" w:line="251" w:lineRule="auto"/>
        <w:tabs>
          <w:tab w:leader="none" w:pos="2209"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and Delivery</w:t>
      </w:r>
      <w:r>
        <w:rPr>
          <w:rFonts w:ascii="Times New Roman" w:cs="Times New Roman" w:eastAsia="Times New Roman" w:hAnsi="Times New Roman"/>
          <w:sz w:val="18"/>
          <w:szCs w:val="18"/>
          <w:color w:val="auto"/>
        </w:rPr>
        <w:t>. Delivery and payment for the Firm Securities shall be made at 10:00 A.M., New York time,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second (2nd) Business Day (as defined below) following the Effective Date of the Registration Statement (or the third (3rd) Business Day following the Effective Date, if the Registration Statement is declared effective on or after 4:00 p.m. New York time) or at such earlier time as shall be agreed upon by the Representative and the Company at the offices of the Representative or at such other place as shall be agreed upon by the Representative and the Company. The closing of the public offering contemplated by this Agreement is referred to herein as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the hour and date of delivery and payment for the Firm Securities is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Payment for the Firm Securities shall be made on the Closing Date at the Representative’s election by wire transfer in Federal (same day) funds or by certified or bank cashier’s check(s) in New York Clearing House funds. $145,000,000 ($166,750,000 if the Over-allotment Option is exercised in full), or $10.00 per Firm Security and Option Security, of the proceeds received by the Company for the Firm Securities and from the Private Placement shall be deposited in the trust account established by the Company for the benefit of the public shareholders as described in the Registration Statement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pursuant to the terms of an Investment Management Trust Agreement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by and between the Company and Continental Stock Transfer &amp; Trust Company. Such amount includes an aggregate of up to $5,075,000 (or up to $5,836,250 if the Over-allotment Option is exercised in full), or $0.35 per Firm Security and Option Security, payable to SVB Leerink LLC as a Deferred Underwriting Commission in accordance with, and subject to adjustment pursuant to, this Agreement, to be placed by the Underwriter in the Trust Account. The proceeds (less commissions, expense allowance and actual expense payments or other fees payable pursuant to this Agreement) shall be paid to the order of the Company upon delivery to the Representative of certificates (in form and substance satisfactory to the Underwriter) representing the Firm Securities (or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for the account of the Underwriter. The Firm Securities shall be registered in such name or names and in such authorized denominations as the Representative may request in writing at least two</w:t>
      </w:r>
    </w:p>
    <w:p>
      <w:pPr>
        <w:spacing w:after="0" w:line="1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Business Days prior to the Closing Date. The Company will permit the Representative to examine and package the Firm Securities for delivery, at least one (1) full Business Day prior to the Closing Date. The Company shall not be obligated to sell or deliver the Firm Securities except upon tender of payment by the Representative for all the Firm Securities. As used herein, the term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any day on which national banks in New York, New York are not open for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ind w:left="1560" w:hanging="256"/>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Over-Allotment Option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7" w:lineRule="auto"/>
        <w:tabs>
          <w:tab w:leader="none" w:pos="215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Securities</w:t>
      </w:r>
      <w:r>
        <w:rPr>
          <w:rFonts w:ascii="Times New Roman" w:cs="Times New Roman" w:eastAsia="Times New Roman" w:hAnsi="Times New Roman"/>
          <w:sz w:val="18"/>
          <w:szCs w:val="18"/>
          <w:color w:val="auto"/>
        </w:rPr>
        <w:t>. For the purpose of covering any over-allotments in connection with the distribution and sale of the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the Underwriter are hereby granted, severally and not jointly, an option to purchase up to an additional 2,175,000 shares of Common Stock from the Company (the “</w:t>
      </w:r>
      <w:r>
        <w:rPr>
          <w:rFonts w:ascii="Times New Roman" w:cs="Times New Roman" w:eastAsia="Times New Roman" w:hAnsi="Times New Roman"/>
          <w:sz w:val="18"/>
          <w:szCs w:val="18"/>
          <w:b w:val="1"/>
          <w:bCs w:val="1"/>
          <w:color w:val="auto"/>
        </w:rPr>
        <w:t>Over-allotment Option</w:t>
      </w:r>
      <w:r>
        <w:rPr>
          <w:rFonts w:ascii="Times New Roman" w:cs="Times New Roman" w:eastAsia="Times New Roman" w:hAnsi="Times New Roman"/>
          <w:sz w:val="18"/>
          <w:szCs w:val="18"/>
          <w:color w:val="auto"/>
        </w:rPr>
        <w:t>”). Such additional 2,175,000 shares shall be identical in all respects to the Firm Securities and are hereinafter referred to as “</w:t>
      </w:r>
      <w:r>
        <w:rPr>
          <w:rFonts w:ascii="Times New Roman" w:cs="Times New Roman" w:eastAsia="Times New Roman" w:hAnsi="Times New Roman"/>
          <w:sz w:val="18"/>
          <w:szCs w:val="18"/>
          <w:b w:val="1"/>
          <w:bCs w:val="1"/>
          <w:color w:val="auto"/>
        </w:rPr>
        <w:t>Option Securities</w:t>
      </w:r>
      <w:r>
        <w:rPr>
          <w:rFonts w:ascii="Times New Roman" w:cs="Times New Roman" w:eastAsia="Times New Roman" w:hAnsi="Times New Roman"/>
          <w:sz w:val="18"/>
          <w:szCs w:val="18"/>
          <w:color w:val="auto"/>
        </w:rPr>
        <w:t>.” The Firm Securities and the Option Securities, are hereinafter referred to as the “</w:t>
      </w:r>
      <w:r>
        <w:rPr>
          <w:rFonts w:ascii="Times New Roman" w:cs="Times New Roman" w:eastAsia="Times New Roman" w:hAnsi="Times New Roman"/>
          <w:sz w:val="18"/>
          <w:szCs w:val="18"/>
          <w:b w:val="1"/>
          <w:bCs w:val="1"/>
          <w:color w:val="auto"/>
        </w:rPr>
        <w:t>Public Securities</w:t>
      </w:r>
      <w:r>
        <w:rPr>
          <w:rFonts w:ascii="Times New Roman" w:cs="Times New Roman" w:eastAsia="Times New Roman" w:hAnsi="Times New Roman"/>
          <w:sz w:val="18"/>
          <w:szCs w:val="18"/>
          <w:color w:val="auto"/>
        </w:rPr>
        <w:t>.” The purchase price to be paid for the Option Securities (net of discounts and commissions, including the Deferred Underwriting Commission described in below) will be $9.45 per Option Security. The Option Securities are to be offered initially to the public at the offering price of $10.00 per Option Security.</w:t>
      </w:r>
    </w:p>
    <w:p>
      <w:pPr>
        <w:spacing w:after="0" w:line="182"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0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Exercise of Option</w:t>
      </w:r>
      <w:r>
        <w:rPr>
          <w:rFonts w:ascii="Times New Roman" w:cs="Times New Roman" w:eastAsia="Times New Roman" w:hAnsi="Times New Roman"/>
          <w:sz w:val="18"/>
          <w:szCs w:val="18"/>
          <w:color w:val="auto"/>
        </w:rPr>
        <w:t>. The Over-allotment Option granted pursuant to this Agreement may be exercised by the Representative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to all (at any time) or any part (from time to time) of the Option Securities within forty-five (45) days after the Effective Date. The Underwriter will not be under any obligation to purchase any Option Securities prior to the exercise of the Over-allotment Option. The Over-allotment Option granted hereby may be exercised by the giving of oral notice to the Company from the Representative, which must be confirmed in writing by overnight mail, facsimile transmission or e-mail transmission setting forth the number of Option Securities to be purchased and the date and time for delivery of and payment for the Option Securities, which will not be later than five (5) Business Days after the date of the notice or such other time as shall be agreed upon by the Company and the Representative, at the offices of the Representative or at such other place or in such other manner as shall be agreed upon by the Company and the Representative. If such delivery and payment for the Option Securities does not occur on the Closing Date, the date and time of the closing for such Option Securities will be as set forth in the notice (hereinafter the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Upon exercise of the Over-allotment Option, the Company will become obligated to convey to the Underwriter, and, subject to the terms and conditions set forth herein, the Underwriter will become obligated to purchase, the number of Option Securities specified in such notice.</w:t>
      </w:r>
    </w:p>
    <w:p>
      <w:pPr>
        <w:spacing w:after="0" w:line="191"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5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and Delivery</w:t>
      </w:r>
      <w:r>
        <w:rPr>
          <w:rFonts w:ascii="Times New Roman" w:cs="Times New Roman" w:eastAsia="Times New Roman" w:hAnsi="Times New Roman"/>
          <w:sz w:val="18"/>
          <w:szCs w:val="18"/>
          <w:color w:val="auto"/>
        </w:rPr>
        <w:t>. Delivery and payment for the Option Securities shall be made at 10:00 AM, New York time,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Closing Date or at such earlier time as shall be agreed upon by the Representative and the Company at the offices of the Representative or at such other place as shall be agreed upon by the Representative and the Company. Payment for the Option Securities shall be made at the Representative’s election by wire transfer in Federal (same day) funds or by certified or bank cashier’s check(s) in New York Clearing House funds, by deposit of the sum of $9.45 per Option Security in the Trust Account pursuant to the Trust Agreement upon delivery to the Representative of certificates (in form and substance satisfactory to the Underwriter) representing the Option Securities (or through the facilities of DTC) for the account of the Underwriter. The Underwriter shall also place an aggregate of $0.35 per Option Security (up to $761,250), payable to SVB Leerink, as Deferred Underwriting Commission in the Trust Account. The Option Securities shall be registered in such name or names and in such authorized denominations as the Representative may request not less than two (2) Business Days prior to the Closing Date or the Option Closing Date, as the case may be, and will be made available to the Representative for inspection, checking and packaging at the aforesaid office of the Company’s transfer agent or correspondent not less than one (1) full Business Day prior to such Closing Date or Option Closing Date.</w:t>
      </w:r>
    </w:p>
    <w:p>
      <w:pPr>
        <w:spacing w:after="0" w:line="19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Underwriting Commission</w:t>
      </w:r>
      <w:r>
        <w:rPr>
          <w:rFonts w:ascii="Times New Roman" w:cs="Times New Roman" w:eastAsia="Times New Roman" w:hAnsi="Times New Roman"/>
          <w:sz w:val="18"/>
          <w:szCs w:val="18"/>
          <w:color w:val="auto"/>
        </w:rPr>
        <w:t>. The Underwriter agrees that 3.5% of the gross proceeds from the sale of the Firm Securities ($5,075,000) and 3.5% of the gross proceeds from the sale of the Option Securities (up to $761,250) (the “</w:t>
      </w:r>
      <w:r>
        <w:rPr>
          <w:rFonts w:ascii="Times New Roman" w:cs="Times New Roman" w:eastAsia="Times New Roman" w:hAnsi="Times New Roman"/>
          <w:sz w:val="18"/>
          <w:szCs w:val="18"/>
          <w:b w:val="1"/>
          <w:bCs w:val="1"/>
          <w:color w:val="auto"/>
        </w:rPr>
        <w:t>Deferred Underwriting Commission</w:t>
      </w:r>
      <w:r>
        <w:rPr>
          <w:rFonts w:ascii="Times New Roman" w:cs="Times New Roman" w:eastAsia="Times New Roman" w:hAnsi="Times New Roman"/>
          <w:sz w:val="18"/>
          <w:szCs w:val="18"/>
          <w:color w:val="auto"/>
        </w:rPr>
        <w:t>”) will be deposited in and held in the Trust Account and payable directly from the Trust Account, without accrued interest, to SVB Leerink upon consummation of the Business Combination. In the event that the Company is unable to consummate a Business Combination and Continental Stock Transfer &amp; Trust Company, as the trustee of the Trust Account (in this context,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commences liquidation of the Trust Account as provided in the Trust Agreement, the Underwriter agrees that: (i) the Underwriter hereby forfeits any rights or claims to the Deferred Underwriting Commission any Underwriter may have; and (ii) the Deferred Underwriting Commission, together with all other amounts on deposit in the Trust Account, shall be distributed on a pro-rata basis among the public shareholders.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ind w:left="1560" w:hanging="256"/>
        <w:spacing w:after="0"/>
        <w:tabs>
          <w:tab w:leader="none" w:pos="15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firstLine="1952"/>
        <w:spacing w:after="0" w:line="257" w:lineRule="auto"/>
        <w:tabs>
          <w:tab w:leader="none" w:pos="2172"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Placement Shares</w:t>
      </w:r>
      <w:r>
        <w:rPr>
          <w:rFonts w:ascii="Times New Roman" w:cs="Times New Roman" w:eastAsia="Times New Roman" w:hAnsi="Times New Roman"/>
          <w:sz w:val="18"/>
          <w:szCs w:val="18"/>
          <w:color w:val="auto"/>
        </w:rPr>
        <w:t>. Simultaneously with the Closing, BCTG Holdings, LLC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shall purchase from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aggregate of 490,000 shares of common stock (or 533,500 shares if the Underwriter’s over-allotment option is exercised in full) at a price of $10.00 per share ($4,900,000 in the aggregate, or $5,335,000 in the aggregate if the Underwriter’s over-allotment option is exercised in full), in a private placement that will close simultaneously with the closing of this offering. The Placement Shares and Public Securities are hereinafter referred to collectively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There will be no placement agent in the Private Placement and no party shall be entitled to a placement fee or expense allowance from the sale of the Placement Shares.</w:t>
      </w:r>
    </w:p>
    <w:p>
      <w:pPr>
        <w:spacing w:after="0" w:line="18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Representations and Warranties of the Company. </w:t>
      </w:r>
      <w:r>
        <w:rPr>
          <w:rFonts w:ascii="Times New Roman" w:cs="Times New Roman" w:eastAsia="Times New Roman" w:hAnsi="Times New Roman"/>
          <w:sz w:val="18"/>
          <w:szCs w:val="18"/>
          <w:color w:val="auto"/>
        </w:rPr>
        <w:t>The Company represents and warrants to the Underwriter as follows:</w:t>
      </w:r>
    </w:p>
    <w:p>
      <w:pPr>
        <w:spacing w:after="0" w:line="22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Registration Statement</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99"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Pursuant to the Act</w:t>
      </w:r>
      <w:r>
        <w:rPr>
          <w:rFonts w:ascii="Times New Roman" w:cs="Times New Roman" w:eastAsia="Times New Roman" w:hAnsi="Times New Roman"/>
          <w:sz w:val="18"/>
          <w:szCs w:val="18"/>
          <w:color w:val="auto"/>
        </w:rPr>
        <w:t>. 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and an amendment or amendments thereto, on Form S-1 (File No. 333-240237), including any related preliminary prospectus (the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including any prospectus that is included in the Registration Statement immediately prior to the effectiveness of the Registration Statement), for the registration of the Public Securities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which registration statement and amendment or amendments have been prepared by the Company in conformity in all material respects with the requirements of the Act, and the rules and regulations (the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of the Commission under the Act. The conditions for use of Form S-1 to register the Offering under the Act, as set forth in the General Instructions to such Form, have been satisfied in all material respects. Except as the context may otherwise require, such registration statement, as amended, on file with the Commission at the time the registration statement becomes effective (including the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form of the final prospectus dated the Effective Date included in the Registration Statement (or, if applicable, the form of final prospectus containing information permitted to be omitted at the time of effectiveness by Rule 430A of the Regulations filed with the Commission pursuant to Rule 424 of the Regulations), is hereinafter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as used in the Act, means 10:00 p.m., New York City time, on the date of this Agreement. If the Company has filed, or is required pursuant to the terms hereof to file, a registration statement pursuant to Rule 462(b) under the Securities Act registering the Securities (a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then, unless otherwise specified, any reference herein to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be deemed to include such Rule 462(b) Registration Statement. Other than a Rule 462(b) Registration Statement, which, if filed, becomes effective upon filing, no other document with respect to the Registration Statement has heretofore been filed with the Commission. All of the Public Securities have been registered under the Act pursuant to the Registration Statement or, if any Rule 462(b) Registration Statement is filed, will be duly registered under the Securities Act with the filing of such Rule 462(b) Registration Statement. The Registration Statement has been declared effective by the Commission on the date hereof. If, subsequent to the date of this Agreement, the Company or the Representative has determined that at the Time of Sale the Prospectus included an untrue statement of a material fact or omitted a statement of material fact necessary to make the statements therein, in light of the circumstances under which they were made, not misleading, and have agreed to provide an opportunity to purchasers of the Firm Securities or Option Securities to terminate their old purchase contracts and enter into new purchase contracts, the Prospectus will be deemed to include any additional information available to purchasers at the time of entry into the first such new purchase contract.</w:t>
      </w:r>
    </w:p>
    <w:p>
      <w:pPr>
        <w:spacing w:after="0" w:line="185" w:lineRule="exact"/>
        <w:rPr>
          <w:rFonts w:ascii="Times New Roman" w:cs="Times New Roman" w:eastAsia="Times New Roman" w:hAnsi="Times New Roman"/>
          <w:sz w:val="18"/>
          <w:szCs w:val="18"/>
          <w:color w:val="auto"/>
        </w:rPr>
      </w:pPr>
    </w:p>
    <w:p>
      <w:pPr>
        <w:jc w:val="both"/>
        <w:ind w:firstLine="1952"/>
        <w:spacing w:after="0" w:line="267" w:lineRule="auto"/>
        <w:tabs>
          <w:tab w:leader="none" w:pos="2222"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Pursuant to the Exchange Act</w:t>
      </w:r>
      <w:r>
        <w:rPr>
          <w:rFonts w:ascii="Times New Roman" w:cs="Times New Roman" w:eastAsia="Times New Roman" w:hAnsi="Times New Roman"/>
          <w:sz w:val="18"/>
          <w:szCs w:val="18"/>
          <w:color w:val="auto"/>
        </w:rPr>
        <w:t>. The Company has filed with the Commission a Form 8-A (Registration No. 001-39485),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for the registration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the Common Stock of the Company. The registration of the Common Stock under the Exchange Act will be declared effective by the Commission on or prior to the Effective Date.</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both"/>
        <w:ind w:firstLine="1304"/>
        <w:spacing w:after="0" w:line="266" w:lineRule="auto"/>
        <w:tabs>
          <w:tab w:leader="none" w:pos="15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Stop Orders, Etc</w:t>
      </w:r>
      <w:r>
        <w:rPr>
          <w:rFonts w:ascii="Times New Roman" w:cs="Times New Roman" w:eastAsia="Times New Roman" w:hAnsi="Times New Roman"/>
          <w:sz w:val="18"/>
          <w:szCs w:val="18"/>
          <w:color w:val="auto"/>
        </w:rPr>
        <w:t>. Neither the Commission nor, to the best of the Company’s knowledge, any state regulatory authority has issued any order or threatened to issue any order preventing or suspending the use of any Preliminary Prospectus or has instituted or, to the best of the Company’s knowledge, threatened to institute any proceedings with respect to such an order.</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Disclosures in Registration Statement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8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10b-5 Representation</w:t>
      </w:r>
      <w:r>
        <w:rPr>
          <w:rFonts w:ascii="Times New Roman" w:cs="Times New Roman" w:eastAsia="Times New Roman" w:hAnsi="Times New Roman"/>
          <w:sz w:val="18"/>
          <w:szCs w:val="18"/>
          <w:color w:val="auto"/>
        </w:rPr>
        <w:t>. At the time the Registration Statement became effective, upon the filing or first use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of the Regulations) of the Prospectus and at the Closing Date and the Option Closing Date, if any, the Registration Statement and the Prospectus contained or will contain all material statements that are required to be stated therein in accordance with the Act and the Regulations, and did or will in all material respects conform to the requirements of the Act and the Regulations. Neither the Registration Statement nor any Preliminary Prospectus or the Prospectus, nor any amendment or supplement thereto, on their respective dates, did or will contain any untrue statement of a material fact or omit to state any material fact required to be stated therein or necessary to make the statements therein (in the case of the Preliminary Prospectus and the Prospectus, in light of the circumstances under which they were made), not misleading. When any Preliminary Prospectus was first filed with the Commission (whether filed as part of the Registration Statement for the registration of the Securities or any amendment thereto or pursuant to Rule 424(a) of the Regulations) or first used (within the meaning of the Regulations) and when any amendment thereof or supplement thereto was first filed with the Commission or first used (within the meaning of the Regulations), such Preliminary Prospectus and any amendments thereof and supplements thereto complied or will have been corrected in the Prospectus to comply in all material respects with the applicable provisions of the Act and the Regulations and did not and will not contain an untrue statement of a material fact or omit to state any material fact required to be stated therein or necessary in order to make the statements therein, in light of the circumstances under which they were made, not misleading. The representation and warranty made in this clause (i) does not apply to statements made or statements omitted in reliance upon and in conformity with written information furnished to the Company with respect to the Underwriter by the Representative expressly for use in the Registration Statement or Prospectus or any amendment thereof or supplement thereto. It is understood the following identified statements set forth in the Prospectus under the heading “Underwriting” constitute, for the purposes of this Agreement, information furnished by the Representative with respect to the Underwriter: (i) the table of underwriters in the first paragraph of “Underwriting”, (ii) the first paragraph of the Underwriting subsection “Commissions and Discounts” and (iii) the Underwriting subsection “Regulatory Restrictions on Purchase of Securities”.</w:t>
      </w:r>
    </w:p>
    <w:p>
      <w:pPr>
        <w:spacing w:after="0" w:line="190" w:lineRule="exact"/>
        <w:rPr>
          <w:rFonts w:ascii="Times New Roman" w:cs="Times New Roman" w:eastAsia="Times New Roman" w:hAnsi="Times New Roman"/>
          <w:sz w:val="18"/>
          <w:szCs w:val="18"/>
          <w:color w:val="auto"/>
        </w:rPr>
      </w:pPr>
    </w:p>
    <w:p>
      <w:pPr>
        <w:jc w:val="both"/>
        <w:ind w:firstLine="1952"/>
        <w:spacing w:after="0" w:line="252" w:lineRule="auto"/>
        <w:tabs>
          <w:tab w:leader="none" w:pos="224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of Agreements</w:t>
      </w:r>
      <w:r>
        <w:rPr>
          <w:rFonts w:ascii="Times New Roman" w:cs="Times New Roman" w:eastAsia="Times New Roman" w:hAnsi="Times New Roman"/>
          <w:sz w:val="18"/>
          <w:szCs w:val="18"/>
          <w:color w:val="auto"/>
        </w:rPr>
        <w:t>. The agreements and documents described in the Registration Statement, the Preliminary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and the Prospectus conform to the descriptions thereof contained therein and there are no agreements or other documents required to be described in the Registration Statement, the Preliminary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Preliminary Prospectus or the Prospectus or attached as an exhibit thereto, or (ii) is material to the Company’s business, has been duly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material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both"/>
        <w:ind w:firstLine="1952"/>
        <w:spacing w:after="0" w:line="267" w:lineRule="auto"/>
        <w:tabs>
          <w:tab w:leader="none" w:pos="225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Prior Securities Transactions</w:t>
      </w:r>
      <w:r>
        <w:rPr>
          <w:rFonts w:ascii="Times New Roman" w:cs="Times New Roman" w:eastAsia="Times New Roman" w:hAnsi="Times New Roman"/>
          <w:sz w:val="18"/>
          <w:szCs w:val="18"/>
          <w:color w:val="auto"/>
        </w:rPr>
        <w:t>. No securities of the Company have been sold by the Company or by or on behalf of, or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benefit of, any person or persons controlling, controlled by, or under common control with the Company since the date of the Company’s formation, except as disclosed in the Registration Statement.</w:t>
      </w:r>
    </w:p>
    <w:p>
      <w:pPr>
        <w:spacing w:after="0" w:line="17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6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Regulations</w:t>
      </w:r>
      <w:r>
        <w:rPr>
          <w:rFonts w:ascii="Times New Roman" w:cs="Times New Roman" w:eastAsia="Times New Roman" w:hAnsi="Times New Roman"/>
          <w:sz w:val="18"/>
          <w:szCs w:val="18"/>
          <w:color w:val="auto"/>
        </w:rPr>
        <w:t>. The disclosures in the Registration Statement, the Preliminary Prospectus and the Prospectus concerning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effects of Federal, state and local regulation on the Company’s business as currently contemplated fairly summarize, to the best of the Company’s knowledge, such effects and do not omit to state a material fact necessary to make the statements therein, (in the case of the Preliminary Prospectus and the Prospectus, in light of the circumstances under which they were made), not misleading.</w:t>
      </w:r>
    </w:p>
    <w:p>
      <w:pPr>
        <w:spacing w:after="0" w:line="18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After Dates in Registration Statement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7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Except as contemplated in the Prospectus or specifically stated therein, since the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dates as of which information is given in the Registration Statement, any Preliminary Prospectus and/or the Prospectus: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and the Prospectus.</w:t>
      </w:r>
    </w:p>
    <w:p>
      <w:pPr>
        <w:spacing w:after="0" w:line="182"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Recent Securities Transactions, Etc</w:t>
      </w:r>
      <w:r>
        <w:rPr>
          <w:rFonts w:ascii="Times New Roman" w:cs="Times New Roman" w:eastAsia="Times New Roman" w:hAnsi="Times New Roman"/>
          <w:sz w:val="18"/>
          <w:szCs w:val="18"/>
          <w:color w:val="auto"/>
        </w:rPr>
        <w:t>. Except as contemplated in the Prospectus, subsequent to the respective dates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information is given in the Registration Statement and the Prospectus, and except as may otherwise be indicated or contemplated herein or therein, the Company has not: (i) issued any securities or incurred any liability or obligation, direct or contingent, for borrowed money; or (ii) declared or paid any dividend or made any other distribution on or in respect to its capital stock.</w:t>
      </w:r>
    </w:p>
    <w:p>
      <w:pPr>
        <w:spacing w:after="0" w:line="17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To the best of the Company’s knowledge, WithumSmith+Brown, PC (“</w:t>
      </w:r>
      <w:r>
        <w:rPr>
          <w:rFonts w:ascii="Times New Roman" w:cs="Times New Roman" w:eastAsia="Times New Roman" w:hAnsi="Times New Roman"/>
          <w:sz w:val="18"/>
          <w:szCs w:val="18"/>
          <w:b w:val="1"/>
          <w:bCs w:val="1"/>
          <w:color w:val="auto"/>
        </w:rPr>
        <w:t>Withum</w:t>
      </w:r>
      <w:r>
        <w:rPr>
          <w:rFonts w:ascii="Times New Roman" w:cs="Times New Roman" w:eastAsia="Times New Roman" w:hAnsi="Times New Roman"/>
          <w:sz w:val="18"/>
          <w:szCs w:val="18"/>
          <w:color w:val="auto"/>
        </w:rPr>
        <w:t>”), whose report is filed with the Commission as part of the Registration Statement and included in the Registration Statement, the Preliminary Prospectus and the Prospectus, are independent accountants as required by the Act and the Regulations and the Public Company Accounting Oversight Board (including the rules and regulations promulgated by such entity,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To the best of the Company’s knowledge, Withum is duly registered and in good standing with the PCAOB. Withum has not, during the periods covered by the financial statements included in the Registration Statement and the Prospectus, provided to the Company any non-audit services, as such term is used in Section 10A(g) of the Exchange Act, except for tax services as approved by the Company’s board of directors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 Statistical Data</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The financial statements, including the notes thereto and supporting schedules included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Preliminary Prospectus and the Prospectus fairly present the financial position and the results of operations of the Company at the dates and for the periods to which they apply; and such financial statements have been prepared in conformity with generally accepted accounting principles, consistently applied throughout the periods involved; and the supporting schedules included in the Registration Statement present fairly the information required to be stated therein. To the best of the Company’s knowledge, no other financial statements or supporting schedules are required to be included or incorporated by reference in the Registration Statement, the Preliminary Prospectus or the Prospectus. The Registration Statement, the Preliminary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To the best of the Company’s knowledge, there are no pro forma or as adjusted financial statements which are required to be included in the Registration Statement and the Prospectus in accordance with Regulation S-X which have not been included as so required.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9" w:name="page10"/>
    <w:bookmarkEnd w:id="9"/>
    <w:p>
      <w:pPr>
        <w:jc w:val="both"/>
        <w:ind w:firstLine="1952"/>
        <w:spacing w:after="0" w:line="267" w:lineRule="auto"/>
        <w:tabs>
          <w:tab w:leader="none" w:pos="224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Statistical Data</w:t>
      </w:r>
      <w:r>
        <w:rPr>
          <w:rFonts w:ascii="Times New Roman" w:cs="Times New Roman" w:eastAsia="Times New Roman" w:hAnsi="Times New Roman"/>
          <w:sz w:val="18"/>
          <w:szCs w:val="18"/>
          <w:color w:val="auto"/>
        </w:rPr>
        <w:t>. The statistical, industry-related and market-related data included in the Registration Statement,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Preliminary Prospectus and the Prospectus, if any, are based on or derived from sources which the Company reasonably and in good faith believes are reliable and accurate, and such data agree with the sources from which they are derived.</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Capital; Options, Etc</w:t>
      </w:r>
      <w:r>
        <w:rPr>
          <w:rFonts w:ascii="Times New Roman" w:cs="Times New Roman" w:eastAsia="Times New Roman" w:hAnsi="Times New Roman"/>
          <w:sz w:val="18"/>
          <w:szCs w:val="18"/>
          <w:color w:val="auto"/>
        </w:rPr>
        <w:t>. The Company had at the date or dates indicated in the Registration Statement, the Preliminary Prospectus and the Prospectus, as the case may be, duly authorized, issued and outstanding capitalization as set forth in the Registration Statement, the Preliminary Prospectus and the Prospectus. Based on the assumptions stated in the Registration Statement, the Preliminary Prospectus and the Prospectus, the Company will have on the Closing Date the adjusted stock capitalization set forth therein. Except as set forth in, or contemplated by, the Registration Statement, the Preliminary Prospectus and the Prospectus, on the Effective Date of the Prospectus and on the Closing Date and the Option Closing Date, if any, there will be no options, warrants, or other rights to purchase or otherwise acquire any authorized, but unissued Common Stock of the Company or any security convertible into shares of Common Stock of the Company, or any contracts or commitments to issue or sell shares of Common Stock or any such options, warrants, rights or convertible securities.</w:t>
      </w:r>
    </w:p>
    <w:p>
      <w:pPr>
        <w:spacing w:after="0" w:line="19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 of Securities, Etc</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72"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Outstanding Securities</w:t>
      </w:r>
      <w:r>
        <w:rPr>
          <w:rFonts w:ascii="Times New Roman" w:cs="Times New Roman" w:eastAsia="Times New Roman" w:hAnsi="Times New Roman"/>
          <w:sz w:val="18"/>
          <w:szCs w:val="18"/>
          <w:color w:val="auto"/>
        </w:rPr>
        <w:t>. All issued and outstanding securities of the Company (including, without limitation, the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Public Securities conform in all material respects to all statements relating thereto contained in the Registration Statement, the Preliminary Prospectus and the Prospectus. Subject to the disclosure contained in the Registration Statement, the Preliminary Prospectus and the Prospectus with respect to the Placement Shares, the offers and sales of the outstanding shares of Common Stock were at all relevant times either registered under the Act and the applicable state securities or Blue Sky laws or, based in part on the representations and warranties of the purchasers of such shares of Common Stock, exempt from such registration requirements.</w:t>
      </w:r>
    </w:p>
    <w:p>
      <w:pPr>
        <w:spacing w:after="0" w:line="185" w:lineRule="exact"/>
        <w:rPr>
          <w:sz w:val="20"/>
          <w:szCs w:val="20"/>
          <w:color w:val="auto"/>
        </w:rPr>
      </w:pPr>
    </w:p>
    <w:p>
      <w:pPr>
        <w:jc w:val="both"/>
        <w:ind w:firstLine="1952"/>
        <w:spacing w:after="0" w:line="257" w:lineRule="auto"/>
        <w:tabs>
          <w:tab w:leader="none" w:pos="222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Sold</w:t>
      </w:r>
      <w:r>
        <w:rPr>
          <w:rFonts w:ascii="Times New Roman" w:cs="Times New Roman" w:eastAsia="Times New Roman" w:hAnsi="Times New Roman"/>
          <w:sz w:val="18"/>
          <w:szCs w:val="18"/>
          <w:color w:val="auto"/>
        </w:rPr>
        <w:t>. The Securities have been duly authorized and reserved for issuance and when issued and paid for,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actions required to be taken for the authorization, issuance and sale of the Securities have been duly and validly taken. The Securities conform in all material respects to all statements with respect thereto contained in the Registration Statement, the Preliminary Prospectus and the Prospectus, as the case may be.</w:t>
      </w:r>
    </w:p>
    <w:p>
      <w:pPr>
        <w:spacing w:after="0" w:line="182"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5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Placement Shares</w:t>
      </w:r>
      <w:r>
        <w:rPr>
          <w:rFonts w:ascii="Times New Roman" w:cs="Times New Roman" w:eastAsia="Times New Roman" w:hAnsi="Times New Roman"/>
          <w:sz w:val="18"/>
          <w:szCs w:val="18"/>
          <w:color w:val="auto"/>
        </w:rPr>
        <w:t>. The Placement Shares have been duly authorized and reserved for issuance and when issued and paid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be validly issued, fully paid and non-assessable; the Placement Shares are not and will not be subject to the preemptive rights of any holders of any security of the Company or similar contractual rights granted by the Company; and all corporate actions required to be taken for the authorization, issuance and sale of the Placement Shares have been duly and validly taken.</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6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Integration</w:t>
      </w:r>
      <w:r>
        <w:rPr>
          <w:rFonts w:ascii="Times New Roman" w:cs="Times New Roman" w:eastAsia="Times New Roman" w:hAnsi="Times New Roman"/>
          <w:sz w:val="18"/>
          <w:szCs w:val="18"/>
          <w:color w:val="auto"/>
        </w:rPr>
        <w:t>. Subject to the disclosure contained in the Registration Statement, the Preliminary Prospectus and/or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with respect to the Placement Shares, neither the Company nor any of its affiliates has, prior to the date hereof, made any offer or sale of any securities which are required to be “integrated” pursuant to the Act or the Regulations with the offer and sale of the Public Securities pursuant to the Registration Statement.</w:t>
      </w:r>
    </w:p>
    <w:p>
      <w:pPr>
        <w:spacing w:after="0" w:line="18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of Third Parties</w:t>
      </w:r>
      <w:r>
        <w:rPr>
          <w:rFonts w:ascii="Times New Roman" w:cs="Times New Roman" w:eastAsia="Times New Roman" w:hAnsi="Times New Roman"/>
          <w:sz w:val="18"/>
          <w:szCs w:val="18"/>
          <w:color w:val="auto"/>
        </w:rPr>
        <w:t>. Except as set forth in the Registration Statement, the Preliminary Prospectus or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0" w:name="page11"/>
    <w:bookmarkEnd w:id="10"/>
    <w:p>
      <w:pPr>
        <w:jc w:val="both"/>
        <w:ind w:firstLine="1304"/>
        <w:spacing w:after="0" w:line="256" w:lineRule="auto"/>
        <w:tabs>
          <w:tab w:leader="none" w:pos="15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Validity and Binding Effect of Agreements</w:t>
      </w:r>
      <w:r>
        <w:rPr>
          <w:rFonts w:ascii="Times New Roman" w:cs="Times New Roman" w:eastAsia="Times New Roman" w:hAnsi="Times New Roman"/>
          <w:sz w:val="18"/>
          <w:szCs w:val="18"/>
          <w:color w:val="auto"/>
        </w:rPr>
        <w:t>. This Agreement, the Trust Agreement, the Services Agreement, the Subscription Agreement, the Registration Rights Agreement and the Escrow Agreement have been duly and validly authorized by the Company and constitute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 Etc</w:t>
      </w:r>
      <w:r>
        <w:rPr>
          <w:rFonts w:ascii="Times New Roman" w:cs="Times New Roman" w:eastAsia="Times New Roman" w:hAnsi="Times New Roman"/>
          <w:sz w:val="18"/>
          <w:szCs w:val="18"/>
          <w:color w:val="auto"/>
        </w:rPr>
        <w:t>. The execution, delivery, and performance by the Company of this Agreement, the Trust Agreement, the Services Agreement, the Subscription Agreement, the Registration Rights Agreement and the Escrow Agreement,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material lien, charge or encumbrance upon any property or assets of the Company pursuant to the terms of any agreement or instrument to which the Company is a party; (ii) result in any violation of the provisions of the amended and restated certificate of incorporation of the Company; or (iii) violate any existing applicable law, rule, regulation, judgment, order or decree of any governmental agency or court, domestic or foreign, having jurisdiction over the Company or any of its properties or business.</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1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Defaults; Violations</w:t>
      </w:r>
      <w:r>
        <w:rPr>
          <w:rFonts w:ascii="Times New Roman" w:cs="Times New Roman" w:eastAsia="Times New Roman" w:hAnsi="Times New Roman"/>
          <w:sz w:val="18"/>
          <w:szCs w:val="18"/>
          <w:color w:val="auto"/>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material agreement, license, permit, applicable law, rule, regulation, judgment or decree of any governmental agency or court, domestic or foreign, having jurisdiction over the Company or any of its properties or businesses, except for such violations which would not reasonably be expected to have a material adverse effect on the Company. The Company is not in violation of any term or provision of its amended and restated certificate of incorporation.</w:t>
      </w:r>
    </w:p>
    <w:p>
      <w:pPr>
        <w:spacing w:after="0" w:line="188"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Power; Licenses; Consents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Conduct of Business</w:t>
      </w:r>
      <w:r>
        <w:rPr>
          <w:rFonts w:ascii="Times New Roman" w:cs="Times New Roman" w:eastAsia="Times New Roman" w:hAnsi="Times New Roman"/>
          <w:sz w:val="18"/>
          <w:szCs w:val="18"/>
          <w:color w:val="auto"/>
        </w:rPr>
        <w:t>. The Company has all requisite corporate power and authority, and has all necessary authorizations,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approvals, orders, licenses, certificates and permits of and from all governmental regulatory officials and bodies, that it needs as of the date hereof to conduct its business for the purposes described in the Registration Statement, the Preliminary Prospectus and the Prospectus. To the Company’s knowledge, the disclosures in the Registration Statement and the Prospectus concerning the effects of federal, state and local regulation on the Offering and the Company’s business purpose as currently contemplated are correct in all material respects and do not omit to state a material fact required to be stated therein or necessary in order to make the statements therein (with respect to the Preliminary Prospectus and the Prospectus, in light of the circumstances under which they were made), not misleading. Since its formation, the Company has conducted no business and has incurred no liabilities other than in connection with and in furtherance of the Offering.</w:t>
      </w:r>
    </w:p>
    <w:p>
      <w:pPr>
        <w:spacing w:after="0" w:line="184" w:lineRule="exact"/>
        <w:rPr>
          <w:rFonts w:ascii="Times New Roman" w:cs="Times New Roman" w:eastAsia="Times New Roman" w:hAnsi="Times New Roman"/>
          <w:sz w:val="18"/>
          <w:szCs w:val="18"/>
          <w:color w:val="auto"/>
        </w:rPr>
      </w:pPr>
    </w:p>
    <w:p>
      <w:pPr>
        <w:jc w:val="both"/>
        <w:ind w:firstLine="1952"/>
        <w:spacing w:after="0" w:line="257" w:lineRule="auto"/>
        <w:tabs>
          <w:tab w:leader="none" w:pos="220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Transactions Contemplated Herein</w:t>
      </w:r>
      <w:r>
        <w:rPr>
          <w:rFonts w:ascii="Times New Roman" w:cs="Times New Roman" w:eastAsia="Times New Roman" w:hAnsi="Times New Roman"/>
          <w:sz w:val="18"/>
          <w:szCs w:val="18"/>
          <w:color w:val="auto"/>
        </w:rPr>
        <w:t>. The Company has all corporate power and authority to enter into this Agreement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the Trust Agreement, the Services Agreement, the Subscription Agreement, and the Registration Rights Agreement and the Escrow Agreement and as contemplated by the Prospectus, except with respect to applicable federal and state securities laws and the rules and regulations promulgated by the Financial Industry Regulatory Authority (“FINRA”).</w:t>
      </w:r>
    </w:p>
    <w:p>
      <w:pPr>
        <w:spacing w:after="0" w:line="180"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9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D&amp;O Questionnaires</w:t>
      </w:r>
      <w:r>
        <w:rPr>
          <w:rFonts w:ascii="Times New Roman" w:cs="Times New Roman" w:eastAsia="Times New Roman" w:hAnsi="Times New Roman"/>
          <w:sz w:val="18"/>
          <w:szCs w:val="18"/>
          <w:color w:val="auto"/>
        </w:rPr>
        <w:t>. To the Company’s knowledge, all information contained in the questionnaires (the “</w:t>
      </w:r>
      <w:r>
        <w:rPr>
          <w:rFonts w:ascii="Times New Roman" w:cs="Times New Roman" w:eastAsia="Times New Roman" w:hAnsi="Times New Roman"/>
          <w:sz w:val="18"/>
          <w:szCs w:val="18"/>
          <w:b w:val="1"/>
          <w:bCs w:val="1"/>
          <w:color w:val="auto"/>
        </w:rPr>
        <w:t>Questionnaires</w:t>
      </w:r>
      <w:r>
        <w:rPr>
          <w:rFonts w:ascii="Times New Roman" w:cs="Times New Roman" w:eastAsia="Times New Roman" w:hAnsi="Times New Roman"/>
          <w:sz w:val="18"/>
          <w:szCs w:val="18"/>
          <w:color w:val="auto"/>
        </w:rPr>
        <w:t>”) completed by the Company’s shareholders immediately prior to the Offering (the “</w:t>
      </w:r>
      <w:r>
        <w:rPr>
          <w:rFonts w:ascii="Times New Roman" w:cs="Times New Roman" w:eastAsia="Times New Roman" w:hAnsi="Times New Roman"/>
          <w:sz w:val="18"/>
          <w:szCs w:val="18"/>
          <w:b w:val="1"/>
          <w:bCs w:val="1"/>
          <w:color w:val="auto"/>
        </w:rPr>
        <w:t>Initial Shareholders</w:t>
      </w:r>
      <w:r>
        <w:rPr>
          <w:rFonts w:ascii="Times New Roman" w:cs="Times New Roman" w:eastAsia="Times New Roman" w:hAnsi="Times New Roman"/>
          <w:sz w:val="18"/>
          <w:szCs w:val="18"/>
          <w:color w:val="auto"/>
        </w:rPr>
        <w:t>”) and each of the Company’s officers and directors and provided to the Underwriter is true and correct and the Company has not become aware of any information which would cause the information disclosed in the questionnaires completed by the Initial Shareholders and each officer or director, to become inaccurate and incorrect.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ind w:firstLine="1304"/>
        <w:spacing w:after="0" w:line="261" w:lineRule="auto"/>
        <w:tabs>
          <w:tab w:leader="none" w:pos="16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Governmental Proceedings</w:t>
      </w:r>
      <w:r>
        <w:rPr>
          <w:rFonts w:ascii="Times New Roman" w:cs="Times New Roman" w:eastAsia="Times New Roman" w:hAnsi="Times New Roman"/>
          <w:sz w:val="18"/>
          <w:szCs w:val="18"/>
          <w:color w:val="auto"/>
        </w:rPr>
        <w:t>. There is no action, suit, proceeding, inquiry, arbitration, investigation, litigation or governmental proceeding pending or, to the best of the Company’s knowledge, threatened against, or involving the Company or, to the best of the Company’s knowledge, the Initial Shareholders, which has not been disclosed in the Registration Statement, the Questionnaires, the Preliminary Prospectus and the Prospectus.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Standing</w:t>
      </w:r>
      <w:r>
        <w:rPr>
          <w:rFonts w:ascii="Times New Roman" w:cs="Times New Roman" w:eastAsia="Times New Roman" w:hAnsi="Times New Roman"/>
          <w:sz w:val="18"/>
          <w:szCs w:val="18"/>
          <w:color w:val="auto"/>
        </w:rPr>
        <w:t>. The Company has been duly organized, is validly existing and is in good standing under the laws of its jurisdiction of organization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Contemplation of a Business Combination</w:t>
      </w:r>
      <w:r>
        <w:rPr>
          <w:rFonts w:ascii="Times New Roman" w:cs="Times New Roman" w:eastAsia="Times New Roman" w:hAnsi="Times New Roman"/>
          <w:sz w:val="18"/>
          <w:szCs w:val="18"/>
          <w:color w:val="auto"/>
        </w:rPr>
        <w:t>. Prior to the date hereof, neither the Company, its officers and directors nor the Initial Shareholders had, and as of the Closing, the Company and such officers and directors and Initial Shareholders will not have had: (i) any specific Business Combination under consideration or contemplation; or (ii) any substantive interactions or discussions with any target business regarding a possible Business Combination.</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Affecting Disclosure to FINRA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1" w:lineRule="auto"/>
        <w:tabs>
          <w:tab w:leader="none" w:pos="219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Preliminary Prospectus and/or the Prospectus, there are no claims, payments, arrangements, agreements or understandings relating to the payment of a finder’s, consulting or origination fee by the Company or the Initial Shareholders with respect to the sale of the Securities hereunder or any other arrangements, agreements or understandings of the Company or, to the Company’s knowledge, the Initial Shareholders that may affect the Underwriter’s compensation, as determined by FINRA.</w:t>
      </w:r>
    </w:p>
    <w:p>
      <w:pPr>
        <w:spacing w:after="0" w:line="17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1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twelve (12) months prior to the Effective Date, other than payments to the Representative.</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8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officer, director, or beneficial owner of any class of the Company’s securities (whether debt or equity, registered or unregistered, regardless of the time acquired or the source from which derived) (any such individual or entity, a “</w:t>
      </w:r>
      <w:r>
        <w:rPr>
          <w:rFonts w:ascii="Times New Roman" w:cs="Times New Roman" w:eastAsia="Times New Roman" w:hAnsi="Times New Roman"/>
          <w:sz w:val="18"/>
          <w:szCs w:val="18"/>
          <w:b w:val="1"/>
          <w:bCs w:val="1"/>
          <w:color w:val="auto"/>
        </w:rPr>
        <w:t>Company Affiliate</w:t>
      </w:r>
      <w:r>
        <w:rPr>
          <w:rFonts w:ascii="Times New Roman" w:cs="Times New Roman" w:eastAsia="Times New Roman" w:hAnsi="Times New Roman"/>
          <w:sz w:val="18"/>
          <w:szCs w:val="18"/>
          <w:color w:val="auto"/>
        </w:rPr>
        <w:t>”) is a member, a person associated, or affiliated with a member of FINRA.</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52"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Affiliate is an owner of stock or other securities of any member of FINRA (other than securities purchased on the open market), except as may be disclosed in the Questionnaires.</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Affiliate has made a subordinated loan to any member of FINRA.</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5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proceeds from the sale of the Public Securities (excluding underwriting compensation) or the Placement Shares will be paid to any FINRA member, or any persons associated or affiliated with a member of FINRA, except as specifically authorized herein and in the Subscription Agreement.</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9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ind w:right="20" w:firstLine="1952"/>
        <w:spacing w:after="0" w:line="282" w:lineRule="auto"/>
        <w:tabs>
          <w:tab w:leader="none" w:pos="236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to whom securities of the Company have been privately issued within the 180-day period prior to the initial filing date of the Registration Statement has any relationship or affiliation or association with any member of FINRA.</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no FINRA member intending to participate in the Offering has a conflict of interest with the Company. For this purpose, a “conflict of interest” exists when a member of FINRA and its associated persons, parent or affiliates in the aggregate beneficially own 10% or more of the Company’s outstanding subordinated debt or common equity, or 10% or more of the Company’s preferred equity. “Members participating in the Offering” include managing agents, syndicate group members and all dealers which are members of FINRA.</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0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the Representative in connection with the Offering, the Company has not entered into any agreement or arrangement (including, without limitation, any consulting agreement or any other type of agreement) during the 180-day period prior to the initial filing date of the Registration Statement, which arrangement or agreement provides for the receipt of any item of value and/or the transfer of any warrants, options, or other securities from the Company to a FINRA member, any person associated with a member (as defined by FINRA rules), any potential underwriters in the Offering and any related persons.</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3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Neither the Company nor the Initial Shareholders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effect on the assets, business or operations of the Company as reflected in any of the financial statements contained in the Registration Statement, the Preliminary Prospectus and/or the Prospectus; or (iii) if not continued in the future, might adversely affect the assets, business, operations or prospects of the Company. The Company’s internal accounting controls and procedures are sufficient to cause the Company to comply with the Foreign Corrupt Practices Act of 1977, as amended.</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Neither the Company nor, to the Company’s knowledge, any officer, director or Initial Shareholder has violated: (i) the Bank Secrecy Act, as amended; (ii) the Money Laundering Control Act of 1986, as amended; or (iii) the Uniting and Strengthening of America by Providing Appropriate Tools Required to Intercept and Obstruct Terrorism (USA PATRIOT ACT) Act of 2001, and/or the rules and regulations promulgated under any such law, or any successor law.</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Any certificate signed by any duly authorized officer of the Company and delivered to the Representative or to the Representative’s counsel shall be deemed a representation and warranty by the Company to the Underwriter as to the matters covered thereby.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With Officers, Directors and Initial Shareholders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7" w:lineRule="auto"/>
        <w:tabs>
          <w:tab w:leader="none" w:pos="215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Insider Letters</w:t>
      </w:r>
      <w:r>
        <w:rPr>
          <w:rFonts w:ascii="Times New Roman" w:cs="Times New Roman" w:eastAsia="Times New Roman" w:hAnsi="Times New Roman"/>
          <w:sz w:val="18"/>
          <w:szCs w:val="18"/>
          <w:color w:val="auto"/>
        </w:rPr>
        <w:t>. The Company has caused to be duly executed legally binding and enforceable agreements (except: (i)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enforceability may be limited by bankruptcy, insolvency, reorganization or similar laws affecting creditors’ rights generally; (ii) as enforceability of any indemnification, contribution or non-compete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 annexed as exhibits to the Registration Statement (the “</w:t>
      </w:r>
      <w:r>
        <w:rPr>
          <w:rFonts w:ascii="Times New Roman" w:cs="Times New Roman" w:eastAsia="Times New Roman" w:hAnsi="Times New Roman"/>
          <w:sz w:val="18"/>
          <w:szCs w:val="18"/>
          <w:b w:val="1"/>
          <w:bCs w:val="1"/>
          <w:color w:val="auto"/>
        </w:rPr>
        <w:t>Insider Letter</w:t>
      </w:r>
      <w:r>
        <w:rPr>
          <w:rFonts w:ascii="Times New Roman" w:cs="Times New Roman" w:eastAsia="Times New Roman" w:hAnsi="Times New Roman"/>
          <w:sz w:val="18"/>
          <w:szCs w:val="18"/>
          <w:color w:val="auto"/>
        </w:rPr>
        <w:t>”), pursuant to which each of the officers, directors and Initial Shareholders of the Company agree to certain matters.</w:t>
      </w:r>
    </w:p>
    <w:p>
      <w:pPr>
        <w:spacing w:after="0" w:line="182" w:lineRule="exact"/>
        <w:rPr>
          <w:rFonts w:ascii="Times New Roman" w:cs="Times New Roman" w:eastAsia="Times New Roman" w:hAnsi="Times New Roman"/>
          <w:sz w:val="18"/>
          <w:szCs w:val="18"/>
          <w:color w:val="auto"/>
        </w:rPr>
      </w:pPr>
    </w:p>
    <w:p>
      <w:pPr>
        <w:ind w:right="20" w:firstLine="1952"/>
        <w:spacing w:after="0" w:line="284" w:lineRule="auto"/>
        <w:tabs>
          <w:tab w:leader="none" w:pos="220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Subscription Agreement</w:t>
      </w:r>
      <w:r>
        <w:rPr>
          <w:rFonts w:ascii="Times New Roman" w:cs="Times New Roman" w:eastAsia="Times New Roman" w:hAnsi="Times New Roman"/>
          <w:sz w:val="18"/>
          <w:szCs w:val="18"/>
          <w:color w:val="auto"/>
        </w:rPr>
        <w:t>. Sponsor has executed and delivered an agreement, the form of which is attached as an exhibit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Statement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pursuant to which Sponsor, among other things, will purchase the Placement Shares.</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both"/>
        <w:ind w:firstLine="1952"/>
        <w:spacing w:after="0" w:line="261" w:lineRule="auto"/>
        <w:tabs>
          <w:tab w:leader="none" w:pos="2259"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The Company and the Initial Shareholders have entered into a registration rights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substantially in the form annexed as an exhibit to the Registration Statement, whereby the parties will be entitled to certain registration rights with respect to their securities, as set forth in such Registration Rights Agreement and described more fully in the Registration Statement.</w:t>
      </w:r>
    </w:p>
    <w:p>
      <w:pPr>
        <w:spacing w:after="0" w:line="177" w:lineRule="exact"/>
        <w:rPr>
          <w:rFonts w:ascii="Times New Roman" w:cs="Times New Roman" w:eastAsia="Times New Roman" w:hAnsi="Times New Roman"/>
          <w:sz w:val="18"/>
          <w:szCs w:val="18"/>
          <w:color w:val="auto"/>
        </w:rPr>
      </w:pPr>
    </w:p>
    <w:p>
      <w:pPr>
        <w:jc w:val="both"/>
        <w:ind w:firstLine="1952"/>
        <w:spacing w:after="0" w:line="255" w:lineRule="auto"/>
        <w:tabs>
          <w:tab w:leader="none" w:pos="227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Escrow Agreement</w:t>
      </w:r>
      <w:r>
        <w:rPr>
          <w:rFonts w:ascii="Times New Roman" w:cs="Times New Roman" w:eastAsia="Times New Roman" w:hAnsi="Times New Roman"/>
          <w:sz w:val="18"/>
          <w:szCs w:val="18"/>
          <w:color w:val="auto"/>
        </w:rPr>
        <w:t>. The Company has caused the Initial Shareholders to enter into an escrow agreement (the “</w:t>
      </w: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Continental Stock Transfer &amp; Trust Company substantially in the form filed as an exhibit to the Registration Statement, whereby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owned by the Initial Shareholders will be held in escrow during the period in which they are subject to the transfer restrictions as set forth in the Prospectus. During such escrow period, the Initial Shareholders shall be prohibited from selling or otherwise transferring such shares (except as otherwise set forth in the Escrow Agreement) but will retain the right to vote any such shares of Common Stock. To the Company’s knowledge, the Escrow Agreement is enforceable against each of the Initial Shareholders and will not, with or without the giving of notice or the lapse of time or both, result in a breach of, or conflict with any of the terms and provisions of, or constitute a default under, any agreement or instrument to which any of the Initial Shareholders is a party.</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60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Management Trust Agreement</w:t>
      </w:r>
      <w:r>
        <w:rPr>
          <w:rFonts w:ascii="Times New Roman" w:cs="Times New Roman" w:eastAsia="Times New Roman" w:hAnsi="Times New Roman"/>
          <w:sz w:val="18"/>
          <w:szCs w:val="18"/>
          <w:color w:val="auto"/>
        </w:rPr>
        <w:t>. The Company has entered into the Trust Agreement with respect to certain proceeds of the Offering and the Private Placement substantially in the form filed as an exhibit to the Registration Statement.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Not to Compete</w:t>
      </w:r>
      <w:r>
        <w:rPr>
          <w:rFonts w:ascii="Times New Roman" w:cs="Times New Roman" w:eastAsia="Times New Roman" w:hAnsi="Times New Roman"/>
          <w:sz w:val="18"/>
          <w:szCs w:val="18"/>
          <w:color w:val="auto"/>
        </w:rPr>
        <w:t>. To the Company’s knowledge, the officers and directors of the Company are not subject to any non-competition agreement or non-solicitation agreement with any employer or prior employer which could materially affect its ability to be an employee, officer or director of the Company.</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5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No more than 45% of the “value” (as defined in Section 2(a)(41) of the Investment Company Act of 1940, as amended (the “Investment Company Act”)) of the Company’s total assets consist of, and no more than 45% of the Company’s net income after taxes is derived from, securities other than “</w:t>
      </w:r>
      <w:r>
        <w:rPr>
          <w:rFonts w:ascii="Times New Roman" w:cs="Times New Roman" w:eastAsia="Times New Roman" w:hAnsi="Times New Roman"/>
          <w:sz w:val="18"/>
          <w:szCs w:val="18"/>
          <w:b w:val="1"/>
          <w:bCs w:val="1"/>
          <w:color w:val="auto"/>
        </w:rPr>
        <w:t>Government Securities</w:t>
      </w:r>
      <w:r>
        <w:rPr>
          <w:rFonts w:ascii="Times New Roman" w:cs="Times New Roman" w:eastAsia="Times New Roman" w:hAnsi="Times New Roman"/>
          <w:sz w:val="18"/>
          <w:szCs w:val="18"/>
          <w:color w:val="auto"/>
        </w:rPr>
        <w:t>” (as defined in Section 2(a)(16) of the Investment Company Act).</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The Company does not own an interest in any corporation, partnership, limited liability company, joint venture, trust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entity.</w:t>
      </w:r>
    </w:p>
    <w:p>
      <w:pPr>
        <w:spacing w:after="0" w:line="207" w:lineRule="exact"/>
        <w:rPr>
          <w:sz w:val="20"/>
          <w:szCs w:val="20"/>
          <w:color w:val="auto"/>
        </w:rPr>
      </w:pPr>
    </w:p>
    <w:p>
      <w:pPr>
        <w:jc w:val="both"/>
        <w:ind w:firstLine="1304"/>
        <w:spacing w:after="0" w:line="254" w:lineRule="auto"/>
        <w:tabs>
          <w:tab w:leader="none" w:pos="16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relationship, direct or indirect, exists between or among any of the Company or any Company Affiliate, on the one hand, and any director, officer, shareholder, customer or supplier of the Company or any Company Affiliate, on the other hand, which is required by the Act, the Exchange Act or the Regulations to be described in the Registration Statement, the Preliminary Prospectus and/or the Prospectus which is not so described and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Preliminary Prospectus and/or the Prospectus. The Company has not extended or maintained credit, arranged for the extension of credit, or renewed an extension of credit, in the form of a personal loan to or for any director or officer of the Company.</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Influence</w:t>
      </w:r>
      <w:r>
        <w:rPr>
          <w:rFonts w:ascii="Times New Roman" w:cs="Times New Roman" w:eastAsia="Times New Roman" w:hAnsi="Times New Roman"/>
          <w:sz w:val="18"/>
          <w:szCs w:val="18"/>
          <w:color w:val="auto"/>
        </w:rPr>
        <w:t>. The Company has not offered, or caused the Underwriter to offer, the Firm Securities to any person or entity with the intention of unlawfully influencing: (i) a customer or supplier of the Company or any Company Affiliate to alter the customer’s or supplier’s level or type of business with the Company or such affiliate; or (ii) a journalist or publication to write or publish favorable information about the Company or any such affiliate.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Trading of the Public Securities on the Nasdaq Capital Market</w:t>
      </w:r>
      <w:r>
        <w:rPr>
          <w:rFonts w:ascii="Times New Roman" w:cs="Times New Roman" w:eastAsia="Times New Roman" w:hAnsi="Times New Roman"/>
          <w:sz w:val="18"/>
          <w:szCs w:val="18"/>
          <w:color w:val="auto"/>
        </w:rPr>
        <w:t>. As of the Effective Date and the Closing Date, the Public Securities will have been authorized for listing on the Nasdaq Capital Market and no proceedings have been instituted or threatened which would effect, and no event or circumstance has occurred as of the Effective Date which is reasonably likely to effect, the listing of the Public Securities on the Nasdaq Capital Market.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4" w:name="page15"/>
    <w:bookmarkEnd w:id="14"/>
    <w:p>
      <w:pPr>
        <w:jc w:val="both"/>
        <w:ind w:firstLine="1304"/>
        <w:spacing w:after="0" w:line="268" w:lineRule="auto"/>
        <w:tabs>
          <w:tab w:leader="none" w:pos="164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“Knowledge”</w:t>
      </w:r>
      <w:r>
        <w:rPr>
          <w:rFonts w:ascii="Times New Roman" w:cs="Times New Roman" w:eastAsia="Times New Roman" w:hAnsi="Times New Roman"/>
          <w:sz w:val="18"/>
          <w:szCs w:val="18"/>
          <w:color w:val="auto"/>
        </w:rPr>
        <w:t>. As used in this Agreement, the term “</w:t>
      </w:r>
      <w:r>
        <w:rPr>
          <w:rFonts w:ascii="Times New Roman" w:cs="Times New Roman" w:eastAsia="Times New Roman" w:hAnsi="Times New Roman"/>
          <w:sz w:val="18"/>
          <w:szCs w:val="18"/>
          <w:b w:val="1"/>
          <w:bCs w:val="1"/>
          <w:color w:val="auto"/>
        </w:rPr>
        <w:t>knowledge of the Company</w:t>
      </w:r>
      <w:r>
        <w:rPr>
          <w:rFonts w:ascii="Times New Roman" w:cs="Times New Roman" w:eastAsia="Times New Roman" w:hAnsi="Times New Roman"/>
          <w:sz w:val="18"/>
          <w:szCs w:val="18"/>
          <w:color w:val="auto"/>
        </w:rPr>
        <w:t>” (or similar language) shall mean the knowledge of the officers and directors of the Company who are named in the Prospectus, with the assumption that such officers and directors shall have made reasonable and diligent inquiry of the matters presented.</w:t>
      </w:r>
    </w:p>
    <w:p>
      <w:pPr>
        <w:spacing w:after="0" w:line="17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Covenants of the Company</w:t>
      </w:r>
      <w:r>
        <w:rPr>
          <w:rFonts w:ascii="Times New Roman" w:cs="Times New Roman" w:eastAsia="Times New Roman" w:hAnsi="Times New Roman"/>
          <w:sz w:val="18"/>
          <w:szCs w:val="18"/>
          <w:color w:val="auto"/>
        </w:rPr>
        <w:t>. The Company covenants and agrees as follows:</w:t>
      </w:r>
    </w:p>
    <w:p>
      <w:pPr>
        <w:spacing w:after="0" w:line="22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Registration Statement</w:t>
      </w:r>
      <w:r>
        <w:rPr>
          <w:rFonts w:ascii="Times New Roman" w:cs="Times New Roman" w:eastAsia="Times New Roman" w:hAnsi="Times New Roman"/>
          <w:sz w:val="18"/>
          <w:szCs w:val="18"/>
          <w:color w:val="auto"/>
        </w:rPr>
        <w:t>. The Company will deliver to the Representative, prior to filing, any amendment or supplement to the Registration Statement or Prospectus proposed to be filed after the Effective Date and will not file any such amendment or supplement to which the Representative shall reasonably object in writing.</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Federal Securities Laws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86"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w:t>
      </w:r>
      <w:r>
        <w:rPr>
          <w:rFonts w:ascii="Times New Roman" w:cs="Times New Roman" w:eastAsia="Times New Roman" w:hAnsi="Times New Roman"/>
          <w:sz w:val="18"/>
          <w:szCs w:val="18"/>
          <w:color w:val="auto"/>
        </w:rPr>
        <w:t>. During the time when a Prospectus is required to be delivered under the Act, the Company will use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during such period to amend the Registration Statement or amend or supplement the Prospectus to comply with the Act, the Company will notify the Representative promptly and prepare and file with the Commission, subject to Section 3(a) above hereof, an appropriate amendment to the Registration Statement or amendment or supplement to the Prospectus (at the expense of the Company) so as to correct such statement or omission or effect such compliance.</w:t>
      </w:r>
    </w:p>
    <w:p>
      <w:pPr>
        <w:spacing w:after="0" w:line="185" w:lineRule="exact"/>
        <w:rPr>
          <w:rFonts w:ascii="Times New Roman" w:cs="Times New Roman" w:eastAsia="Times New Roman" w:hAnsi="Times New Roman"/>
          <w:sz w:val="18"/>
          <w:szCs w:val="18"/>
          <w:color w:val="auto"/>
        </w:rPr>
      </w:pPr>
    </w:p>
    <w:p>
      <w:pPr>
        <w:ind w:firstLine="1952"/>
        <w:spacing w:after="0" w:line="284" w:lineRule="auto"/>
        <w:tabs>
          <w:tab w:leader="none" w:pos="2209"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of Final Prospectus</w:t>
      </w:r>
      <w:r>
        <w:rPr>
          <w:rFonts w:ascii="Times New Roman" w:cs="Times New Roman" w:eastAsia="Times New Roman" w:hAnsi="Times New Roman"/>
          <w:sz w:val="18"/>
          <w:szCs w:val="18"/>
          <w:color w:val="auto"/>
        </w:rPr>
        <w:t>. The Company will file the Prospectus (in form and substance satisfactory to the Representative)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Commission pursuant to the requirements of Rule 424 of the Regulations.</w:t>
      </w:r>
    </w:p>
    <w:p>
      <w:pPr>
        <w:spacing w:after="0" w:line="158" w:lineRule="exact"/>
        <w:rPr>
          <w:rFonts w:ascii="Times New Roman" w:cs="Times New Roman" w:eastAsia="Times New Roman" w:hAnsi="Times New Roman"/>
          <w:sz w:val="18"/>
          <w:szCs w:val="18"/>
          <w:color w:val="auto"/>
        </w:rPr>
      </w:pPr>
    </w:p>
    <w:p>
      <w:pPr>
        <w:jc w:val="both"/>
        <w:ind w:firstLine="1952"/>
        <w:spacing w:after="0" w:line="267" w:lineRule="auto"/>
        <w:tabs>
          <w:tab w:leader="none" w:pos="2259"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Act Registration</w:t>
      </w:r>
      <w:r>
        <w:rPr>
          <w:rFonts w:ascii="Times New Roman" w:cs="Times New Roman" w:eastAsia="Times New Roman" w:hAnsi="Times New Roman"/>
          <w:sz w:val="18"/>
          <w:szCs w:val="18"/>
          <w:color w:val="auto"/>
        </w:rPr>
        <w:t>. For a period of five (5) years from the Effective Date, or until such earlier time upon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is required to be liquidated, the Company will use its best efforts to maintain the registration of the Company’s shares of Common Stock under the provisions of the Exchange Act. The Company will not deregister the shares of Common Stock without the prior written consent of the Representative.</w:t>
      </w:r>
    </w:p>
    <w:p>
      <w:pPr>
        <w:spacing w:after="0" w:line="173"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62"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Compliance</w:t>
      </w:r>
      <w:r>
        <w:rPr>
          <w:rFonts w:ascii="Times New Roman" w:cs="Times New Roman" w:eastAsia="Times New Roman" w:hAnsi="Times New Roman"/>
          <w:sz w:val="18"/>
          <w:szCs w:val="18"/>
          <w:color w:val="auto"/>
        </w:rPr>
        <w:t>. As soon as it is legally required to do so, the Company shall take all actions necessary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and thereafter maintain material compliance with each applicable provision of the Sarbanes-Oxley Act of 2002, as amended, and the rules and regulations promulgated thereunder and related or similar rules and regulations promulgated by any other governmental or self-regulatory entity or agency with jurisdiction over the Company.</w:t>
      </w:r>
    </w:p>
    <w:p>
      <w:pPr>
        <w:spacing w:after="0" w:line="179"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99"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Blue Sky Filing</w:t>
      </w:r>
      <w:r>
        <w:rPr>
          <w:rFonts w:ascii="Times New Roman" w:cs="Times New Roman" w:eastAsia="Times New Roman" w:hAnsi="Times New Roman"/>
          <w:sz w:val="18"/>
          <w:szCs w:val="18"/>
          <w:color w:val="auto"/>
        </w:rPr>
        <w:t>. Unless the Public Securities are listed on the Nasdaq Capital Market or another national securities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at its expense, will endeavor in good faith, in cooperation with the Representative, at or prior to the time the Registration Statement becomes effective, to qualify the Public Securities for offering and sale under the securities laws of such jurisdictions as the Representative may reasonably designate</w:t>
      </w:r>
      <w:r>
        <w:rPr>
          <w:rFonts w:ascii="Times New Roman" w:cs="Times New Roman" w:eastAsia="Times New Roman" w:hAnsi="Times New Roman"/>
          <w:sz w:val="18"/>
          <w:szCs w:val="18"/>
          <w:i w:val="1"/>
          <w:iCs w:val="1"/>
          <w:color w:val="auto"/>
        </w:rPr>
        <w:t>, provided</w:t>
      </w:r>
      <w:r>
        <w:rPr>
          <w:rFonts w:ascii="Times New Roman" w:cs="Times New Roman" w:eastAsia="Times New Roman" w:hAnsi="Times New Roman"/>
          <w:sz w:val="18"/>
          <w:szCs w:val="18"/>
          <w:color w:val="auto"/>
        </w:rPr>
        <w:t xml:space="preserve"> that no such qualification shall be required in any jurisdiction where, as a result thereof, the Company would be subject to service of general process or to taxation as a foreign corporation doing business in such jurisdiction.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by the laws of such jurisdiction.</w:t>
      </w:r>
    </w:p>
    <w:p>
      <w:pPr>
        <w:spacing w:after="0" w:line="182" w:lineRule="exact"/>
        <w:rPr>
          <w:rFonts w:ascii="Times New Roman" w:cs="Times New Roman" w:eastAsia="Times New Roman" w:hAnsi="Times New Roman"/>
          <w:sz w:val="18"/>
          <w:szCs w:val="18"/>
          <w:color w:val="auto"/>
        </w:rPr>
      </w:pPr>
    </w:p>
    <w:p>
      <w:pPr>
        <w:jc w:val="both"/>
        <w:ind w:firstLine="1952"/>
        <w:spacing w:after="0" w:line="257" w:lineRule="auto"/>
        <w:tabs>
          <w:tab w:leader="none" w:pos="2249"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to Underwriter of Prospectuses</w:t>
      </w:r>
      <w:r>
        <w:rPr>
          <w:rFonts w:ascii="Times New Roman" w:cs="Times New Roman" w:eastAsia="Times New Roman" w:hAnsi="Times New Roman"/>
          <w:sz w:val="18"/>
          <w:szCs w:val="18"/>
          <w:color w:val="auto"/>
        </w:rPr>
        <w:t>. The Company will deliver to the Underwriter, without charge, from time to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period when the Prospectus is required to be delivered under the Act or the Exchange Act, such number of copies of each Preliminary Prospectus and Prospectus and all amendments and supplements to such documents as the Underwriter may reasonably request and, as soon as the Registration Statement or any amendment or supplement thereto becomes effective, deliver to the Representative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both"/>
        <w:ind w:firstLine="1304"/>
        <w:spacing w:after="0" w:line="253" w:lineRule="auto"/>
        <w:tabs>
          <w:tab w:leader="none" w:pos="158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and Events Requiring Notice to the Representative</w:t>
      </w:r>
      <w:r>
        <w:rPr>
          <w:rFonts w:ascii="Times New Roman" w:cs="Times New Roman" w:eastAsia="Times New Roman" w:hAnsi="Times New Roman"/>
          <w:sz w:val="18"/>
          <w:szCs w:val="18"/>
          <w:color w:val="auto"/>
        </w:rPr>
        <w:t>. The Company will use all reasonable efforts to cause the 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of any comments or request for any additional information from the Commission; and (vi) of the happening of any event during the period described in Section 3(d) hereof that, in the judgment of the Company, makes any statement of a material fact made in the Registration Statement, the Preliminary Prospectus and/or the Prospectus untrue or that requires the making of any changes in the Registration Statement, the Preliminary Prospectus and/or the Prospectus in order to make the statements therein, (with respect to the Prospectus,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18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Review of Financial Statements</w:t>
      </w:r>
      <w:r>
        <w:rPr>
          <w:rFonts w:ascii="Times New Roman" w:cs="Times New Roman" w:eastAsia="Times New Roman" w:hAnsi="Times New Roman"/>
          <w:sz w:val="18"/>
          <w:szCs w:val="18"/>
          <w:color w:val="auto"/>
        </w:rPr>
        <w:t>. Until the earlier of five (5) years from the Effective Date, or until such earlier date upon which the Company is required to be liquidated, the Company, at its expense, shall cause its regularly engaged independent certified public accountants to review (but not audit) the Company’s financial statements for each of the first three fiscal quarters prior to the announcement or filing of quarterly financial information, if any.</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Affiliated Transactions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67" w:lineRule="auto"/>
        <w:tabs>
          <w:tab w:leader="none" w:pos="215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will not consummate a Business Combination with any entity which is affiliated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Initial Shareholders or an officer or director of the Company unless the Company obtains an opinion from an independent investment banking firm regulated by FINRA or independent accounting firm stating the Business Combination is fair to the Company’s shareholders from a financial perspective.</w:t>
      </w:r>
    </w:p>
    <w:p>
      <w:pPr>
        <w:spacing w:after="0" w:line="171" w:lineRule="exact"/>
        <w:rPr>
          <w:rFonts w:ascii="Times New Roman" w:cs="Times New Roman" w:eastAsia="Times New Roman" w:hAnsi="Times New Roman"/>
          <w:sz w:val="18"/>
          <w:szCs w:val="18"/>
          <w:color w:val="auto"/>
        </w:rPr>
      </w:pPr>
    </w:p>
    <w:p>
      <w:pPr>
        <w:jc w:val="both"/>
        <w:ind w:firstLine="1952"/>
        <w:spacing w:after="0" w:line="268" w:lineRule="auto"/>
        <w:tabs>
          <w:tab w:leader="none" w:pos="2222"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Administrative Services</w:t>
      </w:r>
      <w:r>
        <w:rPr>
          <w:rFonts w:ascii="Times New Roman" w:cs="Times New Roman" w:eastAsia="Times New Roman" w:hAnsi="Times New Roman"/>
          <w:sz w:val="18"/>
          <w:szCs w:val="18"/>
          <w:color w:val="auto"/>
        </w:rPr>
        <w:t>. The Company has entered into an administrative services agreement (the “</w:t>
      </w:r>
      <w:r>
        <w:rPr>
          <w:rFonts w:ascii="Times New Roman" w:cs="Times New Roman" w:eastAsia="Times New Roman" w:hAnsi="Times New Roman"/>
          <w:sz w:val="18"/>
          <w:szCs w:val="18"/>
          <w:b w:val="1"/>
          <w:bCs w:val="1"/>
          <w:color w:val="auto"/>
        </w:rPr>
        <w:t>Services 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Sponsor in the form filed as an exhibit to the Registration Statement pursuant to which the Sponsor has made and will continue to make available to the Company general and administrative services including office space and utilities for the Company’s use for $10,000 per month.</w:t>
      </w:r>
    </w:p>
    <w:p>
      <w:pPr>
        <w:spacing w:after="0" w:line="172" w:lineRule="exact"/>
        <w:rPr>
          <w:rFonts w:ascii="Times New Roman" w:cs="Times New Roman" w:eastAsia="Times New Roman" w:hAnsi="Times New Roman"/>
          <w:sz w:val="18"/>
          <w:szCs w:val="18"/>
          <w:color w:val="auto"/>
        </w:rPr>
      </w:pPr>
    </w:p>
    <w:p>
      <w:pPr>
        <w:jc w:val="both"/>
        <w:ind w:right="20" w:firstLine="1952"/>
        <w:spacing w:after="0" w:line="267" w:lineRule="auto"/>
        <w:tabs>
          <w:tab w:leader="none" w:pos="229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Except as set forth in this Section 3(e), the Company shall not pay any officer, director or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or any of their affiliates, any fees or compensation from the Company, for services rendered to the Company prior to, or in connection with, the Offering or the consummation of a Business Combination.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Secondary Market Trading</w:t>
      </w:r>
      <w:r>
        <w:rPr>
          <w:rFonts w:ascii="Times New Roman" w:cs="Times New Roman" w:eastAsia="Times New Roman" w:hAnsi="Times New Roman"/>
          <w:sz w:val="18"/>
          <w:szCs w:val="18"/>
          <w:color w:val="auto"/>
        </w:rPr>
        <w:t xml:space="preserve">. In the event the Public Securities are not listed on the Nasdaq Capital Market or another national securities exchange, the Company will (i) apply to be included in Mergent, Inc. Manual for a period of five (5) years from the consummation of a Business Combination, (ii) take such commercially reasonable steps as may be necessary to obtain a secondary market trading exemption for the Company’s securities in such jurisdictions as reasonably requested by the Representative, and (iii) take such other action as may be reasonably requested by the Representative to obtain a secondary market trading exemption in such other states as may be requested by the Representative;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qualification shall be required in any jurisdiction where, as a result thereof, the Company would be subject to service of general process or to taxation as a foreign entity doing business in such jurisdiction.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ind w:firstLine="1304"/>
        <w:spacing w:after="0" w:line="266" w:lineRule="auto"/>
        <w:tabs>
          <w:tab w:leader="none" w:pos="15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Public Relations Firm</w:t>
      </w:r>
      <w:r>
        <w:rPr>
          <w:rFonts w:ascii="Times New Roman" w:cs="Times New Roman" w:eastAsia="Times New Roman" w:hAnsi="Times New Roman"/>
          <w:sz w:val="18"/>
          <w:szCs w:val="18"/>
          <w:color w:val="auto"/>
        </w:rPr>
        <w:t>. Promptly after the execution of a definitive agreement for a Business Combination, the Company shall retain a financial public relations firm reasonably acceptable to the Representative for a term to be agreed upon by the Company and the Representative.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to the Representative</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8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Periodic Reports, Etc</w:t>
      </w:r>
      <w:r>
        <w:rPr>
          <w:rFonts w:ascii="Times New Roman" w:cs="Times New Roman" w:eastAsia="Times New Roman" w:hAnsi="Times New Roman"/>
          <w:sz w:val="18"/>
          <w:szCs w:val="18"/>
          <w:color w:val="auto"/>
        </w:rPr>
        <w:t>. For a period of five (5) years from the Effective Date or until such earlier time upon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is dissolved, the Company will furnish to the Representative and its counsel copies of such financial statements and other periodic and special reports as the Company from time to time furnishes generally to holders of any class of its securities, and promptly furnish to the Representative: (i) a copy of each periodic report the Company shall be required to file with the Commission; (ii) a copy of every press release and every news item and article with respect to the Company or its affairs which was released by the Company; (iii) a copy of each Form 8-K or Schedules 13D, 13G, 14D-1 or 13E-4 received or prepared by the Company; (iv) five (5) copies of each Registration Statement; and (v) such additional documents and information with respect to the Company and the affairs of any future subsidiaries of the Company as the Representative may from time to time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shall be deemed to have been delivered to the Representative pursuant to this section.</w:t>
      </w:r>
    </w:p>
    <w:p>
      <w:pPr>
        <w:spacing w:after="0" w:line="191" w:lineRule="exact"/>
        <w:rPr>
          <w:rFonts w:ascii="Times New Roman" w:cs="Times New Roman" w:eastAsia="Times New Roman" w:hAnsi="Times New Roman"/>
          <w:sz w:val="18"/>
          <w:szCs w:val="18"/>
          <w:color w:val="auto"/>
        </w:rPr>
      </w:pPr>
    </w:p>
    <w:p>
      <w:pPr>
        <w:jc w:val="both"/>
        <w:ind w:firstLine="1952"/>
        <w:spacing w:after="0" w:line="277" w:lineRule="auto"/>
        <w:tabs>
          <w:tab w:leader="none" w:pos="2236"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Transfer Sheets</w:t>
      </w:r>
      <w:r>
        <w:rPr>
          <w:rFonts w:ascii="Times New Roman" w:cs="Times New Roman" w:eastAsia="Times New Roman" w:hAnsi="Times New Roman"/>
          <w:sz w:val="17"/>
          <w:szCs w:val="17"/>
          <w:color w:val="auto"/>
        </w:rPr>
        <w:t>. For a period of five (5) years following the Effective Date or until such earlier time upon which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is dissolved, the Company shall retain a transfer agent acceptable to the Representative (the “</w:t>
      </w:r>
      <w:r>
        <w:rPr>
          <w:rFonts w:ascii="Times New Roman" w:cs="Times New Roman" w:eastAsia="Times New Roman" w:hAnsi="Times New Roman"/>
          <w:sz w:val="17"/>
          <w:szCs w:val="17"/>
          <w:b w:val="1"/>
          <w:bCs w:val="1"/>
          <w:color w:val="auto"/>
        </w:rPr>
        <w:t>Transfer Agent</w:t>
      </w:r>
      <w:r>
        <w:rPr>
          <w:rFonts w:ascii="Times New Roman" w:cs="Times New Roman" w:eastAsia="Times New Roman" w:hAnsi="Times New Roman"/>
          <w:sz w:val="17"/>
          <w:szCs w:val="17"/>
          <w:color w:val="auto"/>
        </w:rPr>
        <w:t>”). In the event the Public Securities are not listed on the Nasdaq Capital Market or another national securities exchange, the Company will furnish to the Underwriter at the Company’s sole cost and expense such transfer sheets of the Company’s securities as the Representative may request, including the daily and monthly consolidated transfer sheets of the Transfer Agent and DTC. Continental Stock Transfer &amp; Trust Company is an acceptable Transfer Agent to the Representative.</w:t>
      </w:r>
    </w:p>
    <w:p>
      <w:pPr>
        <w:spacing w:after="0" w:line="167" w:lineRule="exact"/>
        <w:rPr>
          <w:rFonts w:ascii="Times New Roman" w:cs="Times New Roman" w:eastAsia="Times New Roman" w:hAnsi="Times New Roman"/>
          <w:sz w:val="17"/>
          <w:szCs w:val="17"/>
          <w:color w:val="auto"/>
        </w:rPr>
      </w:pPr>
    </w:p>
    <w:p>
      <w:pPr>
        <w:jc w:val="both"/>
        <w:ind w:firstLine="1952"/>
        <w:spacing w:after="0" w:line="257" w:lineRule="auto"/>
        <w:tabs>
          <w:tab w:leader="none" w:pos="227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Trading Reports</w:t>
      </w:r>
      <w:r>
        <w:rPr>
          <w:rFonts w:ascii="Times New Roman" w:cs="Times New Roman" w:eastAsia="Times New Roman" w:hAnsi="Times New Roman"/>
          <w:sz w:val="18"/>
          <w:szCs w:val="18"/>
          <w:color w:val="auto"/>
        </w:rPr>
        <w:t>. If the Public Securities are quoted on the OTC Bulletin Board (or any successor trading market)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operated by the OTC Market Group Inc. (or similar publisher of quotations), then during such time the Company shall provide to the Representative, at its expense, such reports published by the OTC Bulletin Board or the OTC Market Group Inc. relating to price trading of the Public Securities, as the Representative shall reasonably request. In addition to the requirements of the preceding sentence, if the Public Securities are not listed on the Nasdaq Capital Market or such other national securities exchange for a period of two (2) years from the Closing Date, the Company, at its expense, shall provide SVB Leerink a subscription to the Company’s weekly Depository Transfer Company Security Position Reports.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ind w:left="1520" w:hanging="216"/>
        <w:spacing w:after="0"/>
        <w:tabs>
          <w:tab w:leader="none" w:pos="1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4" w:lineRule="auto"/>
        <w:tabs>
          <w:tab w:leader="none" w:pos="215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Expenses Related to the Offering</w:t>
      </w:r>
      <w:r>
        <w:rPr>
          <w:rFonts w:ascii="Times New Roman" w:cs="Times New Roman" w:eastAsia="Times New Roman" w:hAnsi="Times New Roman"/>
          <w:sz w:val="18"/>
          <w:szCs w:val="18"/>
          <w:color w:val="auto"/>
        </w:rPr>
        <w:t>. The Company hereby agrees to pay on each of the Closing Date and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Closing Date, if any, to the extent not paid at the Closing Date, all expenses incident to the performance of the obligations of the Company under this Agreement, including, but not limited to: (i) the Company’s legal and accounting fees and disbursements; (ii) the costs of preparing, printing, mailing (including the payment of postage with respect to such mailing) and delivering the Registration Statement, the Preliminary Prospectus and final Prospectus contained therein and amendments thereto, post-effective amendments and supplements thereto, this Agreement and related documents, including the cost of all copies thereof and any amendments thereof or supplements thereto supplied to the Underwriter in quantities as may be required by the Underwriter;</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31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printing, engraving, issuance and delivery of the Company’s shares of Common Stock, including any transfer or other taxes payable thereon; (iv) if the Public Securities are not listed on the Nasdaq Capital Market or such other national securities exchange, the qualification of the Public Securities under state or foreign securities or Blue Sky laws specified by Representative, including the costs of printing and mailing the “Preliminary Blue Sky Memorandum,” and all amendments and supplements thereto, and fees and disbursements for counsel of Representative’s choice retained for such purpose;</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6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fees (including SEC filing fees), costs and expenses (including third party expenses and disbursements) incurred in registering the Offering; (vi) filing fees incurred in registering the Offering with FINRA; (vii) fees and expenses of counsel to the Underwriter; (viii) the Company’s expenses associated with “due diligence” meetings arranged by the Representative (none of which will be received or paid on behalf of an “underwriter and related person” as such term is defined in Rule 5110 of FINRA’s Rules); (ix) all costs and expenses associated with “road show” marketing and “due diligence” trips for the Company’s management to meet with prospective investors, including without limitation, all travel, food and lodging expenses associated with such trips;</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fees, expenses and disbursements relating to background checks of the Company’s directors, director nominees and executive officers; (xi) the preparation of leather bound volumes and lucite cube mementos in such quantities as the Underwriter may reasonably request and (xii) all other reasonable costs and expenses incident to the performance of its obligations hereunder which are not otherwise specifically provided for in this Section 3(i) that the Underwriter have notified the Company about on or prior to the Closing Date. The Representative may deduct from the net proceeds of the Offering payable to the Company on the Closing Date, or the Option Closing Date, if any, the fees and expenses set forth above to be paid by the Company to the Representative and others, as agreed to by the Company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fees and expenses deducted from the net proceeds of the Offering payable to the Company shall not exceed $100,000 in the aggregate. If the Offering is not consummated for any reason whatsoever, except as a result of the Representative’s or any Underwriter’s breach or default with respect to any of its obligations described in this Agreement, then the Company shall reimburse the Representative for its out-of-pocket accountable expenses actually incurred by the Representative, including, without limitation, its legal fees (less any amounts previously paid), up to an aggregate amount of $100,000.</w:t>
      </w:r>
    </w:p>
    <w:p>
      <w:pPr>
        <w:spacing w:after="0" w:line="190"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Fee on Termination of Offering</w:t>
      </w:r>
      <w:r>
        <w:rPr>
          <w:rFonts w:ascii="Times New Roman" w:cs="Times New Roman" w:eastAsia="Times New Roman" w:hAnsi="Times New Roman"/>
          <w:sz w:val="18"/>
          <w:szCs w:val="18"/>
          <w:color w:val="auto"/>
        </w:rPr>
        <w:t>. Notwithstanding anything contained herein to the contrary, upon termination of the Offering</w:t>
      </w:r>
    </w:p>
    <w:p>
      <w:pPr>
        <w:spacing w:after="0" w:line="29"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 reimburse the Representative for, or otherwise pay and bear, the expenses and fees to be paid and borne by the Company as provided for herein, as applicable, and (B) reimburse the Representative for the full amount of its accountable out-of-pocket expenses actually incurred to such date (which shall include, but shall not be limited to, all fees and disbursements of the Representative’s counsel, travel, lodging and other “road show” expenses, mailing, printing and reproduction expenses, and any expenses incurred by the Representative in conducting its due diligence, including background checks of the Company’s officers and directors, up to an aggregate amount of $100,000) less the amounts previously paid and any amounts previously paid to the Representative in reimbursement for such expenses.</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Net Proceeds</w:t>
      </w:r>
      <w:r>
        <w:rPr>
          <w:rFonts w:ascii="Times New Roman" w:cs="Times New Roman" w:eastAsia="Times New Roman" w:hAnsi="Times New Roman"/>
          <w:sz w:val="18"/>
          <w:szCs w:val="18"/>
          <w:color w:val="auto"/>
        </w:rPr>
        <w:t>. The Company will apply the net proceeds from the Offering received by it in a manner consistent with the application described under the caption “Use of Proceeds” in the Prospectus.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Earnings Statements to Security Holders</w:t>
      </w:r>
      <w:r>
        <w:rPr>
          <w:rFonts w:ascii="Times New Roman" w:cs="Times New Roman" w:eastAsia="Times New Roman" w:hAnsi="Times New Roman"/>
          <w:sz w:val="18"/>
          <w:szCs w:val="18"/>
          <w:color w:val="auto"/>
        </w:rPr>
        <w:t>. The Company will make generally available to its security holders as soon as practicable, but not later than the first day of the fifteenth (15th)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(12) consecutive months beginning after the Effective Date.</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FINRA</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6" w:lineRule="auto"/>
        <w:tabs>
          <w:tab w:leader="none" w:pos="2172"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In the event any person or entity (regardless of any FINRA affiliation or association) is engaged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 the Company in its search for a merger candidate or to provide any other merger and acquisition services, the Company will provide the following to FINRA and the Representative prior to the consummation of the Business Combination: (i) complete details of all services and copies of agreements governing such services; and (ii) justification as to why the person or entity providing the merger and acquisition services should not be considered an “underwriter and related person” (as such term is defined in Rule 5110 of FINRA’s Rules) with respect to the Offering. The Company also agrees that proper disclosure of such arrangement or potential arrangement will be made in any proxy or tender offer statement which the Company files in connection with the Business Combination.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ind w:firstLine="1952"/>
        <w:spacing w:after="0" w:line="284" w:lineRule="auto"/>
        <w:tabs>
          <w:tab w:leader="none" w:pos="2249"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Broker/Dealer</w:t>
      </w:r>
      <w:r>
        <w:rPr>
          <w:rFonts w:ascii="Times New Roman" w:cs="Times New Roman" w:eastAsia="Times New Roman" w:hAnsi="Times New Roman"/>
          <w:sz w:val="18"/>
          <w:szCs w:val="18"/>
          <w:color w:val="auto"/>
        </w:rPr>
        <w:t>. In the event the Company intends to register as a broker/dealer, merge with or acquire a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broker/dealer, or otherwise become a member of FINRA, it shall promptly notify FINRA.</w:t>
      </w:r>
    </w:p>
    <w:p>
      <w:pPr>
        <w:spacing w:after="0" w:line="160"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Stabilization</w:t>
      </w:r>
      <w:r>
        <w:rPr>
          <w:rFonts w:ascii="Times New Roman" w:cs="Times New Roman" w:eastAsia="Times New Roman" w:hAnsi="Times New Roman"/>
          <w:sz w:val="18"/>
          <w:szCs w:val="18"/>
          <w:color w:val="auto"/>
        </w:rPr>
        <w:t>. Neither the Company, nor, to its knowledge, any of its employees, directors or shareholders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Firm Securities or Option Securities.</w:t>
      </w:r>
    </w:p>
    <w:p>
      <w:pPr>
        <w:spacing w:after="0" w:line="179"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The Company will maintain a system of internal accounting controls sufficient to provide reasonable assurances</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 transactions are executed in accordance with management’s general or specific authorization; (ii) transactions are recorded as necessary in order to permit preparation of financial statements in accordance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For a period of five (5) years from the Effective Date or until such earlier time upon which the Company is required to be liquidated, the Company shall retain Withum or other independent public accountants reasonably acceptable to the Representative.</w:t>
      </w:r>
    </w:p>
    <w:p>
      <w:pPr>
        <w:spacing w:after="0" w:line="161"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5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 The Company shall, on the date hereof, retain its independent public accountants to audit the financial statements of the Company as of the Closing Date (the “</w:t>
      </w:r>
      <w:r>
        <w:rPr>
          <w:rFonts w:ascii="Times New Roman" w:cs="Times New Roman" w:eastAsia="Times New Roman" w:hAnsi="Times New Roman"/>
          <w:sz w:val="18"/>
          <w:szCs w:val="18"/>
          <w:b w:val="1"/>
          <w:bCs w:val="1"/>
          <w:color w:val="auto"/>
        </w:rPr>
        <w:t>Audited Financial Statements</w:t>
      </w:r>
      <w:r>
        <w:rPr>
          <w:rFonts w:ascii="Times New Roman" w:cs="Times New Roman" w:eastAsia="Times New Roman" w:hAnsi="Times New Roman"/>
          <w:sz w:val="18"/>
          <w:szCs w:val="18"/>
          <w:color w:val="auto"/>
        </w:rPr>
        <w:t>”) reflecting the receipt by the Company of the proceeds of the Offering and the Private Placement, as well as the proceeds from the exercise of the Over-Allotment if such exercise has occurred on the date of the Prospectus. Within four</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5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Closing Date, the Company will file a Current Report on Form 8-K with the Commission, which Report shall contain the Audited Financial Statements.</w:t>
      </w:r>
    </w:p>
    <w:p>
      <w:pPr>
        <w:spacing w:after="0" w:line="181" w:lineRule="exact"/>
        <w:rPr>
          <w:rFonts w:ascii="Times New Roman" w:cs="Times New Roman" w:eastAsia="Times New Roman" w:hAnsi="Times New Roman"/>
          <w:sz w:val="18"/>
          <w:szCs w:val="18"/>
          <w:color w:val="auto"/>
        </w:rPr>
      </w:pPr>
    </w:p>
    <w:p>
      <w:pPr>
        <w:ind w:right="20" w:firstLine="1304"/>
        <w:spacing w:after="0" w:line="282" w:lineRule="auto"/>
        <w:tabs>
          <w:tab w:leader="none" w:pos="155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The Company shall advise FINRA if it is aware that any 5% or greater shareholder of the Company becomes an affiliate or associated person of a FINRA member participating in the distribution of the Company’s Public Securities.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2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All corporate proceedings and other legal matters necessary to carry out the provisions of this Agreement and the transactions contemplated hereby shall have been done to the reasonable satisfaction to counsel for the Underwriter.</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3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shall cause the proceeds of the Offering to be held in the Trust Account to be invested only in “government securities” with specific maturity dates or in money market funds meeting certain conditions under Rule 2a-7 promulgated under the Investment Company Act as set forth in the Trust Agreement and disclosed in the Prospectus. The Company will otherwise conduct its business in a manner so that it will not become subject to the Investment Company Act. Furthermore, once the Company consummates a Business Combination, it will be engaged in a business other than that of investing, reinvesting, owning, holding or trading securities.</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2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Combination Announcement</w:t>
      </w:r>
      <w:r>
        <w:rPr>
          <w:rFonts w:ascii="Times New Roman" w:cs="Times New Roman" w:eastAsia="Times New Roman" w:hAnsi="Times New Roman"/>
          <w:sz w:val="18"/>
          <w:szCs w:val="18"/>
          <w:color w:val="auto"/>
        </w:rPr>
        <w:t>. Within four (4) Business Days following the consummation by the Company of a Business Combination, the Company shall cause an announcement (“</w:t>
      </w:r>
      <w:r>
        <w:rPr>
          <w:rFonts w:ascii="Times New Roman" w:cs="Times New Roman" w:eastAsia="Times New Roman" w:hAnsi="Times New Roman"/>
          <w:sz w:val="18"/>
          <w:szCs w:val="18"/>
          <w:b w:val="1"/>
          <w:bCs w:val="1"/>
          <w:color w:val="auto"/>
        </w:rPr>
        <w:t>Business Combination Announcement</w:t>
      </w:r>
      <w:r>
        <w:rPr>
          <w:rFonts w:ascii="Times New Roman" w:cs="Times New Roman" w:eastAsia="Times New Roman" w:hAnsi="Times New Roman"/>
          <w:sz w:val="18"/>
          <w:szCs w:val="18"/>
          <w:color w:val="auto"/>
        </w:rPr>
        <w:t>”) to be issued by a press release service announcing the consummation of the Business Combination and indicating that the Representative was one of the co-managing underwriters in the Offering and also indicating the name and location of any other financial advisors engaged by the Company as a merger and acquisitions advisor. The Company shall supply the Representative with a draft of the Business Combination Announcement and provide the Representative with a reasonable advance opportunity to comment thereon. The Company will not issue the Business Combination Announcement without the final approval of the Representative, which approval will not be unreasonably withheld.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9" w:name="page20"/>
    <w:bookmarkEnd w:id="19"/>
    <w:p>
      <w:pPr>
        <w:ind w:firstLine="1304"/>
        <w:spacing w:after="0" w:line="282" w:lineRule="auto"/>
        <w:tabs>
          <w:tab w:leader="none" w:pos="155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Press Releases</w:t>
      </w:r>
      <w:r>
        <w:rPr>
          <w:rFonts w:ascii="Times New Roman" w:cs="Times New Roman" w:eastAsia="Times New Roman" w:hAnsi="Times New Roman"/>
          <w:sz w:val="18"/>
          <w:szCs w:val="18"/>
          <w:color w:val="auto"/>
        </w:rPr>
        <w:t>. The Company agrees that it will not issue press releases or engage in any other publicity, without SVB Leerink’s prior written consent (not to be unreasonably withheld), for a period of twenty-five (25) days after the Effective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Prospectus</w:t>
      </w:r>
      <w:r>
        <w:rPr>
          <w:rFonts w:ascii="Times New Roman" w:cs="Times New Roman" w:eastAsia="Times New Roman" w:hAnsi="Times New Roman"/>
          <w:sz w:val="18"/>
          <w:szCs w:val="18"/>
          <w:color w:val="auto"/>
        </w:rPr>
        <w:t>. The Company shall cause to be prepared and delivered to the Representative, at its expense, within two (2) Business Days from the Effective Date, an Electronic Prospectus to be used by the Underwriter in connection with the Offering. As used herein, the term “</w:t>
      </w:r>
      <w:r>
        <w:rPr>
          <w:rFonts w:ascii="Times New Roman" w:cs="Times New Roman" w:eastAsia="Times New Roman" w:hAnsi="Times New Roman"/>
          <w:sz w:val="18"/>
          <w:szCs w:val="18"/>
          <w:b w:val="1"/>
          <w:bCs w:val="1"/>
          <w:color w:val="auto"/>
        </w:rPr>
        <w:t>Electronic Prospectus</w:t>
      </w:r>
      <w:r>
        <w:rPr>
          <w:rFonts w:ascii="Times New Roman" w:cs="Times New Roman" w:eastAsia="Times New Roman" w:hAnsi="Times New Roman"/>
          <w:sz w:val="18"/>
          <w:szCs w:val="18"/>
          <w:color w:val="auto"/>
        </w:rPr>
        <w:t>” means a form of prospectus, and any amendment or supplement thereto, that meets each of the following conditions: (i) it shall be encoded in an electronic format, satisfactory to the Representative, that may be transmitted electronically by the Underwriter to offerees and purchasers of the Firm Securities and Option Securities for at least the period during which a Prospectus relating to the Firm Securities and Option Securities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Firm Securities and Option Securities is required to be delivered under the Securities Act, the Company shall transmit or cause to be transmitted promptly, without charge, a paper copy of the Prospectus.</w:t>
      </w:r>
    </w:p>
    <w:p>
      <w:pPr>
        <w:spacing w:after="0" w:line="197" w:lineRule="exact"/>
        <w:rPr>
          <w:rFonts w:ascii="Times New Roman" w:cs="Times New Roman" w:eastAsia="Times New Roman" w:hAnsi="Times New Roman"/>
          <w:sz w:val="18"/>
          <w:szCs w:val="18"/>
          <w:color w:val="auto"/>
        </w:rPr>
      </w:pPr>
    </w:p>
    <w:p>
      <w:pPr>
        <w:ind w:firstLine="1304"/>
        <w:spacing w:after="0" w:line="282" w:lineRule="auto"/>
        <w:tabs>
          <w:tab w:leader="none" w:pos="159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 Proceeds</w:t>
      </w:r>
      <w:r>
        <w:rPr>
          <w:rFonts w:ascii="Times New Roman" w:cs="Times New Roman" w:eastAsia="Times New Roman" w:hAnsi="Times New Roman"/>
          <w:sz w:val="18"/>
          <w:szCs w:val="18"/>
          <w:color w:val="auto"/>
        </w:rPr>
        <w:t>. On or prior to the Closing, the Company shall deposit all of the proceeds from the Private Placement in the Trust Account and shall provide the Representative with evidence of the same.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Amendment to Charter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17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of a Business Combination, the Company covenants and agrees it will not seek to amend or modify its certificate of incorporation without the prior approval of its Board of Directors and the affirmative vote of a majority of the voting power of the Company’s shares of Common Stock.</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2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the purchasers of the Firm Securities and Option Securities in this Offering shall be deemed to be third party beneficiaries of this 3(x).</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26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 and the Company specifically agree that this Section 3(x) shall not be modified or amended in any way without the approval of a majority of the voting power of the Company’s shares of Common Stock.</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Printer</w:t>
      </w:r>
      <w:r>
        <w:rPr>
          <w:rFonts w:ascii="Times New Roman" w:cs="Times New Roman" w:eastAsia="Times New Roman" w:hAnsi="Times New Roman"/>
          <w:sz w:val="18"/>
          <w:szCs w:val="18"/>
          <w:color w:val="auto"/>
        </w:rPr>
        <w:t>. The Company shall retain a financial printer, reasonably acceptable to the Representative, for the purpose of facilitating the Company’s EDGAR filings and the printing of the Preliminary Prospectus and Prospectus.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on the Nasdaq Capital Market</w:t>
      </w:r>
      <w:r>
        <w:rPr>
          <w:rFonts w:ascii="Times New Roman" w:cs="Times New Roman" w:eastAsia="Times New Roman" w:hAnsi="Times New Roman"/>
          <w:sz w:val="18"/>
          <w:szCs w:val="18"/>
          <w:color w:val="auto"/>
        </w:rPr>
        <w:t>. The Company will use commercially reasonable efforts to maintain the listing of the Public Securities on the Nasdaq Capital Market or another national securities exchange until the earlier of five (5) years from the Effective Date or until the Public Securities are no longer registered under the Exchange Act.</w:t>
      </w:r>
    </w:p>
    <w:p>
      <w:pPr>
        <w:spacing w:after="0" w:line="176" w:lineRule="exact"/>
        <w:rPr>
          <w:sz w:val="20"/>
          <w:szCs w:val="20"/>
          <w:color w:val="auto"/>
        </w:rPr>
      </w:pPr>
    </w:p>
    <w:p>
      <w:pPr>
        <w:jc w:val="both"/>
        <w:ind w:firstLine="1304"/>
        <w:spacing w:after="0" w:line="266"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Deferred Underwriting Commission on Business Combination</w:t>
      </w:r>
      <w:r>
        <w:rPr>
          <w:rFonts w:ascii="Times New Roman" w:cs="Times New Roman" w:eastAsia="Times New Roman" w:hAnsi="Times New Roman"/>
          <w:sz w:val="18"/>
          <w:szCs w:val="18"/>
          <w:color w:val="auto"/>
        </w:rPr>
        <w:t>. Upon the consummation of a Business Combination, the Company agrees that it will cause the Trustee to pay the Deferred Underwriting Commission directly from the Trust Account to SVB Leerink LLC, in accordance with this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jc w:val="both"/>
        <w:ind w:firstLine="8"/>
        <w:spacing w:after="0" w:line="262" w:lineRule="auto"/>
        <w:tabs>
          <w:tab w:leader="none" w:pos="19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Conditions of Underwriter’s Obligations</w:t>
      </w:r>
      <w:r>
        <w:rPr>
          <w:rFonts w:ascii="Times New Roman" w:cs="Times New Roman" w:eastAsia="Times New Roman" w:hAnsi="Times New Roman"/>
          <w:sz w:val="18"/>
          <w:szCs w:val="18"/>
          <w:color w:val="auto"/>
        </w:rPr>
        <w:t>. The obligations of the Underwriter to purchase and pay for the Firm Securities and Option Securities,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herein, shall be subject to the continuing accuracy of the representations and warranties of the Company as of the date hereof and as of each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180"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72"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The Registration Statement shall have become effective not later than 5:00 P.M.,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York time, on the date of this Agreement or such later date and time as shall be consented to in writing by the Representative, and, at each of the Closing Date and the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 to the reasonable satisfaction of Kirkland &amp; Ellis LLP (“Kirkland”).</w:t>
      </w:r>
    </w:p>
    <w:p>
      <w:pPr>
        <w:spacing w:after="0" w:line="183" w:lineRule="exact"/>
        <w:rPr>
          <w:rFonts w:ascii="Times New Roman" w:cs="Times New Roman" w:eastAsia="Times New Roman" w:hAnsi="Times New Roman"/>
          <w:sz w:val="18"/>
          <w:szCs w:val="18"/>
          <w:color w:val="auto"/>
        </w:rPr>
      </w:pPr>
    </w:p>
    <w:p>
      <w:pPr>
        <w:ind w:right="20" w:firstLine="1952"/>
        <w:spacing w:after="0" w:line="284" w:lineRule="auto"/>
        <w:tabs>
          <w:tab w:leader="none" w:pos="2209"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FINRA Clearance</w:t>
      </w:r>
      <w:r>
        <w:rPr>
          <w:rFonts w:ascii="Times New Roman" w:cs="Times New Roman" w:eastAsia="Times New Roman" w:hAnsi="Times New Roman"/>
          <w:sz w:val="18"/>
          <w:szCs w:val="18"/>
          <w:color w:val="auto"/>
        </w:rPr>
        <w:t>. By the Effective Date, the Representative shall have received clearance from FINRA as to the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allowable or payable to the Underwriter as described in the Registration Statement.</w:t>
      </w:r>
    </w:p>
    <w:p>
      <w:pPr>
        <w:spacing w:after="0" w:line="158" w:lineRule="exact"/>
        <w:rPr>
          <w:rFonts w:ascii="Times New Roman" w:cs="Times New Roman" w:eastAsia="Times New Roman" w:hAnsi="Times New Roman"/>
          <w:sz w:val="18"/>
          <w:szCs w:val="18"/>
          <w:color w:val="auto"/>
        </w:rPr>
      </w:pPr>
    </w:p>
    <w:p>
      <w:pPr>
        <w:jc w:val="both"/>
        <w:ind w:firstLine="1952"/>
        <w:spacing w:after="0" w:line="267" w:lineRule="auto"/>
        <w:tabs>
          <w:tab w:leader="none" w:pos="2259"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Commission Stop Order</w:t>
      </w:r>
      <w:r>
        <w:rPr>
          <w:rFonts w:ascii="Times New Roman" w:cs="Times New Roman" w:eastAsia="Times New Roman" w:hAnsi="Times New Roman"/>
          <w:sz w:val="18"/>
          <w:szCs w:val="18"/>
          <w:color w:val="auto"/>
        </w:rPr>
        <w:t>. At each of the Closing Date and the Option Closing Date, the Commission has not issued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order or threatened to issue any order preventing or suspending the use of any Preliminary Prospectus or the Prospectus or any part thereof, and has not instituted or threatened to institute any proceedings with respect to such an order.</w:t>
      </w:r>
    </w:p>
    <w:p>
      <w:pPr>
        <w:spacing w:after="0" w:line="173" w:lineRule="exact"/>
        <w:rPr>
          <w:rFonts w:ascii="Times New Roman" w:cs="Times New Roman" w:eastAsia="Times New Roman" w:hAnsi="Times New Roman"/>
          <w:sz w:val="18"/>
          <w:szCs w:val="18"/>
          <w:color w:val="auto"/>
        </w:rPr>
      </w:pPr>
    </w:p>
    <w:p>
      <w:pPr>
        <w:jc w:val="both"/>
        <w:ind w:firstLine="1952"/>
        <w:spacing w:after="0" w:line="267" w:lineRule="auto"/>
        <w:tabs>
          <w:tab w:leader="none" w:pos="2262"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Blue Sky Stop Orders</w:t>
      </w:r>
      <w:r>
        <w:rPr>
          <w:rFonts w:ascii="Times New Roman" w:cs="Times New Roman" w:eastAsia="Times New Roman" w:hAnsi="Times New Roman"/>
          <w:sz w:val="18"/>
          <w:szCs w:val="18"/>
          <w:color w:val="auto"/>
        </w:rPr>
        <w:t>. No order suspending the sale of the Firm Securities and Option Securities in any jurisdiction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designated by the Representative pursuant to this Agreement, if any, shall have been issued on either the Closing Date or the Option Closing Date, and no proceedings for that purpose shall have been instituted or shall be contemplated.</w:t>
      </w:r>
    </w:p>
    <w:p>
      <w:pPr>
        <w:spacing w:after="0" w:line="173"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Nasdaq Capital Market</w:t>
      </w:r>
      <w:r>
        <w:rPr>
          <w:rFonts w:ascii="Times New Roman" w:cs="Times New Roman" w:eastAsia="Times New Roman" w:hAnsi="Times New Roman"/>
          <w:sz w:val="18"/>
          <w:szCs w:val="18"/>
          <w:color w:val="auto"/>
        </w:rPr>
        <w:t>. By the Effective Date, the Public Securities shall have been approved for trading on the Nasdaq</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Market.</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Counsel Matters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3" w:lineRule="auto"/>
        <w:tabs>
          <w:tab w:leader="none" w:pos="2159"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 Date Opinion of Counsel</w:t>
      </w:r>
      <w:r>
        <w:rPr>
          <w:rFonts w:ascii="Times New Roman" w:cs="Times New Roman" w:eastAsia="Times New Roman" w:hAnsi="Times New Roman"/>
          <w:sz w:val="18"/>
          <w:szCs w:val="18"/>
          <w:color w:val="auto"/>
        </w:rPr>
        <w:t>. On the Closing Date, the Representative shall have received the favorable opinion of Loeb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&amp; Loeb LLP (“Loeb”), counsel to the Company, dated the Closing Date, addressed to the Representative and in form and substance reasonably satisfactory to the Representative. The opinion of counsel shall further include a statement to the effect that such counsel has participated in conferences with officers and other representatives of the Company, representatives of the independent public accountants for the Company and representatives of the Underwriter at which the contents of the Registration Statement, final Preliminary Prospectus, the Prospectus and related matters were discussed and although such counsel is not passing upon and does not assume any responsibility for the accuracy, completeness or fairness of the statements contained in the Registration Statement, final Preliminary Prospectus and the Prospectus (except as otherwise set forth in such opinion), no facts have come to the attention of such counsel which lead them to believe that either the Registration Statement, final Preliminary Prospectus or the Prospectus or any amendment or supplement thereto, as of the date of such opinion contained any untrue statement of a material fact or omitted to state a material fact required to be stated therein or necessary to make the statements therein (in the case of the Preliminary Prospectus and the Prospectus, in light of the circumstances under which they were made), not misleading (it being understood that such counsel need express no opinion with respect to the financial statements and related notes and schedules and other financial data included in the Registration Statement, final Preliminary Prospectus or the Prospectus or matters relating to the sale of securities in any jurisdiction outside the U.S.). The opinion of counsel shall state that such counsel is not opining as to the Placement Shares with respect to any rights to rescind or the effect any exercise of such rights will have on any other securities of the Company or on the Offering.</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both"/>
        <w:ind w:firstLine="1952"/>
        <w:spacing w:after="0" w:line="261" w:lineRule="auto"/>
        <w:tabs>
          <w:tab w:leader="none" w:pos="220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 Closing Date Opinion of Counsel</w:t>
      </w:r>
      <w:r>
        <w:rPr>
          <w:rFonts w:ascii="Times New Roman" w:cs="Times New Roman" w:eastAsia="Times New Roman" w:hAnsi="Times New Roman"/>
          <w:sz w:val="18"/>
          <w:szCs w:val="18"/>
          <w:color w:val="auto"/>
        </w:rPr>
        <w:t>. On each Option Closing Date, if any, the Representative shall have received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favorable opinion of Loeb, dated each Option Closing Date, addressed to the Representative and in form and substance reasonably satisfactory to counsel to the Representative, confirming as of each Option Closing Date, the statements made by Loeb in its opinion delivered on the Closing Date and also opining as to the issuance of the Option Securities and the securities underlying the Option Securities.</w:t>
      </w:r>
    </w:p>
    <w:p>
      <w:pPr>
        <w:spacing w:after="0" w:line="179" w:lineRule="exact"/>
        <w:rPr>
          <w:rFonts w:ascii="Times New Roman" w:cs="Times New Roman" w:eastAsia="Times New Roman" w:hAnsi="Times New Roman"/>
          <w:sz w:val="18"/>
          <w:szCs w:val="18"/>
          <w:color w:val="auto"/>
        </w:rPr>
      </w:pPr>
    </w:p>
    <w:p>
      <w:pPr>
        <w:jc w:val="both"/>
        <w:ind w:firstLine="1952"/>
        <w:spacing w:after="0" w:line="258" w:lineRule="auto"/>
        <w:tabs>
          <w:tab w:leader="none" w:pos="228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Reliance</w:t>
      </w:r>
      <w:r>
        <w:rPr>
          <w:rFonts w:ascii="Times New Roman" w:cs="Times New Roman" w:eastAsia="Times New Roman" w:hAnsi="Times New Roman"/>
          <w:sz w:val="18"/>
          <w:szCs w:val="18"/>
          <w:color w:val="auto"/>
        </w:rPr>
        <w:t>. In rendering such opinion, such counsel may rely as to matters of fact, to the extent they deem proper,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certificates or other written statements of officers of the Company and officers of departments of various jurisdictions having custody of documents respecting the corporate existence or good standing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copies of any such statements or certificates shall be delivered to the Underwriter’s counsel if requested. The opinion of counsel for the Company shall include a statement to the effect that it may be relied upon by counsel for the Underwriter in its opinion delivered to the Underwriter.</w:t>
      </w:r>
    </w:p>
    <w:p>
      <w:pPr>
        <w:spacing w:after="0" w:line="18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Cold Comfort Letter</w:t>
      </w:r>
      <w:r>
        <w:rPr>
          <w:rFonts w:ascii="Times New Roman" w:cs="Times New Roman" w:eastAsia="Times New Roman" w:hAnsi="Times New Roman"/>
          <w:sz w:val="18"/>
          <w:szCs w:val="18"/>
          <w:color w:val="auto"/>
        </w:rPr>
        <w:t xml:space="preserve">. At the time this Agreement is executed, and at each of the Closing Date and the Option Closing Date, if any, the Representative shall have received a letter, addressed to the Representative and in form and substance satisfactory in all respects (including the nature of the changes or decreases, if any, referred to in </w:t>
      </w:r>
      <w:r>
        <w:rPr>
          <w:rFonts w:ascii="Times New Roman" w:cs="Times New Roman" w:eastAsia="Times New Roman" w:hAnsi="Times New Roman"/>
          <w:sz w:val="18"/>
          <w:szCs w:val="18"/>
          <w:u w:val="single" w:color="auto"/>
          <w:color w:val="auto"/>
        </w:rPr>
        <w:t>Section 4.3.3</w:t>
      </w:r>
      <w:r>
        <w:rPr>
          <w:rFonts w:ascii="Times New Roman" w:cs="Times New Roman" w:eastAsia="Times New Roman" w:hAnsi="Times New Roman"/>
          <w:sz w:val="18"/>
          <w:szCs w:val="18"/>
          <w:color w:val="auto"/>
        </w:rPr>
        <w:t xml:space="preserve"> below) to the Representative from Withum dated, respectively, as of the date of this Agreement and as of the Closing Date and the Option Closing Date, if any:</w:t>
      </w:r>
    </w:p>
    <w:p>
      <w:pPr>
        <w:spacing w:after="0" w:line="179" w:lineRule="exact"/>
        <w:rPr>
          <w:rFonts w:ascii="Times New Roman" w:cs="Times New Roman" w:eastAsia="Times New Roman" w:hAnsi="Times New Roman"/>
          <w:sz w:val="18"/>
          <w:szCs w:val="18"/>
          <w:color w:val="auto"/>
        </w:rPr>
      </w:pPr>
    </w:p>
    <w:p>
      <w:pPr>
        <w:ind w:right="20" w:firstLine="1952"/>
        <w:spacing w:after="0" w:line="282" w:lineRule="auto"/>
        <w:tabs>
          <w:tab w:leader="none" w:pos="21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Confirming that they are an independent registered public accounting firm with respect to the Company within the meaning of the Act and the applicable Regulations;</w:t>
      </w:r>
    </w:p>
    <w:p>
      <w:pPr>
        <w:spacing w:after="0" w:line="161" w:lineRule="exact"/>
        <w:rPr>
          <w:rFonts w:ascii="Times New Roman" w:cs="Times New Roman" w:eastAsia="Times New Roman" w:hAnsi="Times New Roman"/>
          <w:sz w:val="18"/>
          <w:szCs w:val="18"/>
          <w:color w:val="auto"/>
        </w:rPr>
      </w:pPr>
    </w:p>
    <w:p>
      <w:pPr>
        <w:jc w:val="both"/>
        <w:ind w:firstLine="1952"/>
        <w:spacing w:after="0" w:line="266" w:lineRule="auto"/>
        <w:tabs>
          <w:tab w:leader="none" w:pos="221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in their opinion the financial statements of the Company included in the Registration Statement, the Preliminary Prospectus and the Prospectus comply as to form in all material respects with the applicable accounting requirements of the Act and the Regulations thereunder;</w:t>
      </w:r>
    </w:p>
    <w:p>
      <w:pPr>
        <w:spacing w:after="0" w:line="175"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6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that, on the basis of limited procedures which included a reading of the latest available minutes of the shareholders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 (a) at a date not later than five (5) days prior to the Effective Date, Closing Date or Option Closing Date, as the case may be, there was any change in the capital stock or long-term debt of the Company, or any decrease in the shareholders’ equity of the Company as compared with amounts shown in the June 30, 2020 balance sheet included in the Registration Statement, the Preliminary Prospectus and the Prospectus, other than as set forth in or contemplated by the Registration Statement, the Preliminary Prospectus and the Prospectus, or, if there was any decrease, setting forth the amount of such decrease; and (b) during the period from June 30, 2020 (balance sheet date) to a specified date not later than five (5) days prior to the Effective Date, Closing Date or Option Closing Date, as the case may be, there was any decrease in net loss or net loss per share of Common Stock, in each case as compared with the Statement of Operations for the period from May 21, 2020 (inception) to June 30, 2020 included in the Registration Statement and the Prospectus, or, if there was any such decrease, setting forth the amount of such decrease;</w:t>
      </w:r>
    </w:p>
    <w:p>
      <w:pPr>
        <w:spacing w:after="0" w:line="191" w:lineRule="exact"/>
        <w:rPr>
          <w:rFonts w:ascii="Times New Roman" w:cs="Times New Roman" w:eastAsia="Times New Roman" w:hAnsi="Times New Roman"/>
          <w:sz w:val="18"/>
          <w:szCs w:val="18"/>
          <w:color w:val="auto"/>
        </w:rPr>
      </w:pPr>
    </w:p>
    <w:p>
      <w:pPr>
        <w:jc w:val="both"/>
        <w:ind w:firstLine="1952"/>
        <w:spacing w:after="0" w:line="256" w:lineRule="auto"/>
        <w:tabs>
          <w:tab w:leader="none" w:pos="22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Stating they have compared specific dollar amounts, numbers of shares, percentages of earnings, statements and other financial information pertaining to the Company set forth in the Registration Statement, the Preliminary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the standards of the PCAOB) set forth in the letter and found them to be in agreement; and</w:t>
      </w:r>
    </w:p>
    <w:p>
      <w:pPr>
        <w:spacing w:after="0" w:line="187"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as to such other matters incident to the transaction contemplated hereby as the Representative may reasonably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22" w:name="page23"/>
    <w:bookmarkEnd w:id="22"/>
    <w:p>
      <w:pPr>
        <w:ind w:left="1560" w:hanging="256"/>
        <w:spacing w:after="0"/>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xml:space="preserve"> . At each of the Closing Date and the Option Closing Date, if any, the Representative shall have received a certificate of the Company signed by the Chief Executive Officer or the President and the Secretary or Assistant Secretary of the Company,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have been satisfied as of such date and that, as of Closing Date and the Option Closing Date, as the case may be, the representations and warranties of the Company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are true and correct. In addition, the Representative will have received such other and further certificates of officers of the Company as the Representative may reasonably request.</w:t>
      </w:r>
    </w:p>
    <w:p>
      <w:pPr>
        <w:spacing w:after="0" w:line="183" w:lineRule="exact"/>
        <w:rPr>
          <w:sz w:val="20"/>
          <w:szCs w:val="20"/>
          <w:color w:val="auto"/>
        </w:rPr>
      </w:pPr>
    </w:p>
    <w:p>
      <w:pPr>
        <w:jc w:val="both"/>
        <w:ind w:firstLine="1952"/>
        <w:spacing w:after="0" w:line="256" w:lineRule="auto"/>
        <w:tabs>
          <w:tab w:leader="none" w:pos="223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Secretary’s Certificate</w:t>
      </w:r>
      <w:r>
        <w:rPr>
          <w:rFonts w:ascii="Times New Roman" w:cs="Times New Roman" w:eastAsia="Times New Roman" w:hAnsi="Times New Roman"/>
          <w:sz w:val="18"/>
          <w:szCs w:val="18"/>
          <w:color w:val="auto"/>
        </w:rPr>
        <w:t>. At each of the Closing Date and the Option Closing Date, if any, the Representative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a certificate of the Company signed by the Secretary or Assistant Secretary of the Company, dated the Closing Date or the Option Closing Date, as the case may be, certifying: (i) that the amended and restated certificate of incorporation and bylaws of the Company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the Nasdaq Stock Market; and (v) as to the incumbency of the officers of the Company. The documents referred to in such certificate shall be attached to such certificate.</w:t>
      </w:r>
    </w:p>
    <w:p>
      <w:pPr>
        <w:spacing w:after="0" w:line="184"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Changes</w:t>
      </w:r>
      <w:r>
        <w:rPr>
          <w:rFonts w:ascii="Times New Roman" w:cs="Times New Roman" w:eastAsia="Times New Roman" w:hAnsi="Times New Roman"/>
          <w:sz w:val="18"/>
          <w:szCs w:val="18"/>
          <w:color w:val="auto"/>
        </w:rPr>
        <w:t>. Prior to and on each of the Closing Date and the Option Closing Date, if any: (i) there shall have been no material adverse change or development that is likely to result in a material adverse change in the condition or prospects or the business activities, financial or otherwise, of the Company from the latest dates as of which such condition is set forth in the Registration Statement and Prospectus; (ii) no action, suit or proceeding, at law or in equity, shall have been pending or threatened against the Company or the Initial Shareholders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Preliminary Prospectus and Prospectus; (iii) no stop order shall have been issued under the Act and no proceedings therefor shall have been initiated or threatened by the Commission; and (iv) the Registration Statement, the Preliminary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neither the Registration Statement, the Preliminary Prospectus nor the Prospectus nor any amendment or supplement thereto shall contain any untrue statement of a material fact or omit to state any material fact required to be stated therein or necessary to make the statements therein (in the case of the Preliminary Prospectus and the Prospectus, in light of the circumstances under which they were made), not misleading.</w:t>
      </w:r>
    </w:p>
    <w:p>
      <w:pPr>
        <w:spacing w:after="0" w:line="187"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Agreements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67" w:lineRule="auto"/>
        <w:tabs>
          <w:tab w:leader="none" w:pos="215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 Date Deliveries</w:t>
      </w:r>
      <w:r>
        <w:rPr>
          <w:rFonts w:ascii="Times New Roman" w:cs="Times New Roman" w:eastAsia="Times New Roman" w:hAnsi="Times New Roman"/>
          <w:sz w:val="18"/>
          <w:szCs w:val="18"/>
          <w:color w:val="auto"/>
        </w:rPr>
        <w:t>. On the Effective Date, the Company shall have delivered to the Representative executed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Trust Agreement, the Services Agreement, all of the Insider Letters, the Subscription Agreements, the Registration Rights Agreement and the Escrow Agreement.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 w:name="page24"/>
    <w:bookmarkEnd w:id="23"/>
    <w:p>
      <w:pPr>
        <w:ind w:left="180" w:hanging="172"/>
        <w:spacing w:after="0"/>
        <w:tabs>
          <w:tab w:leader="none" w:pos="1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w:t>
      </w:r>
    </w:p>
    <w:p>
      <w:pPr>
        <w:spacing w:after="0" w:line="22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Underwriter</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1" w:lineRule="auto"/>
        <w:tabs>
          <w:tab w:leader="none" w:pos="2159"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Subject to the conditions set forth below, the Company agrees to indemnify and hold harmless the Underwriter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dealer selected by the Representative that participates in the offer and sale of the Firm Securities and Option Securities (each a “</w:t>
      </w:r>
      <w:r>
        <w:rPr>
          <w:rFonts w:ascii="Times New Roman" w:cs="Times New Roman" w:eastAsia="Times New Roman" w:hAnsi="Times New Roman"/>
          <w:sz w:val="18"/>
          <w:szCs w:val="18"/>
          <w:b w:val="1"/>
          <w:bCs w:val="1"/>
          <w:color w:val="auto"/>
        </w:rPr>
        <w:t>Selected Dealer</w:t>
      </w:r>
      <w:r>
        <w:rPr>
          <w:rFonts w:ascii="Times New Roman" w:cs="Times New Roman" w:eastAsia="Times New Roman" w:hAnsi="Times New Roman"/>
          <w:sz w:val="18"/>
          <w:szCs w:val="18"/>
          <w:color w:val="auto"/>
        </w:rPr>
        <w:t>”) and each of their respective directors, officers and employees and each person, if any, who controls any such Underwriter (“</w:t>
      </w:r>
      <w:r>
        <w:rPr>
          <w:rFonts w:ascii="Times New Roman" w:cs="Times New Roman" w:eastAsia="Times New Roman" w:hAnsi="Times New Roman"/>
          <w:sz w:val="18"/>
          <w:szCs w:val="18"/>
          <w:b w:val="1"/>
          <w:bCs w:val="1"/>
          <w:color w:val="auto"/>
        </w:rPr>
        <w:t>Controlling Person</w:t>
      </w:r>
      <w:r>
        <w:rPr>
          <w:rFonts w:ascii="Times New Roman" w:cs="Times New Roman" w:eastAsia="Times New Roman" w:hAnsi="Times New Roman"/>
          <w:sz w:val="18"/>
          <w:szCs w:val="18"/>
          <w:color w:val="auto"/>
        </w:rPr>
        <w:t xml:space="preserve">”) within the meaning of Section 15 of the Act or Section 20(a)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 and the Company or between any of the Underwriter and any third party or otherwise) to which they or any of them may become subject under the Act, the Exchange Act or any other federal, state or local statute, law, rule, regulation or ordinance or at common law or otherwise or under the laws, rules and regulation of foreign countries, arising out of or based upon any untrue statement or alleged untrue statement of a material fact contained in: (i) any Preliminary Prospectus, the Registration Statement, or the Prospectus (as from time to time each may be amended and supplemented); (ii) in any post-effective amendment or amendments or any new registration statement and prospectus in which is included securities of the Company issued; or (iii)any application or other document or written communication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collectively called “</w:t>
      </w: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executed by the Company or based upon written information furnished by the Company in any jurisdiction in order to qualify the Firm Securities and Option Securities under the securities laws thereof or filed with the Commission, any state securities commission or agency, the Nasdaq Stock Market or any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an Underwriter by or on behalf of such Underwriter expressly for use in any Preliminary Prospectus, the Registration Statement, or the Prospectus, or any amendment or supplement thereof. With respect to any untrue statement or omission or alleged untrue statement or omission made in the Preliminary Prospectus, the indemnity agreement contained in this paragraph shall not inure to the benefit of any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Act and the Regulations, and if the untrue statement or omission has been corrected in the Prospectus, unless such failure to deliver the Prospectus was a result of non-compliance by the Company with its obligations hereunder. The Company agrees to promptly notify the Representative of the commencement of any litigation or proceedings against the Company or any of its officers, directors or Controlling Persons in connection with the issue and sale of the Securities or in connection with the Preliminary Prospectus, the Registration Statement, or the Prospectus.</w:t>
      </w:r>
    </w:p>
    <w:p>
      <w:pPr>
        <w:spacing w:after="0" w:line="204"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22"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Procedure</w:t>
      </w:r>
      <w:r>
        <w:rPr>
          <w:rFonts w:ascii="Times New Roman" w:cs="Times New Roman" w:eastAsia="Times New Roman" w:hAnsi="Times New Roman"/>
          <w:sz w:val="18"/>
          <w:szCs w:val="18"/>
          <w:color w:val="auto"/>
        </w:rPr>
        <w:t>. If any action is brought against an Underwriter or Controlling Person in respect of which indemnity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sought against the Company hereunder, such Underwriter shall promptly notify the Company in writing of the institution of such action and the Company shall assume the defense of such action, including the employment and fees of counsel (subject to the reasonable approval of such Underwriter) and payment of actual expenses. Such Underwriter or Controlling Person shall have the right to employ its or their own counsel in any such case, but the fees and expenses of such counsel shall be at the expense of such Underwriter or such Controlling Person unless: (i) the employment of such counsel at the expense of the Company shall have been authorized in writing by the Company in connection with the defense of such action within reasonable time under the circumstances;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or another conflict of interest or conflict as to legal representation exists, (in which case the Company shall not have the right to direct the defense of such action on behalf of the indemnified party or parties), in any of which events the reasonable fees and expenses of not more than one additional firm of attorneys selected by the Underwriter and/or Controlling Person shall be borne by the Company. Notwithstanding anything to the contrary contained herein, if the Underwriter or Controlling Person shall assume the defense of such action as provided above, the Company shall have the right to approve the terms of any settlement of such action which approval shall not be unreasonably withheld.</w:t>
      </w:r>
    </w:p>
    <w:p>
      <w:pPr>
        <w:spacing w:after="0" w:line="18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the Company</w:t>
      </w:r>
      <w:r>
        <w:rPr>
          <w:rFonts w:ascii="Times New Roman" w:cs="Times New Roman" w:eastAsia="Times New Roman" w:hAnsi="Times New Roman"/>
          <w:sz w:val="18"/>
          <w:szCs w:val="18"/>
          <w:color w:val="auto"/>
        </w:rPr>
        <w:t>. Each Underwriter, severally and not jointly, agrees to indemnify and hold harmless the Company, its directors, officers and employees, and agents who control the Company within the meaning of Section 15 of the Act or Section 20 of the Exchange Act, against any and all loss, liability, claim, damage and expense described in the foregoing indemnity from the Company to the Underwriter,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the Underwriter expressly for use in such Preliminary Prospectus, the Registration Statement, or the Prospectus, or any amendment or supplement thereto or in any such Application, which furnished written information, it is expressly agreed, consists solely of the information set forth under the heading “Underwriting”: (i) the table of underwriters in the first paragraph of “Underwriting”, (ii) the first paragraph of the Underwriting subsection “Commissions and Discounts” and (iii) the Underwriting subsection “Regulatory Restrictions on Purchase of Securities”. In case any action shall be brought against the Company or any other person so indemnified based on any Preliminary Prospectus, the Registration Statement, or the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Underwriter by the provisions of Section 5(b).</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4" w:name="page25"/>
    <w:bookmarkEnd w:id="24"/>
    <w:p>
      <w:pPr>
        <w:ind w:left="1540" w:hanging="236"/>
        <w:spacing w:after="0"/>
        <w:tabs>
          <w:tab w:leader="none" w:pos="15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5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Contribution Rights</w:t>
      </w:r>
      <w:r>
        <w:rPr>
          <w:rFonts w:ascii="Times New Roman" w:cs="Times New Roman" w:eastAsia="Times New Roman" w:hAnsi="Times New Roman"/>
          <w:sz w:val="18"/>
          <w:szCs w:val="18"/>
          <w:color w:val="auto"/>
        </w:rPr>
        <w:t>. In order to provide for just and equitable contribution under the Act in any case in which: (i)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entitled to indemnification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provides for indemnification in such case; or (ii) contribution under the Act, the Exchange Act or otherwise may be required on the part of any such person in circumstances for which indemnification is provided under </w:t>
      </w:r>
      <w:r>
        <w:rPr>
          <w:rFonts w:ascii="Times New Roman" w:cs="Times New Roman" w:eastAsia="Times New Roman" w:hAnsi="Times New Roman"/>
          <w:sz w:val="18"/>
          <w:szCs w:val="18"/>
          <w:u w:val="single" w:color="auto"/>
          <w:color w:val="auto"/>
        </w:rPr>
        <w:t>this Section 5</w:t>
      </w:r>
      <w:r>
        <w:rPr>
          <w:rFonts w:ascii="Times New Roman" w:cs="Times New Roman" w:eastAsia="Times New Roman" w:hAnsi="Times New Roman"/>
          <w:sz w:val="18"/>
          <w:szCs w:val="18"/>
          <w:color w:val="auto"/>
        </w:rPr>
        <w:t xml:space="preserve">, then, and in each such case, the Company and the Underwriter shall contribute to the aggregate losses, liabilities, claims, damages and expenses of the nature contemplated by said indemnity agreement incurred by the Company and the Underwriter, as incurred, in such proportions that the Underwriter is responsible for that portion represented by the percentage that the underwriting discount appearing on the cover page of the Prospectus bears to the initial offering price appearing thereon and the Company is responsible for the balance;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 person guilty of a fraudulent misrepresentation (within the meaning of Section 11(f) of the Act) shall be entitled to contribution from any person who was not guilty of such fraudulent misrepresentation. Notwithstanding the provisions of this clause (c), no Underwriter shall be required to contribute any amount in excess of the amount by which the total price at which the Public Securities underwritten by it and distributed to the public were offered to the public exceeds the amount of any damages that such Underwriter has otherwise been required to pay in respect of such losses, liabilities, claims, damages and expenses. For purposes of this Section, each director, officer and employee of an Underwriter or the Company, as applicable, and each person, if any, who controls an Underwriter or the Company, as applicable, within the meaning of Section 15 of the Act shall have the same rights to contribution as the Underwriter or the Company, as applicable.</w:t>
      </w:r>
    </w:p>
    <w:p>
      <w:pPr>
        <w:spacing w:after="0" w:line="194" w:lineRule="exact"/>
        <w:rPr>
          <w:rFonts w:ascii="Times New Roman" w:cs="Times New Roman" w:eastAsia="Times New Roman" w:hAnsi="Times New Roman"/>
          <w:sz w:val="18"/>
          <w:szCs w:val="18"/>
          <w:color w:val="auto"/>
        </w:rPr>
      </w:pPr>
    </w:p>
    <w:p>
      <w:pPr>
        <w:jc w:val="both"/>
        <w:ind w:firstLine="1952"/>
        <w:spacing w:after="0" w:line="253" w:lineRule="auto"/>
        <w:tabs>
          <w:tab w:leader="none" w:pos="220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Contribution Procedure</w:t>
      </w:r>
      <w:r>
        <w:rPr>
          <w:rFonts w:ascii="Times New Roman" w:cs="Times New Roman" w:eastAsia="Times New Roman" w:hAnsi="Times New Roman"/>
          <w:sz w:val="18"/>
          <w:szCs w:val="18"/>
          <w:color w:val="auto"/>
        </w:rPr>
        <w:t>. Within fifteen (15) days after receipt by any party to this Agreement (or its representative) of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commencement of any action, suit or proceeding, such party will, if a claim for contribution in respect thereof is to be made against another party (“</w:t>
      </w:r>
      <w:r>
        <w:rPr>
          <w:rFonts w:ascii="Times New Roman" w:cs="Times New Roman" w:eastAsia="Times New Roman" w:hAnsi="Times New Roman"/>
          <w:sz w:val="18"/>
          <w:szCs w:val="18"/>
          <w:b w:val="1"/>
          <w:bCs w:val="1"/>
          <w:color w:val="auto"/>
        </w:rPr>
        <w:t>Contributing Party</w:t>
      </w:r>
      <w:r>
        <w:rPr>
          <w:rFonts w:ascii="Times New Roman" w:cs="Times New Roman" w:eastAsia="Times New Roman" w:hAnsi="Times New Roman"/>
          <w:sz w:val="18"/>
          <w:szCs w:val="18"/>
          <w:color w:val="auto"/>
        </w:rPr>
        <w:t>”), notify the Contributing Party of the commencement thereof, but the omission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effected by such party seeking contribution on account of any settlement of any claim, action or proceeding effected by such party seeking contribution without the written consent of such Contributing Party. The contribution provisions contained in this Section are intended to supersede, to the extent permitted by law, any right to contribution under the Act, the Exchange Act or otherwise available. The Underwriter’s obligations to contribute pursuant to this clause (c) are several and not joint.</w:t>
      </w:r>
    </w:p>
    <w:p>
      <w:pPr>
        <w:spacing w:after="0" w:line="18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Covenants.</w:t>
      </w:r>
    </w:p>
    <w:p>
      <w:pPr>
        <w:spacing w:after="0" w:line="22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Shares or Options</w:t>
      </w:r>
      <w:r>
        <w:rPr>
          <w:rFonts w:ascii="Times New Roman" w:cs="Times New Roman" w:eastAsia="Times New Roman" w:hAnsi="Times New Roman"/>
          <w:sz w:val="18"/>
          <w:szCs w:val="18"/>
          <w:color w:val="auto"/>
        </w:rPr>
        <w:t>. The Company hereby agrees that until the Company consummates a Business Combination, it shall not issue any shares of Common Stock or any options or other securities convertible into shares of Common Stock, or any class of shares which participate in any manner in the Trust Account or which vote as a class with the Common Stock on a Business Combination.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 Acknowledgments</w:t>
      </w:r>
      <w:r>
        <w:rPr>
          <w:rFonts w:ascii="Times New Roman" w:cs="Times New Roman" w:eastAsia="Times New Roman" w:hAnsi="Times New Roman"/>
          <w:sz w:val="18"/>
          <w:szCs w:val="18"/>
          <w:color w:val="auto"/>
        </w:rPr>
        <w:t>. The Company hereby agrees that it will not commence its due diligence investigation of any operating business or businesses which the Company seeks to acquire (each, a “</w:t>
      </w:r>
      <w:r>
        <w:rPr>
          <w:rFonts w:ascii="Times New Roman" w:cs="Times New Roman" w:eastAsia="Times New Roman" w:hAnsi="Times New Roman"/>
          <w:sz w:val="18"/>
          <w:szCs w:val="18"/>
          <w:b w:val="1"/>
          <w:bCs w:val="1"/>
          <w:color w:val="auto"/>
        </w:rPr>
        <w:t>Target Business</w:t>
      </w:r>
      <w:r>
        <w:rPr>
          <w:rFonts w:ascii="Times New Roman" w:cs="Times New Roman" w:eastAsia="Times New Roman" w:hAnsi="Times New Roman"/>
          <w:sz w:val="18"/>
          <w:szCs w:val="18"/>
          <w:color w:val="auto"/>
        </w:rPr>
        <w:t>”) unless and until such Target Business acknowledges in writing, whether through a letter of intent, memorandum of understanding or other similar document (and subsequently acknowledges the same in any definitive document replacing any of the foregoing), that: (i) it has read the Prospectus and understands that the Company has established the Trust Account, initially in an amount of $145,000,000 for the benefit of the public shareholders, and that (ii) for and in consideration of the Company agreeing to evaluate such Target Business for purposes of consummating a Business Combination with it, such Target Business agrees that it does not have any right, title, interest or claim of any kind in or to any monies of the Trust Account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xml:space="preserve">”) and waives any Claim it may have in the future as a result of, or arising out of, any negotiations, contracts or agreements with the Company and will not seek recourse against the Trust Account for any reason whatsoever. The Company further agrees that it will use all reasonable efforts, prior to obtaining the services of any vendor, to obtain a written acknowledgment from such vendor, whether through a letter of intent, memorandum of understanding or other similar document (and subsequently acknowledges the same in any definitive document replacing any of the foregoing), that: (i) such vendor has read the Prospectus and understands that the Company has established the Trust Account, initially in an amount of $145,000,000 for the benefit of the public shareholders, and that (ii) for and in consideration of the Company agreeing to engage the services of the vendor, such vendor agrees that it does not have any Claim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respectively. Furthermore, each officer and director of the Company shall execute a waiver letter in the form attached hereto as Exhibit C.</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ind w:firstLine="1304"/>
        <w:spacing w:after="0" w:line="266"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Insider Letters</w:t>
      </w:r>
      <w:r>
        <w:rPr>
          <w:rFonts w:ascii="Times New Roman" w:cs="Times New Roman" w:eastAsia="Times New Roman" w:hAnsi="Times New Roman"/>
          <w:sz w:val="18"/>
          <w:szCs w:val="18"/>
          <w:color w:val="auto"/>
        </w:rPr>
        <w:t>. The Company shall not take any action or omit to take any action which would cause a breach of any of the Insider Letters executed between each Initial Shareholders and the Company, and the Company or the Subscription Agreements and will not allow any amendments to, or waivers of, such Insider Letters or the Subscription Agreements without the prior written consent of the Representative.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The Company shall not take any action or omit to take any action that would cause the Company to be in material breach or violation of its amended and restated certificate of incorporation or by-laws. Except as provided herein, prior to the consummation of a Business Combination, the Company will not amend its amended and restated certificate of incorporation, without the prior written consent of the Representative.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Tender Offer Documents, Proxy Materials and Other Information</w:t>
      </w:r>
      <w:r>
        <w:rPr>
          <w:rFonts w:ascii="Times New Roman" w:cs="Times New Roman" w:eastAsia="Times New Roman" w:hAnsi="Times New Roman"/>
          <w:sz w:val="18"/>
          <w:szCs w:val="18"/>
          <w:color w:val="auto"/>
        </w:rPr>
        <w:t>. The Company shall provide counsel to the Representative with copies of all tender offer documents or proxy information and all related material filed with the Commission in connection with a Business Combination concurrently with such filing with the Commission. In addition, the Company shall furnish any other State in which the Offering was registered, such information as may be requested by such State.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3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Acquisition/Liquidation Procedure</w:t>
      </w:r>
      <w:r>
        <w:rPr>
          <w:rFonts w:ascii="Times New Roman" w:cs="Times New Roman" w:eastAsia="Times New Roman" w:hAnsi="Times New Roman"/>
          <w:sz w:val="18"/>
          <w:szCs w:val="18"/>
          <w:color w:val="auto"/>
        </w:rPr>
        <w:t>. The Company agrees that it will comply with its Certificate of Incorporation in connection with the consummation of a Business Combination or the failure to consummate a Business Combination within 24 months from the Effective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419</w:t>
      </w:r>
      <w:r>
        <w:rPr>
          <w:rFonts w:ascii="Times New Roman" w:cs="Times New Roman" w:eastAsia="Times New Roman" w:hAnsi="Times New Roman"/>
          <w:sz w:val="18"/>
          <w:szCs w:val="18"/>
          <w:color w:val="auto"/>
        </w:rPr>
        <w:t>.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Presentation of Potential Target Businesses</w:t>
      </w:r>
      <w:r>
        <w:rPr>
          <w:rFonts w:ascii="Times New Roman" w:cs="Times New Roman" w:eastAsia="Times New Roman" w:hAnsi="Times New Roman"/>
          <w:sz w:val="18"/>
          <w:szCs w:val="18"/>
          <w:color w:val="auto"/>
        </w:rPr>
        <w:t>. The Company shall cause the Company’s officers, directors and Initial Shareholders to agree that, in order to minimize potential conflicts of interest which may arise from multiple affiliations, the Company’s officers, directors and Initial Shareholders will present to the Company for its consideration, prior to presentation to any other person or company, any suitable opportunity to acquire an operating business, until the earlier of the consummation by the Company of a Business Combination or the liquidation of the Company, subject to any pre-existing fiduciary obligations the Initial Shareholders might have.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ind w:firstLine="8"/>
        <w:spacing w:after="0" w:line="256" w:lineRule="auto"/>
        <w:tabs>
          <w:tab w:leader="none" w:pos="2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Representations and Agreements to Survive Delivery</w:t>
      </w:r>
      <w:r>
        <w:rPr>
          <w:rFonts w:ascii="Times New Roman" w:cs="Times New Roman" w:eastAsia="Times New Roman" w:hAnsi="Times New Roman"/>
          <w:sz w:val="18"/>
          <w:szCs w:val="18"/>
          <w:color w:val="auto"/>
        </w:rPr>
        <w:t>. Except as the context otherwise requires, all representations, warranties and agreements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contained in this Agreement shall be deemed to be representations, warranties and agreements at the Closing Date or the Option Closing Date, if any, and such representations, warranties and agreements of the Underwriter and the Company, including the indemnity agreements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shall remain operative and in full force and effect regardless of any investigation made by or on behalf of any Underwriter, the Company or any Controlling Person, and shall survive termination of this Agreement or the issuance and delivery of the Firm Securities and Option Securities to the Underwriter until the earlier of the expiration of any applicable statute of limitations and the seventh anniversary of the later of the Closing Date or the Option Closing Date, if any, at which time the representations, warranties and agreements shall terminate and be of no further force and effect.</w:t>
      </w:r>
    </w:p>
    <w:p>
      <w:pPr>
        <w:spacing w:after="0" w:line="18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 of This Agreement and Termination Thereof.</w:t>
      </w:r>
    </w:p>
    <w:p>
      <w:pPr>
        <w:spacing w:after="0" w:line="229" w:lineRule="exact"/>
        <w:rPr>
          <w:rFonts w:ascii="Times New Roman" w:cs="Times New Roman" w:eastAsia="Times New Roman" w:hAnsi="Times New Roman"/>
          <w:sz w:val="18"/>
          <w:szCs w:val="18"/>
          <w:color w:val="auto"/>
        </w:rPr>
      </w:pPr>
    </w:p>
    <w:p>
      <w:pPr>
        <w:ind w:firstLine="1304"/>
        <w:spacing w:after="0" w:line="282" w:lineRule="auto"/>
        <w:tabs>
          <w:tab w:leader="none" w:pos="156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This Agreement shall become effective on the Effective Date at the time the Registration Statement is declared effective by the Commission.</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Representative shall have the right to terminate this Agreement at any time prior to any Closing Date: (i) if any domestic or international event or act or occurrence has materially disrupted, or in the Representative’s opinion will in the immediate future materially disrupt, general securities markets in the United States; or (ii) if trading on the New York Stock Exchange, the NYSE American, the Nasdaq Stock Market or on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initiation or increase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Firm Securities or Option Securities; or (vii) if any of the Company’s representations, warranties or covenants hereunder are breached; or (viii) if the Representative shall have become aware after the date hereof of such a material adverse change in the conditions or prospects of the Company, or such material adverse change in general market conditions, including, without limitation, as a result of terrorist activities after the date hereof, as in the Representative’s judgment would make it impracticable to proceed with the offering, sale and/or delivery of the Firm Securities and Option Securities or to enforce contracts made by the Underwriter for the sale of the Firm Securities or Option Securities.</w:t>
      </w:r>
    </w:p>
    <w:p>
      <w:pPr>
        <w:spacing w:after="0" w:line="19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In the event this Agreement shall not be carried out for any reason whatsoever, except as a result of the Representative’s or any Underwriter’s breach or default with respect to any of its material obligations pursuant to this Agreement, within the time specified herein or any extensions thereof pursuant to the terms herein, the obligations of the Company to pay the out-of-pocket expenses actually incurred by the Representative related to the transactions contemplated herein shall be governed by </w:t>
      </w:r>
      <w:r>
        <w:rPr>
          <w:rFonts w:ascii="Times New Roman" w:cs="Times New Roman" w:eastAsia="Times New Roman" w:hAnsi="Times New Roman"/>
          <w:sz w:val="18"/>
          <w:szCs w:val="18"/>
          <w:u w:val="single" w:color="auto"/>
          <w:color w:val="auto"/>
        </w:rPr>
        <w:t>Section 3(i)</w:t>
      </w:r>
      <w:r>
        <w:rPr>
          <w:rFonts w:ascii="Times New Roman" w:cs="Times New Roman" w:eastAsia="Times New Roman" w:hAnsi="Times New Roman"/>
          <w:sz w:val="18"/>
          <w:szCs w:val="18"/>
          <w:color w:val="auto"/>
        </w:rPr>
        <w:t xml:space="preserve"> 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Notwithstanding any contrary provision contained in this Agreement, any election hereunder or any termination of this Agreement, and whether or not this Agreement is otherwise carried out, the provisions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not be in any way affected by such election or termination or failure to carry out the terms of this Agreement or any part hereof.</w:t>
      </w:r>
    </w:p>
    <w:p>
      <w:pPr>
        <w:spacing w:after="0" w:line="17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communications hereunder, except as herein otherwise specifically provided, shall be in writing and shall be mailed, delivered by hand or reputable overnight courier or delivered by facsimile transmission (with printed confirmation of receipt) and confirmed, or by electronic transmission via PDF, and shall be deemed given when so mailed, delivered, or faxed or transmitted (or if mailed, three days after such mailing):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SVB Leerink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Federal Street, 37th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Attention: Stuart R. Nayman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Copy to (which copy shall not be deemed to constitute notice to the Representative):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Christian O. Nagler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christian.nagler@kirkland.com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 (212) 446-6460</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Aaron Davis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Copy to (which copy shall not be deemed to constitute notice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10154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Mitchell S. Nussbaum, Esq. and Giovanni Caruso, Esq.</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gcaruso@loeb.com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 (212) 407-4000</w:t>
      </w:r>
    </w:p>
    <w:p>
      <w:pPr>
        <w:spacing w:after="0" w:line="207" w:lineRule="exact"/>
        <w:rPr>
          <w:sz w:val="20"/>
          <w:szCs w:val="20"/>
          <w:color w:val="auto"/>
        </w:rPr>
      </w:pPr>
    </w:p>
    <w:p>
      <w:pPr>
        <w:ind w:firstLine="1304"/>
        <w:spacing w:after="0" w:line="282" w:lineRule="auto"/>
        <w:tabs>
          <w:tab w:leader="none" w:pos="15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161"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only be amended by a written instrument executed by each of the parties hereto.</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xml:space="preserve">. This Agreement shall inure solely to the benefit of and shall be binding upon the Representative, the Underwriter, the Company and the Controlling Persons, directors and officers referred to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17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 etc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7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enforced in accordance with the laws of the State of New York, without giving effect to the conflict of laws principles thereof. Each of the Representative and the Company (and any individual signatory hereto):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such party may have or hereafter have to the venue of any such suit, action or proceeding; and (iii) irrevocably and exclusively consents to the jurisdiction of the New York Supreme Court, County of New York, and the United States District Court for the Southern District of New York in any such suit, action or proceeding.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jc w:val="both"/>
        <w:ind w:firstLine="1952"/>
        <w:spacing w:after="0" w:line="254" w:lineRule="auto"/>
        <w:tabs>
          <w:tab w:leader="none" w:pos="2226"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suit, action or proceeding arising out of or based upon this Agreement or the transactions contemplated hereby (“</w:t>
      </w:r>
      <w:r>
        <w:rPr>
          <w:rFonts w:ascii="Times New Roman" w:cs="Times New Roman" w:eastAsia="Times New Roman" w:hAnsi="Times New Roman"/>
          <w:sz w:val="18"/>
          <w:szCs w:val="18"/>
          <w:b w:val="1"/>
          <w:bCs w:val="1"/>
          <w:color w:val="auto"/>
        </w:rPr>
        <w:t>Related Proceedings</w:t>
      </w:r>
      <w:r>
        <w:rPr>
          <w:rFonts w:ascii="Times New Roman" w:cs="Times New Roman" w:eastAsia="Times New Roman" w:hAnsi="Times New Roman"/>
          <w:sz w:val="18"/>
          <w:szCs w:val="18"/>
          <w:color w:val="auto"/>
        </w:rPr>
        <w:t>”) shall be instituted in (i) the federal courts of the United States of America located in the City and County of New York, Borough of Manhattan or (ii) the courts of the State of New York located in the City and County of New York, Borough of Manhattan (collectively, the “</w:t>
      </w:r>
      <w:r>
        <w:rPr>
          <w:rFonts w:ascii="Times New Roman" w:cs="Times New Roman" w:eastAsia="Times New Roman" w:hAnsi="Times New Roman"/>
          <w:sz w:val="18"/>
          <w:szCs w:val="18"/>
          <w:b w:val="1"/>
          <w:bCs w:val="1"/>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Courts</w:t>
      </w:r>
      <w:r>
        <w:rPr>
          <w:rFonts w:ascii="Times New Roman" w:cs="Times New Roman" w:eastAsia="Times New Roman" w:hAnsi="Times New Roman"/>
          <w:sz w:val="18"/>
          <w:szCs w:val="18"/>
          <w:color w:val="auto"/>
        </w:rPr>
        <w:t>”), and each party irrevocably submits to the exclusive jurisdiction (except for proceedings instituted in regard to the enforcement of a judgment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such court (a “</w:t>
      </w:r>
      <w:r>
        <w:rPr>
          <w:rFonts w:ascii="Times New Roman" w:cs="Times New Roman" w:eastAsia="Times New Roman" w:hAnsi="Times New Roman"/>
          <w:sz w:val="18"/>
          <w:szCs w:val="18"/>
          <w:b w:val="1"/>
          <w:bCs w:val="1"/>
          <w:color w:val="auto"/>
        </w:rPr>
        <w:t>Related Judgment</w:t>
      </w:r>
      <w:r>
        <w:rPr>
          <w:rFonts w:ascii="Times New Roman" w:cs="Times New Roman" w:eastAsia="Times New Roman" w:hAnsi="Times New Roman"/>
          <w:sz w:val="18"/>
          <w:szCs w:val="18"/>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8" w:lineRule="exact"/>
        <w:rPr>
          <w:rFonts w:ascii="Times New Roman" w:cs="Times New Roman" w:eastAsia="Times New Roman" w:hAnsi="Times New Roman"/>
          <w:sz w:val="18"/>
          <w:szCs w:val="18"/>
          <w:color w:val="auto"/>
        </w:rPr>
      </w:pPr>
    </w:p>
    <w:p>
      <w:pPr>
        <w:jc w:val="both"/>
        <w:ind w:right="20" w:firstLine="1952"/>
        <w:spacing w:after="0" w:line="261" w:lineRule="auto"/>
        <w:tabs>
          <w:tab w:leader="none" w:pos="226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(ON BEHALF OF ITSELF AND, TO THE FULLEST EXTENT PERMITTED BY LAW, ON BEHALF OF ITS EQUITY HOLDERS AND CREDITORS) HEREBY WAIVES ANY RIGHT TO A TRIAL BY JURY IN RESPECT OF ANY CLAIM BASED UPON, ARISING OUT OF OR IN CONNECTION WITH THIS AGREEMENT AND THE TRANSACTIONS CONTEMPLATED BY THIS AGREEMENT, THE REGISTRATION STATEMENT AND THE PROSPECTUS.</w:t>
      </w:r>
    </w:p>
    <w:p>
      <w:pPr>
        <w:spacing w:after="0" w:line="179" w:lineRule="exact"/>
        <w:rPr>
          <w:rFonts w:ascii="Times New Roman" w:cs="Times New Roman" w:eastAsia="Times New Roman" w:hAnsi="Times New Roman"/>
          <w:sz w:val="18"/>
          <w:szCs w:val="18"/>
          <w:color w:val="auto"/>
        </w:rPr>
      </w:pPr>
    </w:p>
    <w:p>
      <w:pPr>
        <w:ind w:firstLine="1952"/>
        <w:spacing w:after="0" w:line="282" w:lineRule="auto"/>
        <w:tabs>
          <w:tab w:leader="none" w:pos="225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fax or email/.pdf transmission shall constitute valid and sufficient delivery thereof.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Etc</w:t>
      </w:r>
      <w:r>
        <w:rPr>
          <w:rFonts w:ascii="Times New Roman" w:cs="Times New Roman" w:eastAsia="Times New Roman" w:hAnsi="Times New Roman"/>
          <w:sz w:val="18"/>
          <w:szCs w:val="18"/>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1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The Company hereby acknowledges that the Underwriter is acting solely as underwriter in connection with the Offering. The Company further acknowledges that the Underwriter is acting pursuant to a contractual relationship created solely by this Agreement entered into on an arm’s length basis and in no event do the parties intend that the Underwriter act or be responsible as a fiduciary to the Company, its management, shareholders, creditors or any other person in connection with any activity that the Underwriter may undertake or have undertaken in furtherance of the Offering, either before or after the date hereof. The Underwriter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and the Underwriter agree that they are each responsible for making their own independent judgments with respect to any such transactions, and that any opinions or views expressed by the Underwriter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 with respect to any breach or alleged breach of any fiduciary or similar duty to the Company in connection with the transactions contemplated by this Agreement or any matters leading up to such transactions.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ind w:left="1500" w:hanging="216"/>
        <w:spacing w:after="0"/>
        <w:tabs>
          <w:tab w:leader="none" w:pos="15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firstLine="1952"/>
        <w:spacing w:after="0" w:line="261" w:lineRule="auto"/>
        <w:tabs>
          <w:tab w:leader="none" w:pos="2149"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(as defined below) becomes subject to a proceeding under a U.S. Special Resolution Regime (as defined below), the transfer from such Underwriter of this Agreement, and any interest and obligation in or under this Agreement, will be effective to the same extent as the transfer would be effective under the U.S. Special Resolution Regime if this Agreement, and any such interest and obligation herein,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jc w:val="both"/>
        <w:ind w:left="-20" w:firstLine="1952"/>
        <w:spacing w:after="0" w:line="261" w:lineRule="auto"/>
        <w:tabs>
          <w:tab w:leader="none" w:pos="220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(as defined below) of such Underwriter becomes subject to a proceeding under a U.S. Special Resolution Regime, Default Rights (as defined below)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5" w:lineRule="exact"/>
        <w:rPr>
          <w:rFonts w:ascii="Times New Roman" w:cs="Times New Roman" w:eastAsia="Times New Roman" w:hAnsi="Times New Roman"/>
          <w:sz w:val="18"/>
          <w:szCs w:val="18"/>
          <w:color w:val="auto"/>
        </w:rPr>
      </w:pPr>
    </w:p>
    <w:p>
      <w:pPr>
        <w:jc w:val="both"/>
        <w:ind w:left="-20" w:firstLine="1952"/>
        <w:spacing w:after="0" w:line="256" w:lineRule="auto"/>
        <w:tabs>
          <w:tab w:leader="none" w:pos="2245"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in, and shall be interpreted in accordance with, 12 U.S.C. Sec. 1841(k); (B)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Sec. 252.82(b); (ii) a “covered bank” as that term is defined in, and interpreted in accordance with, 12 C.F.R. Sec. 47.3(b); or (iii) a “covered FSI” as that term is defined in, and interpreted in accordance with, 12 C.F.R. Sec. 382.2(b); (C)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Sec.Sec. 252.81, 47.2 or 382.1, as applicable; and (D)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30" w:name="page31"/>
    <w:bookmarkEnd w:id="30"/>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between the Underwriter and the Company, please so indicate in the space provided below for that purpose, whereupon this letter shall constitute a binding agreement between us.</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5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I. Davis</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Aaron I. Davis</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Agreed to and accepted on the date first above written.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SVB LEERINK LLC</w:t>
      </w:r>
    </w:p>
    <w:p>
      <w:pPr>
        <w:spacing w:after="0" w:line="225"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 Dubin</w:t>
      </w:r>
    </w:p>
    <w:p>
      <w:pPr>
        <w:spacing w:after="0" w:line="36"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Name:</w:t>
        <w:tab/>
        <w:t>Dan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-127635</wp:posOffset>
            </wp:positionV>
            <wp:extent cx="24174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17445"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4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Chairman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8320" w:type="dxa"/>
            <w:vAlign w:val="bottom"/>
            <w:gridSpan w:val="2"/>
          </w:tcPr>
          <w:p>
            <w:pPr>
              <w:jc w:val="center"/>
              <w:ind w:right="283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r>
      <w:tr>
        <w:trPr>
          <w:trHeight w:val="432"/>
        </w:trPr>
        <w:tc>
          <w:tcPr>
            <w:tcW w:w="2920" w:type="dxa"/>
            <w:vAlign w:val="bottom"/>
          </w:tcPr>
          <w:p>
            <w:pPr>
              <w:spacing w:after="0"/>
              <w:rPr>
                <w:sz w:val="24"/>
                <w:szCs w:val="24"/>
                <w:color w:val="auto"/>
              </w:rPr>
            </w:pPr>
          </w:p>
        </w:tc>
        <w:tc>
          <w:tcPr>
            <w:tcW w:w="8320" w:type="dxa"/>
            <w:vAlign w:val="bottom"/>
            <w:gridSpan w:val="2"/>
          </w:tcPr>
          <w:p>
            <w:pPr>
              <w:jc w:val="center"/>
              <w:ind w:right="2810"/>
              <w:spacing w:after="0"/>
              <w:rPr>
                <w:sz w:val="20"/>
                <w:szCs w:val="20"/>
                <w:color w:val="auto"/>
              </w:rPr>
            </w:pPr>
            <w:r>
              <w:rPr>
                <w:rFonts w:ascii="Times New Roman" w:cs="Times New Roman" w:eastAsia="Times New Roman" w:hAnsi="Times New Roman"/>
                <w:sz w:val="18"/>
                <w:szCs w:val="18"/>
                <w:color w:val="auto"/>
                <w:w w:val="98"/>
              </w:rPr>
              <w:t>BCTG ACQUISITION CORP.</w:t>
            </w:r>
          </w:p>
        </w:tc>
      </w:tr>
      <w:tr>
        <w:trPr>
          <w:trHeight w:val="439"/>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Underwriters</w:t>
            </w:r>
          </w:p>
        </w:tc>
        <w:tc>
          <w:tcPr>
            <w:tcW w:w="6620" w:type="dxa"/>
            <w:vAlign w:val="bottom"/>
            <w:tcBorders>
              <w:bottom w:val="single" w:sz="8" w:color="auto"/>
            </w:tcBorders>
          </w:tcPr>
          <w:p>
            <w:pPr>
              <w:spacing w:after="0"/>
              <w:rPr>
                <w:sz w:val="24"/>
                <w:szCs w:val="24"/>
                <w:color w:val="auto"/>
              </w:rPr>
            </w:pPr>
          </w:p>
        </w:tc>
        <w:tc>
          <w:tcPr>
            <w:tcW w:w="1700" w:type="dxa"/>
            <w:vAlign w:val="bottom"/>
            <w:tcBorders>
              <w:bottom w:val="single" w:sz="8" w:color="CCEEFF"/>
            </w:tcBorders>
          </w:tcPr>
          <w:p>
            <w:pPr>
              <w:spacing w:after="0"/>
              <w:rPr>
                <w:sz w:val="24"/>
                <w:szCs w:val="24"/>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SVB Leerink LLC</w:t>
            </w:r>
          </w:p>
        </w:tc>
        <w:tc>
          <w:tcPr>
            <w:tcW w:w="66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14,500,000 Shares</w:t>
            </w:r>
          </w:p>
        </w:tc>
      </w:tr>
      <w:tr>
        <w:trPr>
          <w:trHeight w:val="216"/>
        </w:trPr>
        <w:tc>
          <w:tcPr>
            <w:tcW w:w="29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6"/>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2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14,500,000 Shares</w:t>
            </w:r>
          </w:p>
        </w:tc>
      </w:tr>
      <w:tr>
        <w:trPr>
          <w:trHeight w:val="682"/>
        </w:trPr>
        <w:tc>
          <w:tcPr>
            <w:tcW w:w="292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gridSpan w:val="2"/>
          </w:tcPr>
          <w:p>
            <w:pPr>
              <w:jc w:val="center"/>
              <w:ind w:right="2810"/>
              <w:spacing w:after="0"/>
              <w:rPr>
                <w:sz w:val="20"/>
                <w:szCs w:val="20"/>
                <w:color w:val="auto"/>
              </w:rPr>
            </w:pPr>
            <w:r>
              <w:rPr>
                <w:rFonts w:ascii="Times New Roman" w:cs="Times New Roman" w:eastAsia="Times New Roman" w:hAnsi="Times New Roman"/>
                <w:sz w:val="22"/>
                <w:szCs w:val="22"/>
                <w:color w:val="auto"/>
                <w:w w:val="97"/>
              </w:rPr>
              <w:t>Schedule A-1</w:t>
            </w:r>
          </w:p>
        </w:tc>
      </w:tr>
    </w:tbl>
    <w:p>
      <w:pPr>
        <w:sectPr>
          <w:pgSz w:w="11900" w:h="16838" w:orient="portrait"/>
          <w:cols w:equalWidth="0" w:num="1">
            <w:col w:w="11240"/>
          </w:cols>
          <w:pgMar w:left="320" w:top="792"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Target Business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color w:val="auto"/>
        </w:rPr>
        <w:t>Email: [</w:t>
        <w:tab/>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0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Reference is made to the Final Prospectus of BCTG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dated September 2, 2020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Capitalized terms used and not otherwise defined herein shall have the meanings assigned to them in the Prospectus.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read the Prospectus and understand that the Company has established a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initially in an amount of at least $145,000,000 for the benefit of the “</w:t>
      </w:r>
      <w:r>
        <w:rPr>
          <w:rFonts w:ascii="Times New Roman" w:cs="Times New Roman" w:eastAsia="Times New Roman" w:hAnsi="Times New Roman"/>
          <w:sz w:val="18"/>
          <w:szCs w:val="18"/>
          <w:b w:val="1"/>
          <w:bCs w:val="1"/>
          <w:color w:val="auto"/>
        </w:rPr>
        <w:t>public shareholders</w:t>
      </w:r>
      <w:r>
        <w:rPr>
          <w:rFonts w:ascii="Times New Roman" w:cs="Times New Roman" w:eastAsia="Times New Roman" w:hAnsi="Times New Roman"/>
          <w:sz w:val="18"/>
          <w:szCs w:val="18"/>
          <w:color w:val="auto"/>
        </w:rPr>
        <w:t>” and the Underwriter of the Company’s initial public offering (the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and that, except for (i) interest earned on the trust account that may be released to the Company to pay any taxes it incurs, and (ii) 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and in consideration of the Company agreeing to evaluate the undersigned for purposes of consummating a business combination or other form of acquisition with it, the undersigned hereby agrees that it does not have any right, title, interest or claim of any kind in or to any monies in the trust account (the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Target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 of Target Business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Vendor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color w:val="auto"/>
        </w:rPr>
        <w:t>Email: [</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Reference is made to the Final Prospectus of BCTG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dated September 2, 2020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Capitalized terms used and not otherwise defined herein shall have the meanings assigned to them in the Prospectus.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read the Prospectus and understand that the Company has established a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initially in an amount of at least $145,000,000 for the benefit of the “</w:t>
      </w:r>
      <w:r>
        <w:rPr>
          <w:rFonts w:ascii="Times New Roman" w:cs="Times New Roman" w:eastAsia="Times New Roman" w:hAnsi="Times New Roman"/>
          <w:sz w:val="18"/>
          <w:szCs w:val="18"/>
          <w:b w:val="1"/>
          <w:bCs w:val="1"/>
          <w:color w:val="auto"/>
        </w:rPr>
        <w:t>public shareholders</w:t>
      </w:r>
      <w:r>
        <w:rPr>
          <w:rFonts w:ascii="Times New Roman" w:cs="Times New Roman" w:eastAsia="Times New Roman" w:hAnsi="Times New Roman"/>
          <w:sz w:val="18"/>
          <w:szCs w:val="18"/>
          <w:color w:val="auto"/>
        </w:rPr>
        <w:t>” and the Underwriter of the Company’s initial public offering (the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and that, except for (i) interest earned on the trust account that may be released to the Company to pay any taxes it incurs, and (ii) 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and in consideration of the Company agreeing to use the products or services of the undersigned, the undersigned hereby agrees that it does not have any right, title, interest or claim of any kind in or to any monies in the trust account (the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Vendor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 of Vendor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Director/Officer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Attn: [</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undersigned officer or director of BCTG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acknowledges that the Company has established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 initially in an amount of at least $145,000,000 for the benefit of the “</w:t>
      </w:r>
      <w:r>
        <w:rPr>
          <w:rFonts w:ascii="Times New Roman" w:cs="Times New Roman" w:eastAsia="Times New Roman" w:hAnsi="Times New Roman"/>
          <w:sz w:val="18"/>
          <w:szCs w:val="18"/>
          <w:b w:val="1"/>
          <w:bCs w:val="1"/>
          <w:color w:val="auto"/>
        </w:rPr>
        <w:t>public shareholders</w:t>
      </w:r>
      <w:r>
        <w:rPr>
          <w:rFonts w:ascii="Times New Roman" w:cs="Times New Roman" w:eastAsia="Times New Roman" w:hAnsi="Times New Roman"/>
          <w:sz w:val="18"/>
          <w:szCs w:val="18"/>
          <w:color w:val="auto"/>
        </w:rPr>
        <w:t>” and the underwriter of the Company’s initial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(the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and that, except for (i) interest earned on the trust account that may be released to the Company to pay any taxes it incurs, and (ii) 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undersigned hereby agrees that, except for its liquidation rights with respect to any Common Stock acquired in the Offering or in the aftermarket, it does not have any right, title, interest or claim of any kind in or to any monies in the trust account (the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and hereby waives any Claim it may have in the future as a result of, or arising out of, any contracts or agreements with the Company and will not seek recourse against the trust account for any reason whatsoever.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such waiver shall not apply to any shares acquired by the undersigned in the public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Officer/Director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Officer/Director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245 of the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Acquisition Corp., a corporation existing under the laws of the State of Delaware, by its Chief Executive Officer, hereby certifies as follows:</w:t>
      </w:r>
    </w:p>
    <w:p>
      <w:pPr>
        <w:spacing w:after="0" w:line="225" w:lineRule="exact"/>
        <w:rPr>
          <w:sz w:val="20"/>
          <w:szCs w:val="20"/>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BCTG Acquisition Corp. (hereinafter called the “Corporation”).</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Certificate of Incorporation was filed in the office of the Secretary of State of the State of Delaware on May 21, 2020.</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Restated Certificate of Incorporation restates, integrates and amends the Certificate of Incorporation of the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8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was duly adopted by the written consent of the directors and stockholders of the Corporation in accordance with the applicable provisions of Sections 141(f), 228, 242 and 245 of the General Corporation Law of the State of Delaware (“GCL”).</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Certificate of Incorporation of the Corporation is hereby amended and restated to read in full as follows: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The name of the corporation is BCTG Acquisition Corp.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SECOND: The registered office of the Corporation is to be located at 3411 Silverside Road, Tatnall Building, #104, Wilmington, Delaware 19901.</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name of its registered agent at that address is Corporate Creations Network Inc.</w:t>
      </w:r>
    </w:p>
    <w:p>
      <w:pPr>
        <w:spacing w:after="0" w:line="20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THIRD: The purpose of the Corporation is to engage in any lawful act or activity for which corporations may be organized under the General Corporation Law of Delaware (“GCL”).</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color w:val="auto"/>
        </w:rPr>
        <w:t>FOURTH: The name and mailing address of the incorporator is: Jaszick Maldonado, c/o Loeb &amp; Loeb LLP, 345 Park Avenue, New York NY 10154.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FIFTH: The total number of shares of all classes of capital stock which the Corporation shall have authority to issue is 31,000,000, of which 30,000,000 shares shall be common stock, par value $.0001 per share (“Common Stock”), and 1,000,000 shares shall be preferred stock, par value $.0001 per share (“Preferred Stock”).</w:t>
      </w:r>
    </w:p>
    <w:p>
      <w:pPr>
        <w:spacing w:after="0" w:line="176"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88"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Except as otherwise required by law or as otherwise provided in any Preferred Stock Designation, the holders of the Common Stock shall exclusively possess all voting power and each share of Common Stock shall have one vote.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SIXTH: This Article Sixth shall apply during the period commencing upon the filing of this Certificate of Incorporation and terminating upon the consummation of any “Business Combination” (as defined below). A “Business Combination” shall mean any merger, capital stock exchange, asset acquisition, stock purchase, recapitalization, reorganization or other similar business combination involving the Corporation and one or more businesses or entities (“Target Business”), or entering into contractual arrangements that give the Corporation control over such a Target Business, and, if the Corporation is then listed on a national securities exchange, the Target Business has a fair market value equal to at least 80% of the balance in the Trust Fund (defined below), less any taxes payable on interest earned, at the time of signing a definitive agreement in connection with the initial Business Combination. “IPO Shares” shall mean the shares sold pursuant to the registration statement on Form S-1 (“Registration Statement”) filed with the Securities and Exchange Commission (“Commission”) in connection with the Corporation’s initial public offering (“IPO”). The “fair market value” for purposes of this Article Sixth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w:t>
      </w:r>
    </w:p>
    <w:p>
      <w:pPr>
        <w:spacing w:after="0" w:line="187"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A. Prior to the consummation of a Business Combination, the Corporation shall either (i) submit any Business Combination to its holders of Common Stock for approval (“Proxy Solicitation”) pursuant to the proxy rules promulgated under the Securities Exchange Act of 1934, as amended (“Exchange Act”), or (ii) provide its holders of IPO Shares with the opportunity to sell their shares to the Corporation by means of a tender offer (“Tender Offer”).</w:t>
      </w:r>
    </w:p>
    <w:p>
      <w:pPr>
        <w:spacing w:after="0" w:line="38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37" w:name="page38"/>
    <w:bookmarkEnd w:id="37"/>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B. 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176"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C. In the event that a Business Combination is consummated by the Corporation or the Corporation holds a vote of its stockholders to amend its Certificate of Incorporation, any holder of IPO Shares who (i)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“Conversion Price”). “Trust Fund”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(“Group”)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195" w:lineRule="exact"/>
        <w:rPr>
          <w:sz w:val="20"/>
          <w:szCs w:val="20"/>
          <w:color w:val="auto"/>
        </w:rPr>
      </w:pPr>
    </w:p>
    <w:p>
      <w:pPr>
        <w:jc w:val="both"/>
        <w:ind w:left="180"/>
        <w:spacing w:after="0" w:line="282" w:lineRule="auto"/>
        <w:rPr>
          <w:sz w:val="20"/>
          <w:szCs w:val="20"/>
          <w:color w:val="auto"/>
        </w:rPr>
      </w:pPr>
      <w:r>
        <w:rPr>
          <w:rFonts w:ascii="Times New Roman" w:cs="Times New Roman" w:eastAsia="Times New Roman" w:hAnsi="Times New Roman"/>
          <w:sz w:val="18"/>
          <w:szCs w:val="18"/>
          <w:color w:val="auto"/>
        </w:rPr>
        <w:t>D. The Corporation will not consummate any Business Combination unless it (or any successor) has net tangible assets of at least $5,000,001 upon consummation of such Business Combination.</w:t>
      </w:r>
    </w:p>
    <w:p>
      <w:pPr>
        <w:spacing w:after="0" w:line="162" w:lineRule="exact"/>
        <w:rPr>
          <w:sz w:val="20"/>
          <w:szCs w:val="20"/>
          <w:color w:val="auto"/>
        </w:rPr>
      </w:pPr>
    </w:p>
    <w:p>
      <w:pPr>
        <w:jc w:val="both"/>
        <w:ind w:left="180"/>
        <w:spacing w:after="0" w:line="253" w:lineRule="auto"/>
        <w:rPr>
          <w:sz w:val="20"/>
          <w:szCs w:val="20"/>
          <w:color w:val="auto"/>
        </w:rPr>
      </w:pPr>
      <w:r>
        <w:rPr>
          <w:rFonts w:ascii="Times New Roman" w:cs="Times New Roman" w:eastAsia="Times New Roman" w:hAnsi="Times New Roman"/>
          <w:sz w:val="18"/>
          <w:szCs w:val="18"/>
          <w:color w:val="auto"/>
        </w:rPr>
        <w:t>E. In the event that the Corporation does not consummate a Business Combination by 24 months from the consummation of the IPO (such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3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38" w:name="page39"/>
    <w:bookmarkEnd w:id="38"/>
    <w:p>
      <w:pPr>
        <w:jc w:val="both"/>
        <w:ind w:left="180"/>
        <w:spacing w:after="0" w:line="256" w:lineRule="auto"/>
        <w:rPr>
          <w:sz w:val="20"/>
          <w:szCs w:val="20"/>
          <w:color w:val="auto"/>
        </w:rPr>
      </w:pPr>
      <w:r>
        <w:rPr>
          <w:rFonts w:ascii="Times New Roman" w:cs="Times New Roman" w:eastAsia="Times New Roman" w:hAnsi="Times New Roman"/>
          <w:sz w:val="18"/>
          <w:szCs w:val="18"/>
          <w:color w:val="auto"/>
        </w:rPr>
        <w:t>F. 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 A public holder that holds IPO Shares beneficially through a nominee must identify itself to the Corporation in connection with any election to receive distributions from the Trust Fund in order to validly convert such IPO Shares in accordance with paragraph C above.</w:t>
      </w:r>
    </w:p>
    <w:p>
      <w:pPr>
        <w:spacing w:after="0" w:line="187"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color w:val="auto"/>
        </w:rPr>
        <w:t>G. Prior to the consummation of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176" w:lineRule="exact"/>
        <w:rPr>
          <w:sz w:val="20"/>
          <w:szCs w:val="20"/>
          <w:color w:val="auto"/>
        </w:rPr>
      </w:pPr>
    </w:p>
    <w:p>
      <w:pPr>
        <w:jc w:val="both"/>
        <w:ind w:left="180"/>
        <w:spacing w:after="0" w:line="252" w:lineRule="auto"/>
        <w:rPr>
          <w:sz w:val="20"/>
          <w:szCs w:val="20"/>
          <w:color w:val="auto"/>
        </w:rPr>
      </w:pPr>
      <w:r>
        <w:rPr>
          <w:rFonts w:ascii="Times New Roman" w:cs="Times New Roman" w:eastAsia="Times New Roman" w:hAnsi="Times New Roman"/>
          <w:sz w:val="18"/>
          <w:szCs w:val="18"/>
          <w:color w:val="auto"/>
        </w:rPr>
        <w:t>H. The Board of Directors shall be divided into three classes: First Class, Second Class and Third Class. The number of directors in each class shall be as nearly equal as possible. At the first election of directors by the incorporator, the incorporator shall elect a Third Class director for a term expiring at the Corporation’s third annual meeting of stockholders. The Third Class director shall then appoint additional First Class, Second Class and Third Class directors, as necessary. The directors in First Class shall be elected for a term expiring at the first annual meeting of stockholders, the directors in Second Class shall be elected for a term expiring at the second annual meeting of stockholders and the directors in Third Class shall be elected for a term expiring at the third annual meeting of stockholders. Commencing at the first annual meeting of stockholders, and at each annual meeting thereafter, directors elected to succeed those directors whose terms expire shall be elected for a term of office to expire at the third succeeding annual meeting of stockholders after their election. Except as the 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of Directors, including unfilled vacancies resulting from the removal of directors for cause, may be filled by the vote of a majority of the remaining directors then in office, although less than a quorum (as defined in the Corporation’s Bylaws), or by the sole remaining director. All directors shall hold office until the expiration of their respective terms of office and until their successors shall have been elected and qualified or until his or her earlier resignation, removal or death.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40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796" w:right="339" w:bottom="1440" w:gutter="0" w:footer="0" w:header="0"/>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t>SEVENTH: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Election of directors need not be by ballot unless the by-laws of the Corporation so provide.</w:t>
      </w:r>
    </w:p>
    <w:p>
      <w:pPr>
        <w:spacing w:after="0" w:line="225" w:lineRule="exact"/>
        <w:rPr>
          <w:sz w:val="20"/>
          <w:szCs w:val="20"/>
          <w:color w:val="auto"/>
        </w:rPr>
      </w:pPr>
    </w:p>
    <w:p>
      <w:pPr>
        <w:jc w:val="both"/>
        <w:ind w:left="640"/>
        <w:spacing w:after="0" w:line="282" w:lineRule="auto"/>
        <w:rPr>
          <w:sz w:val="20"/>
          <w:szCs w:val="20"/>
          <w:color w:val="auto"/>
        </w:rPr>
      </w:pPr>
      <w:r>
        <w:rPr>
          <w:rFonts w:ascii="Times New Roman" w:cs="Times New Roman" w:eastAsia="Times New Roman" w:hAnsi="Times New Roman"/>
          <w:sz w:val="18"/>
          <w:szCs w:val="18"/>
          <w:color w:val="auto"/>
        </w:rPr>
        <w:t>B. The Board of Directors shall have the power, without the assent or vote of the stockholders, to make, alter, amend, change, add to or repeal the by-laws of the Corporation as provided in the by-laws of the Corporation.</w:t>
      </w:r>
    </w:p>
    <w:p>
      <w:pPr>
        <w:spacing w:after="0" w:line="162" w:lineRule="exact"/>
        <w:rPr>
          <w:sz w:val="20"/>
          <w:szCs w:val="20"/>
          <w:color w:val="auto"/>
        </w:rPr>
      </w:pPr>
    </w:p>
    <w:p>
      <w:pPr>
        <w:jc w:val="both"/>
        <w:ind w:left="640"/>
        <w:spacing w:after="0" w:line="255" w:lineRule="auto"/>
        <w:rPr>
          <w:sz w:val="20"/>
          <w:szCs w:val="20"/>
          <w:color w:val="auto"/>
        </w:rPr>
      </w:pPr>
      <w:r>
        <w:rPr>
          <w:rFonts w:ascii="Times New Roman" w:cs="Times New Roman" w:eastAsia="Times New Roman" w:hAnsi="Times New Roman"/>
          <w:sz w:val="18"/>
          <w:szCs w:val="18"/>
          <w:color w:val="auto"/>
        </w:rPr>
        <w:t>C. 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89"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18"/>
          <w:szCs w:val="18"/>
          <w:color w:val="auto"/>
        </w:rPr>
        <w:t>D.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Amended and Restated Certificate of Incorporation, and to any bylaws from time to time made by the stockholders; provided, however, that no bylaw so made shall invalidate any prior act of the directors which would have been valid if such bylaw had not been made.</w:t>
      </w:r>
    </w:p>
    <w:p>
      <w:pPr>
        <w:spacing w:after="0" w:line="3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EIGHTH:</w:t>
      </w:r>
    </w:p>
    <w:p>
      <w:pPr>
        <w:spacing w:after="0" w:line="225"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A. A director of the Corporation shall not be personally liable to the Corporation or its stockholders for monetary damages for breach of fiduciary duty as a director, except for liability (i) for any breach of the director’s duty of loyalty to the Corporation or its stockholders,</w:t>
      </w:r>
    </w:p>
    <w:p>
      <w:pPr>
        <w:jc w:val="both"/>
        <w:ind w:left="640" w:firstLine="4"/>
        <w:spacing w:after="0" w:line="252" w:lineRule="auto"/>
        <w:tabs>
          <w:tab w:leader="none" w:pos="90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90" w:lineRule="exact"/>
        <w:rPr>
          <w:sz w:val="20"/>
          <w:szCs w:val="20"/>
          <w:color w:val="auto"/>
        </w:rPr>
      </w:pPr>
    </w:p>
    <w:p>
      <w:pPr>
        <w:jc w:val="both"/>
        <w:ind w:left="640"/>
        <w:spacing w:after="0" w:line="256" w:lineRule="auto"/>
        <w:rPr>
          <w:sz w:val="20"/>
          <w:szCs w:val="20"/>
          <w:color w:val="auto"/>
        </w:rPr>
      </w:pPr>
      <w:r>
        <w:rPr>
          <w:rFonts w:ascii="Times New Roman" w:cs="Times New Roman" w:eastAsia="Times New Roman" w:hAnsi="Times New Roman"/>
          <w:sz w:val="18"/>
          <w:szCs w:val="18"/>
          <w:color w:val="auto"/>
        </w:rPr>
        <w:t>B. 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w:t>
      </w:r>
    </w:p>
    <w:p>
      <w:pPr>
        <w:spacing w:after="0" w:line="187"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8"/>
          <w:szCs w:val="18"/>
          <w:color w:val="auto"/>
        </w:rPr>
        <w:t>C. Notwithstanding the foregoing provisions of this Article Eighth, no indemnification nor advancement of expenses will extend to any claims made by the Company’s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796" w:right="339" w:bottom="1440" w:gutter="0" w:footer="0" w:header="0"/>
        </w:sectPr>
      </w:pPr>
    </w:p>
    <w:bookmarkStart w:id="41" w:name="page42"/>
    <w:bookmarkEnd w:id="41"/>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TENTH: Unless the Corporation consents in writing to the selection of an alternative forum, the Court of Chancery of the State of Delaware shall, to the fullest extent permitted by law, be the sole and exclusive forum for any (i) derivative action or proceeding brought on behalf of the Corporation, (ii) action asserting a claim of breach of a fiduciary duty owed by any director, officer, employee or agent of the Corporation to the Corporation or the Corporation’s stockholders, or any claim for aiding and abetting any such alleged breach, (iii) action asserting a claim against the Corporation or any director or officer of the Corporation arising pursuant to any provision of the GCL or the amended and restated certificate of incorporation or the bylaws of the Corporation or (iv) action asserting a claim against us or any director or officer of the Corporation governed by the internal affairs doctrine except for, as to each of (i) through (iv)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of 1933, as amended, as to which the Court of Chancery and the federal district court for the District of Delaware shall concurrently be the sole and exclusive forums. Notwithstanding the foregoing, the inclusion of this provision will not be deemed to be a waiver by the Corporation’s stockholders of the Corporation’s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w:t>
      </w:r>
    </w:p>
    <w:p>
      <w:pPr>
        <w:spacing w:after="0" w:line="1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Amended and Restated Certificate of Incorporation to be signed by Aaron I. Davis, its Chief Executive Officer, as of the 2nd day of September,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432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I. Davis,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This letter (this “</w:t>
      </w:r>
      <w:r>
        <w:rPr>
          <w:rFonts w:ascii="Times New Roman" w:cs="Times New Roman" w:eastAsia="Times New Roman" w:hAnsi="Times New Roman"/>
          <w:sz w:val="17"/>
          <w:szCs w:val="17"/>
          <w:b w:val="1"/>
          <w:bCs w:val="1"/>
          <w:i w:val="1"/>
          <w:iCs w:val="1"/>
          <w:color w:val="auto"/>
        </w:rPr>
        <w:t>Letter Agreement</w:t>
      </w:r>
      <w:r>
        <w:rPr>
          <w:rFonts w:ascii="Times New Roman" w:cs="Times New Roman" w:eastAsia="Times New Roman" w:hAnsi="Times New Roman"/>
          <w:sz w:val="17"/>
          <w:szCs w:val="17"/>
          <w:color w:val="auto"/>
        </w:rPr>
        <w:t>”) is being delivered to you in accordance with the Underwriting Agreement (the “</w:t>
      </w:r>
      <w:r>
        <w:rPr>
          <w:rFonts w:ascii="Times New Roman" w:cs="Times New Roman" w:eastAsia="Times New Roman" w:hAnsi="Times New Roman"/>
          <w:sz w:val="17"/>
          <w:szCs w:val="17"/>
          <w:b w:val="1"/>
          <w:bCs w:val="1"/>
          <w:i w:val="1"/>
          <w:iCs w:val="1"/>
          <w:color w:val="auto"/>
        </w:rPr>
        <w:t>Underwriting Agreement</w:t>
      </w:r>
      <w:r>
        <w:rPr>
          <w:rFonts w:ascii="Times New Roman" w:cs="Times New Roman" w:eastAsia="Times New Roman" w:hAnsi="Times New Roman"/>
          <w:sz w:val="17"/>
          <w:szCs w:val="17"/>
          <w:color w:val="auto"/>
        </w:rPr>
        <w:t>”) entered into by and among BCTG Acquisition Corp.,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and SVB Leerink LLC, as representative (the “</w:t>
      </w:r>
      <w:r>
        <w:rPr>
          <w:rFonts w:ascii="Times New Roman" w:cs="Times New Roman" w:eastAsia="Times New Roman" w:hAnsi="Times New Roman"/>
          <w:sz w:val="17"/>
          <w:szCs w:val="17"/>
          <w:b w:val="1"/>
          <w:bCs w:val="1"/>
          <w:i w:val="1"/>
          <w:iCs w:val="1"/>
          <w:color w:val="auto"/>
        </w:rPr>
        <w:t>Representative</w:t>
      </w:r>
      <w:r>
        <w:rPr>
          <w:rFonts w:ascii="Times New Roman" w:cs="Times New Roman" w:eastAsia="Times New Roman" w:hAnsi="Times New Roman"/>
          <w:sz w:val="17"/>
          <w:szCs w:val="17"/>
          <w:color w:val="auto"/>
        </w:rPr>
        <w:t>”) of the several underwriters (each, an “</w:t>
      </w:r>
      <w:r>
        <w:rPr>
          <w:rFonts w:ascii="Times New Roman" w:cs="Times New Roman" w:eastAsia="Times New Roman" w:hAnsi="Times New Roman"/>
          <w:sz w:val="17"/>
          <w:szCs w:val="17"/>
          <w:b w:val="1"/>
          <w:bCs w:val="1"/>
          <w:i w:val="1"/>
          <w:iCs w:val="1"/>
          <w:color w:val="auto"/>
        </w:rPr>
        <w:t>Underwriter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i w:val="1"/>
          <w:iCs w:val="1"/>
          <w:color w:val="auto"/>
        </w:rPr>
        <w:t>Underwriters</w:t>
      </w:r>
      <w:r>
        <w:rPr>
          <w:rFonts w:ascii="Times New Roman" w:cs="Times New Roman" w:eastAsia="Times New Roman" w:hAnsi="Times New Roman"/>
          <w:sz w:val="17"/>
          <w:szCs w:val="17"/>
          <w:color w:val="auto"/>
        </w:rPr>
        <w:t>”), relating to an underwritten initial public offering (the “</w:t>
      </w:r>
      <w:r>
        <w:rPr>
          <w:rFonts w:ascii="Times New Roman" w:cs="Times New Roman" w:eastAsia="Times New Roman" w:hAnsi="Times New Roman"/>
          <w:sz w:val="17"/>
          <w:szCs w:val="17"/>
          <w:b w:val="1"/>
          <w:bCs w:val="1"/>
          <w:i w:val="1"/>
          <w:iCs w:val="1"/>
          <w:color w:val="auto"/>
        </w:rPr>
        <w:t>Public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Offering</w:t>
      </w:r>
      <w:r>
        <w:rPr>
          <w:rFonts w:ascii="Times New Roman" w:cs="Times New Roman" w:eastAsia="Times New Roman" w:hAnsi="Times New Roman"/>
          <w:sz w:val="17"/>
          <w:szCs w:val="17"/>
          <w:color w:val="auto"/>
        </w:rPr>
        <w:t>”), of 14,500,000 shares of the Company’s common stock (including up to 2,175,000 shares of common stock that may be purchased to cover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over-allotments, if any)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The Common Stock will be sold in the Public Offering pursuant to registration statements on Form S-1 and prospectus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filed by the Company with the U.S.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and the Company has applied to have the shares of Common Stock listed on The Nasdaq Capital Market. Certain capitalized terms used herein are defined in paragraph 11 hereof.</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induce the Company and the Representative to enter into the Underwriting Agreement and to proceed with the Public Offering and for other good and valuable consideration, the receipt and sufficiency of which are hereby acknowledged, each of BCTG Holdings, LLC (the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and the undersigned individuals, each of whom is a member of the Company’s board of directors and/or management team, or a holder of the Company’s Founder Shares (each, an “</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hereby agrees with the Company as follows:</w:t>
      </w:r>
    </w:p>
    <w:p>
      <w:pPr>
        <w:spacing w:after="0" w:line="180" w:lineRule="exact"/>
        <w:rPr>
          <w:sz w:val="20"/>
          <w:szCs w:val="20"/>
          <w:color w:val="auto"/>
        </w:rPr>
      </w:pPr>
    </w:p>
    <w:p>
      <w:pPr>
        <w:jc w:val="both"/>
        <w:ind w:firstLine="656"/>
        <w:spacing w:after="0" w:line="258" w:lineRule="auto"/>
        <w:tabs>
          <w:tab w:leader="none" w:pos="8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agrees that if the Company seeks stockholder approval of a proposed Business Combination, then in connection with such proposed Business Combination, it, he or she shall (i) vote any shares of Common Stock owned by it, him or her in favor of any proposed Business Combination and (ii) not redeem any shares of Common Stock owned by it, him or her in connection with such stockholder approval. If the Company engages in a tender offer in connection with any proposed Business Combination, the Sponsor and each Insider agrees that it, he or she will not seek to sell its, his or her shares of Common Stock to the Company in connection with such tender offer.</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both"/>
        <w:ind w:firstLine="656"/>
        <w:spacing w:after="0" w:line="252" w:lineRule="auto"/>
        <w:tabs>
          <w:tab w:leader="none" w:pos="83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agrees that in the event that the Company fails to consummate a Business Combination within 24 months from the closing of the Public Offering, or such later period approved by the Company’s stockholders in accordance with the Company’s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the Sponsor and each Insider shall take all reasonable steps to cause the Company to (i) cease all operations except for the purpose of winding up, (ii) as promptly as reasonably possible but not more than 10 Business Days thereafter, subject to lawfully available funds therefor, redeem 100% of the Common Stock sold in the Public Offering (the “</w:t>
      </w:r>
      <w:r>
        <w:rPr>
          <w:rFonts w:ascii="Times New Roman" w:cs="Times New Roman" w:eastAsia="Times New Roman" w:hAnsi="Times New Roman"/>
          <w:sz w:val="18"/>
          <w:szCs w:val="18"/>
          <w:b w:val="1"/>
          <w:bCs w:val="1"/>
          <w:i w:val="1"/>
          <w:iCs w:val="1"/>
          <w:color w:val="auto"/>
        </w:rPr>
        <w:t>Offering Shares</w:t>
      </w:r>
      <w:r>
        <w:rPr>
          <w:rFonts w:ascii="Times New Roman" w:cs="Times New Roman" w:eastAsia="Times New Roman" w:hAnsi="Times New Roman"/>
          <w:sz w:val="18"/>
          <w:szCs w:val="18"/>
          <w:color w:val="auto"/>
        </w:rPr>
        <w:t>”), at a per-share price, payable in cash, equal to the aggregate amount then on deposit in the Trust Account (as defined below), including interest earned on the funds held in the Trust Account and not previously released to the Company to pay its taxes (as described in the Prospectus), divided by the number of then outstanding Offering Shares, which redemption will completely extinguish all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other requirements of applicable law. The Sponsor and each Insider agrees not to propose any amendment to the Charter to modify (i) the substance or timing of the ability of holders of Offering Shares to seek redemption in connection with a Business Combination or the Company’s obligation to redeem 100% of the Offering Shares if the Company does not complete a Business Combination by the date set forth in the Charter or (ii) the other provisions relating to stockholders’ rights or pre-initial Business Combination activities, unless the Company provides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taxes (as described in the Prospectus), divided by the number of then outstanding Offering Shares.</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Sponsor and each Insider acknowledges that, with respect to any Founder Shares and Private Placement Shares held by it, him or her, it, he or she has no right, title, interest or claim of any kind in or to any monies held in the Trust Account as a result of any liquidation of the Company (although the Sponsor, each Insider, and its, his or her affiliates shall be entitled to redemption and liquidation rights with respect to any Offering Shares it holds if the Company fails to consummate a Business Combination within the time period set forth in the Charter). The Sponsor and each Insider further waives, with respect to any shares of Capital Stock held by it, him or her, if any, any redemption rights it, he or she may have in connection with the consummation of a Business Combination, including, without limitation, any such rights available in the context of a stockholder vote to approve such Business Combination or a stockholder vote to approve an amendment to the Charter to (i) modify the substance or timing of the Company’s obligation to redeem 100% of the Offering Shares if the Company has not consummated a Business Combination within the time period set forth in the Charter or in the context of a tender offer made by the Company to purchase shares of Capital Stock or (ii) with respect to any other provision relating to stockholders’ rights or pre-initial Business Combination activity.</w:t>
      </w:r>
    </w:p>
    <w:p>
      <w:pPr>
        <w:spacing w:after="0" w:line="194" w:lineRule="exact"/>
        <w:rPr>
          <w:sz w:val="20"/>
          <w:szCs w:val="20"/>
          <w:color w:val="auto"/>
        </w:rPr>
      </w:pPr>
    </w:p>
    <w:p>
      <w:pPr>
        <w:jc w:val="both"/>
        <w:ind w:firstLine="656"/>
        <w:spacing w:after="0" w:line="252" w:lineRule="auto"/>
        <w:tabs>
          <w:tab w:leader="none" w:pos="831"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effective date of the Underwriting Agreement and ending 180 days after such date, the Sponsor and each Insider shall not, without the prior written consent of the Representative, (i) sell, offer to sell, contract or agree to sell, hypothecate, pledge, grant any option to purchase or otherwise dispose of or agree to dispose of, directly or indirectly, any shares of Common Stock (including Private Placement Shares) or Founder Shares owned by it, him or her, (ii)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the rules and regulations of the Commission promulgated thereunder, with respect to any shares of Common Stock (including Private Placement Shares) or Founder Shares owned by it, him or her, (iii) enter into any swap or other arrangement that transfers to another, in whole or in part, any of the economic consequences of ownership of any shares of Common Stock (including Private Placement Shares) or Founder Shares owned by it, him or her, whether any such transaction is to be settled by delivery of such securities, in cash or otherwise, or (iv) publicly announce any intention to effect any transaction specified in clause (i), (ii) or (iii). Each of the Insiders and the Sponsor acknowledges and agrees that, prior to the effective date of any release or waiver of the restrictions set forth in this paragraph 3 or paragraph 7 below, the Company shall announce the impending release or waiver by press release through a major news service at least two Business Days before the effective date of the release or waiver. Any release or waiver granted shall only be effective two Business Days after the publication date of such press release. The provisions of this paragraph will not apply if the release or waiver is effected solely to permit a transfer not for consideration and the transferee has agreed in writing to be bound by the same terms described in this Letter Agreement to the extent and for the duration that such terms remain in effect at the time of the transfer.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656"/>
        <w:spacing w:after="0" w:line="252" w:lineRule="auto"/>
        <w:tabs>
          <w:tab w:leader="none" w:pos="83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liquidation of the Trust Account upon the failure of the Company to consummate its initial Business Combination within the time period set forth in the Charter, the Sponsor (the “</w:t>
      </w:r>
      <w:r>
        <w:rPr>
          <w:rFonts w:ascii="Times New Roman" w:cs="Times New Roman" w:eastAsia="Times New Roman" w:hAnsi="Times New Roman"/>
          <w:sz w:val="18"/>
          <w:szCs w:val="18"/>
          <w:b w:val="1"/>
          <w:bCs w:val="1"/>
          <w:i w:val="1"/>
          <w:iCs w:val="1"/>
          <w:color w:val="auto"/>
        </w:rPr>
        <w:t>Indemnitor</w:t>
      </w:r>
      <w:r>
        <w:rPr>
          <w:rFonts w:ascii="Times New Roman" w:cs="Times New Roman" w:eastAsia="Times New Roman" w:hAnsi="Times New Roman"/>
          <w:sz w:val="18"/>
          <w:szCs w:val="18"/>
          <w:color w:val="auto"/>
        </w:rPr>
        <w:t>”) agrees to indemnify and hold harmless the Company against any and all loss, liability, claim, damage and expense whatsoever (including, but not limited to, any and all legal or other expenses reasonably incurred in investigating, preparing or defending against any litigation, whether pending or threatened) to which the Company may become subject as a result of any claim by (i) any third party for services rendered or products sold to the Company or (ii) any prospective target business with which the Company has entered into a written letter of intent, confidentiality or other similar agreement or Business Combination agreement (a “</w:t>
      </w:r>
      <w:r>
        <w:rPr>
          <w:rFonts w:ascii="Times New Roman" w:cs="Times New Roman" w:eastAsia="Times New Roman" w:hAnsi="Times New Roman"/>
          <w:sz w:val="18"/>
          <w:szCs w:val="18"/>
          <w:b w:val="1"/>
          <w:bCs w:val="1"/>
          <w:i w:val="1"/>
          <w:iCs w:val="1"/>
          <w:color w:val="auto"/>
        </w:rPr>
        <w:t>Target</w:t>
      </w:r>
      <w:r>
        <w:rPr>
          <w:rFonts w:ascii="Times New Roman" w:cs="Times New Roman" w:eastAsia="Times New Roman" w:hAnsi="Times New Roman"/>
          <w:sz w:val="18"/>
          <w:szCs w:val="18"/>
          <w:color w:val="auto"/>
        </w:rPr>
        <w:t>”); provided, however, that such indemnification of the Company by the Indemnitor (x) shall apply only to the extent necessary to ensure that such claims by a third party or a Target do not reduce the amount of funds in the Trust Account to below the lesser of (i) $10.00 per Offering Share and (ii) the actual amount per Offering Share held in the Trust Account as of the date of the liquidation of the Trust Account, if less than $10.00 per Offering Share is then held in the Trust Account due to reductions in the value of the trust assets, less interest earned on the Trust Account which may be withdrawn to pay taxes, (y) shall not apply to any claims by a third party or a Target which executed a waiver of any and all rights to the monies held in the Trust Account (whether or not such waiver is enforceable) and (z) shall not apply to any claims under the Company’s indemnity of the Underwriters against certain liabilities, including liabilities under the Securities Act of 1933, as amended. The Indemnitor shall have the right to defend against any such claim with counsel of its choice reasonably satisfactory to the Company if, within 15 days following written receipt of notice of the claim to the Indemnitor, the Indemnitor notifies the Company in writing that it shall undertake such defense.</w:t>
      </w:r>
    </w:p>
    <w:p>
      <w:pPr>
        <w:spacing w:after="0" w:line="19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[Intentionally omitted].</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37"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hereby agrees and acknowledges that: (i) the Company would be irreparably injured in the event of a breach by the Sponsor or an Insider of its, his or her obligations under paragraphs 1, 2, 3, 4, 7(a), 7(b) or 9, as applicable, of this Letter Agreement (ii) monetary damages may not be an adequate remedy for such breach and (iii) the non-breaching party shall be entitled to injunctive relief, in addition to any other remedy that such party may have in law or in equity, in the event of such breach.</w:t>
      </w:r>
    </w:p>
    <w:p>
      <w:pPr>
        <w:spacing w:after="0" w:line="179" w:lineRule="exact"/>
        <w:rPr>
          <w:rFonts w:ascii="Times New Roman" w:cs="Times New Roman" w:eastAsia="Times New Roman" w:hAnsi="Times New Roman"/>
          <w:sz w:val="18"/>
          <w:szCs w:val="18"/>
          <w:color w:val="auto"/>
        </w:rPr>
      </w:pPr>
    </w:p>
    <w:p>
      <w:pPr>
        <w:jc w:val="both"/>
        <w:ind w:firstLine="656"/>
        <w:spacing w:after="0" w:line="255" w:lineRule="auto"/>
        <w:tabs>
          <w:tab w:leader="none" w:pos="829"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Sponsor and each Insider (to the extent that such Insider holds Founder Shares) agrees that it shall not Transfer any Founder Shares until the earlier of (a) one year after the date of the consummation of the Company’s initial Business Combination and (b) the date on which the closing price of the Common Stock equals or exceeds $12.00 per share (as adjusted for stock splits, stock dividends, reorganizations and recapitalizations) for any 20 trading days within any 30-trading day period commencing at least 150 days after the Company’s initial Business Combination, or earlier if, subsequent to the Company’s initial Business Combination, the Company consummates a subsequent liquidation, merger, stock exchange or other similar transaction which results in all of the Company’s stockholders having the right to exchange their shares of Common Stock for cash, securities or other property (the “</w:t>
      </w:r>
      <w:r>
        <w:rPr>
          <w:rFonts w:ascii="Times New Roman" w:cs="Times New Roman" w:eastAsia="Times New Roman" w:hAnsi="Times New Roman"/>
          <w:sz w:val="18"/>
          <w:szCs w:val="18"/>
          <w:b w:val="1"/>
          <w:bCs w:val="1"/>
          <w:i w:val="1"/>
          <w:iCs w:val="1"/>
          <w:color w:val="auto"/>
        </w:rPr>
        <w:t>Founder Shares Lock-up Period</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firstLine="656"/>
        <w:spacing w:after="0" w:line="282" w:lineRule="auto"/>
        <w:tabs>
          <w:tab w:leader="none" w:pos="92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agrees that it shall not transfer any Private Placement Shares until 30 days after the completion of a Business Combination (the “</w:t>
      </w:r>
      <w:r>
        <w:rPr>
          <w:rFonts w:ascii="Times New Roman" w:cs="Times New Roman" w:eastAsia="Times New Roman" w:hAnsi="Times New Roman"/>
          <w:sz w:val="18"/>
          <w:szCs w:val="18"/>
          <w:b w:val="1"/>
          <w:bCs w:val="1"/>
          <w:i w:val="1"/>
          <w:iCs w:val="1"/>
          <w:color w:val="auto"/>
        </w:rPr>
        <w:t>Private Placement Shares Lock-up Period</w:t>
      </w:r>
      <w:r>
        <w:rPr>
          <w:rFonts w:ascii="Times New Roman" w:cs="Times New Roman" w:eastAsia="Times New Roman" w:hAnsi="Times New Roman"/>
          <w:sz w:val="18"/>
          <w:szCs w:val="18"/>
          <w:color w:val="auto"/>
        </w:rPr>
        <w:t>”, together with the Founder Shares Lock-up Period, the “</w:t>
      </w:r>
      <w:r>
        <w:rPr>
          <w:rFonts w:ascii="Times New Roman" w:cs="Times New Roman" w:eastAsia="Times New Roman" w:hAnsi="Times New Roman"/>
          <w:sz w:val="18"/>
          <w:szCs w:val="18"/>
          <w:b w:val="1"/>
          <w:bCs w:val="1"/>
          <w:i w:val="1"/>
          <w:iCs w:val="1"/>
          <w:color w:val="auto"/>
        </w:rPr>
        <w:t>Lock-up Periods</w:t>
      </w:r>
      <w:r>
        <w:rPr>
          <w:rFonts w:ascii="Times New Roman" w:cs="Times New Roman" w:eastAsia="Times New Roman" w:hAnsi="Times New Roman"/>
          <w:sz w:val="18"/>
          <w:szCs w:val="18"/>
          <w:color w:val="auto"/>
        </w:rPr>
        <w: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56"/>
        <w:spacing w:after="0" w:line="253" w:lineRule="auto"/>
        <w:tabs>
          <w:tab w:leader="none" w:pos="96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set forth in paragraph 7(i) and (ii), Transfers of the Founder Shares and Private Placement Shares that are held by the Sponsor, any Insider or any of their permitted transferees (that have complied with this paragraph 7(iii)), are permitted (a) to any persons (including their affiliates and stockholders) participating in the private placement of the Founder Shares, officers, directors, stockholders employees and members of the Sponsor and its affiliates; (b) amongst the Sponsor and Insiders or to the Company’s officers, directors and employees; (c) if the Sponsor or Insider is an entity, as a distribution to its partners, stockholders or members upon its liquidation, (d) by bona fide gift to a member of the Insider’s immediate family or to a trust, the beneficiary of which is the Insider or a member of the Insider’s immediate family for estate planning purposes, (e) by virtue of the laws of descent and distribution upon death of the Insider, (f) pursuant to a qualified domestic relations order, (g) by certain pledges to secure obligations incurred in connection with purchases of the Company’s securities, (h) by private sales at prices no greater than the price at which the Founder Shares were originally purchased or (i) for the cancellation of up to 543,750 shares of Common Stock subject to forfeiture by the Sponsor to the extent that the Underwriters’ over-allotment is not exercised in full or in part or in connection with the consummation of the Company’s initial Business Combination, in each case (except for clause (i) or with the Company’s prior consent) on the condition that such transfers may be implemented only upon the respective transferee’s written agreement to be bound by the terms and conditions of this Agreement and of the Stock Escrow Agreement entered into as of the date hereof and signed by the holder transferring such Founder Shares.</w:t>
      </w:r>
    </w:p>
    <w:p>
      <w:pPr>
        <w:spacing w:after="0" w:line="187" w:lineRule="exact"/>
        <w:rPr>
          <w:sz w:val="20"/>
          <w:szCs w:val="20"/>
          <w:color w:val="auto"/>
        </w:rPr>
      </w:pPr>
    </w:p>
    <w:p>
      <w:pPr>
        <w:jc w:val="both"/>
        <w:ind w:firstLine="656"/>
        <w:spacing w:after="0" w:line="254" w:lineRule="auto"/>
        <w:tabs>
          <w:tab w:leader="none" w:pos="82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represents and warrants that it, he or she has never been suspended or expelled from membership in any securities or commodities exchange or association or had a securities or commodities license or registration denied, suspended or revoked. Each Insider’s biographical information furnished to the Company (including any such information included in the Prospectus) is true and accurate in all respects and does not omit any material information with respect to the Insider’s background. Each Insider’s questionnaire furnished to the Company is true and accurate in all respects.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 (iii) pertaining to any dealings in any securities and it, he or she is not currently a defendant in any such criminal proceeding.</w:t>
      </w:r>
    </w:p>
    <w:p>
      <w:pPr>
        <w:spacing w:after="0" w:line="191" w:lineRule="exact"/>
        <w:rPr>
          <w:rFonts w:ascii="Times New Roman" w:cs="Times New Roman" w:eastAsia="Times New Roman" w:hAnsi="Times New Roman"/>
          <w:sz w:val="18"/>
          <w:szCs w:val="18"/>
          <w:color w:val="auto"/>
        </w:rPr>
      </w:pPr>
    </w:p>
    <w:p>
      <w:pPr>
        <w:jc w:val="both"/>
        <w:ind w:firstLine="656"/>
        <w:spacing w:after="0" w:line="261" w:lineRule="auto"/>
        <w:tabs>
          <w:tab w:leader="none" w:pos="82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Prospectus, none of the Sponsor, our officers and directors, or any affiliate of the Sponsor or our officers shall receive from the Company any finder’s fee, reimbursement, consulting fee, monies in respect of any repayment of a loan or other compensation prior to, or in connection with any services rendered in order to effectuate, the consummation of the Company’s initial Business Combination (regardless of the type of transaction that it is).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 and each Insider has full right and power, without violating any agreement to which it is bound (including, without limitation, any non-competition or non-solicitation agreement with any employer or former employer), to enter into this Letter Agreement and, as applicable, to serve as an officer or director of the Company and hereby consents to being named in the Prospectus as an officer or director of the Company.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56"/>
        <w:spacing w:after="0" w:line="252" w:lineRule="auto"/>
        <w:tabs>
          <w:tab w:leader="none" w:pos="91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xml:space="preserve">” shall mean a merger, capital stock exchange, asset acquisition, stock purchase, reorganization or similar business combination, involving the Company and one or more businesses; (ii)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each day that is not a Saturday, Sunday or other day on which banking institutions in The City of New York, New York, are authorized or required by law to close; (iii) “</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shall mean, collectively, the Common Stock (including the Private Placement Shares) and the Founder Shares; (iv) “</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shall mean the 4,168,750 shares of the Company’s Common Stock, par value $0.0001 per share, (up to 543,750 shares of which are subject to complete or partial forfeiture by the Sponsor if the over-allotment option is not exercised by the Underwriters) outstanding immediately prior to the consummation of the Public Offering; (v) “</w:t>
      </w:r>
      <w:r>
        <w:rPr>
          <w:rFonts w:ascii="Times New Roman" w:cs="Times New Roman" w:eastAsia="Times New Roman" w:hAnsi="Times New Roman"/>
          <w:sz w:val="18"/>
          <w:szCs w:val="18"/>
          <w:b w:val="1"/>
          <w:bCs w:val="1"/>
          <w:i w:val="1"/>
          <w:i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Stockholders</w:t>
      </w:r>
      <w:r>
        <w:rPr>
          <w:rFonts w:ascii="Times New Roman" w:cs="Times New Roman" w:eastAsia="Times New Roman" w:hAnsi="Times New Roman"/>
          <w:sz w:val="18"/>
          <w:szCs w:val="18"/>
          <w:color w:val="auto"/>
        </w:rPr>
        <w:t>” shall mean the Sponsor and any Insider that holds Founder Shares prior to the consummation of the Public Offering; (vi) “</w:t>
      </w:r>
      <w:r>
        <w:rPr>
          <w:rFonts w:ascii="Times New Roman" w:cs="Times New Roman" w:eastAsia="Times New Roman" w:hAnsi="Times New Roman"/>
          <w:sz w:val="18"/>
          <w:szCs w:val="18"/>
          <w:b w:val="1"/>
          <w:bCs w:val="1"/>
          <w:i w:val="1"/>
          <w:iCs w:val="1"/>
          <w:color w:val="auto"/>
        </w:rPr>
        <w:t>Private Placement Shares</w:t>
      </w:r>
      <w:r>
        <w:rPr>
          <w:rFonts w:ascii="Times New Roman" w:cs="Times New Roman" w:eastAsia="Times New Roman" w:hAnsi="Times New Roman"/>
          <w:sz w:val="18"/>
          <w:szCs w:val="18"/>
          <w:color w:val="auto"/>
        </w:rPr>
        <w:t>” shall mean 490,000 shares of Common Stock (or 533,500 shares of Common Stock if the Underwriters’ over-allotment option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exercised in full) that the Sponsor has agreed to purchase for an aggregate purchase price of $4,900,000 in the aggregate (or $5,335,500 in the aggregate if the Underwriters’ over-allotment option is exercised in full), in a private placement that shall occur simultaneously with the consummation of the Public Offering; (vii) “</w:t>
      </w:r>
      <w:r>
        <w:rPr>
          <w:rFonts w:ascii="Times New Roman" w:cs="Times New Roman" w:eastAsia="Times New Roman" w:hAnsi="Times New Roman"/>
          <w:sz w:val="18"/>
          <w:szCs w:val="18"/>
          <w:b w:val="1"/>
          <w:bCs w:val="1"/>
          <w:i w:val="1"/>
          <w:iCs w:val="1"/>
          <w:color w:val="auto"/>
        </w:rPr>
        <w:t>Public Stockholders</w:t>
      </w:r>
      <w:r>
        <w:rPr>
          <w:rFonts w:ascii="Times New Roman" w:cs="Times New Roman" w:eastAsia="Times New Roman" w:hAnsi="Times New Roman"/>
          <w:sz w:val="18"/>
          <w:szCs w:val="18"/>
          <w:color w:val="auto"/>
        </w:rPr>
        <w:t>” shall mean the holders of the Offering Shares; (viii)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shall mean the trust fund into which a portion of the net proceeds of the Public Offering and the sale of Private Placement Shares shall be deposited; and (ix)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mean the (a) sale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195" w:lineRule="exact"/>
        <w:rPr>
          <w:rFonts w:ascii="Times New Roman" w:cs="Times New Roman" w:eastAsia="Times New Roman" w:hAnsi="Times New Roman"/>
          <w:sz w:val="18"/>
          <w:szCs w:val="18"/>
          <w:color w:val="auto"/>
        </w:rPr>
      </w:pPr>
    </w:p>
    <w:p>
      <w:pPr>
        <w:jc w:val="both"/>
        <w:ind w:firstLine="656"/>
        <w:spacing w:after="0" w:line="266" w:lineRule="auto"/>
        <w:tabs>
          <w:tab w:leader="none" w:pos="93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maintain an insurance policy or policies providing directors’ and officers’ liability insurance, and each Director shall be covered by such policy or policies, in accordance with its or their terms, to the maximum extent of the coverage available for any of the Company’s directors or officers.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3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(other than to correct a typographical error) as to any particular provision, except by a written instrument executed by all parties hereto.</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4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Letter Agreement shall be binding on the Sponsor and each Insider and their respective successors, heirs and assigns and permitted transferees.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3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Letter Agreement shall be construed to confer upon, or give to, any person or corporation other than the parties hereto any right, remedy or claim under or by reason of this Letter Agreement or of any covenant, condition, stipulation, promise or agreement hereof. All covenants, conditions, stipulations, promises and agreements contained in this Letter Agreement shall be for the sole and exclusive benefit of the parties hereto and their successors, heirs, personal representatives and assigns and permitted transferees.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4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93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deemed severable, and the invalidity or unenforceability of any term or provision hereof shall not affect the validity or enforceability of this Letter Agreement or of any other term or provision hereof. Furthermore, in lieu of any such invalid or unenforceable term or provision, the parties hereto intend that there shall be added as a part of this Letter Agreement a provision as similar in terms to such invalid or unenforceable provision as may be possible and be valid and enforceable.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both"/>
        <w:ind w:firstLine="656"/>
        <w:spacing w:after="0" w:line="258" w:lineRule="auto"/>
        <w:tabs>
          <w:tab w:leader="none" w:pos="92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be governed by and construed and enforced in accordance with the laws of the State of New York, without giving effect to conflicts of law principles that would result in the application of the substantive laws of another jurisdiction. The parties hereto (i) all agree that any action, proceeding, claim or dispute arising out of, or relating in any way to, this Letter Agreement shall be brought and enforced in the courts of New York City, in the State of New York, and irrevocably submit to such jurisdiction and venue, which jurisdiction and venue shall be exclusive and (ii) waive any objection to such exclusive jurisdiction and venue or that such courts represent an inconvenient forum.</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2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4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Agreement shall terminate on the earlier of (i) the expiration of the Lock-up Periods or (ii) the liquidation of the Company; provided, however, that this Letter Agreement shall earlier terminate in the event that the Public Offering is not consummated by December 31, 2020; provided further that paragraph 4 of this Letter Agreement shall survive such liquidation.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BCTG HOLDINGS, LLC</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Ellis</w:t>
            </w:r>
          </w:p>
        </w:tc>
      </w:tr>
      <w:tr>
        <w:trPr>
          <w:trHeight w:val="198"/>
        </w:trPr>
        <w:tc>
          <w:tcPr>
            <w:tcW w:w="56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 Andrew Ellis</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Manager</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I. Davis</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Aaron I. Davis</w:t>
            </w:r>
          </w:p>
        </w:tc>
      </w:tr>
      <w:tr>
        <w:trPr>
          <w:trHeight w:val="4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Fuglesang</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Fuglesang, Ph.D., J.D.</w:t>
            </w:r>
          </w:p>
        </w:tc>
      </w:tr>
      <w:tr>
        <w:trPr>
          <w:trHeight w:val="4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Beauchamp</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Michael Beauchamp</w:t>
            </w:r>
          </w:p>
        </w:tc>
      </w:tr>
      <w:tr>
        <w:trPr>
          <w:trHeight w:val="4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Ellis</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Andrew Ellis, M.D., J.D.</w:t>
            </w:r>
          </w:p>
        </w:tc>
      </w:tr>
      <w:tr>
        <w:trPr>
          <w:trHeight w:val="4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Carole L. Nuechterlien</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Carole L. Nuechterlein, J.D.</w:t>
            </w:r>
          </w:p>
        </w:tc>
      </w:tr>
      <w:tr>
        <w:trPr>
          <w:trHeight w:val="4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Heyman</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Richard Heyman, Ph.D.</w:t>
            </w:r>
          </w:p>
        </w:tc>
      </w:tr>
      <w:tr>
        <w:trPr>
          <w:trHeight w:val="4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M. Baum</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Charles M. Baum, M.D., Ph.D.</w:t>
            </w:r>
          </w:p>
        </w:tc>
      </w:tr>
      <w:tr>
        <w:trPr>
          <w:trHeight w:val="42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Jamie G. Christensen</w:t>
            </w:r>
          </w:p>
        </w:tc>
      </w:tr>
      <w:tr>
        <w:trPr>
          <w:trHeight w:val="234"/>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Jamie G. Christensen, Ph.D.</w:t>
            </w:r>
          </w:p>
        </w:tc>
      </w:tr>
    </w:tbl>
    <w:p>
      <w:pPr>
        <w:spacing w:after="0" w:line="200" w:lineRule="exact"/>
        <w:rPr>
          <w:sz w:val="20"/>
          <w:szCs w:val="20"/>
          <w:color w:val="auto"/>
        </w:rPr>
      </w:pPr>
    </w:p>
    <w:p>
      <w:pPr>
        <w:spacing w:after="0" w:line="2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9" w:name="page50"/>
    <w:bookmarkEnd w:id="49"/>
    <w:p>
      <w:pPr>
        <w:ind w:left="5640"/>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17145</wp:posOffset>
            </wp:positionV>
            <wp:extent cx="24860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Aaron I. Davis</w:t>
      </w:r>
    </w:p>
    <w:p>
      <w:pPr>
        <w:spacing w:after="0" w:line="2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Troy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26035</wp:posOffset>
            </wp:positionV>
            <wp:extent cx="24860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Troy Wilson</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Benjamin Cravatt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26035</wp:posOffset>
            </wp:positionV>
            <wp:extent cx="248602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Benjamin Cravatt</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Jeff Hager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26035</wp:posOffset>
            </wp:positionV>
            <wp:extent cx="24860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Jeff Hager</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Sheila Gujrathi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26035</wp:posOffset>
            </wp:positionV>
            <wp:extent cx="248602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Sheila Gujrathi</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NexTx Insights,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L.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26035</wp:posOffset>
            </wp:positionV>
            <wp:extent cx="248602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Steven L. Bender</w:t>
      </w:r>
    </w:p>
    <w:p>
      <w:pPr>
        <w:spacing w:after="0" w:line="27"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Principal Consultant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MANAGEMENT TRUST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as of September 2, 2020 by and between BCTG Acquisition Corp. (the “Company”) and Continental Stock Transfer &amp; Trust Company (“Trustee”).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Company’s registration statements on Form S-1, Nos. 333-240237 and 333-248570 (“Registration Statement”) for its initial public offering of securities (“IPO”) have been declared effective as of the date hereof (“Effective Date”) by the Securities and Exchange Commission (capitalized terms used herein and not otherwise defined shall have the meanings set forth in the Registration Statement);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SVB Leerink LLC (“SVB Leerink”) is acting as the underwriter in the IPO; and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as described in the Registration Statement, and in accordance with the Company’s Amended and Restated Certificate of Incorporation, $145,000,000 of the gross proceeds of the IPO ($166,750,000 if the over-allotment option is exercised in full) will be delivered to the Trustee to be deposited and held in a trust account for the benefit of the Company and the holders of the Company’s common stock, par value $.0001 per share (“Common Stock”), issued in the IPO as hereinafter provided (the proceeds to be delivered to the Trustee will be referred to herein as the “Property”; the shareholders for whose benefit the Trustee shall hold the Property will be referred to as the “Public Shareholders,” and the Public Shareholders and the Company will be referred to together as the “Beneficiaries”); and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Trustee desire to enter into this Agreement to set forth the terms and conditions pursuant to which the Trustee shall hold the Property.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THEREFORE, IT IS AGREED:</w:t>
      </w:r>
    </w:p>
    <w:p>
      <w:pPr>
        <w:spacing w:after="0" w:line="225" w:lineRule="exact"/>
        <w:rPr>
          <w:sz w:val="20"/>
          <w:szCs w:val="20"/>
          <w:color w:val="auto"/>
        </w:rPr>
      </w:pPr>
    </w:p>
    <w:p>
      <w:pPr>
        <w:ind w:left="840" w:hanging="184"/>
        <w:spacing w:after="0"/>
        <w:tabs>
          <w:tab w:leader="none" w:pos="8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 of Trustee</w:t>
      </w:r>
      <w:r>
        <w:rPr>
          <w:rFonts w:ascii="Times New Roman" w:cs="Times New Roman" w:eastAsia="Times New Roman" w:hAnsi="Times New Roman"/>
          <w:sz w:val="18"/>
          <w:szCs w:val="18"/>
          <w:color w:val="auto"/>
        </w:rPr>
        <w:t>. The Trustee hereby agrees and covenants to:</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Property in trust for the Beneficiaries in accordance with the terms of this Agreement in a segregated trust account (“Trust Account”) established by the Trustee at JPMorgan Chase Bank, N.A. in the United States (or at another U.S. chartered commercial bank with consolidated assets of $100 billion or more), maintained by Trustee, and at a brokerage institution selected by the Trustee that is reasonably satisfactory to the Company;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supervise and administer the Trust Account subject to the terms and conditions set forth herein;</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5"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timely manner, upon the instruction of the Company, invest and reinvest the Property (i) in United States government treasury bills, notes or bonds having a maturity of 185 days or less and/or (ii) in money market funds meeting certain conditions under Rule 2a-7 promulgated under the Investment Company Act of 1940, as amended, and that invest solely in U.S. treasuries, as determined by the Company, it being understood that the Trust Account will earn no interest while the account funds are uninvested awaiting the Company’s instructions hereunder and the Trustee may earn bank credits and other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402590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ind w:left="1560" w:hanging="256"/>
        <w:spacing w:after="0"/>
        <w:tabs>
          <w:tab w:leader="none" w:pos="15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and receive, when due, all principal and income arising from the Property, which shall become part of the “Property,” as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is used herein;</w:t>
      </w:r>
    </w:p>
    <w:p>
      <w:pPr>
        <w:spacing w:after="0" w:line="206"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Company and SVB Leerink of all communications received by it with respect to any Property requiring action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any necessary information or documents as may be requested by the Company in connection with the Company’s preparation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its tax returns;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7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any plan or proceeding for protecting or enforcing any right or interest arising from the Property if, as and when instructed by the Company to do so;</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Render to the Company monthly written statements of the activities of and amounts in the Trust Account reflecting all receipts and disbursements of the Trust Account;</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14"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Commence liquidation of the Trust Account only after and promptly after receipt of, and only in accordance with, the terms of a letter (“Termination Letter”), in a form substantially similar to that attached hereto as either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signed on behalf of the Company by its President, Chief Executive Officer or Chairman of the Board and Secretary or Assistant Secretary,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the 24-month anniversary of the closing of the IPO (“Last Date”), the Trust Account shall be liquidated in accordance with the procedures set forth in the Termination Letter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and distributed to the Public Shareholders as of the Last Date; and</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1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from the Company, which may be given from time to time in a form substantially similar to that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 “Stockholder Redemption Withdrawal Instruction”), the Trustee shall distribute on behalf of the Company the amount requested by the Company to be used to redeem shares of Common Stock from Public Stockholders properly submitted in connection with a stockholder vote to approve an amendment to this Agreement to modify the substance or timing of the Company’s obligation to redeem 100% of shares of Common Stock included in the Units sold in the Offering (the “public shares”) if the Company has not consummated an initial Business Combination within such time as is described in Section 1(i), or with respect to any other material provisions relating to stockholders’ rights or pre-initial Business Combination activity. The written request of the Company referenced above shall constitute presumptive evidence that the Company is entitled to distribute said funds, and the Trustee shall have no responsibility to look beyond said request.</w:t>
      </w:r>
    </w:p>
    <w:p>
      <w:pPr>
        <w:spacing w:after="0" w:line="19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Distributions of Income from Trust Account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from the Company, which may be given from time to time in a form substantially similar to that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the Trustee shall distribute to the Company the amount of interest income earned on the Trust Account requested by the Company to cover any income or other tax obligation owed by the Company as a result of such interest income.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20" w:right="20" w:firstLine="1304"/>
        <w:spacing w:after="0" w:line="282" w:lineRule="auto"/>
        <w:tabs>
          <w:tab w:leader="none" w:pos="1553"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distributions referred to in Section 2(a) above shall be made only from income collected on the Property. Except as provided in Section 2(a) above, no other distributions from the Trust Account shall be permitted except in accordance with Sections 1(i) and 1(j) hereof.</w:t>
      </w:r>
    </w:p>
    <w:p>
      <w:pPr>
        <w:spacing w:after="0" w:line="161" w:lineRule="exact"/>
        <w:rPr>
          <w:rFonts w:ascii="Times New Roman" w:cs="Times New Roman" w:eastAsia="Times New Roman" w:hAnsi="Times New Roman"/>
          <w:sz w:val="18"/>
          <w:szCs w:val="18"/>
          <w:color w:val="auto"/>
        </w:rPr>
      </w:pPr>
    </w:p>
    <w:p>
      <w:pPr>
        <w:ind w:left="-20" w:firstLine="1304"/>
        <w:spacing w:after="0" w:line="282" w:lineRule="auto"/>
        <w:tabs>
          <w:tab w:leader="none" w:pos="15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SVB Leerink with a copy of any Termination Letters and/or any other correspondence that it issues to the Trustee with respect to any proposed withdrawal from the Trust Account promptly after such issuance.</w:t>
      </w:r>
    </w:p>
    <w:p>
      <w:pPr>
        <w:spacing w:after="0" w:line="161"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 of the Company</w:t>
      </w:r>
      <w:r>
        <w:rPr>
          <w:rFonts w:ascii="Times New Roman" w:cs="Times New Roman" w:eastAsia="Times New Roman" w:hAnsi="Times New Roman"/>
          <w:sz w:val="18"/>
          <w:szCs w:val="18"/>
          <w:color w:val="auto"/>
        </w:rPr>
        <w:t>. The Company hereby agrees and covenants to:</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1531"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all instructions to the Trustee hereunder in writing, signed by the Company’s Chairman of the Board, Chief Executive Officer, President or Chief Financial Officer. In addition, except with respect to its duties under paragraphs 1(i) and 2(a) above, the Trustee shall be entitled to rely on, and shall be protected in relying on, any verbal or telephonic advice or instruction which it in good faith believes to be given by any one of the persons authorized above to give written instructions, provided that the Company shall promptly confirm such instructions in writing;</w:t>
      </w:r>
    </w:p>
    <w:p>
      <w:pPr>
        <w:spacing w:after="0" w:line="179" w:lineRule="exact"/>
        <w:rPr>
          <w:rFonts w:ascii="Times New Roman" w:cs="Times New Roman" w:eastAsia="Times New Roman" w:hAnsi="Times New Roman"/>
          <w:sz w:val="18"/>
          <w:szCs w:val="18"/>
          <w:color w:val="auto"/>
        </w:rPr>
      </w:pPr>
    </w:p>
    <w:p>
      <w:pPr>
        <w:jc w:val="both"/>
        <w:ind w:left="-20" w:firstLine="1304"/>
        <w:spacing w:after="0" w:line="253" w:lineRule="auto"/>
        <w:tabs>
          <w:tab w:leader="none" w:pos="1546"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5 and 7(g) of this Agreement, hold the Trustee harmless and indemnify the Trustee from and against, any and all expenses, including reasonable counsel fees and disbursements, or loss suffered by the Trustee in connection with any claim, potential claim, action, suit or other proceeding brought against the Trustee involving any claim, or in connection with any claim or demand which in any way arises out of or relates to this Agreement, the services of the Trustee hereunder, or the Property or any income earned from investment of the Property, except for expenses and losses resulting from the Trustee’s gross negligence or willful misconduct. Promptly after the receipt by the Trustee of notice of demand or claim or the commencement of any action, suit or proceeding, pursuant to which the Trustee intends to seek indemnification under this paragraph, it shall notify the Company in writing of such claim (hereinafter referred to as the “Indemnified Claim”). The Trustee shall have the right to conduct and manage the defense against such Indemnified Claim, provided, that the Trustee shall obtain the consent of the Company with respect to the selection of counsel, which consent shall not be unreasonably withheld. The Trustee may not agree to settle any Indemnified Claim without the prior written consent of the Company, which consent shall not be unreasonably withheld. The Company may participate in such action with its own counsel;</w:t>
      </w:r>
    </w:p>
    <w:p>
      <w:pPr>
        <w:spacing w:after="0" w:line="194" w:lineRule="exact"/>
        <w:rPr>
          <w:rFonts w:ascii="Times New Roman" w:cs="Times New Roman" w:eastAsia="Times New Roman" w:hAnsi="Times New Roman"/>
          <w:sz w:val="18"/>
          <w:szCs w:val="18"/>
          <w:color w:val="auto"/>
        </w:rPr>
      </w:pPr>
    </w:p>
    <w:p>
      <w:pPr>
        <w:jc w:val="both"/>
        <w:ind w:left="-20" w:firstLine="1304"/>
        <w:spacing w:after="0" w:line="256" w:lineRule="auto"/>
        <w:tabs>
          <w:tab w:leader="none" w:pos="1544"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Trustee an initial acceptance fee, an annual fee and a transaction processing fee for each disbursement made pursuant to Section 2(a) as set forth on Schedule A hereto, which fees shall be subject to modification by the parties from time to time. It is expressly understood that the Property shall not be used to pay such fees except for disbursements made to the Company pursuant to Sections 1(i) solely in connection with the consummation of a Business Combination. The Company shall pay the Trustee the initial acceptance fee and first year’s fee at the consummation of the IPO and thereafter on the anniversary of the Effective Date. Except as set forth in this Section 3(c) and Section 3(b) hereof, the Company shall not be responsible for any other fees or charges of the Trustee.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53" w:name="page54"/>
    <w:bookmarkEnd w:id="53"/>
    <w:p>
      <w:pPr>
        <w:jc w:val="both"/>
        <w:ind w:left="-20" w:firstLine="1304"/>
        <w:spacing w:after="0" w:line="266" w:lineRule="auto"/>
        <w:tabs>
          <w:tab w:leader="none" w:pos="153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vote of the Company’s shareholders regarding a Business Combination, provide to the Trustee an affidavit or certificate of a firm regularly engaged in the business of soliciting proxies and/or tabulating shareholder votes verifying the vote of the Company’s shareholders regarding such Business Combination; and</w:t>
      </w:r>
    </w:p>
    <w:p>
      <w:pPr>
        <w:spacing w:after="0" w:line="175" w:lineRule="exact"/>
        <w:rPr>
          <w:rFonts w:ascii="Times New Roman" w:cs="Times New Roman" w:eastAsia="Times New Roman" w:hAnsi="Times New Roman"/>
          <w:sz w:val="18"/>
          <w:szCs w:val="18"/>
          <w:color w:val="auto"/>
        </w:rPr>
      </w:pPr>
    </w:p>
    <w:p>
      <w:pPr>
        <w:ind w:left="-20" w:firstLine="1304"/>
        <w:spacing w:after="0" w:line="282" w:lineRule="auto"/>
        <w:tabs>
          <w:tab w:leader="none" w:pos="155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directs the Trustee to commence liquidation of the Trust Account pursuant to Section 1(i), the Company agrees that it will not direct the Trustee to make any payments that are not specifically authorized by this Agreement.</w:t>
      </w:r>
    </w:p>
    <w:p>
      <w:pPr>
        <w:spacing w:after="0" w:line="161"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of Liability</w:t>
      </w:r>
      <w:r>
        <w:rPr>
          <w:rFonts w:ascii="Times New Roman" w:cs="Times New Roman" w:eastAsia="Times New Roman" w:hAnsi="Times New Roman"/>
          <w:sz w:val="18"/>
          <w:szCs w:val="18"/>
          <w:color w:val="auto"/>
        </w:rPr>
        <w:t>. The Trustee shall have no responsibility or liability to:</w:t>
      </w:r>
    </w:p>
    <w:p>
      <w:pPr>
        <w:spacing w:after="0" w:line="225" w:lineRule="exact"/>
        <w:rPr>
          <w:rFonts w:ascii="Times New Roman" w:cs="Times New Roman" w:eastAsia="Times New Roman" w:hAnsi="Times New Roman"/>
          <w:sz w:val="18"/>
          <w:szCs w:val="18"/>
          <w:color w:val="auto"/>
        </w:rPr>
      </w:pPr>
    </w:p>
    <w:p>
      <w:pPr>
        <w:ind w:left="-20" w:firstLine="1304"/>
        <w:spacing w:after="0" w:line="282" w:lineRule="auto"/>
        <w:tabs>
          <w:tab w:leader="none" w:pos="15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with respect to the Property, other than as directed in paragraphs 1 and 2 hereof and the Trustee shall have no liability to any party except for liability arising out of its own gross negligence or willful misconduct;</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3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75" w:lineRule="exact"/>
        <w:rPr>
          <w:rFonts w:ascii="Times New Roman" w:cs="Times New Roman" w:eastAsia="Times New Roman" w:hAnsi="Times New Roman"/>
          <w:sz w:val="18"/>
          <w:szCs w:val="18"/>
          <w:color w:val="auto"/>
        </w:rPr>
      </w:pPr>
    </w:p>
    <w:p>
      <w:pPr>
        <w:ind w:left="1520" w:hanging="236"/>
        <w:spacing w:after="0"/>
        <w:tabs>
          <w:tab w:leader="none" w:pos="15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investment of any Property, other than in compliance with paragraph 1(c);</w:t>
      </w:r>
    </w:p>
    <w:p>
      <w:pPr>
        <w:spacing w:after="0" w:line="225"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 any depreciation in principal of any Property;</w:t>
      </w:r>
    </w:p>
    <w:p>
      <w:pPr>
        <w:spacing w:after="0" w:line="225"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53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54" w:lineRule="auto"/>
        <w:tabs>
          <w:tab w:leader="none" w:pos="150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parties hereto or to anyone else for any action taken or omitted by it, or any action suffered by it to be taken or omitted, in good faith and in the exercise of its own best judgment, except for its gross negligence or willful misconduct. The Trustee may rely conclusively and shall be protected in acting upon any order, notice, demand, certificate, opinion or advice of counsel (including counsel chosen by the Trustee), statement, instrument, report or other paper or document (not only as to its due execution and the validity and effectiveness of its provisions, but also as to the truth and acceptability of any information therein contained) which is believed by the Trustee, in good faith,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91"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536"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the correctness of the information set forth in the Registration Statement or to confirm or assure that any acquisition made by the Company or any other action taken by it is as contemplated by the Registration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54" w:name="page55"/>
    <w:bookmarkEnd w:id="54"/>
    <w:p>
      <w:pPr>
        <w:ind w:left="-20" w:right="20" w:firstLine="1304"/>
        <w:spacing w:after="0" w:line="282" w:lineRule="auto"/>
        <w:tabs>
          <w:tab w:leader="none" w:pos="15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local, state and/or federal tax returns or information returns with any taxing authority on behalf of the Trust Account and payee statements with the Company documenting the taxes, if any, payable by the Company or the Trust Account, relating to the income earned on the Property;</w:t>
      </w:r>
    </w:p>
    <w:p>
      <w:pPr>
        <w:spacing w:after="0" w:line="161" w:lineRule="exact"/>
        <w:rPr>
          <w:rFonts w:ascii="Times New Roman" w:cs="Times New Roman" w:eastAsia="Times New Roman" w:hAnsi="Times New Roman"/>
          <w:sz w:val="18"/>
          <w:szCs w:val="18"/>
          <w:color w:val="auto"/>
        </w:rPr>
      </w:pPr>
    </w:p>
    <w:p>
      <w:pPr>
        <w:ind w:left="-20" w:firstLine="1304"/>
        <w:spacing w:after="0" w:line="282" w:lineRule="auto"/>
        <w:tabs>
          <w:tab w:leader="none" w:pos="149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taxes on behalf of the Trust Account (it being expressly understood that the Property shall not be used to pay any such taxes and that such taxes, if any, shall be paid by the Company from funds not held in the Trust Account or released to it under Section 2(a) hereof);</w:t>
      </w:r>
    </w:p>
    <w:p>
      <w:pPr>
        <w:spacing w:after="0" w:line="161" w:lineRule="exact"/>
        <w:rPr>
          <w:rFonts w:ascii="Times New Roman" w:cs="Times New Roman" w:eastAsia="Times New Roman" w:hAnsi="Times New Roman"/>
          <w:sz w:val="18"/>
          <w:szCs w:val="18"/>
          <w:color w:val="auto"/>
        </w:rPr>
      </w:pPr>
    </w:p>
    <w:p>
      <w:pPr>
        <w:ind w:left="-20" w:firstLine="1304"/>
        <w:spacing w:after="0" w:line="282" w:lineRule="auto"/>
        <w:tabs>
          <w:tab w:leader="none" w:pos="151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Imply obligations, perform duties, inquire or otherwise be subject to the provisions of any agreement or document other than this agreement and that which is expressly set forth herein; and</w:t>
      </w:r>
    </w:p>
    <w:p>
      <w:pPr>
        <w:spacing w:after="0" w:line="161" w:lineRule="exact"/>
        <w:rPr>
          <w:rFonts w:ascii="Times New Roman" w:cs="Times New Roman" w:eastAsia="Times New Roman" w:hAnsi="Times New Roman"/>
          <w:sz w:val="18"/>
          <w:szCs w:val="18"/>
          <w:color w:val="auto"/>
        </w:rPr>
      </w:pPr>
    </w:p>
    <w:p>
      <w:pPr>
        <w:ind w:left="1540" w:hanging="256"/>
        <w:spacing w:after="0"/>
        <w:tabs>
          <w:tab w:leader="none" w:pos="154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calculations, qualify or otherwise approve Company requests for distributions pursuant to Section 1(i) or 2(a) above.</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8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Trustee has no right of set-off or any right, title, interest or claim of any kind (“Claim”) to, or to any monies in, the Trust Account, and hereby irrevocably waives any Claim to, or to any monies in, the Trust Account that it may have now or in the future. In the event the Trustee has any Claim against the Company under this Agreement, including, without limitation, under Section 3(b) or Section 3(c) hereof, the Trustee shall pursue such Claim solely against the Company and its assets outside the Trust Account and not against the Property or any monies in the Trust Account.</w:t>
      </w:r>
    </w:p>
    <w:p>
      <w:pPr>
        <w:spacing w:after="0" w:line="183"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as follows:</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54" w:lineRule="auto"/>
        <w:tabs>
          <w:tab w:leader="none" w:pos="1522"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gives written notice to the Company that it desires to resign under this Agreement, the Company shall use its reasonable efforts to locate a successor trustee during which time the Trustee shall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provided, however, that, in the event that the Company does not locate a successor trustee within ninety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91"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2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that the Trustee has completed the liquidation of the Trust Account in accordance with the provisions of paragraph 1(i) hereof, and distributed the Property in accordance with the provisions of the Termination Letter, this Agreement shall terminate except with respect to Paragraph 3(b).</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55" w:name="page56"/>
    <w:bookmarkEnd w:id="55"/>
    <w:p>
      <w:pPr>
        <w:ind w:left="820" w:hanging="184"/>
        <w:spacing w:after="0"/>
        <w:tabs>
          <w:tab w:leader="none" w:pos="8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0" w:right="20" w:firstLine="1304"/>
        <w:spacing w:after="0" w:line="256" w:lineRule="auto"/>
        <w:tabs>
          <w:tab w:leader="none" w:pos="152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information, or of any change in its authorized personnel. In executing funds transfers, the Trustee will rely upon all information supplied to it by the Company, including account names, account numbers and all other identifying information relating to a beneficiary, beneficiary’s bank or intermediary bank. The Trustee shall not be liable for any loss, liability or expense resulting from any error in the information or transmission of the wire.</w:t>
      </w:r>
    </w:p>
    <w:p>
      <w:pPr>
        <w:spacing w:after="0" w:line="187"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4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enforced in accordance with the laws of the State of New York, without giving effect to conflicts of law principles that would result in the application of the substantive laws of another jurisdiction. It may be executed in several original or facsimile counterparts, each one of which shall constitute an original, and together shall constitute but one instrument.</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56" w:lineRule="auto"/>
        <w:tabs>
          <w:tab w:leader="none" w:pos="151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contains the entire agreement and understanding of the parties hereto with respect to the subject matter hereof. Except for Section 1(i) (which may only be amended with the approval of the holders of a majority of the outstanding shares of Common Stock sold in the IPO), this Agreement or any provision hereof may only be changed, amended or modified by a writing signed by each of the parties hereto; provided, however, that no such change, amendment or modification may be made without the prior written consent of SVB Leerink. As to any claim, cross-claim or counterclaim in any way relating to this Agreement, each party waives the right to trial by jury. The Trustee may require from Company counsel an opinion as to the propriety of any proposed amendment.</w:t>
      </w:r>
    </w:p>
    <w:p>
      <w:pPr>
        <w:spacing w:after="0" w:line="187" w:lineRule="exact"/>
        <w:rPr>
          <w:rFonts w:ascii="Times New Roman" w:cs="Times New Roman" w:eastAsia="Times New Roman" w:hAnsi="Times New Roman"/>
          <w:sz w:val="18"/>
          <w:szCs w:val="18"/>
          <w:color w:val="auto"/>
        </w:rPr>
      </w:pPr>
    </w:p>
    <w:p>
      <w:pPr>
        <w:ind w:left="-20" w:firstLine="1304"/>
        <w:spacing w:after="0" w:line="282" w:lineRule="auto"/>
        <w:tabs>
          <w:tab w:leader="none" w:pos="154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consent to the jurisdiction and venue of any state or federal court located in the City of New York, Borough of Manhattan, for purposes of resolving any disputes hereunder.</w:t>
      </w:r>
    </w:p>
    <w:p>
      <w:pPr>
        <w:spacing w:after="0" w:line="161" w:lineRule="exact"/>
        <w:rPr>
          <w:rFonts w:ascii="Times New Roman" w:cs="Times New Roman" w:eastAsia="Times New Roman" w:hAnsi="Times New Roman"/>
          <w:sz w:val="18"/>
          <w:szCs w:val="18"/>
          <w:color w:val="auto"/>
        </w:rPr>
      </w:pPr>
    </w:p>
    <w:p>
      <w:pPr>
        <w:ind w:left="-20" w:firstLine="1304"/>
        <w:spacing w:after="0" w:line="282" w:lineRule="auto"/>
        <w:tabs>
          <w:tab w:leader="none" w:pos="151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w:t>
      </w:r>
    </w:p>
    <w:p>
      <w:pPr>
        <w:spacing w:after="0" w:line="16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if to the Trustee, to:</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ind w:left="1940"/>
        <w:spacing w:after="0" w:line="205" w:lineRule="auto"/>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Email: fwolf@continentalstock.com</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Email: cgonzalez@continentalstock.com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56" w:name="page57"/>
    <w:bookmarkEnd w:id="56"/>
    <w:p>
      <w:pPr>
        <w:ind w:left="128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Attn: Aaron I. Davis</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 either case with a copy (which copy shall not constitute notice) to:</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SVB Leerink LLC</w:t>
      </w:r>
    </w:p>
    <w:p>
      <w:pPr>
        <w:spacing w:after="0" w:line="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One Federal Street, 37th Floor</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Attn: Stuart R. Nayman</w:t>
      </w:r>
    </w:p>
    <w:p>
      <w:pPr>
        <w:spacing w:after="0" w:line="20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New York, New York 10154</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Attn: Mitchell S. Nussbaum, Esq. and Giovanni Caruso, Esq.</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Fax No.: (212) 407-4990</w:t>
      </w:r>
    </w:p>
    <w:p>
      <w:pPr>
        <w:spacing w:after="0" w:line="207" w:lineRule="exact"/>
        <w:rPr>
          <w:sz w:val="20"/>
          <w:szCs w:val="20"/>
          <w:color w:val="auto"/>
        </w:rPr>
      </w:pPr>
    </w:p>
    <w:p>
      <w:pPr>
        <w:ind w:left="1500" w:hanging="216"/>
        <w:spacing w:after="0"/>
        <w:tabs>
          <w:tab w:leader="none" w:pos="15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assigned by the Trustee without the prior consent of the Company.</w:t>
      </w:r>
    </w:p>
    <w:p>
      <w:pPr>
        <w:spacing w:after="0" w:line="225" w:lineRule="exact"/>
        <w:rPr>
          <w:rFonts w:ascii="Times New Roman" w:cs="Times New Roman" w:eastAsia="Times New Roman" w:hAnsi="Times New Roman"/>
          <w:sz w:val="18"/>
          <w:szCs w:val="18"/>
          <w:color w:val="auto"/>
        </w:rPr>
      </w:pPr>
    </w:p>
    <w:p>
      <w:pPr>
        <w:ind w:left="-20" w:firstLine="1304"/>
        <w:spacing w:after="0" w:line="282" w:lineRule="auto"/>
        <w:tabs>
          <w:tab w:leader="none" w:pos="15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Trustee and the Company hereby represents that it has the full right and power and has been duly authorized to enter into this Agreement and to perform its respective obligations as contemplated hereunder.</w:t>
      </w:r>
    </w:p>
    <w:p>
      <w:pPr>
        <w:spacing w:after="0" w:line="161" w:lineRule="exact"/>
        <w:rPr>
          <w:rFonts w:ascii="Times New Roman" w:cs="Times New Roman" w:eastAsia="Times New Roman" w:hAnsi="Times New Roman"/>
          <w:sz w:val="18"/>
          <w:szCs w:val="18"/>
          <w:color w:val="auto"/>
        </w:rPr>
      </w:pPr>
    </w:p>
    <w:p>
      <w:pPr>
        <w:ind w:left="4680" w:right="800" w:hanging="3396"/>
        <w:spacing w:after="0" w:line="532" w:lineRule="auto"/>
        <w:tabs>
          <w:tab w:leader="none" w:pos="152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Trustee hereby acknowledge that SVB Leerink is a third party beneficiary of this Agreement. [Signature Page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IN WITNESS WHEREOF, the parties have duly executed this Investment Management Trust Agreement as of the date first written above.</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CONTINENTAL STOCK TRANSFER &amp; TRUST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COMPANY, as Trustee</w:t>
      </w:r>
    </w:p>
    <w:p>
      <w:pPr>
        <w:spacing w:after="0" w:line="207" w:lineRule="exact"/>
        <w:rPr>
          <w:sz w:val="20"/>
          <w:szCs w:val="20"/>
          <w:color w:val="auto"/>
        </w:rPr>
      </w:pPr>
    </w:p>
    <w:tbl>
      <w:tblPr>
        <w:tblLayout w:type="fixed"/>
        <w:tblInd w:w="674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Francis Wolf</w:t>
            </w:r>
          </w:p>
        </w:tc>
      </w:tr>
      <w:tr>
        <w:trPr>
          <w:trHeight w:val="198"/>
        </w:trPr>
        <w:tc>
          <w:tcPr>
            <w:tcW w:w="560" w:type="dxa"/>
            <w:vAlign w:val="bottom"/>
          </w:tcPr>
          <w:p>
            <w:pPr>
              <w:spacing w:after="0"/>
              <w:rPr>
                <w:sz w:val="17"/>
                <w:szCs w:val="17"/>
                <w:color w:val="auto"/>
              </w:rPr>
            </w:pPr>
          </w:p>
        </w:tc>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Name: Francis Wolf</w:t>
            </w:r>
          </w:p>
        </w:tc>
      </w:tr>
      <w:tr>
        <w:trPr>
          <w:trHeight w:val="234"/>
        </w:trPr>
        <w:tc>
          <w:tcPr>
            <w:tcW w:w="56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BCTG ACQUISITION CORP.</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Aaron I. Davis</w:t>
            </w:r>
          </w:p>
        </w:tc>
      </w:tr>
      <w:tr>
        <w:trPr>
          <w:trHeight w:val="198"/>
        </w:trPr>
        <w:tc>
          <w:tcPr>
            <w:tcW w:w="560" w:type="dxa"/>
            <w:vAlign w:val="bottom"/>
          </w:tcPr>
          <w:p>
            <w:pPr>
              <w:spacing w:after="0"/>
              <w:rPr>
                <w:sz w:val="17"/>
                <w:szCs w:val="17"/>
                <w:color w:val="auto"/>
              </w:rPr>
            </w:pPr>
          </w:p>
        </w:tc>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4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Aaron I. Davis</w:t>
            </w:r>
          </w:p>
        </w:tc>
      </w:tr>
      <w:tr>
        <w:trPr>
          <w:trHeight w:val="234"/>
        </w:trPr>
        <w:tc>
          <w:tcPr>
            <w:tcW w:w="56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Investment Management Trust Agreement]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80" w:type="dxa"/>
            <w:vAlign w:val="bottom"/>
            <w:gridSpan w:val="10"/>
          </w:tcPr>
          <w:p>
            <w:pPr>
              <w:ind w:left="26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38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Fee Item</w:t>
            </w:r>
          </w:p>
        </w:tc>
        <w:tc>
          <w:tcPr>
            <w:tcW w:w="3720" w:type="dxa"/>
            <w:vAlign w:val="bottom"/>
            <w:gridSpan w:val="11"/>
          </w:tcPr>
          <w:p>
            <w:pPr>
              <w:ind w:left="720"/>
              <w:spacing w:after="0"/>
              <w:rPr>
                <w:sz w:val="20"/>
                <w:szCs w:val="20"/>
                <w:color w:val="auto"/>
              </w:rPr>
            </w:pPr>
            <w:r>
              <w:rPr>
                <w:rFonts w:ascii="Times New Roman" w:cs="Times New Roman" w:eastAsia="Times New Roman" w:hAnsi="Times New Roman"/>
                <w:sz w:val="18"/>
                <w:szCs w:val="18"/>
                <w:b w:val="1"/>
                <w:bCs w:val="1"/>
                <w:color w:val="auto"/>
              </w:rPr>
              <w:t>Time and method of payment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6"/>
        </w:trPr>
        <w:tc>
          <w:tcPr>
            <w:tcW w:w="3720" w:type="dxa"/>
            <w:vAlign w:val="bottom"/>
            <w:tcBorders>
              <w:top w:val="single" w:sz="8" w:color="auto"/>
            </w:tcBorders>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acceptance fee</w:t>
            </w:r>
          </w:p>
        </w:tc>
        <w:tc>
          <w:tcPr>
            <w:tcW w:w="120" w:type="dxa"/>
            <w:vAlign w:val="bottom"/>
            <w:tcBorders>
              <w:top w:val="single" w:sz="8" w:color="CCEEFF"/>
            </w:tcBorders>
            <w:shd w:val="clear" w:color="auto" w:fill="CCEEFF"/>
          </w:tcPr>
          <w:p>
            <w:pPr>
              <w:spacing w:after="0"/>
              <w:rPr>
                <w:sz w:val="18"/>
                <w:szCs w:val="18"/>
                <w:color w:val="auto"/>
              </w:rPr>
            </w:pPr>
          </w:p>
        </w:tc>
        <w:tc>
          <w:tcPr>
            <w:tcW w:w="3720" w:type="dxa"/>
            <w:vAlign w:val="bottom"/>
            <w:tcBorders>
              <w:top w:val="single" w:sz="8" w:color="auto"/>
            </w:tcBorders>
            <w:gridSpan w:val="11"/>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Initial closing of IPO by wire transfer</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840" w:type="dxa"/>
            <w:vAlign w:val="bottom"/>
            <w:gridSpan w:val="11"/>
          </w:tcPr>
          <w:p>
            <w:pPr>
              <w:spacing w:after="0" w:line="198" w:lineRule="exact"/>
              <w:rPr>
                <w:sz w:val="20"/>
                <w:szCs w:val="20"/>
                <w:color w:val="auto"/>
              </w:rPr>
            </w:pPr>
            <w:r>
              <w:rPr>
                <w:rFonts w:ascii="Times New Roman" w:cs="Times New Roman" w:eastAsia="Times New Roman" w:hAnsi="Times New Roman"/>
                <w:sz w:val="18"/>
                <w:szCs w:val="18"/>
                <w:color w:val="auto"/>
              </w:rPr>
              <w:t>Trustee administration fee</w:t>
            </w:r>
          </w:p>
        </w:tc>
        <w:tc>
          <w:tcPr>
            <w:tcW w:w="3720" w:type="dxa"/>
            <w:vAlign w:val="bottom"/>
            <w:gridSpan w:val="11"/>
          </w:tcPr>
          <w:p>
            <w:pPr>
              <w:ind w:left="100"/>
              <w:spacing w:after="0" w:line="198" w:lineRule="exact"/>
              <w:rPr>
                <w:sz w:val="20"/>
                <w:szCs w:val="20"/>
                <w:color w:val="auto"/>
              </w:rPr>
            </w:pPr>
            <w:r>
              <w:rPr>
                <w:rFonts w:ascii="Times New Roman" w:cs="Times New Roman" w:eastAsia="Times New Roman" w:hAnsi="Times New Roman"/>
                <w:sz w:val="18"/>
                <w:szCs w:val="18"/>
                <w:color w:val="auto"/>
              </w:rPr>
              <w:t>Payable annually. First year fee payable at initial</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10,000/year</w:t>
            </w:r>
          </w:p>
        </w:tc>
      </w:tr>
      <w:tr>
        <w:trPr>
          <w:trHeight w:val="216"/>
        </w:trPr>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2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w w:val="99"/>
              </w:rPr>
              <w:t>closing of IPO by wire transfer, thereafter by wire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gridSpan w:val="11"/>
          </w:tcPr>
          <w:p>
            <w:pPr>
              <w:ind w:left="100"/>
              <w:spacing w:after="0"/>
              <w:rPr>
                <w:sz w:val="20"/>
                <w:szCs w:val="20"/>
                <w:color w:val="auto"/>
              </w:rPr>
            </w:pPr>
            <w:r>
              <w:rPr>
                <w:rFonts w:ascii="Times New Roman" w:cs="Times New Roman" w:eastAsia="Times New Roman" w:hAnsi="Times New Roman"/>
                <w:sz w:val="18"/>
                <w:szCs w:val="18"/>
                <w:color w:val="auto"/>
              </w:rPr>
              <w:t>transfer or check</w:t>
            </w:r>
          </w:p>
        </w:tc>
        <w:tc>
          <w:tcPr>
            <w:tcW w:w="86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840" w:type="dxa"/>
            <w:vAlign w:val="bottom"/>
            <w:gridSpan w:val="11"/>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processing fee for disbursements to</w:t>
            </w:r>
          </w:p>
        </w:tc>
        <w:tc>
          <w:tcPr>
            <w:tcW w:w="3720" w:type="dxa"/>
            <w:vAlign w:val="bottom"/>
            <w:gridSpan w:val="11"/>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Billed to Company following disbursement made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250/item</w:t>
            </w:r>
          </w:p>
        </w:tc>
      </w:tr>
      <w:tr>
        <w:trPr>
          <w:trHeight w:val="194"/>
        </w:trPr>
        <w:tc>
          <w:tcPr>
            <w:tcW w:w="3840" w:type="dxa"/>
            <w:vAlign w:val="bottom"/>
            <w:gridSpan w:val="11"/>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Company under Sections 1(i) and 2(a)</w:t>
            </w:r>
          </w:p>
        </w:tc>
        <w:tc>
          <w:tcPr>
            <w:tcW w:w="3720" w:type="dxa"/>
            <w:vAlign w:val="bottom"/>
            <w:gridSpan w:val="11"/>
            <w:shd w:val="clear" w:color="auto" w:fill="CCEEFF"/>
          </w:tcPr>
          <w:p>
            <w:pPr>
              <w:ind w:left="100"/>
              <w:spacing w:after="0" w:line="194" w:lineRule="exact"/>
              <w:rPr>
                <w:sz w:val="20"/>
                <w:szCs w:val="20"/>
                <w:color w:val="auto"/>
              </w:rPr>
            </w:pPr>
            <w:r>
              <w:rPr>
                <w:rFonts w:ascii="Times New Roman" w:cs="Times New Roman" w:eastAsia="Times New Roman" w:hAnsi="Times New Roman"/>
                <w:sz w:val="18"/>
                <w:szCs w:val="18"/>
                <w:color w:val="auto"/>
              </w:rPr>
              <w:t>to Company under Sections 1(i) and 2(a)</w:t>
            </w:r>
          </w:p>
        </w:tc>
        <w:tc>
          <w:tcPr>
            <w:tcW w:w="860" w:type="dxa"/>
            <w:vAlign w:val="bottom"/>
            <w:gridSpan w:val="2"/>
            <w:shd w:val="clear" w:color="auto" w:fill="CCEEFF"/>
          </w:tcPr>
          <w:p>
            <w:pPr>
              <w:jc w:val="right"/>
              <w:ind w:right="570"/>
              <w:spacing w:after="0" w:line="194" w:lineRule="exact"/>
              <w:rPr>
                <w:sz w:val="20"/>
                <w:szCs w:val="20"/>
                <w:color w:val="auto"/>
              </w:rPr>
            </w:pPr>
            <w:r>
              <w:rPr>
                <w:rFonts w:ascii="Times New Roman" w:cs="Times New Roman" w:eastAsia="Times New Roman" w:hAnsi="Times New Roman"/>
                <w:sz w:val="18"/>
                <w:szCs w:val="18"/>
                <w:color w:val="auto"/>
              </w:rPr>
              <w:t>$</w:t>
            </w:r>
          </w:p>
        </w:tc>
        <w:tc>
          <w:tcPr>
            <w:tcW w:w="2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3840" w:type="dxa"/>
            <w:vAlign w:val="bottom"/>
            <w:gridSpan w:val="11"/>
          </w:tcPr>
          <w:p>
            <w:pPr>
              <w:spacing w:after="0" w:line="198" w:lineRule="exact"/>
              <w:rPr>
                <w:sz w:val="20"/>
                <w:szCs w:val="20"/>
                <w:color w:val="auto"/>
              </w:rPr>
            </w:pPr>
            <w:r>
              <w:rPr>
                <w:rFonts w:ascii="Times New Roman" w:cs="Times New Roman" w:eastAsia="Times New Roman" w:hAnsi="Times New Roman"/>
                <w:sz w:val="18"/>
                <w:szCs w:val="18"/>
                <w:color w:val="auto"/>
              </w:rPr>
              <w:t>Paying Agent services as required pursuant to</w:t>
            </w:r>
          </w:p>
        </w:tc>
        <w:tc>
          <w:tcPr>
            <w:tcW w:w="3720" w:type="dxa"/>
            <w:vAlign w:val="bottom"/>
            <w:gridSpan w:val="11"/>
          </w:tcPr>
          <w:p>
            <w:pPr>
              <w:ind w:left="100"/>
              <w:spacing w:after="0" w:line="198" w:lineRule="exact"/>
              <w:rPr>
                <w:sz w:val="20"/>
                <w:szCs w:val="20"/>
                <w:color w:val="auto"/>
              </w:rPr>
            </w:pPr>
            <w:r>
              <w:rPr>
                <w:rFonts w:ascii="Times New Roman" w:cs="Times New Roman" w:eastAsia="Times New Roman" w:hAnsi="Times New Roman"/>
                <w:sz w:val="18"/>
                <w:szCs w:val="18"/>
                <w:color w:val="auto"/>
              </w:rPr>
              <w:t>Billed to Company upon delivery of service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20" w:type="dxa"/>
            <w:vAlign w:val="bottom"/>
            <w:gridSpan w:val="2"/>
          </w:tcPr>
          <w:p>
            <w:pPr>
              <w:ind w:left="1580"/>
              <w:spacing w:after="0" w:line="198" w:lineRule="exact"/>
              <w:rPr>
                <w:sz w:val="20"/>
                <w:szCs w:val="20"/>
                <w:color w:val="auto"/>
              </w:rPr>
            </w:pPr>
            <w:r>
              <w:rPr>
                <w:rFonts w:ascii="Times New Roman" w:cs="Times New Roman" w:eastAsia="Times New Roman" w:hAnsi="Times New Roman"/>
                <w:sz w:val="18"/>
                <w:szCs w:val="18"/>
                <w:color w:val="auto"/>
              </w:rPr>
              <w:t>Prevailing rates</w:t>
            </w:r>
          </w:p>
        </w:tc>
      </w:tr>
      <w:tr>
        <w:trPr>
          <w:trHeight w:val="194"/>
        </w:trPr>
        <w:tc>
          <w:tcPr>
            <w:tcW w:w="384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auto"/>
              </w:rPr>
              <w:t>Sections 1(i), 1(j) and 2(a)</w:t>
            </w:r>
          </w:p>
        </w:tc>
        <w:tc>
          <w:tcPr>
            <w:tcW w:w="3720" w:type="dxa"/>
            <w:vAlign w:val="bottom"/>
            <w:gridSpan w:val="11"/>
          </w:tcPr>
          <w:p>
            <w:pPr>
              <w:ind w:left="100"/>
              <w:spacing w:after="0" w:line="194" w:lineRule="exact"/>
              <w:rPr>
                <w:sz w:val="20"/>
                <w:szCs w:val="20"/>
                <w:color w:val="auto"/>
              </w:rPr>
            </w:pPr>
            <w:r>
              <w:rPr>
                <w:rFonts w:ascii="Times New Roman" w:cs="Times New Roman" w:eastAsia="Times New Roman" w:hAnsi="Times New Roman"/>
                <w:sz w:val="18"/>
                <w:szCs w:val="18"/>
                <w:color w:val="auto"/>
              </w:rPr>
              <w:t>pursuant to Sections 1(i), 1(j) and 2(a)</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9" w:name="page60"/>
    <w:bookmarkEnd w:id="59"/>
    <w:p>
      <w:pPr>
        <w:ind w:left="103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05" w:lineRule="auto"/>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Pursuant to paragraph 1(i) of the Investment Management Trust Agreement between BCTG Acquisition Corp. (“Company”) and Continental Stock Transfer &amp; Trust Company (“Trustee”), dated as of September [___] 2020 (“Trust Agreement”), this is to advise you that the Company has entered into an agreement with [__________________] (“Target Business”) to consummate a business combination with Target Business (“Business</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Combination”) on or about </w:t>
      </w:r>
      <w:r>
        <w:rPr>
          <w:rFonts w:ascii="Times New Roman" w:cs="Times New Roman" w:eastAsia="Times New Roman" w:hAnsi="Times New Roman"/>
          <w:sz w:val="18"/>
          <w:szCs w:val="18"/>
          <w:b w:val="1"/>
          <w:bCs w:val="1"/>
          <w:color w:val="auto"/>
        </w:rPr>
        <w:t>[insert date]</w:t>
      </w:r>
      <w:r>
        <w:rPr>
          <w:rFonts w:ascii="Times New Roman" w:cs="Times New Roman" w:eastAsia="Times New Roman" w:hAnsi="Times New Roman"/>
          <w:sz w:val="18"/>
          <w:szCs w:val="18"/>
          <w:color w:val="auto"/>
        </w:rPr>
        <w:t>. The Company shall notify you at least 72 hours in advance of the actual date of the consummation of the Business Combination (“Consummation Date”). Capitalized terms used herein and not otherwise defined shall have the meanings set forth in the Trust Agreement.</w:t>
      </w:r>
    </w:p>
    <w:p>
      <w:pPr>
        <w:spacing w:after="0" w:line="18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the terms of the Trust Agreement, we hereby authorize you to commence liquidation of the Trust Account investments such that, on the Consummation Date, all of the funds held in the Trust Account will be immediately available for transfer to the account or accounts that the Company shall direct on the Consummation Date. It is acknowledged and agreed that while the funds are on deposit in the Trust Account awaiting distribution, the Company will not earn any interest or dividends.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the Consummation Date (i) counsel for the Company shall deliver to you written notification that the Business Combination has been consummated and (ii) the Company shall deliver to you (a) a certificate of the Chief Executive Officer of the Company, which verifies the vote of the Company’s shareholders in connection with the Business Combination if a vote is held and (b) joint written instructions from the Company and SVB Leerink LLC with respect to the transfer of the funds held in the Trust Account (“Instruction Letter”). You are hereby directed and authorized to transfer the funds held in the Trust Account immediately upon your receipt of the counsel’s letter and the Instruction Letter, in accordance with the terms of the Instruction Letter. In the event that certain deposits held in the Trust Account may not be liquidated by the Consummation Date without penalty, you will notify the Company of the same and the Company shall direct you as to whether such funds should remain in the Trust Account and distributed after the Consummation Date to the Company. Upon the distribution of all the funds in the Trust Account pursuant to the terms hereof, the Trust Agreement shall be terminated.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the Trust Agreement on the business day immediately following the Consummation Date as set forth in the notice.</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Aaron I. Davis, Chief Executive Officer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Andrew Ellis,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SVB Leerink LLC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05" w:lineRule="auto"/>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paragraph 1(i) of the Investment Management Trust Agreement between BCTG Acquisition Corp. (“Company”) and Continental Stock Transfer &amp; Trust Company (“Trustee”), dated as of September [__], 2020 (“Trust Agreement”), this is to advise you that the Company has been unable to effect a Business Combination with a Target Company within the time frame specified in the Company’s Amended and Restated Certificate of Incorporation, as described in the Company’s prospectus relating to its IPO. Capitalized terms used herein and not otherwise defined shall have the meanings set forth in the Trust Agreement.</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accordance with the terms of the Trust Agreement, we hereby authorize you to liquidate all the Trust Account investments and to transfer the total proceeds to the Trust Operating Account at J.P. Morgan Chase Bank, N.A. to await distribution to the Public Shareholders. The Company has selected [____________, 20__] as the effective date for the purpose of determining when the Public Shareholders will be entitled to receive their share of the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Shareholders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Aaron I. Davis, Chief Executive Officer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Andrew Ellis,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SVB Leerink LLC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Trust Account – Stockholder Redemption Withdrawal Instruction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1(j)</w:t>
      </w:r>
      <w:r>
        <w:rPr>
          <w:rFonts w:ascii="Times New Roman" w:cs="Times New Roman" w:eastAsia="Times New Roman" w:hAnsi="Times New Roman"/>
          <w:sz w:val="18"/>
          <w:szCs w:val="18"/>
          <w:color w:val="auto"/>
        </w:rPr>
        <w:t xml:space="preserve"> of the Investment Management Trust Agreement between BCTG Acquisition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dated as of [ ], 2020 (the “</w:t>
      </w:r>
      <w:r>
        <w:rPr>
          <w:rFonts w:ascii="Times New Roman" w:cs="Times New Roman" w:eastAsia="Times New Roman" w:hAnsi="Times New Roman"/>
          <w:sz w:val="18"/>
          <w:szCs w:val="18"/>
          <w:b w:val="1"/>
          <w:bCs w:val="1"/>
          <w:i w:val="1"/>
          <w:iCs w:val="1"/>
          <w:color w:val="auto"/>
        </w:rPr>
        <w:t>Trust Agreement</w:t>
      </w:r>
      <w:r>
        <w:rPr>
          <w:rFonts w:ascii="Times New Roman" w:cs="Times New Roman" w:eastAsia="Times New Roman" w:hAnsi="Times New Roman"/>
          <w:sz w:val="18"/>
          <w:szCs w:val="18"/>
          <w:color w:val="auto"/>
        </w:rPr>
        <w:t>”), the Company hereby requests that you deliver to the</w:t>
      </w:r>
    </w:p>
    <w:p>
      <w:pPr>
        <w:spacing w:after="0" w:line="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redeeming Public Stockholders of the Company $ of the principal and interest income earned on the Property as of the date hereof to a segregated account held by you on behalf of the Beneficiaries. Capitalized terms used but not defined herein shall have the meanings set forth in the Trust Agreement.</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needs such funds to pay its Public Stockholders who have properly elected to have their shares of Common Stock redeemed by the Company in connection with a stockholder vote to approve an amendment to the Company’s Investment Management Trust Agreement to modify the substance or timing of the Company’s obligation to redeem 100% of public shares of Common Stock if the Company has not consummated an initial Business Combination within such time as is described in the Company’s Investment Management Trust Agreement or with respect to any other material provisions relating to stockholders’ rights or pre-initial Business Combination activity. As such, you are hereby directed and authorized to transfer (via wire transfer) such funds promptly upon your receipt of this letter to a segregated account held by you on behalf of the Beneficiaries.</w:t>
      </w:r>
    </w:p>
    <w:p>
      <w:pPr>
        <w:spacing w:after="0" w:line="18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8890</wp:posOffset>
            </wp:positionV>
            <wp:extent cx="170561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05610" cy="171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SVB Leerink LLC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05" w:lineRule="auto"/>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207"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Trust Account - Withdrawal Instructions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Pursuant to paragraph 2(a) of the Investment Management Trust Agreement between BCTG Acquisition Corp. (“Company”) and Continental Stock Transfer &amp; Trust Company (“Trustee”), dated as of September [___], 2020 (“Trust Agreement”), the Company hereby requests that you deliver to the Company [$_______] of the interest income earned on the Property as of the date hereof. The Company needs such funds to pay for its [franchise] tax</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obligations as a result of such interest income. In accordance with the terms of the Trust Agreement, you are hereby directed and authorized to transfer (via wire transfer) such funds promptly upon your receipt of this letter to the Company’s operating account at: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[WIRE INSTRUCTION INFORMATION]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Aaron I. Davis, Chief Executive Officer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Andrew Ellis, Secretary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SVB Leerink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ESCROW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STOCK ESCROW AGREEMENT, dated as of September 2, 2020 (“Agreement”), by and among BCTG ACQUISITION CORP., a Delaware corporation (“Company”), and the initial shareholders listed on the signature pages hereto (collectively, the “Initial Shareholders”) and CONTINENTAL STOCK TRANSFER &amp; TRUST COMPANY, a New York corporation (“Escrow Agent”).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Company has entered into an Underwriting Agreement, dated as of September 2, 2020 (“Underwriting Agreement”), with SVB Leerink LLC (“SVB”) acting as representative of the several underwriters (collectively, the “Underwriters”), pursuant to which, among other matters, the Underwriters have agreed to purchase 14,500,000 shares of common stock (“Common Stock”) of the Company, plus an additional 2,175,000 shares of Common Stock if the Underwriters exercise their over-allotment option in full, as more fully described in the Company’s final Prospectus, dated September 2, 2020 (“Prospectus”), comprising part of the Company’s Registration Statements on Forms S-1 (File Nos. 333-240237 and 333-248570) under the Securities Act of 1933, as amended (collectively, the “Registration Statement”), declared effective on September 2, 2020 (“Effective Date”).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the Initial Shareholders have agreed as a condition of the sale of the Common Stock to deposit their Insider Shares (as defined in the Prospectus), as set forth opposite their respective names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(collectively “Escrow Shares”), in escrow as hereinafter provided.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Initial Shareholders desire that the Escrow Agent accept the Escrow Shares, in escrow, to be held and disbursed as hereinafter provided.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AGREED:</w:t>
      </w:r>
    </w:p>
    <w:p>
      <w:pPr>
        <w:spacing w:after="0" w:line="225" w:lineRule="exact"/>
        <w:rPr>
          <w:sz w:val="20"/>
          <w:szCs w:val="20"/>
          <w:color w:val="auto"/>
        </w:rPr>
      </w:pPr>
    </w:p>
    <w:p>
      <w:pPr>
        <w:jc w:val="both"/>
        <w:ind w:firstLine="656"/>
        <w:spacing w:after="0" w:line="266" w:lineRule="auto"/>
        <w:tabs>
          <w:tab w:leader="none" w:pos="841"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Escrow Agent</w:t>
      </w:r>
      <w:r>
        <w:rPr>
          <w:rFonts w:ascii="Times New Roman" w:cs="Times New Roman" w:eastAsia="Times New Roman" w:hAnsi="Times New Roman"/>
          <w:sz w:val="18"/>
          <w:szCs w:val="18"/>
          <w:color w:val="auto"/>
        </w:rPr>
        <w:t>. The Company and the Initial Shareholders hereby appoint the Escrow Agent to act in accordance with and subject to the terms of this Agreement and the Escrow Agent hereby accepts such appointment and agrees to act in accordance with and subject to such terms.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of Escrow Shares</w:t>
      </w:r>
      <w:r>
        <w:rPr>
          <w:rFonts w:ascii="Times New Roman" w:cs="Times New Roman" w:eastAsia="Times New Roman" w:hAnsi="Times New Roman"/>
          <w:sz w:val="18"/>
          <w:szCs w:val="18"/>
          <w:color w:val="auto"/>
        </w:rPr>
        <w:t>. On or prior to the date hereof, the Escrow Shares shall have been issued to each of the Initial Shareholders in book entry representing each Initial Shareholder’s respective Escrow Shares, to be held and disbursed subject to the terms and conditions of this Agreement. Each of the Initial Shareholders acknowledges that such Initial Shareholder’s Escrow Shares are legended to reflect the deposit of such Escrow Shares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5" w:name="page66"/>
    <w:bookmarkEnd w:id="65"/>
    <w:p>
      <w:pPr>
        <w:ind w:left="840" w:hanging="184"/>
        <w:spacing w:after="0"/>
        <w:tabs>
          <w:tab w:leader="none" w:pos="8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of the Escrow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3.1 The Escrow Agent shall hold the Escrow Shares during the period (the “Escrow Period”) commencing on the date hereof and ending on the earlier of (i) one (1) year after the date of the consummation of the Company’s initial business combination (as described in the Registration Statement, hereinafter a “Business Combination”) and (ii) the date on which the closing price of the Common Stock equals or exceeds $12.00 per share (as adjusted for stock splits, stock dividends, reorganizations and recapitalizations) for any 20 trading days within any 30-trading day period commencing at least 150 days after the Company’s initial Business Combination, or earlier if, subsequent to the Business Combination, the Company consummates a subsequent liquidation, merger, stock exchange or other similar transaction which results in all of the Company’s stockholders having the right to exchange their shares of Common Stock for cash, securities or other property. The Company shall promptly provide notice of the consummation of a Business Combination to the Escrow Agent. Upon completion of the Escrow Period, the Escrow Agent shall disburse such amount of each Initial Shareholder’s Escrow Shares (and any applicable share power) to such Initial Shareholder; provided, however, that if the Escrow Agent is notified by the Company pursuant to Section 6.7 hereof that the Company is being liquidated at any time during the Escrow Period, then the Escrow Agent shall promptly destroy the certificates representing the Escrow Shares; provided further, however, that if, subsequent to the Business Combination, the Company (or the surviving entity) subsequently consummates a liquidation, merger, stock exchange or other similar transaction which results in all of the shareholders of such entity having the right to exchange their shares of Common Stock for cash, securities or other property, then the Escrow Agent will, upon receipt of a notice executed by the Chairman of the Board, Chief Executive Officer or other authorized officer of the Company, in form reasonably acceptable to the Escrow Agent, certifying that such transaction is then being consummated or such conditions have been achieved, as applicable, release the Escrow Shares to the Initial Shareholders. The Escrow Agent shall have no further duties hereunder after the disbursement or destruction of the Escrow Shares in accordance with this Section 3.1.</w:t>
      </w:r>
    </w:p>
    <w:p>
      <w:pPr>
        <w:spacing w:after="0" w:line="19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 Notwithstanding Section 3.1, if the Underwriters do not exercise their over-allotment option to purchase an additional 2,175,000 shares of Common Stock of the Company in full within 45 days of the date of the Prospectus (as described in the Underwriting Agreement), the Sponsor agrees that the Escrow Agent shall return to the Company for cancellation, at no cost, the number of Escrow Shares held by the Sponsor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determined by multiplying (a) the product of (i) 543,750 multiplied by (ii) a fraction, (x) the numerator of which is the number of Escrow Shares held by the Sponsor, and (y) the denominator of which is the total number of Escrow Shares, by (b) a fraction, (i) the numerator of which is 2,175,000 minus the number of shares of Common Stock purchased by the Underwriters upon the exercise of their over-allotment option, and (ii) the denominator of which is 2,175,000. The Company shall promptly provide notice to the Escrow Agent of the expiration or termination of the Underwriters’ over-allotment option and the number of shares of Common Stock, if any, purchased by the Underwriters in connection with their exercise thereof.</w:t>
      </w:r>
    </w:p>
    <w:p>
      <w:pPr>
        <w:spacing w:after="0" w:line="192" w:lineRule="exact"/>
        <w:rPr>
          <w:sz w:val="20"/>
          <w:szCs w:val="20"/>
          <w:color w:val="auto"/>
        </w:rPr>
      </w:pPr>
    </w:p>
    <w:p>
      <w:pPr>
        <w:ind w:left="840" w:hanging="184"/>
        <w:spacing w:after="0"/>
        <w:tabs>
          <w:tab w:leader="none" w:pos="8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Initial Shareholders in Escrow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Voting Rights as a Shareholder</w:t>
      </w:r>
      <w:r>
        <w:rPr>
          <w:rFonts w:ascii="Times New Roman" w:cs="Times New Roman" w:eastAsia="Times New Roman" w:hAnsi="Times New Roman"/>
          <w:sz w:val="18"/>
          <w:szCs w:val="18"/>
          <w:color w:val="auto"/>
        </w:rPr>
        <w:t>. Subject to the terms of the Insider Letters described in Section 4.4 hereof and except as herein provided, the Initial Shareholders shall retain all of their rights as shareholders of the Company during the Escrow Period, including, without limitation, the right to vote such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 and Other Distributions in Respect of the Escrow Shares</w:t>
      </w:r>
      <w:r>
        <w:rPr>
          <w:rFonts w:ascii="Times New Roman" w:cs="Times New Roman" w:eastAsia="Times New Roman" w:hAnsi="Times New Roman"/>
          <w:sz w:val="18"/>
          <w:szCs w:val="18"/>
          <w:color w:val="auto"/>
        </w:rPr>
        <w:t>. During the Escrow Period, all dividends payable in cash with respect to the Escrow Shares shall be paid to the Initial Shareholders, but all dividends payable in stock or other non-cash property (“Non-Cash Dividends”) shall be delivered to the Escrow Agent to hold in accordance with the terms hereof. As used herein, the term “Escrow Shares” shall be deemed to include the Non-Cash Dividends distributed thereon, if any.</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During the Escrow Period, the only permitted transfers of the Escrow Shares will be (1) to any persons (including their affiliates and stockholders) participating in the private placement of the Insider Shares, officers, directors, stockholders employees and members of the Sponsor and its affiliates; (2) amongst the Initial Shareholders or to the Company’s officers, directors and employees; (3) if the Initial Shareholder is an entity, as a distribution to its partners, stockholders or members upon its liquidation, (4) by bona fide gift to a member of the Initial Shareholder’s immediate family or to a trust, the beneficiary of which is the Initial Shareholder or a member of the Initial Shareholder’s immediate family for estate planning purposes, (5) by virtue of the laws of descent and distribution upon death of the Initial Shareholder, (6) pursuant to a qualified domestic relations order, (7) by certain pledges to secure obligations incurred in connection with purchases of the Company’s securities, (8) by private sales at prices no greater than the price at which the Insider Shares were originally purchased or (9) for the cancellation of up to 543,750 shares of Common Stock subject to forfeiture to the extent that the Underwriters’ over-allotment is not exercised in full or in part or in connection with the consummation of the Business Combination, in each case (except for clause 9 or with the Company’s prior consent) on the condition that such transfers may be implemented only upon the respective transferee’s written agreement to be bound by the terms and conditions of this Agreement and of the Insider Letter (as defined below) signed by the Initial Shareholder transferring the Escrow Shares.</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Insider Letters</w:t>
      </w:r>
      <w:r>
        <w:rPr>
          <w:rFonts w:ascii="Times New Roman" w:cs="Times New Roman" w:eastAsia="Times New Roman" w:hAnsi="Times New Roman"/>
          <w:sz w:val="18"/>
          <w:szCs w:val="18"/>
          <w:color w:val="auto"/>
        </w:rPr>
        <w:t>. Each of the Initial Shareholders has executed a letter agreement with SVB and the Company, dated as of September 2, 2020, and the form of which is filed as an exhibit to the Registration Statement (“Insider Letter”), respecting the rights and obligations of such Initial Shareholder in certain events, including but not limited to the liquidation of the Company.</w:t>
      </w:r>
    </w:p>
    <w:p>
      <w:pPr>
        <w:spacing w:after="0" w:line="176" w:lineRule="exact"/>
        <w:rPr>
          <w:sz w:val="20"/>
          <w:szCs w:val="20"/>
          <w:color w:val="auto"/>
        </w:rPr>
      </w:pPr>
    </w:p>
    <w:p>
      <w:pPr>
        <w:ind w:left="840" w:hanging="184"/>
        <w:spacing w:after="0"/>
        <w:tabs>
          <w:tab w:leader="none" w:pos="8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Escrow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Good Faith Reliance</w:t>
      </w:r>
      <w:r>
        <w:rPr>
          <w:rFonts w:ascii="Times New Roman" w:cs="Times New Roman" w:eastAsia="Times New Roman" w:hAnsi="Times New Roman"/>
          <w:sz w:val="18"/>
          <w:szCs w:val="18"/>
          <w:color w:val="auto"/>
        </w:rPr>
        <w:t>. The Escrow Agent shall not be liable for any action taken or omitted by it in good faith and in the exercise of its own best judgment,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Escrow Agent shall be indemnified and held harmless by the Company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or the Escrow Shares held by it hereunder, other than expenses or losses arising from the gross negligence or willful misconduct of the Escrow Agent. Promptly after the receipt by the Escrow Agent of notice of any demand or claim or the commencement of any action, suit or proceeding, the Escrow Agent shall notify the other parties hereto in writing. In the event of the receipt of such notice, the Escrow Agent, in its sole discretion, may commence an action in the nature of interpleader in an appropriate court to determine ownership or disposition of the Escrow Shares or it may deposit the Escrow Shares with the clerk of any appropriate court or it may retain the Escrow Shares pending receipt of a final, non-appealable order of a court having jurisdiction over all of the parties hereto directing to whom and under what circumstances the Escrow Shares are to be disbursed and delivered. The provisions of this Section 5.2 shall survive in the event the Escrow Agent resigns or is discharged pursuant to Sections 5.5 or 5.6 below.</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Escrow Agent shall be entitled to reasonable compensation from the Company for all services rendered by it hereunder. The Escrow Agent shall also be entitled to reimbursement from the Company for all expenses paid or incurred by it in the administration of its duties hereunder including, but not limited to, all counsel, advisors’ and agents’ fees and disbursements and all taxes or other governmental charges.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on and after the date hereof, the Company and the Initial Shareholders shall deliver or cause to be delivered to the Escrow Agent such further documents and instruments and shall do or cause to be done such further acts as the Escrow Agent shall reasonably request to carry out more effectively the provisions and purposes of this Agreement, to evidence compliance herewith or to assure itself that it is protected in acting hereunder.</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The Escrow Agent may resign at any time and be discharged from its duties as escrow agent hereunder by its giving the other parties hereto written notice and such resignation shall become effective as hereinafter provided. Such resignation shall become effective at such time that the Escrow Agent shall turn over, to a successor escrow agent appointed by the Company, the Escrow Shares held hereunder. If no new escrow agent is so appointed within the 60-day period following the giving of such notice of resignation, the Escrow Agent may deposit the Escrow Shares with any court it reasonably deems appropriate.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Discharge of Escrow Agent</w:t>
      </w:r>
      <w:r>
        <w:rPr>
          <w:rFonts w:ascii="Times New Roman" w:cs="Times New Roman" w:eastAsia="Times New Roman" w:hAnsi="Times New Roman"/>
          <w:sz w:val="18"/>
          <w:szCs w:val="18"/>
          <w:color w:val="auto"/>
        </w:rPr>
        <w:t>. The Escrow Agent shall resign and be discharged from its duties as escrow agent hereunder if so requested in writing at any time by the other parties hereto, jointly, provided, however, that such resignation shall become effective only upon acceptance of appointment by a successor escrow agent as provided in Section 5.5.</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Notwithstanding anything herein to the contrary, the Escrow Agent shall not be relieved from liability hereunder for its own gross negligence or its own willful misconduct.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Escrow Agent hereby waives any right of set-off or any other right, title, interest or claim of any kind (“Claim”) in, or to any distribution of, the Trust Account (as defined in that certain Investment Management Trust Agreement, dated as of the date hereof, by and between the Company and the Escrow Agent as trustee thereunder) and hereby agrees not to seek recourse, reimbursement, payment or satisfaction for any Claim against the Trust Account for any reason whatsoever.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ind w:left="840" w:hanging="184"/>
        <w:spacing w:after="0"/>
        <w:tabs>
          <w:tab w:leader="none" w:pos="8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for all purposes be deemed to be made under and shall be construed in accordance with the laws of the State of New York, without giving effect to conflicts of law principles that would result in the application of the substantive laws of another jurisdiction.</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Each of the Initial Shareholders hereby acknowledges that SVB is a third-party beneficiary of this Agreement and this Agreement may not be modified or changed without the prior written consent of SVB.</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of the parties hereto with respect to the subject matter hereof and, except as expressly provided herein, may not be changed or modified except by an instrument in writing signed by the party to the charged.</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thereof.</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respective parties hereto and their legal representatives, successors and assigns.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which may be given hereunder shall be in writing and either be delivered personally or be mailed, certified or registered mail, or by private national courier service, return receipt requested, postage prepaid, and shall be deemed given when so delivered personally or, if mailed, two days after the date of mailing, as follows:</w:t>
      </w:r>
    </w:p>
    <w:p>
      <w:pPr>
        <w:sectPr>
          <w:pgSz w:w="11900" w:h="16838" w:orient="portrait"/>
          <w:cols w:equalWidth="0" w:num="1">
            <w:col w:w="11240"/>
          </w:cols>
          <w:pgMar w:left="320" w:top="904" w:right="339" w:bottom="1440" w:gutter="0" w:footer="0" w:header="0"/>
        </w:sectPr>
      </w:pP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If to the Company, to:</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11682 El Camino Real, Suite 320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Aaron I. Davis</w:t>
      </w:r>
    </w:p>
    <w:p>
      <w:pPr>
        <w:spacing w:after="0" w:line="200" w:lineRule="exact"/>
        <w:rPr>
          <w:sz w:val="20"/>
          <w:szCs w:val="20"/>
          <w:color w:val="auto"/>
        </w:rPr>
      </w:pPr>
    </w:p>
    <w:p>
      <w:pPr>
        <w:sectPr>
          <w:pgSz w:w="11900" w:h="16838" w:orient="portrait"/>
          <w:cols w:equalWidth="0" w:num="2">
            <w:col w:w="3820" w:space="720"/>
            <w:col w:w="6700"/>
          </w:cols>
          <w:pgMar w:left="320" w:top="904" w:right="339" w:bottom="1440" w:gutter="0" w:footer="0" w:header="0"/>
          <w:type w:val="continuous"/>
        </w:sectPr>
      </w:pP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If to an Initial Shareholder, to his address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4520" w:val="left"/>
        </w:tabs>
        <w:rPr>
          <w:sz w:val="20"/>
          <w:szCs w:val="20"/>
          <w:color w:val="auto"/>
        </w:rPr>
      </w:pPr>
      <w:r>
        <w:rPr>
          <w:rFonts w:ascii="Times New Roman" w:cs="Times New Roman" w:eastAsia="Times New Roman" w:hAnsi="Times New Roman"/>
          <w:sz w:val="18"/>
          <w:szCs w:val="18"/>
          <w:color w:val="auto"/>
        </w:rPr>
        <w:t>and if to the Escrow Agent, to:</w:t>
      </w:r>
      <w:r>
        <w:rPr>
          <w:sz w:val="20"/>
          <w:szCs w:val="20"/>
          <w:color w:val="auto"/>
        </w:rPr>
        <w:tab/>
      </w:r>
      <w:r>
        <w:rPr>
          <w:rFonts w:ascii="Times New Roman" w:cs="Times New Roman" w:eastAsia="Times New Roman" w:hAnsi="Times New Roman"/>
          <w:sz w:val="17"/>
          <w:szCs w:val="17"/>
          <w:color w:val="auto"/>
        </w:rPr>
        <w:t>Continental Stock Transfer &amp; Trust Company</w:t>
      </w:r>
    </w:p>
    <w:p>
      <w:pPr>
        <w:ind w:left="4540"/>
        <w:spacing w:after="0" w:line="205" w:lineRule="auto"/>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Attn: Erika Young</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A copy (which copy shall not constitute notice) sent hereunder shall be sent to:</w:t>
      </w:r>
    </w:p>
    <w:p>
      <w:pPr>
        <w:spacing w:after="0" w:line="225"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SVB Leerink LLC</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One Federal Street, 37th Floor</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Boston, Massachusetts 02110</w:t>
      </w:r>
    </w:p>
    <w:p>
      <w:pPr>
        <w:spacing w:after="0" w:line="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Attn: Stuart R. Nayman</w:t>
      </w:r>
    </w:p>
    <w:p>
      <w:pPr>
        <w:sectPr>
          <w:pgSz w:w="11900" w:h="16838" w:orient="portrait"/>
          <w:cols w:equalWidth="0" w:num="1">
            <w:col w:w="11240"/>
          </w:cols>
          <w:pgMar w:left="320" w:top="904" w:right="339" w:bottom="1440" w:gutter="0" w:footer="0" w:header="0"/>
        </w:sectPr>
      </w:pPr>
    </w:p>
    <w:p>
      <w:pPr>
        <w:spacing w:after="0" w:line="2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Kirkland &amp; Ellis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601 Lexington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Christian O. Nagler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446-4900</w:t>
      </w:r>
    </w:p>
    <w:p>
      <w:pPr>
        <w:spacing w:after="0" w:line="200" w:lineRule="exact"/>
        <w:rPr>
          <w:sz w:val="20"/>
          <w:szCs w:val="20"/>
          <w:color w:val="auto"/>
        </w:rPr>
      </w:pPr>
    </w:p>
    <w:p>
      <w:pPr>
        <w:sectPr>
          <w:pgSz w:w="11900" w:h="16838" w:orient="portrait"/>
          <w:cols w:equalWidth="0" w:num="2">
            <w:col w:w="3900" w:space="640"/>
            <w:col w:w="6700"/>
          </w:cols>
          <w:pgMar w:left="320" w:top="904" w:right="339" w:bottom="1440" w:gutter="0" w:footer="0" w:header="0"/>
          <w:type w:val="continuous"/>
        </w:sectPr>
      </w:pP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Mitchell S. Nussbaum, Esq. and Giovanni Caruso, Esq.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407-4000</w:t>
      </w:r>
    </w:p>
    <w:p>
      <w:pPr>
        <w:spacing w:after="0" w:line="200" w:lineRule="exact"/>
        <w:rPr>
          <w:sz w:val="20"/>
          <w:szCs w:val="20"/>
          <w:color w:val="auto"/>
        </w:rPr>
      </w:pPr>
    </w:p>
    <w:p>
      <w:pPr>
        <w:sectPr>
          <w:pgSz w:w="11900" w:h="16838" w:orient="portrait"/>
          <w:cols w:equalWidth="0" w:num="2">
            <w:col w:w="3900" w:space="640"/>
            <w:col w:w="6700"/>
          </w:cols>
          <w:pgMar w:left="320" w:top="904" w:right="339" w:bottom="1440" w:gutter="0" w:footer="0" w:header="0"/>
          <w:type w:val="continuous"/>
        </w:sectPr>
      </w:pPr>
    </w:p>
    <w:p>
      <w:pPr>
        <w:spacing w:after="0" w:line="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parties may change the persons and addresses to which the notices or other communications are to be sent by giving written notice to any such change in the manner provided herein for giving notice.</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Liquidation of the Company</w:t>
      </w:r>
      <w:r>
        <w:rPr>
          <w:rFonts w:ascii="Times New Roman" w:cs="Times New Roman" w:eastAsia="Times New Roman" w:hAnsi="Times New Roman"/>
          <w:sz w:val="18"/>
          <w:szCs w:val="18"/>
          <w:color w:val="auto"/>
        </w:rPr>
        <w:t>. The Company shall give the Escrow Agent written notification of the liquidation and dissolution of the Company in the event that the Company fails to consummate a Business Combination within the time period specified in the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WITNESS the parties have executed this Stock Escrow Agreement as of the date first above written.</w:t>
      </w:r>
    </w:p>
    <w:p>
      <w:pPr>
        <w:spacing w:after="0" w:line="221"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25"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17145</wp:posOffset>
            </wp:positionV>
            <wp:extent cx="255460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Aaron I. Davis</w:t>
      </w:r>
    </w:p>
    <w:p>
      <w:pPr>
        <w:spacing w:after="0" w:line="27" w:lineRule="exact"/>
        <w:rPr>
          <w:sz w:val="20"/>
          <w:szCs w:val="20"/>
          <w:color w:val="auto"/>
        </w:rPr>
      </w:pPr>
    </w:p>
    <w:p>
      <w:pPr>
        <w:ind w:left="656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INITIAL SHAREHOLDERS:</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BCTG HOLDINGS, LLC</w:t>
      </w:r>
    </w:p>
    <w:p>
      <w:pPr>
        <w:spacing w:after="0" w:line="225" w:lineRule="exact"/>
        <w:rPr>
          <w:sz w:val="20"/>
          <w:szCs w:val="20"/>
          <w:color w:val="auto"/>
        </w:rPr>
      </w:pPr>
    </w:p>
    <w:p>
      <w:pPr>
        <w:ind w:left="6100"/>
        <w:spacing w:after="0"/>
        <w:tabs>
          <w:tab w:leader="none" w:pos="6540" w:val="left"/>
        </w:tabs>
        <w:rPr>
          <w:sz w:val="20"/>
          <w:szCs w:val="20"/>
          <w:color w:val="auto"/>
        </w:rPr>
      </w:pPr>
      <w:r>
        <w:rPr>
          <w:rFonts w:ascii="Times New Roman" w:cs="Times New Roman" w:eastAsia="Times New Roman" w:hAnsi="Times New Roman"/>
          <w:sz w:val="18"/>
          <w:szCs w:val="18"/>
          <w:color w:val="auto"/>
        </w:rPr>
        <w:t>By:</w:t>
        <w:tab/>
        <w:t>/s/ Andrew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17145</wp:posOffset>
            </wp:positionV>
            <wp:extent cx="255460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 Andrew Ellis</w:t>
      </w:r>
    </w:p>
    <w:p>
      <w:pPr>
        <w:spacing w:after="0" w:line="27" w:lineRule="exact"/>
        <w:rPr>
          <w:sz w:val="20"/>
          <w:szCs w:val="20"/>
          <w:color w:val="auto"/>
        </w:rPr>
      </w:pPr>
    </w:p>
    <w:p>
      <w:pPr>
        <w:ind w:left="656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417195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71" w:name="page72"/>
    <w:bookmarkEnd w:id="71"/>
    <w:p>
      <w:pPr>
        <w:ind w:left="5620"/>
        <w:spacing w:after="0"/>
        <w:rPr>
          <w:sz w:val="20"/>
          <w:szCs w:val="20"/>
          <w:color w:val="auto"/>
        </w:rPr>
      </w:pPr>
      <w:r>
        <w:rPr>
          <w:rFonts w:ascii="Times New Roman" w:cs="Times New Roman" w:eastAsia="Times New Roman" w:hAnsi="Times New Roman"/>
          <w:sz w:val="18"/>
          <w:szCs w:val="18"/>
          <w:color w:val="auto"/>
        </w:rPr>
        <w:t>/s/ Troy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85432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Troy Wilson</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Benjamin Cravatt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85432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Benjamin Cravatt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Jeff Hager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85432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Jeff Hager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Sheila Gujrathi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285432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Sheila Gujrathi</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NexTx Insights, LLC</w:t>
      </w:r>
    </w:p>
    <w:p>
      <w:pPr>
        <w:spacing w:after="0" w:line="225" w:lineRule="exact"/>
        <w:rPr>
          <w:sz w:val="20"/>
          <w:szCs w:val="20"/>
          <w:color w:val="auto"/>
        </w:rPr>
      </w:pPr>
    </w:p>
    <w:p>
      <w:pPr>
        <w:ind w:left="562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L. Bender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26035</wp:posOffset>
            </wp:positionV>
            <wp:extent cx="25717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Steven L. Bender</w:t>
      </w:r>
    </w:p>
    <w:p>
      <w:pPr>
        <w:spacing w:after="0" w:line="27" w:lineRule="exact"/>
        <w:rPr>
          <w:sz w:val="20"/>
          <w:szCs w:val="20"/>
          <w:color w:val="auto"/>
        </w:rPr>
      </w:pPr>
    </w:p>
    <w:p>
      <w:pPr>
        <w:jc w:val="both"/>
        <w:ind w:left="608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tab/>
        <w:t>Principal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72" w:name="page73"/>
    <w:bookmarkEnd w:id="72"/>
    <w:p>
      <w:pPr>
        <w:ind w:left="5640"/>
        <w:spacing w:after="0"/>
        <w:rPr>
          <w:sz w:val="20"/>
          <w:szCs w:val="20"/>
          <w:color w:val="auto"/>
        </w:rPr>
      </w:pPr>
      <w:r>
        <w:rPr>
          <w:rFonts w:ascii="Times New Roman" w:cs="Times New Roman" w:eastAsia="Times New Roman" w:hAnsi="Times New Roman"/>
          <w:sz w:val="18"/>
          <w:szCs w:val="18"/>
          <w:b w:val="1"/>
          <w:bCs w:val="1"/>
          <w:color w:val="auto"/>
        </w:rPr>
        <w:t>ESCROW AGENT:</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CONTINENTAL STOCK TRANSFER &amp; TRUST</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5640"/>
        <w:spacing w:after="0"/>
        <w:tabs>
          <w:tab w:leader="none" w:pos="6080" w:val="left"/>
        </w:tabs>
        <w:rPr>
          <w:sz w:val="20"/>
          <w:szCs w:val="20"/>
          <w:color w:val="auto"/>
        </w:rPr>
      </w:pPr>
      <w:r>
        <w:rPr>
          <w:rFonts w:ascii="Times New Roman" w:cs="Times New Roman" w:eastAsia="Times New Roman" w:hAnsi="Times New Roman"/>
          <w:sz w:val="18"/>
          <w:szCs w:val="18"/>
          <w:color w:val="auto"/>
        </w:rPr>
        <w:t>By:</w:t>
        <w:tab/>
        <w:t>/s/ Stacy Aqui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3871595</wp:posOffset>
            </wp:positionH>
            <wp:positionV relativeFrom="paragraph">
              <wp:posOffset>17145</wp:posOffset>
            </wp:positionV>
            <wp:extent cx="255460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Stacy Aqui</w:t>
      </w:r>
    </w:p>
    <w:p>
      <w:pPr>
        <w:spacing w:after="0" w:line="27" w:lineRule="exact"/>
        <w:rPr>
          <w:sz w:val="20"/>
          <w:szCs w:val="20"/>
          <w:color w:val="auto"/>
        </w:rPr>
      </w:pPr>
    </w:p>
    <w:p>
      <w:pPr>
        <w:ind w:left="6100"/>
        <w:spacing w:after="0"/>
        <w:tabs>
          <w:tab w:leader="none" w:pos="6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417195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280"/>
          </w:cols>
          <w:pgMar w:left="1440" w:top="900" w:right="11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A</w:t>
            </w:r>
          </w:p>
        </w:tc>
        <w:tc>
          <w:tcPr>
            <w:tcW w:w="2660" w:type="dxa"/>
            <w:vAlign w:val="bottom"/>
            <w:gridSpan w:val="4"/>
          </w:tcPr>
          <w:p>
            <w:pPr>
              <w:spacing w:after="0"/>
              <w:rPr>
                <w:sz w:val="17"/>
                <w:szCs w:val="17"/>
                <w:color w:val="auto"/>
              </w:rPr>
            </w:pPr>
          </w:p>
        </w:tc>
        <w:tc>
          <w:tcPr>
            <w:tcW w:w="2480" w:type="dxa"/>
            <w:vAlign w:val="bottom"/>
          </w:tcPr>
          <w:p>
            <w:pPr>
              <w:spacing w:after="0"/>
              <w:rPr>
                <w:sz w:val="17"/>
                <w:szCs w:val="17"/>
                <w:color w:val="auto"/>
              </w:rPr>
            </w:pPr>
          </w:p>
        </w:tc>
      </w:tr>
      <w:tr>
        <w:trPr>
          <w:trHeight w:val="453"/>
        </w:trPr>
        <w:tc>
          <w:tcPr>
            <w:tcW w:w="3600" w:type="dxa"/>
            <w:vAlign w:val="bottom"/>
          </w:tcPr>
          <w:p>
            <w:pPr>
              <w:spacing w:after="0"/>
              <w:rPr>
                <w:sz w:val="24"/>
                <w:szCs w:val="24"/>
                <w:color w:val="auto"/>
              </w:rPr>
            </w:pPr>
          </w:p>
        </w:tc>
        <w:tc>
          <w:tcPr>
            <w:tcW w:w="5160" w:type="dxa"/>
            <w:vAlign w:val="bottom"/>
            <w:gridSpan w:val="6"/>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Initial Shareholders; Escrow Shares</w:t>
            </w:r>
          </w:p>
        </w:tc>
        <w:tc>
          <w:tcPr>
            <w:tcW w:w="2480" w:type="dxa"/>
            <w:vAlign w:val="bottom"/>
          </w:tcPr>
          <w:p>
            <w:pPr>
              <w:spacing w:after="0"/>
              <w:rPr>
                <w:sz w:val="24"/>
                <w:szCs w:val="24"/>
                <w:color w:val="auto"/>
              </w:rPr>
            </w:pPr>
          </w:p>
        </w:tc>
      </w:tr>
      <w:tr>
        <w:trPr>
          <w:trHeight w:val="414"/>
        </w:trPr>
        <w:tc>
          <w:tcPr>
            <w:tcW w:w="3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Number</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Date of</w:t>
            </w:r>
          </w:p>
        </w:tc>
      </w:tr>
      <w:tr>
        <w:trPr>
          <w:trHeight w:val="24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Name and Address of Initial Shareholder</w:t>
            </w: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of Shares</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Insider Letter</w:t>
            </w:r>
          </w:p>
        </w:tc>
      </w:tr>
      <w:tr>
        <w:trPr>
          <w:trHeight w:val="216"/>
        </w:trPr>
        <w:tc>
          <w:tcPr>
            <w:tcW w:w="36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Borders>
              <w:top w:val="single" w:sz="8" w:color="auto"/>
            </w:tcBorders>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BCTG Holdings, LLC</w:t>
            </w:r>
          </w:p>
        </w:tc>
        <w:tc>
          <w:tcPr>
            <w:tcW w:w="51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3,959,950</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216"/>
        </w:trPr>
        <w:tc>
          <w:tcPr>
            <w:tcW w:w="3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Heyman</w:t>
            </w:r>
          </w:p>
        </w:tc>
        <w:tc>
          <w:tcPr>
            <w:tcW w:w="51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40,600</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216"/>
        </w:trPr>
        <w:tc>
          <w:tcPr>
            <w:tcW w:w="3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Jamie G. Christensen</w:t>
            </w:r>
          </w:p>
        </w:tc>
        <w:tc>
          <w:tcPr>
            <w:tcW w:w="51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40,600</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216"/>
        </w:trPr>
        <w:tc>
          <w:tcPr>
            <w:tcW w:w="3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M. Baum</w:t>
            </w:r>
          </w:p>
        </w:tc>
        <w:tc>
          <w:tcPr>
            <w:tcW w:w="51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40,600</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216"/>
        </w:trPr>
        <w:tc>
          <w:tcPr>
            <w:tcW w:w="3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Sheila Gujrathi</w:t>
            </w:r>
          </w:p>
        </w:tc>
        <w:tc>
          <w:tcPr>
            <w:tcW w:w="51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17,400</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216"/>
        </w:trPr>
        <w:tc>
          <w:tcPr>
            <w:tcW w:w="3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 Hager</w:t>
            </w:r>
          </w:p>
        </w:tc>
        <w:tc>
          <w:tcPr>
            <w:tcW w:w="51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17,400</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216"/>
        </w:trPr>
        <w:tc>
          <w:tcPr>
            <w:tcW w:w="3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Troy Wilson</w:t>
            </w:r>
          </w:p>
        </w:tc>
        <w:tc>
          <w:tcPr>
            <w:tcW w:w="51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17,400</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216"/>
        </w:trPr>
        <w:tc>
          <w:tcPr>
            <w:tcW w:w="3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NexTx Insights, LLC</w:t>
            </w:r>
          </w:p>
        </w:tc>
        <w:tc>
          <w:tcPr>
            <w:tcW w:w="51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17,400</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216"/>
        </w:trPr>
        <w:tc>
          <w:tcPr>
            <w:tcW w:w="3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 Cravatt</w:t>
            </w:r>
          </w:p>
        </w:tc>
        <w:tc>
          <w:tcPr>
            <w:tcW w:w="5160" w:type="dxa"/>
            <w:vAlign w:val="bottom"/>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17,400</w:t>
            </w:r>
          </w:p>
        </w:tc>
        <w:tc>
          <w:tcPr>
            <w:tcW w:w="2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September 2, 2020</w:t>
            </w:r>
          </w:p>
        </w:tc>
      </w:tr>
      <w:tr>
        <w:trPr>
          <w:trHeight w:val="655"/>
        </w:trPr>
        <w:tc>
          <w:tcPr>
            <w:tcW w:w="36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AND STOCKHOLDER RIGHTS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REGISTRATION AND STOCKHOLDER RIGHTS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entered into as of the 2nd day of September, 2020, by and among BCTG Acquisition Corp.,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the undersigned parties listed under Investor on the signature page hereto (each, an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capitalized terms used herein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Agreement, as amended, restated, supplemented, or otherwise modified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Combination</w:t>
      </w:r>
      <w:r>
        <w:rPr>
          <w:rFonts w:ascii="Times New Roman" w:cs="Times New Roman" w:eastAsia="Times New Roman" w:hAnsi="Times New Roman"/>
          <w:sz w:val="18"/>
          <w:szCs w:val="18"/>
          <w:color w:val="auto"/>
        </w:rPr>
        <w:t>” means the acquisition of direct or indirect ownership through a merger, share exchange, asset acquisition, share purchase, recapitalization, reorganization or other similar type of transaction, of one or more businesses or entities.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Securities and Exchange Commission, or any other Federal agency then administering the Securities Act or the Exchange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is defined in Section 2.1.1.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S-3</w:t>
      </w:r>
      <w:r>
        <w:rPr>
          <w:rFonts w:ascii="Times New Roman" w:cs="Times New Roman" w:eastAsia="Times New Roman" w:hAnsi="Times New Roman"/>
          <w:sz w:val="18"/>
          <w:szCs w:val="18"/>
          <w:color w:val="auto"/>
        </w:rPr>
        <w:t>” is defined in Section 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is defined in Section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Shares</w:t>
      </w:r>
      <w:r>
        <w:rPr>
          <w:rFonts w:ascii="Times New Roman" w:cs="Times New Roman" w:eastAsia="Times New Roman" w:hAnsi="Times New Roman"/>
          <w:sz w:val="18"/>
          <w:szCs w:val="18"/>
          <w:color w:val="auto"/>
        </w:rPr>
        <w:t>” means all of the outstanding shares of Common Stock issued prior to the consummation of the Company’s initial public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is defined in Section 4.1.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is defined in Section 2.1.4.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is defined in Section 7.4.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is defined in Section 2.2.1.</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Private Shares</w:t>
      </w:r>
      <w:r>
        <w:rPr>
          <w:rFonts w:ascii="Times New Roman" w:cs="Times New Roman" w:eastAsia="Times New Roman" w:hAnsi="Times New Roman"/>
          <w:sz w:val="18"/>
          <w:szCs w:val="18"/>
          <w:color w:val="auto"/>
        </w:rPr>
        <w:t>” means the aggregate of 490,000 shares of common stock (or 533,500 shares if the underwriters’ over-allotment option is exercised in full) that Sponsor is privately purchasing simultaneously with the consummation of the Company’s initial public offering.</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means (i) the Initial Shares and (ii) the Private Shares. Registrable Securities include any warrants, shares of capital stock or other securities of the Company issued as a dividend or other distribution with respect to or in exchange for or in replacement of such Initial Shares and Private Shares.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volume limitations.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Release Date</w:t>
      </w:r>
      <w:r>
        <w:rPr>
          <w:rFonts w:ascii="Times New Roman" w:cs="Times New Roman" w:eastAsia="Times New Roman" w:hAnsi="Times New Roman"/>
          <w:sz w:val="18"/>
          <w:szCs w:val="18"/>
          <w:color w:val="auto"/>
        </w:rPr>
        <w:t>” means the date on which the Initial Shares are disbursed from escrow pursuant to Section 3 of that certain Stock Escrow Agreement dated as of September 2, 2020 by and among the Investors and Continental Stock Transfer &amp; Trust Company.</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color w:val="auto"/>
        </w:rPr>
        <w:t>” means BCTG Holdings, LLC.</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159" w:lineRule="exact"/>
        <w:rPr>
          <w:sz w:val="20"/>
          <w:szCs w:val="20"/>
          <w:color w:val="auto"/>
        </w:rPr>
      </w:pPr>
    </w:p>
    <w:p>
      <w:pPr>
        <w:ind w:left="840" w:hanging="184"/>
        <w:spacing w:after="0"/>
        <w:tabs>
          <w:tab w:leader="none" w:pos="8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At any time and from time to time on or after (i) the date that the Company consummates a Business Combination with respect to the Private Shares or (ii) three months prior to the Release Date with respect to all other Registrable Securities (the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the holders of a majority-in-interest of the Initial Shares may make a written demand for registration under the Securities Act of all or part of their Private Shares or other Registrable Securities, as the case may be (a “</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Times New Roman" w:cs="Times New Roman" w:eastAsia="Times New Roman" w:hAnsi="Times New Roman"/>
          <w:sz w:val="18"/>
          <w:szCs w:val="18"/>
          <w:b w:val="1"/>
          <w:bCs w:val="1"/>
          <w:u w:val="single" w:color="auto"/>
          <w:color w:val="auto"/>
        </w:rPr>
        <w:t>Demanding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shall so notify the Company within fifteen (15) days after the receipt by the holder of the notice from the Company. Upon any such request,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Demanding Holders shall be entitled to have their Registrable Securities included in the Demand Registration, subject to Section 2.1.4 and the provisos set forth in Section 3.1.1. The Company shall not be obligated to effect more than three (3) Demand Registrations under this Section 2.1.1 in respect of all Registrable Securities.</w:t>
      </w:r>
    </w:p>
    <w:p>
      <w:pPr>
        <w:spacing w:after="0" w:line="192"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89"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and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97"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ind w:left="130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95"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Shares, then the Company shall include in any such registration:</w:t>
      </w:r>
    </w:p>
    <w:p>
      <w:pPr>
        <w:spacing w:after="0" w:line="189" w:lineRule="exact"/>
        <w:rPr>
          <w:sz w:val="20"/>
          <w:szCs w:val="20"/>
          <w:color w:val="auto"/>
        </w:rPr>
      </w:pPr>
    </w:p>
    <w:p>
      <w:pPr>
        <w:jc w:val="both"/>
        <w:ind w:left="1960" w:firstLine="640"/>
        <w:spacing w:after="0" w:line="254" w:lineRule="auto"/>
        <w:tabs>
          <w:tab w:leader="none" w:pos="289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undertaken for the Company’s account: (A) first, the shares of Common Stock or other securities that the Company desires to sell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left="1960" w:firstLine="640"/>
        <w:spacing w:after="0" w:line="253" w:lineRule="auto"/>
        <w:tabs>
          <w:tab w:leader="none" w:pos="287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192"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18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Registrations on Form S-3</w:t>
      </w:r>
      <w:r>
        <w:rPr>
          <w:rFonts w:ascii="Times New Roman" w:cs="Times New Roman" w:eastAsia="Times New Roman" w:hAnsi="Times New Roman"/>
          <w:sz w:val="18"/>
          <w:szCs w:val="18"/>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Times New Roman" w:cs="Times New Roman" w:eastAsia="Times New Roman" w:hAnsi="Times New Roman"/>
          <w:sz w:val="18"/>
          <w:szCs w:val="18"/>
          <w:b w:val="1"/>
          <w:bCs w:val="1"/>
          <w:u w:val="single" w:color="auto"/>
          <w:color w:val="auto"/>
        </w:rPr>
        <w:t>Form S-3</w:t>
      </w:r>
      <w:r>
        <w:rPr>
          <w:rFonts w:ascii="Times New Roman" w:cs="Times New Roman" w:eastAsia="Times New Roman" w:hAnsi="Times New Roman"/>
          <w:sz w:val="18"/>
          <w:szCs w:val="18"/>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0" w:name="page81"/>
    <w:bookmarkEnd w:id="80"/>
    <w:p>
      <w:pPr>
        <w:ind w:left="840" w:hanging="184"/>
        <w:spacing w:after="0"/>
        <w:tabs>
          <w:tab w:leader="none" w:pos="8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Filings; Information</w:t>
      </w:r>
      <w:r>
        <w:rPr>
          <w:rFonts w:ascii="Times New Roman" w:cs="Times New Roman" w:eastAsia="Times New Roman" w:hAnsi="Times New Roman"/>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76"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Filing Registration Statement</w:t>
      </w:r>
      <w:r>
        <w:rPr>
          <w:rFonts w:ascii="Times New Roman" w:cs="Times New Roman" w:eastAsia="Times New Roman" w:hAnsi="Times New Roman"/>
          <w:sz w:val="18"/>
          <w:szCs w:val="18"/>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the President or Chairman of the Company stating that, in the good faith judgment of the Board, it would be materially detrimental to the Company and its shareholders for such Registration Statement to be effected at such time; provided further, however, that the Company shall not have the right to exercise the right set forth in the immediately preceding proviso more than once in any 365-day period in respect of a Demand Registration hereunder.</w:t>
      </w:r>
    </w:p>
    <w:p>
      <w:pPr>
        <w:spacing w:after="0" w:line="192"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Copies</w:t>
      </w:r>
      <w:r>
        <w:rPr>
          <w:rFonts w:ascii="Times New Roman" w:cs="Times New Roman" w:eastAsia="Times New Roman" w:hAnsi="Times New Roman"/>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8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9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State Securities Laws Compliance</w:t>
      </w:r>
      <w:r>
        <w:rPr>
          <w:rFonts w:ascii="Times New Roman" w:cs="Times New Roman" w:eastAsia="Times New Roman" w:hAnsi="Times New Roman"/>
          <w:sz w:val="18"/>
          <w:szCs w:val="18"/>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92"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Agreements for Disposition</w:t>
      </w:r>
      <w:r>
        <w:rPr>
          <w:rFonts w:ascii="Times New Roman" w:cs="Times New Roman" w:eastAsia="Times New Roman" w:hAnsi="Times New Roman"/>
          <w:sz w:val="18"/>
          <w:szCs w:val="18"/>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83"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83"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Opinions and Comfort Letters</w:t>
      </w:r>
      <w:r>
        <w:rPr>
          <w:rFonts w:ascii="Times New Roman" w:cs="Times New Roman" w:eastAsia="Times New Roman" w:hAnsi="Times New Roman"/>
          <w:sz w:val="18"/>
          <w:szCs w:val="18"/>
          <w:color w:val="auto"/>
        </w:rPr>
        <w:t>. Upon request,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18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3.1.10 </w:t>
      </w: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76"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3.1.11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3.1.12 </w:t>
      </w:r>
      <w:r>
        <w:rPr>
          <w:rFonts w:ascii="Times New Roman" w:cs="Times New Roman" w:eastAsia="Times New Roman" w:hAnsi="Times New Roman"/>
          <w:sz w:val="18"/>
          <w:szCs w:val="18"/>
          <w:u w:val="single" w:color="auto"/>
          <w:color w:val="auto"/>
        </w:rPr>
        <w:t>Road Show</w:t>
      </w:r>
      <w:r>
        <w:rPr>
          <w:rFonts w:ascii="Times New Roman" w:cs="Times New Roman" w:eastAsia="Times New Roman" w:hAnsi="Times New Roman"/>
          <w:sz w:val="18"/>
          <w:szCs w:val="18"/>
          <w:color w:val="auto"/>
        </w:rPr>
        <w:t>. If the registration involves the registration of Registrable Securities involving gross proceeds in excess of $5,000,000, the Company shall use its reasonable efforts to make available senior executives of the Company to participate in customary “road show” presentations that may be reasonably requested by the Underwriter in any underwritten offering.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Obligation to Suspend Distribution</w:t>
      </w:r>
      <w:r>
        <w:rPr>
          <w:rFonts w:ascii="Times New Roman" w:cs="Times New Roman" w:eastAsia="Times New Roman" w:hAnsi="Times New Roman"/>
          <w:sz w:val="18"/>
          <w:szCs w:val="18"/>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Board,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19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ind w:left="840" w:hanging="184"/>
        <w:spacing w:after="0"/>
        <w:tabs>
          <w:tab w:leader="none" w:pos="8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the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19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Indemnification by Holders of Registrable Securities</w:t>
      </w:r>
      <w:r>
        <w:rPr>
          <w:rFonts w:ascii="Times New Roman" w:cs="Times New Roman" w:eastAsia="Times New Roman" w:hAnsi="Times New Roman"/>
          <w:sz w:val="18"/>
          <w:szCs w:val="18"/>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Promptly after receipt by any person of any notice of any loss, claim, damage or liability or any action in respect of which indemnity may be sought pursuant to Section 4.1 or 4.2, such person (the “Indemnified Party”) shall, if a claim in respect thereof is to be made against any other person for indemnification hereunder, notify such other person (the “</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9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76"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89" w:lineRule="exact"/>
        <w:rPr>
          <w:sz w:val="20"/>
          <w:szCs w:val="20"/>
          <w:color w:val="auto"/>
        </w:rPr>
      </w:pPr>
    </w:p>
    <w:p>
      <w:pPr>
        <w:ind w:left="840" w:hanging="184"/>
        <w:spacing w:after="0"/>
        <w:tabs>
          <w:tab w:leader="none" w:pos="8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5.1 Subject to the terms and conditions of this Agreement, at any time and from time to time on or after the date that the Company consummates a Business Combination and for so long as the Sponsor holds any Registrable Securities:</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5.1.1 The Sponsor shall have the right, but not the obligation, to designate two (2) individuals to be appointed or nominated, as the case may be, for election to the Board (including any successor, each, a “</w:t>
      </w:r>
      <w:r>
        <w:rPr>
          <w:rFonts w:ascii="Times New Roman" w:cs="Times New Roman" w:eastAsia="Times New Roman" w:hAnsi="Times New Roman"/>
          <w:sz w:val="18"/>
          <w:szCs w:val="18"/>
          <w:b w:val="1"/>
          <w:bCs w:val="1"/>
          <w:u w:val="single" w:color="auto"/>
          <w:color w:val="auto"/>
        </w:rPr>
        <w:t>Nominee</w:t>
      </w:r>
      <w:r>
        <w:rPr>
          <w:rFonts w:ascii="Times New Roman" w:cs="Times New Roman" w:eastAsia="Times New Roman" w:hAnsi="Times New Roman"/>
          <w:sz w:val="18"/>
          <w:szCs w:val="18"/>
          <w:color w:val="auto"/>
        </w:rPr>
        <w:t>”) by giving written notice to the Company on or before the time such information is reasonably requested by the Board or the Nominating Committee of the Board, as applicable, for inclusion in a proxy statement for a meeting of stockholders provided to the Sponsor.</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5.1.2 The Company will, as promptly as practicable, use its best efforts to take all necessary and desirable actions (including, without limitation, calling special meetings of the Board and the stockholders and recommending, supporting and soliciting proxies) so that there are three Sponsor Directors serving on the Board at all times.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1960"/>
        <w:spacing w:after="0"/>
        <w:rPr>
          <w:sz w:val="20"/>
          <w:szCs w:val="20"/>
          <w:color w:val="auto"/>
        </w:rPr>
      </w:pPr>
      <w:r>
        <w:rPr>
          <w:rFonts w:ascii="Times New Roman" w:cs="Times New Roman" w:eastAsia="Times New Roman" w:hAnsi="Times New Roman"/>
          <w:sz w:val="18"/>
          <w:szCs w:val="18"/>
          <w:color w:val="auto"/>
        </w:rPr>
        <w:t>5.1.3 The Company shall, to the fullest extent permitted by applicable law, use its best efforts to take all actions necessary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ensure that: (i) each Nominee is included in the Board’s slate of nominees to the stockholders of the Company for each election of Directors; and (ii)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Nominee is included in the proxy statement prepared by management of the Company in connection with soliciting proxies for every meeting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the Company called with respect to the election of members of the Board, and at every adjournment or postponement thereof, and on every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or approval by written consent of the stockholders of the Company or the Board with respect to the election of members of the Board.</w:t>
      </w:r>
    </w:p>
    <w:p>
      <w:pPr>
        <w:spacing w:after="0" w:line="207"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5.1.4 If a vacancy occurs because of the death, disability, disqualification, resignation, or removal of a Sponsor Director or for any other reason, the Sponsor shall be entitled to designate such person’s successor, and the Company will, as promptly as practicable following such designation, use its best efforts to take all necessary and desirable actions, to the fullest extent permitted by law, within its control such that such vacancy shall be filled with such successor Nominee.</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5.1.5 If a Nominee is not elected because of such Nominee’s death, disability, disqualification, withdrawal as a nominee or for any other reason, the Sponsor shall be entitled to designate promptly another Nominee and the Company will take all necessary and desirable actions within its control such that the director position for which such Nominee was nominated shall not be filled pending such designation or the size of the Board shall be increased by one and such vacancy shall be filled with such successor Nominee as promptly as practicable following such designation.</w:t>
      </w:r>
    </w:p>
    <w:p>
      <w:pPr>
        <w:spacing w:after="0" w:line="180"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5.1.6 As promptly as reasonably practicable following the request of any Sponsor Director, the Company shall enter into an indemnification agreement with such Sponsor Director, in the form entered into with the other members of the Board. The Company shall pay the reasonable, documented out-of-pocket expenses incurred by the Sponsor Director in connection with his or her services provided to or on behalf of the Company, including attending meetings or events attended explicitly on behalf of the Company at the Company’s request.</w:t>
      </w:r>
    </w:p>
    <w:p>
      <w:pPr>
        <w:spacing w:after="0" w:line="180"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5.1.7 The Company shall (i) purchase directors’ and officers’ liability insurance in an amount determined by the Board to be reasonable and customary and (ii) for so long as a Sponsor Director serves as a Director of the Company, maintain such coverage with respect to such Sponsor Director;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upon removal or resignation of such Sponsor Director for any reason, the Company shall take all actions reasonably necessary to extend such directors’ and officers’ liability insurance coverage for a period of not less than six years from any such event in respect of any act or omission occurring at or prior to such event.</w:t>
      </w:r>
    </w:p>
    <w:p>
      <w:pPr>
        <w:spacing w:after="0" w:line="183"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5.1.8 For so long as a Sponsor Director serves as a Director of the Company, the Company shall not amend, alter or repeal any right to indemnification or exculpation covering or benefiting any Director nominated pursuant to this Agreement as and to the extent consistent with applicable law, whether such right is contained in the Company’s certificate of incorporation or bylaws, each as amended, or another document (except to the extent such amendment or alteration permits the Company to provide broader indemnification or exculpation rights on a retroactive basis than permitted prior thereto).</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5.1.9 Each Nominee may, but does not need to qualify as “independent” pursuant to listing standards of the Nasdaq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5.1.10 Any Nominee will be subject to the Company’s customary due diligence process, including its review of a completed questionnaire and a background check. Based on the foregoing, the Company may object to any Nominee provided (a) it does so in good faith, and (b) such objection is based upon any of the following: (i) such Nominee was convicted in a criminal proceeding or is a named subject of a pending criminal proceeding (excluding traffic violations and other minor offenses), (ii) such Nominee was the subject of any order, judgment, or decree not subsequently reversed, suspended or vacated of any court of competent jurisdiction, permanently or temporarily enjoining such proposed director from, or otherwise limiting, the following activities: (A) engaging in any type of business practice, or (B) engaging in any activity in connection with the purchase or sale of any security or in connection with any violation of federal or state securities laws, (iii) such Nominee was the subject of any order, judgment or decree, not subsequently reversed, suspended or vacated, of any federal or state authority barring, suspending or otherwise limiting for more than 60 days the right of such person to engage in any activity described in clause (ii)(B), or to be associated with persons engaged in such activity, (iv) such proposed director was found by a court of competent jurisdiction in a civil action or by the Commission to have violated any federal or state securities law, and the judgment in such civil action or finding by the Commission has not been subsequently reversed, suspended or vacated, or (v) such proposed director was the subject of, or a party to any federal or state judicial or administrative order, judgment, decree, or finding, not subsequently reversed, suspended or vacated, relating to a violation of any federal or state securities laws or regulations. In the event the Board reasonably finds the Nominee to be unsuitable based upon one or more of the foregoing clauses (i) through (v) and reasonably objects to the identified director, Sponsor shall be entitled to propose a different nominee to the Board within 30 calendar days of the Company’s notice to Sponsor of its objection to the Nominee and such replacement Nominee shall be subject to the review process outlined above.</w:t>
      </w:r>
    </w:p>
    <w:p>
      <w:pPr>
        <w:spacing w:after="0" w:line="195"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5.1.11 The Company shall take all necessary action to cause a Nominee chosen by the Sponsor, at the request of such Nominee, to be elected to the board of directors (or similar governing body) of each material operating subsidiary of the Company. The Nominee, as applicable, shall have the right to attend (in person or remotely) any meetings of the board of directors (or similar governing body or committee thereof) of each subsidiary of the Company.</w:t>
      </w:r>
    </w:p>
    <w:p>
      <w:pPr>
        <w:spacing w:after="0" w:line="180" w:lineRule="exact"/>
        <w:rPr>
          <w:sz w:val="20"/>
          <w:szCs w:val="20"/>
          <w:color w:val="auto"/>
        </w:rPr>
      </w:pPr>
    </w:p>
    <w:p>
      <w:pPr>
        <w:jc w:val="both"/>
        <w:ind w:firstLine="656"/>
        <w:spacing w:after="0" w:line="261" w:lineRule="auto"/>
        <w:tabs>
          <w:tab w:leader="none" w:pos="82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The Company represents and warrants that, except as disclosed in the Company’s registration statements on Form S-1 (File Nos. 333-240237 and 333-248570),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7.3.</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or other communications (collectively,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Giovanni Caruso, Esq.</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an Investor, to the address set forth below such Investor’s name on Exhibit A hereto.</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taken together shall constitute one and the same instrument.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Modifications and Amendments</w:t>
      </w:r>
      <w:r>
        <w:rPr>
          <w:rFonts w:ascii="Times New Roman" w:cs="Times New Roman" w:eastAsia="Times New Roman" w:hAnsi="Times New Roman"/>
          <w:sz w:val="18"/>
          <w:szCs w:val="18"/>
          <w:color w:val="auto"/>
        </w:rPr>
        <w:t>. No amendment, modification or termination of this Agreement shall be binding upon any party unless executed in writing by such party.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Waivers and Extensions</w:t>
      </w:r>
      <w:r>
        <w:rPr>
          <w:rFonts w:ascii="Times New Roman" w:cs="Times New Roman" w:eastAsia="Times New Roman" w:hAnsi="Times New Roman"/>
          <w:sz w:val="18"/>
          <w:szCs w:val="18"/>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Registration and Stockholder Rights Agreement to be executed and delivered by their duly authorized representatives as of the date first written above.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I. Davis</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Aaron I. Davis</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INVESTORS:</w:t>
            </w: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BCTG HOLDINGS, LLC</w:t>
            </w:r>
          </w:p>
        </w:tc>
      </w:tr>
      <w:tr>
        <w:trPr>
          <w:trHeight w:val="43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Ellis</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Ellis</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Registration and Stockholder Rights Agreement]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ind w:left="5640"/>
        <w:spacing w:after="0"/>
        <w:rPr>
          <w:sz w:val="20"/>
          <w:szCs w:val="20"/>
          <w:color w:val="auto"/>
        </w:rPr>
      </w:pPr>
      <w:r>
        <w:rPr>
          <w:rFonts w:ascii="Times New Roman" w:cs="Times New Roman" w:eastAsia="Times New Roman" w:hAnsi="Times New Roman"/>
          <w:sz w:val="18"/>
          <w:szCs w:val="18"/>
          <w:color w:val="auto"/>
        </w:rPr>
        <w:t>/s/ Richard Heyman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Richard Heyman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Charles M.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Charles M. Baum</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Jamie G.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Jamie G. Christensen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Troy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Troy Wilson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Benjamin Cravatt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Benjamin Cravatt</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Jeff Hager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Jeff Hager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Sheila Gujrathi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Sheila Gujrathi</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NexTx Insights, LLC</w:t>
      </w:r>
    </w:p>
    <w:p>
      <w:pPr>
        <w:spacing w:after="0" w:line="252"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L. Bender</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Steven L. Bender</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Principal Consultant</w:t>
            </w:r>
          </w:p>
        </w:tc>
      </w:tr>
    </w:tbl>
    <w:p>
      <w:pPr>
        <w:spacing w:after="0" w:line="19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[Signature Page to Registration and Stockholder Rights Agreement]</w:t>
      </w: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10795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Name &amp; Address of Investor</w:t>
      </w:r>
      <w:r>
        <w:rPr>
          <w:rFonts w:ascii="Times New Roman" w:cs="Times New Roman" w:eastAsia="Times New Roman" w:hAnsi="Times New Roman"/>
          <w:sz w:val="29"/>
          <w:szCs w:val="29"/>
          <w:u w:val="single" w:color="auto"/>
          <w:color w:val="auto"/>
          <w:vertAlign w:val="superscript"/>
        </w:rPr>
        <w:t>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Holdings,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Heyman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M. Baum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Jamie G. Christensen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Troy Wilson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Cravatt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 Hager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Sheila Gujrathi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NexTx Insights,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78308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5480" w:hanging="5472"/>
        <w:spacing w:after="0" w:line="748" w:lineRule="auto"/>
        <w:tabs>
          <w:tab w:leader="none" w:pos="328" w:val="left"/>
        </w:tabs>
        <w:numPr>
          <w:ilvl w:val="0"/>
          <w:numId w:val="8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Except as stated above, the business address of each Investor is c/o BCTG Acquisition Corp., 11682 El Camino Real, Suite 320, San Diego, CA 92130.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BCTG Acquisition Corp. (the “Company”), a blank check company formed for the purpose of acquiring one or more businesses or entities (a “Business Combination”), intends to register its securities under the Securities Act of 1933, as amended (“Securities Act”), in connection with its initial public offering (“IPO”), pursuant to registration statements on Form S-1 (collectively, the “Registration Statement”).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commits that it will purchase an aggregate of 490,000 shares of common stock (or 533,500 shares if the underwriters’ over-allotment option is exercised in full) (“Private Shares”) at a price of 10.00 per share ($4,900,000 in the aggregate, or $5,335,000 in the aggregate if the underwriters’ overallotment option is exercised in full) (“Private Shares Purchase Price”).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least twenty-four (24) hours prior to the effective date of the Registration Statement, the undersigned will cause the Private Shares Purchase Price to be delivered to Loeb &amp; Loeb, LLP (“Loeb”), as escrow agent, by wire transfer as set forth in the instructions attached as Exhibit A to hold in a non-interest bearing account until the Company consummates the IPO.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consummation of the purchase and issuance of the Private Shares shall occur simultaneously with the consummation of the IPO. On or prior to the consummation of the IPO, Loeb shall deposit the Private Shares Purchase Price, without interest or deduction, into the trust fund (“Trust Fund”) established by the Company for the benefit of the Company’s public stockholders as described in the Registration Statement.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Company and the undersigned acknowledges and agrees that Loeb is serving hereunder solely as a convenience to the parties to facilitate the purchase of the Private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the undersigned agrees:</w:t>
      </w:r>
    </w:p>
    <w:p>
      <w:pPr>
        <w:spacing w:after="0" w:line="225" w:lineRule="exact"/>
        <w:rPr>
          <w:sz w:val="20"/>
          <w:szCs w:val="20"/>
          <w:color w:val="auto"/>
        </w:rPr>
      </w:pPr>
    </w:p>
    <w:p>
      <w:pPr>
        <w:jc w:val="both"/>
        <w:ind w:left="1300" w:hanging="320"/>
        <w:spacing w:after="0" w:line="255"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propose, or vote in favor of, an amendment to the Company’s Amended and Restated Certificate of Incorporation that would affect the substance or timing of the Company’s obligation to redeem 100% of the Company’s shares of Common Stock sold in the IPO if the Company does not complete an initial Business Combination within 24 months from the closing of the IPO, unless the Company provides the holders of shares of Common Stock sold in the IPO with the opportunity to redeem their shares of Common Stock upon approval of any such amendment at a per-share price, payable in cash, equal to the aggregate amount of the Trust Fund, including interest earned on Trust Fund and not previously released to the Company to pay the Company’s franchise and income taxes, divided by the number of then outstanding shares of Common Stock sold in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5" w:name="page96"/>
    <w:bookmarkEnd w:id="95"/>
    <w:p>
      <w:pPr>
        <w:jc w:val="both"/>
        <w:ind w:left="1300" w:hanging="320"/>
        <w:spacing w:after="0" w:line="266"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not participate in any liquidation distribution with respect to the Private Shares (but will participate in liquidation distributions with respect to any shares of Common Stock purchased by the undersigned in the IPO or in the open market) if the Company fails to consummate a Business Combination;</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5"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Private Shares will not be transferable until after the consummation of a Business Combination except (i) to the Company’s pre-IPO stockholders, or to the Company’s officers, directors and employees, (ii) transfers to the officers, directors, stockholders, employees and members of the undersigned and its affiliates, (iii) to relatives and trusts for estate planning purposes, (iv) by virtue of the laws of descent and distribution upon death, (v) pursuant to a qualified domestic relations order, (vi) by private sales at prices no greater than the price at which the Private Shares were originally purchased or (vii) to the Company for cancellation in connection with the consummation of a Business Combination, in each case (except for clause vii) where the transferee agrees to the terms of the transfer restrictions;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Shares will include any additional terms or restrictions as is customary in other similarly structured blank check company offerings or as may be reasonably required by the underwriters in the IPO in order to consummate the IPO, each of which will be set forth in the Registration Statement.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and agrees that the purchaser of the Private Shares will execute agreements in form and substance typical for transactions of this nature necessary to effectuate the foregoing agreements and obligations prior to the consummation of the IPO as are reasonably acceptable to the undersigned, including but not limited to an insider letter.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represents and warrants that:</w:t>
      </w:r>
    </w:p>
    <w:p>
      <w:pPr>
        <w:spacing w:after="0" w:line="225" w:lineRule="exact"/>
        <w:rPr>
          <w:sz w:val="20"/>
          <w:szCs w:val="20"/>
          <w:color w:val="auto"/>
        </w:rPr>
      </w:pPr>
    </w:p>
    <w:p>
      <w:pPr>
        <w:ind w:left="900" w:hanging="244"/>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that the Private Shares have not been registered under the Securities Act;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be acquiring the Private Shares for its account for investment purposes only;</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 present intention of selling or otherwise disposing of the Private Shares in violation of the securities laws of the United States;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“accredited investor” as defined by Rule 501 of Regulation D promulgated under the Securities Act of 1933, as amended;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had both the opportunity to ask questions and receive answers from the officers and directors of the Company and all persons acting on its behalf concerning the terms and conditions of the offer made hereunder;</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familiar with the proposed business, management, financial condition and affairs of the Company;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4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constitutes its legal, valid and binding obligation, and is enforceable against it.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letter agreement constitutes the entire agreement between the undersigned and the Company with respect to the purchase of the Private Shares, and supersedes all prior and contemporaneous understandings, agreements, representations and warranties, both written and oral, with respect to the same.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jc w:val="right"/>
        <w:ind w:right="2600"/>
        <w:spacing w:after="0"/>
        <w:rPr>
          <w:sz w:val="20"/>
          <w:szCs w:val="20"/>
          <w:color w:val="auto"/>
        </w:rPr>
      </w:pPr>
      <w:r>
        <w:rPr>
          <w:rFonts w:ascii="Times New Roman" w:cs="Times New Roman" w:eastAsia="Times New Roman" w:hAnsi="Times New Roman"/>
          <w:sz w:val="18"/>
          <w:szCs w:val="18"/>
          <w:color w:val="auto"/>
        </w:rPr>
        <w:t>BCTG HOLDINGS,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Ellis</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Ellis</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I. Davis</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Aaron I. Davis</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Private Placement Subscription Agreement]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2,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Boxer Capital,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letter will confirm our agreement that, commencing on the effective date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of the registration statement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for the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securities of BCTG Acquisition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continuing until the earlier of (i) the consummation by the Company of an initial business combination or (ii) the Company’s liquidation (in each case as described in the Registration Statement) (such earlier date hereinafter referred to as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Boxer Capital, LLC (“</w:t>
      </w:r>
      <w:r>
        <w:rPr>
          <w:rFonts w:ascii="Times New Roman" w:cs="Times New Roman" w:eastAsia="Times New Roman" w:hAnsi="Times New Roman"/>
          <w:sz w:val="18"/>
          <w:szCs w:val="18"/>
          <w:b w:val="1"/>
          <w:bCs w:val="1"/>
          <w:i w:val="1"/>
          <w:iCs w:val="1"/>
          <w:color w:val="auto"/>
        </w:rPr>
        <w:t>Boxer Capital</w:t>
      </w:r>
      <w:r>
        <w:rPr>
          <w:rFonts w:ascii="Times New Roman" w:cs="Times New Roman" w:eastAsia="Times New Roman" w:hAnsi="Times New Roman"/>
          <w:sz w:val="18"/>
          <w:szCs w:val="18"/>
          <w:color w:val="auto"/>
        </w:rPr>
        <w:t>”) shall make available to the Company certain office space, secretarial and administrative services as may be required by the Company from time to time, situated at 11682 El Camino Real, Suite 320, San Diego, CA 92130 (or any successor location). In exchange therefore, the Company shall pay Boxer Capital a sum not to exceed $10,000 per month, respectively, on the Effective Date and continuing monthly thereafter until the Termination Date. Boxer Capital hereby agrees that it does not have any right, title, interest or claim of any kind in or to any monies that may be set aside in a trust account (the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that may be established by the Company for the benefit of the Company’s public stockholders upon the consummation of the IPO as described in the Registration Statement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9" w:name="page100"/>
    <w:bookmarkEnd w:id="99"/>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Aaron I. Davis</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Aaron I. Davis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BOXER CAPITAL,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Ellis</w:t>
            </w:r>
          </w:p>
        </w:tc>
        <w:tc>
          <w:tcPr>
            <w:tcW w:w="6740" w:type="dxa"/>
            <w:vAlign w:val="bottom"/>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Andrew Ellis</w:t>
            </w:r>
          </w:p>
        </w:tc>
        <w:tc>
          <w:tcPr>
            <w:tcW w:w="67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6740" w:type="dxa"/>
            <w:vAlign w:val="bottom"/>
          </w:tcPr>
          <w:p>
            <w:pPr>
              <w:spacing w:after="0"/>
              <w:rPr>
                <w:sz w:val="20"/>
                <w:szCs w:val="20"/>
                <w:color w:val="auto"/>
              </w:rPr>
            </w:pPr>
          </w:p>
        </w:tc>
      </w:tr>
      <w:tr>
        <w:trPr>
          <w:trHeight w:val="655"/>
        </w:trPr>
        <w:tc>
          <w:tcPr>
            <w:tcW w:w="5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September 2, 2020, by and between BCTG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Aaron I. Davis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75"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BCTG Holdings, LLC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both"/>
        <w:ind w:left="328" w:hanging="4"/>
        <w:spacing w:after="0" w:line="261" w:lineRule="auto"/>
        <w:tabs>
          <w:tab w:leader="none" w:pos="593"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53" w:lineRule="auto"/>
        <w:tabs>
          <w:tab w:leader="none" w:pos="65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Sponsor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7" w:lineRule="exact"/>
        <w:rPr>
          <w:rFonts w:ascii="Times New Roman" w:cs="Times New Roman" w:eastAsia="Times New Roman" w:hAnsi="Times New Roman"/>
          <w:sz w:val="18"/>
          <w:szCs w:val="18"/>
          <w:color w:val="auto"/>
        </w:rPr>
      </w:pPr>
    </w:p>
    <w:p>
      <w:pPr>
        <w:jc w:val="both"/>
        <w:ind w:left="328" w:hanging="4"/>
        <w:spacing w:after="0" w:line="261" w:lineRule="auto"/>
        <w:tabs>
          <w:tab w:leader="none" w:pos="66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66" w:lineRule="auto"/>
        <w:tabs>
          <w:tab w:leader="none" w:pos="59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71" w:lineRule="exact"/>
        <w:rPr>
          <w:rFonts w:ascii="Times New Roman" w:cs="Times New Roman" w:eastAsia="Times New Roman" w:hAnsi="Times New Roman"/>
          <w:sz w:val="18"/>
          <w:szCs w:val="18"/>
          <w:color w:val="auto"/>
        </w:rPr>
      </w:pPr>
    </w:p>
    <w:p>
      <w:pPr>
        <w:ind w:left="8" w:hanging="8"/>
        <w:spacing w:after="0" w:line="317" w:lineRule="auto"/>
        <w:tabs>
          <w:tab w:leader="none" w:pos="263"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Corporate Status</w:t>
      </w:r>
      <w:r>
        <w:rPr>
          <w:rFonts w:ascii="Times New Roman" w:cs="Times New Roman" w:eastAsia="Times New Roman" w:hAnsi="Times New Roman"/>
          <w:sz w:val="17"/>
          <w:szCs w:val="17"/>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35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03" w:name="page104"/>
    <w:bookmarkEnd w:id="103"/>
    <w:p>
      <w:pPr>
        <w:ind w:left="248" w:hanging="248"/>
        <w:spacing w:after="0"/>
        <w:tabs>
          <w:tab w:leader="none" w:pos="24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3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04" w:name="page105"/>
    <w:bookmarkEnd w:id="104"/>
    <w:p>
      <w:pPr>
        <w:jc w:val="both"/>
        <w:ind w:left="340" w:hanging="8"/>
        <w:spacing w:after="0" w:line="259" w:lineRule="auto"/>
        <w:tabs>
          <w:tab w:leader="none" w:pos="595"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1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both"/>
        <w:ind w:left="340" w:hanging="332"/>
        <w:spacing w:after="0" w:line="254"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ind w:left="340" w:hanging="332"/>
        <w:spacing w:after="0"/>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jc w:val="both"/>
        <w:ind w:left="340" w:hanging="8"/>
        <w:spacing w:after="0" w:line="258" w:lineRule="auto"/>
        <w:tabs>
          <w:tab w:leader="none" w:pos="604"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left="340" w:hanging="8"/>
        <w:spacing w:after="0" w:line="261" w:lineRule="auto"/>
        <w:tabs>
          <w:tab w:leader="none" w:pos="628"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ind w:left="340" w:right="20" w:hanging="8"/>
        <w:spacing w:after="0" w:line="282" w:lineRule="auto"/>
        <w:tabs>
          <w:tab w:leader="none" w:pos="591"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left="340" w:hanging="8"/>
        <w:spacing w:after="0" w:line="258" w:lineRule="auto"/>
        <w:tabs>
          <w:tab w:leader="none" w:pos="59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left="8" w:hanging="8"/>
        <w:spacing w:after="0" w:line="254" w:lineRule="auto"/>
        <w:tabs>
          <w:tab w:leader="none" w:pos="31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12" w:name="page113"/>
    <w:bookmarkEnd w:id="112"/>
    <w:p>
      <w:pPr>
        <w:jc w:val="both"/>
        <w:ind w:left="340" w:hanging="8"/>
        <w:spacing w:after="0" w:line="261" w:lineRule="auto"/>
        <w:tabs>
          <w:tab w:leader="none" w:pos="58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3" w:name="page114"/>
    <w:bookmarkEnd w:id="113"/>
    <w:p>
      <w:pPr>
        <w:jc w:val="both"/>
        <w:ind w:left="8" w:hanging="8"/>
        <w:spacing w:after="0" w:line="254" w:lineRule="auto"/>
        <w:tabs>
          <w:tab w:leader="none" w:pos="27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7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8" w:hanging="8"/>
        <w:spacing w:after="0" w:line="282" w:lineRule="auto"/>
        <w:tabs>
          <w:tab w:leader="none" w:pos="25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its affiliates or any other Person is secondary.</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14" w:name="page115"/>
    <w:bookmarkEnd w:id="114"/>
    <w:p>
      <w:pPr>
        <w:jc w:val="both"/>
        <w:ind w:left="340" w:hanging="332"/>
        <w:spacing w:after="0" w:line="257"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93"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2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59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5" w:name="page116"/>
    <w:bookmarkEnd w:id="115"/>
    <w:p>
      <w:pPr>
        <w:jc w:val="both"/>
        <w:ind w:left="340" w:hanging="8"/>
        <w:spacing w:after="0" w:line="261" w:lineRule="auto"/>
        <w:tabs>
          <w:tab w:leader="none" w:pos="59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2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Aaron I. Davis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left="340" w:hanging="332"/>
        <w:spacing w:after="0" w:line="254" w:lineRule="auto"/>
        <w:tabs>
          <w:tab w:leader="none" w:pos="3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left="340" w:hanging="332"/>
        <w:spacing w:after="0" w:line="268"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Christopher Fuglesang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Christopher Fuglesang</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Aaron I. Davis</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900" w:right="139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September 2, 2020, by and between BCTG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Andrew Ellis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75"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BCTG Holdings, LLC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jc w:val="both"/>
        <w:ind w:left="328" w:hanging="4"/>
        <w:spacing w:after="0" w:line="261" w:lineRule="auto"/>
        <w:tabs>
          <w:tab w:leader="none" w:pos="593"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53" w:lineRule="auto"/>
        <w:tabs>
          <w:tab w:leader="none" w:pos="65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Sponsor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7" w:lineRule="exact"/>
        <w:rPr>
          <w:rFonts w:ascii="Times New Roman" w:cs="Times New Roman" w:eastAsia="Times New Roman" w:hAnsi="Times New Roman"/>
          <w:sz w:val="18"/>
          <w:szCs w:val="18"/>
          <w:color w:val="auto"/>
        </w:rPr>
      </w:pPr>
    </w:p>
    <w:p>
      <w:pPr>
        <w:jc w:val="both"/>
        <w:ind w:left="328" w:hanging="4"/>
        <w:spacing w:after="0" w:line="261" w:lineRule="auto"/>
        <w:tabs>
          <w:tab w:leader="none" w:pos="66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66" w:lineRule="auto"/>
        <w:tabs>
          <w:tab w:leader="none" w:pos="596"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71" w:lineRule="exact"/>
        <w:rPr>
          <w:rFonts w:ascii="Times New Roman" w:cs="Times New Roman" w:eastAsia="Times New Roman" w:hAnsi="Times New Roman"/>
          <w:sz w:val="18"/>
          <w:szCs w:val="18"/>
          <w:color w:val="auto"/>
        </w:rPr>
      </w:pPr>
    </w:p>
    <w:p>
      <w:pPr>
        <w:ind w:left="8" w:hanging="8"/>
        <w:spacing w:after="0" w:line="317" w:lineRule="auto"/>
        <w:tabs>
          <w:tab w:leader="none" w:pos="263"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Corporate Status</w:t>
      </w:r>
      <w:r>
        <w:rPr>
          <w:rFonts w:ascii="Times New Roman" w:cs="Times New Roman" w:eastAsia="Times New Roman" w:hAnsi="Times New Roman"/>
          <w:sz w:val="17"/>
          <w:szCs w:val="17"/>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35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21" w:name="page122"/>
    <w:bookmarkEnd w:id="121"/>
    <w:p>
      <w:pPr>
        <w:ind w:left="248" w:hanging="248"/>
        <w:spacing w:after="0"/>
        <w:tabs>
          <w:tab w:leader="none" w:pos="24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3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22" w:name="page123"/>
    <w:bookmarkEnd w:id="122"/>
    <w:p>
      <w:pPr>
        <w:jc w:val="both"/>
        <w:ind w:left="340" w:hanging="8"/>
        <w:spacing w:after="0" w:line="259" w:lineRule="auto"/>
        <w:tabs>
          <w:tab w:leader="none" w:pos="595"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10"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3" w:name="page124"/>
    <w:bookmarkEnd w:id="123"/>
    <w:p>
      <w:pPr>
        <w:jc w:val="both"/>
        <w:ind w:left="340" w:hanging="332"/>
        <w:spacing w:after="0" w:line="254"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ind w:left="340" w:hanging="332"/>
        <w:spacing w:after="0"/>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5" w:name="page126"/>
    <w:bookmarkEnd w:id="125"/>
    <w:p>
      <w:pPr>
        <w:jc w:val="both"/>
        <w:ind w:left="340" w:hanging="8"/>
        <w:spacing w:after="0" w:line="258" w:lineRule="auto"/>
        <w:tabs>
          <w:tab w:leader="none" w:pos="60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left="340" w:hanging="8"/>
        <w:spacing w:after="0" w:line="261" w:lineRule="auto"/>
        <w:tabs>
          <w:tab w:leader="none" w:pos="628"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ind w:left="340" w:right="20" w:hanging="8"/>
        <w:spacing w:after="0" w:line="282" w:lineRule="auto"/>
        <w:tabs>
          <w:tab w:leader="none" w:pos="59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left="340" w:hanging="8"/>
        <w:spacing w:after="0" w:line="258" w:lineRule="auto"/>
        <w:tabs>
          <w:tab w:leader="none" w:pos="599"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jc w:val="both"/>
        <w:ind w:left="8" w:hanging="8"/>
        <w:spacing w:after="0" w:line="254" w:lineRule="auto"/>
        <w:tabs>
          <w:tab w:leader="none" w:pos="31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30" w:name="page131"/>
    <w:bookmarkEnd w:id="130"/>
    <w:p>
      <w:pPr>
        <w:jc w:val="both"/>
        <w:ind w:left="340" w:hanging="8"/>
        <w:spacing w:after="0" w:line="261" w:lineRule="auto"/>
        <w:tabs>
          <w:tab w:leader="none" w:pos="586"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left="8" w:hanging="8"/>
        <w:spacing w:after="0" w:line="254" w:lineRule="auto"/>
        <w:tabs>
          <w:tab w:leader="none" w:pos="273"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7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8" w:hanging="8"/>
        <w:spacing w:after="0" w:line="282" w:lineRule="auto"/>
        <w:tabs>
          <w:tab w:leader="none" w:pos="254"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its affiliates or any other Person is secondary.</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32" w:name="page133"/>
    <w:bookmarkEnd w:id="132"/>
    <w:p>
      <w:pPr>
        <w:jc w:val="both"/>
        <w:ind w:left="340" w:hanging="332"/>
        <w:spacing w:after="0" w:line="257"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9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27"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59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3" w:name="page134"/>
    <w:bookmarkEnd w:id="133"/>
    <w:p>
      <w:pPr>
        <w:jc w:val="both"/>
        <w:ind w:left="340" w:hanging="8"/>
        <w:spacing w:after="0" w:line="261" w:lineRule="auto"/>
        <w:tabs>
          <w:tab w:leader="none" w:pos="59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2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Aaron I. Davis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left="340" w:hanging="332"/>
        <w:spacing w:after="0" w:line="254" w:lineRule="auto"/>
        <w:tabs>
          <w:tab w:leader="none" w:pos="3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left="340" w:hanging="332"/>
        <w:spacing w:after="0" w:line="268"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Aaron I. Davis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Andrew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Andrew Ellis</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900" w:right="139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September 2, 2020, by and between BCTG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Charles M. Baum, MD, PhD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7" w:name="page138"/>
    <w:bookmarkEnd w:id="137"/>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75"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BCTG Holdings, LLC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8" w:name="page139"/>
    <w:bookmarkEnd w:id="138"/>
    <w:p>
      <w:pPr>
        <w:jc w:val="both"/>
        <w:ind w:left="328" w:hanging="4"/>
        <w:spacing w:after="0" w:line="261" w:lineRule="auto"/>
        <w:tabs>
          <w:tab w:leader="none" w:pos="593"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53" w:lineRule="auto"/>
        <w:tabs>
          <w:tab w:leader="none" w:pos="65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Sponsor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7" w:lineRule="exact"/>
        <w:rPr>
          <w:rFonts w:ascii="Times New Roman" w:cs="Times New Roman" w:eastAsia="Times New Roman" w:hAnsi="Times New Roman"/>
          <w:sz w:val="18"/>
          <w:szCs w:val="18"/>
          <w:color w:val="auto"/>
        </w:rPr>
      </w:pPr>
    </w:p>
    <w:p>
      <w:pPr>
        <w:jc w:val="both"/>
        <w:ind w:left="328" w:hanging="4"/>
        <w:spacing w:after="0" w:line="261" w:lineRule="auto"/>
        <w:tabs>
          <w:tab w:leader="none" w:pos="66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66" w:lineRule="auto"/>
        <w:tabs>
          <w:tab w:leader="none" w:pos="596"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71" w:lineRule="exact"/>
        <w:rPr>
          <w:rFonts w:ascii="Times New Roman" w:cs="Times New Roman" w:eastAsia="Times New Roman" w:hAnsi="Times New Roman"/>
          <w:sz w:val="18"/>
          <w:szCs w:val="18"/>
          <w:color w:val="auto"/>
        </w:rPr>
      </w:pPr>
    </w:p>
    <w:p>
      <w:pPr>
        <w:ind w:left="8" w:hanging="8"/>
        <w:spacing w:after="0" w:line="317" w:lineRule="auto"/>
        <w:tabs>
          <w:tab w:leader="none" w:pos="263"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Corporate Status</w:t>
      </w:r>
      <w:r>
        <w:rPr>
          <w:rFonts w:ascii="Times New Roman" w:cs="Times New Roman" w:eastAsia="Times New Roman" w:hAnsi="Times New Roman"/>
          <w:sz w:val="17"/>
          <w:szCs w:val="17"/>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35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39" w:name="page140"/>
    <w:bookmarkEnd w:id="139"/>
    <w:p>
      <w:pPr>
        <w:ind w:left="248" w:hanging="248"/>
        <w:spacing w:after="0"/>
        <w:tabs>
          <w:tab w:leader="none" w:pos="24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3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40" w:name="page141"/>
    <w:bookmarkEnd w:id="140"/>
    <w:p>
      <w:pPr>
        <w:jc w:val="both"/>
        <w:ind w:left="340" w:hanging="8"/>
        <w:spacing w:after="0" w:line="259" w:lineRule="auto"/>
        <w:tabs>
          <w:tab w:leader="none" w:pos="595"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1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1" w:name="page142"/>
    <w:bookmarkEnd w:id="141"/>
    <w:p>
      <w:pPr>
        <w:jc w:val="both"/>
        <w:ind w:left="340" w:hanging="332"/>
        <w:spacing w:after="0" w:line="254" w:lineRule="auto"/>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2" w:name="page143"/>
    <w:bookmarkEnd w:id="142"/>
    <w:p>
      <w:pPr>
        <w:ind w:left="340" w:hanging="332"/>
        <w:spacing w:after="0"/>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3" w:name="page144"/>
    <w:bookmarkEnd w:id="143"/>
    <w:p>
      <w:pPr>
        <w:jc w:val="both"/>
        <w:ind w:left="340" w:hanging="8"/>
        <w:spacing w:after="0" w:line="258" w:lineRule="auto"/>
        <w:tabs>
          <w:tab w:leader="none" w:pos="604"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left="340" w:hanging="8"/>
        <w:spacing w:after="0" w:line="261" w:lineRule="auto"/>
        <w:tabs>
          <w:tab w:leader="none" w:pos="62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p>
      <w:pPr>
        <w:ind w:left="340" w:right="20" w:hanging="8"/>
        <w:spacing w:after="0" w:line="282" w:lineRule="auto"/>
        <w:tabs>
          <w:tab w:leader="none" w:pos="591"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left="340" w:hanging="8"/>
        <w:spacing w:after="0" w:line="258" w:lineRule="auto"/>
        <w:tabs>
          <w:tab w:leader="none" w:pos="59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jc w:val="both"/>
        <w:ind w:left="8" w:hanging="8"/>
        <w:spacing w:after="0" w:line="254" w:lineRule="auto"/>
        <w:tabs>
          <w:tab w:leader="none" w:pos="31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48" w:name="page149"/>
    <w:bookmarkEnd w:id="148"/>
    <w:p>
      <w:pPr>
        <w:jc w:val="both"/>
        <w:ind w:left="340" w:hanging="8"/>
        <w:spacing w:after="0" w:line="261" w:lineRule="auto"/>
        <w:tabs>
          <w:tab w:leader="none" w:pos="58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left="8" w:hanging="8"/>
        <w:spacing w:after="0" w:line="254" w:lineRule="auto"/>
        <w:tabs>
          <w:tab w:leader="none" w:pos="273"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7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8" w:hanging="8"/>
        <w:spacing w:after="0" w:line="282" w:lineRule="auto"/>
        <w:tabs>
          <w:tab w:leader="none" w:pos="25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its affiliates or any other Person is secondary.</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50" w:name="page151"/>
    <w:bookmarkEnd w:id="150"/>
    <w:p>
      <w:pPr>
        <w:jc w:val="both"/>
        <w:ind w:left="340" w:hanging="332"/>
        <w:spacing w:after="0" w:line="257" w:lineRule="auto"/>
        <w:tabs>
          <w:tab w:leader="none" w:pos="3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93"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27"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59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1" w:name="page152"/>
    <w:bookmarkEnd w:id="151"/>
    <w:p>
      <w:pPr>
        <w:jc w:val="both"/>
        <w:ind w:left="340" w:hanging="8"/>
        <w:spacing w:after="0" w:line="261" w:lineRule="auto"/>
        <w:tabs>
          <w:tab w:leader="none" w:pos="595"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23"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Aaron I. Davis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left="340" w:hanging="332"/>
        <w:spacing w:after="0" w:line="254" w:lineRule="auto"/>
        <w:tabs>
          <w:tab w:leader="none" w:pos="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left="340" w:hanging="332"/>
        <w:spacing w:after="0" w:line="268"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Aaron I. Davis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Charles M.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Charles M. Baum</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900" w:right="139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September 2, 2020, by and between BCTG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Christopher Fuglesang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5" w:name="page156"/>
    <w:bookmarkEnd w:id="155"/>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75" w:val="left"/>
        </w:tabs>
        <w:numPr>
          <w:ilvl w:val="2"/>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BCTG Holdings, LLC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6" w:name="page157"/>
    <w:bookmarkEnd w:id="156"/>
    <w:p>
      <w:pPr>
        <w:jc w:val="both"/>
        <w:ind w:left="328" w:hanging="4"/>
        <w:spacing w:after="0" w:line="261" w:lineRule="auto"/>
        <w:tabs>
          <w:tab w:leader="none" w:pos="593"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53" w:lineRule="auto"/>
        <w:tabs>
          <w:tab w:leader="none" w:pos="65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Sponsor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7" w:lineRule="exact"/>
        <w:rPr>
          <w:rFonts w:ascii="Times New Roman" w:cs="Times New Roman" w:eastAsia="Times New Roman" w:hAnsi="Times New Roman"/>
          <w:sz w:val="18"/>
          <w:szCs w:val="18"/>
          <w:color w:val="auto"/>
        </w:rPr>
      </w:pPr>
    </w:p>
    <w:p>
      <w:pPr>
        <w:jc w:val="both"/>
        <w:ind w:left="328" w:hanging="4"/>
        <w:spacing w:after="0" w:line="261" w:lineRule="auto"/>
        <w:tabs>
          <w:tab w:leader="none" w:pos="660"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66" w:lineRule="auto"/>
        <w:tabs>
          <w:tab w:leader="none" w:pos="596"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71" w:lineRule="exact"/>
        <w:rPr>
          <w:rFonts w:ascii="Times New Roman" w:cs="Times New Roman" w:eastAsia="Times New Roman" w:hAnsi="Times New Roman"/>
          <w:sz w:val="18"/>
          <w:szCs w:val="18"/>
          <w:color w:val="auto"/>
        </w:rPr>
      </w:pPr>
    </w:p>
    <w:p>
      <w:pPr>
        <w:ind w:left="8" w:hanging="8"/>
        <w:spacing w:after="0" w:line="317" w:lineRule="auto"/>
        <w:tabs>
          <w:tab w:leader="none" w:pos="263"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Corporate Status</w:t>
      </w:r>
      <w:r>
        <w:rPr>
          <w:rFonts w:ascii="Times New Roman" w:cs="Times New Roman" w:eastAsia="Times New Roman" w:hAnsi="Times New Roman"/>
          <w:sz w:val="17"/>
          <w:szCs w:val="17"/>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35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57" w:name="page158"/>
    <w:bookmarkEnd w:id="157"/>
    <w:p>
      <w:pPr>
        <w:ind w:left="248" w:hanging="248"/>
        <w:spacing w:after="0"/>
        <w:tabs>
          <w:tab w:leader="none" w:pos="24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3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58" w:name="page159"/>
    <w:bookmarkEnd w:id="158"/>
    <w:p>
      <w:pPr>
        <w:jc w:val="both"/>
        <w:ind w:left="340" w:hanging="8"/>
        <w:spacing w:after="0" w:line="259" w:lineRule="auto"/>
        <w:tabs>
          <w:tab w:leader="none" w:pos="595"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10"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9" w:name="page160"/>
    <w:bookmarkEnd w:id="159"/>
    <w:p>
      <w:pPr>
        <w:jc w:val="both"/>
        <w:ind w:left="340" w:hanging="332"/>
        <w:spacing w:after="0" w:line="254" w:lineRule="auto"/>
        <w:tabs>
          <w:tab w:leader="none" w:pos="3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0" w:name="page161"/>
    <w:bookmarkEnd w:id="160"/>
    <w:p>
      <w:pPr>
        <w:ind w:left="340" w:hanging="332"/>
        <w:spacing w:after="0"/>
        <w:tabs>
          <w:tab w:leader="none" w:pos="3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1" w:name="page162"/>
    <w:bookmarkEnd w:id="161"/>
    <w:p>
      <w:pPr>
        <w:jc w:val="both"/>
        <w:ind w:left="340" w:hanging="8"/>
        <w:spacing w:after="0" w:line="258" w:lineRule="auto"/>
        <w:tabs>
          <w:tab w:leader="none" w:pos="604"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jc w:val="both"/>
        <w:ind w:left="340" w:hanging="8"/>
        <w:spacing w:after="0" w:line="261" w:lineRule="auto"/>
        <w:tabs>
          <w:tab w:leader="none" w:pos="62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ind w:left="340" w:right="20" w:hanging="8"/>
        <w:spacing w:after="0" w:line="282" w:lineRule="auto"/>
        <w:tabs>
          <w:tab w:leader="none" w:pos="591"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jc w:val="both"/>
        <w:ind w:left="340" w:hanging="8"/>
        <w:spacing w:after="0" w:line="258" w:lineRule="auto"/>
        <w:tabs>
          <w:tab w:leader="none" w:pos="599"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left="8" w:hanging="8"/>
        <w:spacing w:after="0" w:line="254" w:lineRule="auto"/>
        <w:tabs>
          <w:tab w:leader="none" w:pos="31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66" w:name="page167"/>
    <w:bookmarkEnd w:id="166"/>
    <w:p>
      <w:pPr>
        <w:jc w:val="both"/>
        <w:ind w:left="340" w:hanging="8"/>
        <w:spacing w:after="0" w:line="261" w:lineRule="auto"/>
        <w:tabs>
          <w:tab w:leader="none" w:pos="586"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7" w:name="page168"/>
    <w:bookmarkEnd w:id="167"/>
    <w:p>
      <w:pPr>
        <w:jc w:val="both"/>
        <w:ind w:left="8" w:hanging="8"/>
        <w:spacing w:after="0" w:line="254" w:lineRule="auto"/>
        <w:tabs>
          <w:tab w:leader="none" w:pos="273"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7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8" w:hanging="8"/>
        <w:spacing w:after="0" w:line="282" w:lineRule="auto"/>
        <w:tabs>
          <w:tab w:leader="none" w:pos="254"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its affiliates or any other Person is secondary.</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68" w:name="page169"/>
    <w:bookmarkEnd w:id="168"/>
    <w:p>
      <w:pPr>
        <w:jc w:val="both"/>
        <w:ind w:left="340" w:hanging="332"/>
        <w:spacing w:after="0" w:line="257" w:lineRule="auto"/>
        <w:tabs>
          <w:tab w:leader="none" w:pos="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93"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27"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59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9" w:name="page170"/>
    <w:bookmarkEnd w:id="169"/>
    <w:p>
      <w:pPr>
        <w:jc w:val="both"/>
        <w:ind w:left="340" w:hanging="8"/>
        <w:spacing w:after="0" w:line="261" w:lineRule="auto"/>
        <w:tabs>
          <w:tab w:leader="none" w:pos="595"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23"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Aaron I. Davis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left="340" w:hanging="332"/>
        <w:spacing w:after="0" w:line="254" w:lineRule="auto"/>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0" w:name="page171"/>
    <w:bookmarkEnd w:id="170"/>
    <w:p>
      <w:pPr>
        <w:jc w:val="both"/>
        <w:ind w:left="340" w:hanging="332"/>
        <w:spacing w:after="0" w:line="268"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Aaron I. Davis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Christopher Fuglesang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Christopher Fuglesang</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900" w:right="1399" w:bottom="1440" w:gutter="0" w:footer="0" w:header="0"/>
        </w:sectPr>
      </w:pPr>
    </w:p>
    <w:bookmarkStart w:id="172" w:name="page173"/>
    <w:bookmarkEnd w:id="172"/>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September 2, 2020, by and between BCTG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Carole L. Nuechterlein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3" w:name="page174"/>
    <w:bookmarkEnd w:id="173"/>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75"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BCTG Holdings, LLC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4" w:name="page175"/>
    <w:bookmarkEnd w:id="174"/>
    <w:p>
      <w:pPr>
        <w:jc w:val="both"/>
        <w:ind w:left="328" w:hanging="4"/>
        <w:spacing w:after="0" w:line="261" w:lineRule="auto"/>
        <w:tabs>
          <w:tab w:leader="none" w:pos="593"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53" w:lineRule="auto"/>
        <w:tabs>
          <w:tab w:leader="none" w:pos="65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Sponsor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7" w:lineRule="exact"/>
        <w:rPr>
          <w:rFonts w:ascii="Times New Roman" w:cs="Times New Roman" w:eastAsia="Times New Roman" w:hAnsi="Times New Roman"/>
          <w:sz w:val="18"/>
          <w:szCs w:val="18"/>
          <w:color w:val="auto"/>
        </w:rPr>
      </w:pPr>
    </w:p>
    <w:p>
      <w:pPr>
        <w:jc w:val="both"/>
        <w:ind w:left="328" w:hanging="4"/>
        <w:spacing w:after="0" w:line="261" w:lineRule="auto"/>
        <w:tabs>
          <w:tab w:leader="none" w:pos="66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66" w:lineRule="auto"/>
        <w:tabs>
          <w:tab w:leader="none" w:pos="59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71" w:lineRule="exact"/>
        <w:rPr>
          <w:rFonts w:ascii="Times New Roman" w:cs="Times New Roman" w:eastAsia="Times New Roman" w:hAnsi="Times New Roman"/>
          <w:sz w:val="18"/>
          <w:szCs w:val="18"/>
          <w:color w:val="auto"/>
        </w:rPr>
      </w:pPr>
    </w:p>
    <w:p>
      <w:pPr>
        <w:ind w:left="8" w:hanging="8"/>
        <w:spacing w:after="0" w:line="317" w:lineRule="auto"/>
        <w:tabs>
          <w:tab w:leader="none" w:pos="263" w:val="left"/>
        </w:tabs>
        <w:numPr>
          <w:ilvl w:val="0"/>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Corporate Status</w:t>
      </w:r>
      <w:r>
        <w:rPr>
          <w:rFonts w:ascii="Times New Roman" w:cs="Times New Roman" w:eastAsia="Times New Roman" w:hAnsi="Times New Roman"/>
          <w:sz w:val="17"/>
          <w:szCs w:val="17"/>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35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75" w:name="page176"/>
    <w:bookmarkEnd w:id="175"/>
    <w:p>
      <w:pPr>
        <w:ind w:left="248" w:hanging="248"/>
        <w:spacing w:after="0"/>
        <w:tabs>
          <w:tab w:leader="none" w:pos="24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3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76" w:name="page177"/>
    <w:bookmarkEnd w:id="176"/>
    <w:p>
      <w:pPr>
        <w:jc w:val="both"/>
        <w:ind w:left="340" w:hanging="8"/>
        <w:spacing w:after="0" w:line="259" w:lineRule="auto"/>
        <w:tabs>
          <w:tab w:leader="none" w:pos="595"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10"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7" w:name="page178"/>
    <w:bookmarkEnd w:id="177"/>
    <w:p>
      <w:pPr>
        <w:jc w:val="both"/>
        <w:ind w:left="340" w:hanging="332"/>
        <w:spacing w:after="0" w:line="254" w:lineRule="auto"/>
        <w:tabs>
          <w:tab w:leader="none" w:pos="3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8" w:name="page179"/>
    <w:bookmarkEnd w:id="178"/>
    <w:p>
      <w:pPr>
        <w:ind w:left="340" w:hanging="332"/>
        <w:spacing w:after="0"/>
        <w:tabs>
          <w:tab w:leader="none" w:pos="3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9" w:name="page180"/>
    <w:bookmarkEnd w:id="179"/>
    <w:p>
      <w:pPr>
        <w:jc w:val="both"/>
        <w:ind w:left="340" w:hanging="8"/>
        <w:spacing w:after="0" w:line="258" w:lineRule="auto"/>
        <w:tabs>
          <w:tab w:leader="none" w:pos="604"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0" w:name="page181"/>
    <w:bookmarkEnd w:id="180"/>
    <w:p>
      <w:pPr>
        <w:jc w:val="both"/>
        <w:ind w:left="340" w:hanging="8"/>
        <w:spacing w:after="0" w:line="261" w:lineRule="auto"/>
        <w:tabs>
          <w:tab w:leader="none" w:pos="62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ind w:left="340" w:right="20" w:hanging="8"/>
        <w:spacing w:after="0" w:line="282" w:lineRule="auto"/>
        <w:tabs>
          <w:tab w:leader="none" w:pos="591"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2" w:name="page183"/>
    <w:bookmarkEnd w:id="182"/>
    <w:p>
      <w:pPr>
        <w:jc w:val="both"/>
        <w:ind w:left="340" w:hanging="8"/>
        <w:spacing w:after="0" w:line="258" w:lineRule="auto"/>
        <w:tabs>
          <w:tab w:leader="none" w:pos="59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jc w:val="both"/>
        <w:ind w:left="8" w:hanging="8"/>
        <w:spacing w:after="0" w:line="254" w:lineRule="auto"/>
        <w:tabs>
          <w:tab w:leader="none" w:pos="31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84" w:name="page185"/>
    <w:bookmarkEnd w:id="184"/>
    <w:p>
      <w:pPr>
        <w:jc w:val="both"/>
        <w:ind w:left="340" w:hanging="8"/>
        <w:spacing w:after="0" w:line="261" w:lineRule="auto"/>
        <w:tabs>
          <w:tab w:leader="none" w:pos="586"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jc w:val="both"/>
        <w:ind w:left="8" w:hanging="8"/>
        <w:spacing w:after="0" w:line="254" w:lineRule="auto"/>
        <w:tabs>
          <w:tab w:leader="none" w:pos="273"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9"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76"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8" w:hanging="8"/>
        <w:spacing w:after="0" w:line="282" w:lineRule="auto"/>
        <w:tabs>
          <w:tab w:leader="none" w:pos="254"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its affiliates or any other Person is secondary.</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86" w:name="page187"/>
    <w:bookmarkEnd w:id="186"/>
    <w:p>
      <w:pPr>
        <w:jc w:val="both"/>
        <w:ind w:left="340" w:hanging="332"/>
        <w:spacing w:after="0" w:line="257" w:lineRule="auto"/>
        <w:tabs>
          <w:tab w:leader="none" w:pos="3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93"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27"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59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7" w:name="page188"/>
    <w:bookmarkEnd w:id="187"/>
    <w:p>
      <w:pPr>
        <w:jc w:val="both"/>
        <w:ind w:left="340" w:hanging="8"/>
        <w:spacing w:after="0" w:line="261" w:lineRule="auto"/>
        <w:tabs>
          <w:tab w:leader="none" w:pos="595"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23"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Aaron I. Davis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left="340" w:hanging="332"/>
        <w:spacing w:after="0" w:line="254" w:lineRule="auto"/>
        <w:tabs>
          <w:tab w:leader="none" w:pos="34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left="340" w:hanging="332"/>
        <w:spacing w:after="0" w:line="268" w:lineRule="auto"/>
        <w:tabs>
          <w:tab w:leader="none" w:pos="3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Aaron I. Davis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Carole L. Nuechterlein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Carole L. Nuechterlein</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900" w:right="139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September 2, 2020, by and between BCTG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Jamie G. Christensen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1" w:name="page192"/>
    <w:bookmarkEnd w:id="191"/>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75" w:val="left"/>
        </w:tabs>
        <w:numPr>
          <w:ilvl w:val="2"/>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BCTG Holdings, LLC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2" w:name="page193"/>
    <w:bookmarkEnd w:id="192"/>
    <w:p>
      <w:pPr>
        <w:jc w:val="both"/>
        <w:ind w:left="328" w:hanging="4"/>
        <w:spacing w:after="0" w:line="261" w:lineRule="auto"/>
        <w:tabs>
          <w:tab w:leader="none" w:pos="593"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53" w:lineRule="auto"/>
        <w:tabs>
          <w:tab w:leader="none" w:pos="65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Sponsor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7" w:lineRule="exact"/>
        <w:rPr>
          <w:rFonts w:ascii="Times New Roman" w:cs="Times New Roman" w:eastAsia="Times New Roman" w:hAnsi="Times New Roman"/>
          <w:sz w:val="18"/>
          <w:szCs w:val="18"/>
          <w:color w:val="auto"/>
        </w:rPr>
      </w:pPr>
    </w:p>
    <w:p>
      <w:pPr>
        <w:jc w:val="both"/>
        <w:ind w:left="328" w:hanging="4"/>
        <w:spacing w:after="0" w:line="261" w:lineRule="auto"/>
        <w:tabs>
          <w:tab w:leader="none" w:pos="66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66" w:lineRule="auto"/>
        <w:tabs>
          <w:tab w:leader="none" w:pos="59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71" w:lineRule="exact"/>
        <w:rPr>
          <w:rFonts w:ascii="Times New Roman" w:cs="Times New Roman" w:eastAsia="Times New Roman" w:hAnsi="Times New Roman"/>
          <w:sz w:val="18"/>
          <w:szCs w:val="18"/>
          <w:color w:val="auto"/>
        </w:rPr>
      </w:pPr>
    </w:p>
    <w:p>
      <w:pPr>
        <w:ind w:left="8" w:hanging="8"/>
        <w:spacing w:after="0" w:line="317" w:lineRule="auto"/>
        <w:tabs>
          <w:tab w:leader="none" w:pos="263"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Corporate Status</w:t>
      </w:r>
      <w:r>
        <w:rPr>
          <w:rFonts w:ascii="Times New Roman" w:cs="Times New Roman" w:eastAsia="Times New Roman" w:hAnsi="Times New Roman"/>
          <w:sz w:val="17"/>
          <w:szCs w:val="17"/>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35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193" w:name="page194"/>
    <w:bookmarkEnd w:id="193"/>
    <w:p>
      <w:pPr>
        <w:ind w:left="248" w:hanging="248"/>
        <w:spacing w:after="0"/>
        <w:tabs>
          <w:tab w:leader="none" w:pos="24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3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194" w:name="page195"/>
    <w:bookmarkEnd w:id="194"/>
    <w:p>
      <w:pPr>
        <w:jc w:val="both"/>
        <w:ind w:left="340" w:hanging="8"/>
        <w:spacing w:after="0" w:line="259" w:lineRule="auto"/>
        <w:tabs>
          <w:tab w:leader="none" w:pos="595"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1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5" w:name="page196"/>
    <w:bookmarkEnd w:id="195"/>
    <w:p>
      <w:pPr>
        <w:jc w:val="both"/>
        <w:ind w:left="340" w:hanging="332"/>
        <w:spacing w:after="0" w:line="254" w:lineRule="auto"/>
        <w:tabs>
          <w:tab w:leader="none" w:pos="3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6" w:name="page197"/>
    <w:bookmarkEnd w:id="196"/>
    <w:p>
      <w:pPr>
        <w:ind w:left="340" w:hanging="332"/>
        <w:spacing w:after="0"/>
        <w:tabs>
          <w:tab w:leader="none" w:pos="3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7" w:name="page198"/>
    <w:bookmarkEnd w:id="197"/>
    <w:p>
      <w:pPr>
        <w:jc w:val="both"/>
        <w:ind w:left="340" w:hanging="8"/>
        <w:spacing w:after="0" w:line="258" w:lineRule="auto"/>
        <w:tabs>
          <w:tab w:leader="none" w:pos="604"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8" w:name="page199"/>
    <w:bookmarkEnd w:id="198"/>
    <w:p>
      <w:pPr>
        <w:jc w:val="both"/>
        <w:ind w:left="340" w:hanging="8"/>
        <w:spacing w:after="0" w:line="261" w:lineRule="auto"/>
        <w:tabs>
          <w:tab w:leader="none" w:pos="62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9" w:name="page200"/>
    <w:bookmarkEnd w:id="199"/>
    <w:p>
      <w:pPr>
        <w:ind w:left="340" w:right="20" w:hanging="8"/>
        <w:spacing w:after="0" w:line="282" w:lineRule="auto"/>
        <w:tabs>
          <w:tab w:leader="none" w:pos="591"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0" w:name="page201"/>
    <w:bookmarkEnd w:id="200"/>
    <w:p>
      <w:pPr>
        <w:jc w:val="both"/>
        <w:ind w:left="340" w:hanging="8"/>
        <w:spacing w:after="0" w:line="258" w:lineRule="auto"/>
        <w:tabs>
          <w:tab w:leader="none" w:pos="599"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1" w:name="page202"/>
    <w:bookmarkEnd w:id="201"/>
    <w:p>
      <w:pPr>
        <w:jc w:val="both"/>
        <w:ind w:left="8" w:hanging="8"/>
        <w:spacing w:after="0" w:line="254" w:lineRule="auto"/>
        <w:tabs>
          <w:tab w:leader="none" w:pos="31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02" w:name="page203"/>
    <w:bookmarkEnd w:id="202"/>
    <w:p>
      <w:pPr>
        <w:jc w:val="both"/>
        <w:ind w:left="340" w:hanging="8"/>
        <w:spacing w:after="0" w:line="261" w:lineRule="auto"/>
        <w:tabs>
          <w:tab w:leader="none" w:pos="586"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3" w:name="page204"/>
    <w:bookmarkEnd w:id="203"/>
    <w:p>
      <w:pPr>
        <w:jc w:val="both"/>
        <w:ind w:left="8" w:hanging="8"/>
        <w:spacing w:after="0" w:line="254" w:lineRule="auto"/>
        <w:tabs>
          <w:tab w:leader="none" w:pos="27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9"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76"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8" w:hanging="8"/>
        <w:spacing w:after="0" w:line="282" w:lineRule="auto"/>
        <w:tabs>
          <w:tab w:leader="none" w:pos="25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its affiliates or any other Person is secondary.</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04" w:name="page205"/>
    <w:bookmarkEnd w:id="204"/>
    <w:p>
      <w:pPr>
        <w:jc w:val="both"/>
        <w:ind w:left="340" w:hanging="332"/>
        <w:spacing w:after="0" w:line="257" w:lineRule="auto"/>
        <w:tabs>
          <w:tab w:leader="none" w:pos="3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93"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27"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596"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5" w:name="page206"/>
    <w:bookmarkEnd w:id="205"/>
    <w:p>
      <w:pPr>
        <w:jc w:val="both"/>
        <w:ind w:left="340" w:hanging="8"/>
        <w:spacing w:after="0" w:line="261" w:lineRule="auto"/>
        <w:tabs>
          <w:tab w:leader="none" w:pos="595"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23"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Aaron I. Davis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left="340" w:hanging="332"/>
        <w:spacing w:after="0" w:line="254" w:lineRule="auto"/>
        <w:tabs>
          <w:tab w:leader="none" w:pos="3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jc w:val="both"/>
        <w:ind w:left="340" w:hanging="332"/>
        <w:spacing w:after="0" w:line="268" w:lineRule="auto"/>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Aaron I. Davis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Jamie G.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Jamie G. Christensen</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900" w:right="139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September 2, 2020, by and between BCTG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Michael Beauchamp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9" w:name="page210"/>
    <w:bookmarkEnd w:id="209"/>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75" w:val="left"/>
        </w:tabs>
        <w:numPr>
          <w:ilvl w:val="2"/>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BCTG Holdings, LLC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0" w:name="page211"/>
    <w:bookmarkEnd w:id="210"/>
    <w:p>
      <w:pPr>
        <w:jc w:val="both"/>
        <w:ind w:left="328" w:hanging="4"/>
        <w:spacing w:after="0" w:line="261" w:lineRule="auto"/>
        <w:tabs>
          <w:tab w:leader="none" w:pos="593"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53" w:lineRule="auto"/>
        <w:tabs>
          <w:tab w:leader="none" w:pos="65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Sponsor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7" w:lineRule="exact"/>
        <w:rPr>
          <w:rFonts w:ascii="Times New Roman" w:cs="Times New Roman" w:eastAsia="Times New Roman" w:hAnsi="Times New Roman"/>
          <w:sz w:val="18"/>
          <w:szCs w:val="18"/>
          <w:color w:val="auto"/>
        </w:rPr>
      </w:pPr>
    </w:p>
    <w:p>
      <w:pPr>
        <w:jc w:val="both"/>
        <w:ind w:left="328" w:hanging="4"/>
        <w:spacing w:after="0" w:line="261" w:lineRule="auto"/>
        <w:tabs>
          <w:tab w:leader="none" w:pos="66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66" w:lineRule="auto"/>
        <w:tabs>
          <w:tab w:leader="none" w:pos="59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71" w:lineRule="exact"/>
        <w:rPr>
          <w:rFonts w:ascii="Times New Roman" w:cs="Times New Roman" w:eastAsia="Times New Roman" w:hAnsi="Times New Roman"/>
          <w:sz w:val="18"/>
          <w:szCs w:val="18"/>
          <w:color w:val="auto"/>
        </w:rPr>
      </w:pPr>
    </w:p>
    <w:p>
      <w:pPr>
        <w:ind w:left="8" w:hanging="8"/>
        <w:spacing w:after="0" w:line="317" w:lineRule="auto"/>
        <w:tabs>
          <w:tab w:leader="none" w:pos="263"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Corporate Status</w:t>
      </w:r>
      <w:r>
        <w:rPr>
          <w:rFonts w:ascii="Times New Roman" w:cs="Times New Roman" w:eastAsia="Times New Roman" w:hAnsi="Times New Roman"/>
          <w:sz w:val="17"/>
          <w:szCs w:val="17"/>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35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11" w:name="page212"/>
    <w:bookmarkEnd w:id="211"/>
    <w:p>
      <w:pPr>
        <w:ind w:left="248" w:hanging="248"/>
        <w:spacing w:after="0"/>
        <w:tabs>
          <w:tab w:leader="none" w:pos="24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33"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212" w:name="page213"/>
    <w:bookmarkEnd w:id="212"/>
    <w:p>
      <w:pPr>
        <w:jc w:val="both"/>
        <w:ind w:left="340" w:hanging="8"/>
        <w:spacing w:after="0" w:line="259" w:lineRule="auto"/>
        <w:tabs>
          <w:tab w:leader="none" w:pos="595"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1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3" w:name="page214"/>
    <w:bookmarkEnd w:id="213"/>
    <w:p>
      <w:pPr>
        <w:jc w:val="both"/>
        <w:ind w:left="340" w:hanging="332"/>
        <w:spacing w:after="0" w:line="254" w:lineRule="auto"/>
        <w:tabs>
          <w:tab w:leader="none" w:pos="3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4" w:name="page215"/>
    <w:bookmarkEnd w:id="214"/>
    <w:p>
      <w:pPr>
        <w:ind w:left="340" w:hanging="332"/>
        <w:spacing w:after="0"/>
        <w:tabs>
          <w:tab w:leader="none" w:pos="3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5" w:name="page216"/>
    <w:bookmarkEnd w:id="215"/>
    <w:p>
      <w:pPr>
        <w:jc w:val="both"/>
        <w:ind w:left="340" w:hanging="8"/>
        <w:spacing w:after="0" w:line="258" w:lineRule="auto"/>
        <w:tabs>
          <w:tab w:leader="none" w:pos="604"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6" w:name="page217"/>
    <w:bookmarkEnd w:id="216"/>
    <w:p>
      <w:pPr>
        <w:jc w:val="both"/>
        <w:ind w:left="340" w:hanging="8"/>
        <w:spacing w:after="0" w:line="261" w:lineRule="auto"/>
        <w:tabs>
          <w:tab w:leader="none" w:pos="628"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ind w:left="340" w:right="20" w:hanging="8"/>
        <w:spacing w:after="0" w:line="282" w:lineRule="auto"/>
        <w:tabs>
          <w:tab w:leader="none" w:pos="591"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8" w:name="page219"/>
    <w:bookmarkEnd w:id="218"/>
    <w:p>
      <w:pPr>
        <w:jc w:val="both"/>
        <w:ind w:left="340" w:hanging="8"/>
        <w:spacing w:after="0" w:line="258" w:lineRule="auto"/>
        <w:tabs>
          <w:tab w:leader="none" w:pos="599"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9" w:name="page220"/>
    <w:bookmarkEnd w:id="219"/>
    <w:p>
      <w:pPr>
        <w:jc w:val="both"/>
        <w:ind w:left="8" w:hanging="8"/>
        <w:spacing w:after="0" w:line="254" w:lineRule="auto"/>
        <w:tabs>
          <w:tab w:leader="none" w:pos="313"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20" w:name="page221"/>
    <w:bookmarkEnd w:id="220"/>
    <w:p>
      <w:pPr>
        <w:jc w:val="both"/>
        <w:ind w:left="340" w:hanging="8"/>
        <w:spacing w:after="0" w:line="261" w:lineRule="auto"/>
        <w:tabs>
          <w:tab w:leader="none" w:pos="58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1" w:name="page222"/>
    <w:bookmarkEnd w:id="221"/>
    <w:p>
      <w:pPr>
        <w:jc w:val="both"/>
        <w:ind w:left="8" w:hanging="8"/>
        <w:spacing w:after="0" w:line="254" w:lineRule="auto"/>
        <w:tabs>
          <w:tab w:leader="none" w:pos="273"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7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8" w:hanging="8"/>
        <w:spacing w:after="0" w:line="282" w:lineRule="auto"/>
        <w:tabs>
          <w:tab w:leader="none" w:pos="254"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its affiliates or any other Person is secondary.</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22" w:name="page223"/>
    <w:bookmarkEnd w:id="222"/>
    <w:p>
      <w:pPr>
        <w:jc w:val="both"/>
        <w:ind w:left="340" w:hanging="332"/>
        <w:spacing w:after="0" w:line="257" w:lineRule="auto"/>
        <w:tabs>
          <w:tab w:leader="none" w:pos="3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93"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27"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596"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3" w:name="page224"/>
    <w:bookmarkEnd w:id="223"/>
    <w:p>
      <w:pPr>
        <w:jc w:val="both"/>
        <w:ind w:left="340" w:hanging="8"/>
        <w:spacing w:after="0" w:line="261" w:lineRule="auto"/>
        <w:tabs>
          <w:tab w:leader="none" w:pos="595"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23"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Aaron I. Davis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left="340" w:hanging="332"/>
        <w:spacing w:after="0" w:line="254" w:lineRule="auto"/>
        <w:tabs>
          <w:tab w:leader="none" w:pos="3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left="340" w:hanging="332"/>
        <w:spacing w:after="0" w:line="268" w:lineRule="auto"/>
        <w:tabs>
          <w:tab w:leader="none" w:pos="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Aaron I. Davis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Michael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Michael Beauchamp</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900" w:right="1399" w:bottom="1440" w:gutter="0" w:footer="0" w:header="0"/>
        </w:sectPr>
      </w:pPr>
    </w:p>
    <w:bookmarkStart w:id="226" w:name="page227"/>
    <w:bookmarkEnd w:id="226"/>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September 2, 2020, by and between BCTG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Richard Heyman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(as defined below)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7" w:name="page228"/>
    <w:bookmarkEnd w:id="227"/>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defined below)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75" w:val="left"/>
        </w:tabs>
        <w:numPr>
          <w:ilvl w:val="2"/>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BCTG Holdings, LLC (“</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or an affiliate thereof, any Person (as defined below)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(as defined below) and such acquisition would not constitute a Change in Control under part (iii) of this definition;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8" w:name="page229"/>
    <w:bookmarkEnd w:id="228"/>
    <w:p>
      <w:pPr>
        <w:jc w:val="both"/>
        <w:ind w:left="328" w:hanging="4"/>
        <w:spacing w:after="0" w:line="261" w:lineRule="auto"/>
        <w:tabs>
          <w:tab w:leader="none" w:pos="593"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53" w:lineRule="auto"/>
        <w:tabs>
          <w:tab w:leader="none" w:pos="656"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the Sponsor or an affiliate thereof,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7" w:lineRule="exact"/>
        <w:rPr>
          <w:rFonts w:ascii="Times New Roman" w:cs="Times New Roman" w:eastAsia="Times New Roman" w:hAnsi="Times New Roman"/>
          <w:sz w:val="18"/>
          <w:szCs w:val="18"/>
          <w:color w:val="auto"/>
        </w:rPr>
      </w:pPr>
    </w:p>
    <w:p>
      <w:pPr>
        <w:jc w:val="both"/>
        <w:ind w:left="328" w:hanging="4"/>
        <w:spacing w:after="0" w:line="261" w:lineRule="auto"/>
        <w:tabs>
          <w:tab w:leader="none" w:pos="66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328" w:hanging="4"/>
        <w:spacing w:after="0" w:line="266" w:lineRule="auto"/>
        <w:tabs>
          <w:tab w:leader="none" w:pos="596"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(as defined below), whether or not the Company is then subject to such reporting requirement.</w:t>
      </w:r>
    </w:p>
    <w:p>
      <w:pPr>
        <w:spacing w:after="0" w:line="171" w:lineRule="exact"/>
        <w:rPr>
          <w:rFonts w:ascii="Times New Roman" w:cs="Times New Roman" w:eastAsia="Times New Roman" w:hAnsi="Times New Roman"/>
          <w:sz w:val="18"/>
          <w:szCs w:val="18"/>
          <w:color w:val="auto"/>
        </w:rPr>
      </w:pPr>
    </w:p>
    <w:p>
      <w:pPr>
        <w:ind w:left="8" w:hanging="8"/>
        <w:spacing w:after="0" w:line="317" w:lineRule="auto"/>
        <w:tabs>
          <w:tab w:leader="none" w:pos="263" w:val="left"/>
        </w:tabs>
        <w:numPr>
          <w:ilvl w:val="0"/>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Corporate Status</w:t>
      </w:r>
      <w:r>
        <w:rPr>
          <w:rFonts w:ascii="Times New Roman" w:cs="Times New Roman" w:eastAsia="Times New Roman" w:hAnsi="Times New Roman"/>
          <w:sz w:val="17"/>
          <w:szCs w:val="17"/>
          <w:color w:val="auto"/>
        </w:rPr>
        <w:t>” describes the status of a person who is or was a director, officer, trustee, general partner, manager, managing member, fiduciary, employee or agent of the Company or of any other Enterprise (as defined below) which such person is or was serving at the request of the Company.</w:t>
      </w:r>
    </w:p>
    <w:p>
      <w:pPr>
        <w:spacing w:after="0" w:line="35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29" w:name="page230"/>
    <w:bookmarkEnd w:id="229"/>
    <w:p>
      <w:pPr>
        <w:ind w:left="248" w:hanging="248"/>
        <w:spacing w:after="0"/>
        <w:tabs>
          <w:tab w:leader="none" w:pos="24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3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(as defined below)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(as defined below), including reasonable compensation for time spent by the Indemnitee for which he or she is not otherwise compensated by the Company or any third party. Expenses also shall include Expenses incurred in connection with any appeal resulting from any Proceeding (as defined below),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200" w:lineRule="exact"/>
        <w:rPr>
          <w:sz w:val="20"/>
          <w:szCs w:val="20"/>
          <w:color w:val="auto"/>
        </w:rPr>
      </w:pPr>
    </w:p>
    <w:p>
      <w:pPr>
        <w:spacing w:after="0" w:line="20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230" w:name="page231"/>
    <w:bookmarkEnd w:id="230"/>
    <w:p>
      <w:pPr>
        <w:jc w:val="both"/>
        <w:ind w:left="340" w:hanging="8"/>
        <w:spacing w:after="0" w:line="259" w:lineRule="auto"/>
        <w:tabs>
          <w:tab w:leader="none" w:pos="595"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10"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(as defined below)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(as defined below) of the Company; (iii) any employment benefit plan of the Company or of a Subsidiary (as defined below)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(as defined below)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1" w:name="page232"/>
    <w:bookmarkEnd w:id="231"/>
    <w:p>
      <w:pPr>
        <w:jc w:val="both"/>
        <w:ind w:left="340" w:hanging="332"/>
        <w:spacing w:after="0" w:line="254" w:lineRule="auto"/>
        <w:tabs>
          <w:tab w:leader="none" w:pos="3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2" w:name="page233"/>
    <w:bookmarkEnd w:id="232"/>
    <w:p>
      <w:pPr>
        <w:ind w:left="340" w:hanging="332"/>
        <w:spacing w:after="0"/>
        <w:tabs>
          <w:tab w:leader="none" w:pos="3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3" w:name="page234"/>
    <w:bookmarkEnd w:id="233"/>
    <w:p>
      <w:pPr>
        <w:jc w:val="both"/>
        <w:ind w:left="340" w:hanging="8"/>
        <w:spacing w:after="0" w:line="258" w:lineRule="auto"/>
        <w:tabs>
          <w:tab w:leader="none" w:pos="604"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4" w:name="page235"/>
    <w:bookmarkEnd w:id="234"/>
    <w:p>
      <w:pPr>
        <w:jc w:val="both"/>
        <w:ind w:left="340" w:hanging="8"/>
        <w:spacing w:after="0" w:line="261" w:lineRule="auto"/>
        <w:tabs>
          <w:tab w:leader="none" w:pos="628"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5" w:name="page236"/>
    <w:bookmarkEnd w:id="235"/>
    <w:p>
      <w:pPr>
        <w:ind w:left="340" w:right="20" w:hanging="8"/>
        <w:spacing w:after="0" w:line="282" w:lineRule="auto"/>
        <w:tabs>
          <w:tab w:leader="none" w:pos="591"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6" w:name="page237"/>
    <w:bookmarkEnd w:id="236"/>
    <w:p>
      <w:pPr>
        <w:jc w:val="both"/>
        <w:ind w:left="340" w:hanging="8"/>
        <w:spacing w:after="0" w:line="258" w:lineRule="auto"/>
        <w:tabs>
          <w:tab w:leader="none" w:pos="599"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7" w:name="page238"/>
    <w:bookmarkEnd w:id="237"/>
    <w:p>
      <w:pPr>
        <w:jc w:val="both"/>
        <w:ind w:left="8" w:hanging="8"/>
        <w:spacing w:after="0" w:line="254" w:lineRule="auto"/>
        <w:tabs>
          <w:tab w:leader="none" w:pos="313"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200" w:lineRule="exact"/>
        <w:rPr>
          <w:sz w:val="20"/>
          <w:szCs w:val="20"/>
          <w:color w:val="auto"/>
        </w:rPr>
      </w:pPr>
    </w:p>
    <w:p>
      <w:pPr>
        <w:spacing w:after="0" w:line="20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38" w:name="page239"/>
    <w:bookmarkEnd w:id="238"/>
    <w:p>
      <w:pPr>
        <w:jc w:val="both"/>
        <w:ind w:left="340" w:hanging="8"/>
        <w:spacing w:after="0" w:line="261" w:lineRule="auto"/>
        <w:tabs>
          <w:tab w:leader="none" w:pos="58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9" w:name="page240"/>
    <w:bookmarkEnd w:id="239"/>
    <w:p>
      <w:pPr>
        <w:jc w:val="both"/>
        <w:ind w:left="8" w:hanging="8"/>
        <w:spacing w:after="0" w:line="254" w:lineRule="auto"/>
        <w:tabs>
          <w:tab w:leader="none" w:pos="273"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9"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7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8" w:hanging="8"/>
        <w:spacing w:after="0" w:line="282" w:lineRule="auto"/>
        <w:tabs>
          <w:tab w:leader="none" w:pos="25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the Sponsor, its affiliates or any other Person is secondary.</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40" w:name="page241"/>
    <w:bookmarkEnd w:id="240"/>
    <w:p>
      <w:pPr>
        <w:jc w:val="both"/>
        <w:ind w:left="340" w:hanging="332"/>
        <w:spacing w:after="0" w:line="257" w:lineRule="auto"/>
        <w:tabs>
          <w:tab w:leader="none" w:pos="3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93"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27"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59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1" w:name="page242"/>
    <w:bookmarkEnd w:id="241"/>
    <w:p>
      <w:pPr>
        <w:jc w:val="both"/>
        <w:ind w:left="340" w:hanging="8"/>
        <w:spacing w:after="0" w:line="261" w:lineRule="auto"/>
        <w:tabs>
          <w:tab w:leader="none" w:pos="595"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23"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11682 El Camino Real, Suite 320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San Diego, CA 92130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Aaron I. Davis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21" w:lineRule="exact"/>
        <w:rPr>
          <w:sz w:val="20"/>
          <w:szCs w:val="20"/>
          <w:color w:val="auto"/>
        </w:rPr>
      </w:pPr>
    </w:p>
    <w:p>
      <w:pPr>
        <w:jc w:val="both"/>
        <w:ind w:left="340" w:hanging="332"/>
        <w:spacing w:after="0" w:line="254" w:lineRule="auto"/>
        <w:tabs>
          <w:tab w:leader="none" w:pos="3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jc w:val="both"/>
        <w:ind w:left="340" w:hanging="332"/>
        <w:spacing w:after="0" w:line="268" w:lineRule="auto"/>
        <w:tabs>
          <w:tab w:leader="none" w:pos="3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caused this Indemnity Agreement to be signed as of the day and year first above written.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BCTG ACQUISITION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Aaron I.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Aaron I. Davis</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Richard Heyman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Richard Heyman</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900" w:right="1399" w:bottom="1440" w:gutter="0" w:footer="0" w:header="0"/>
        </w:sectPr>
      </w:pPr>
    </w:p>
    <w:bookmarkStart w:id="244" w:name="page245"/>
    <w:bookmarkEnd w:id="24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BCTG Acquisition Corp., Sponsored by Boxer Capital, LLC, Announces Closing of $166.8 Million Initial Public Offering, Including the Full Exercise of the Underwriter’s Option to Purchase Additional Shares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SAN DIEGO— BCTG Acquisition Corp. (Nasdaq: BCTG) (the “Company”) announced today that on September 8, 2020 it closed its initial public offering of 16,675,000 shares of common stock, including 2,175,000 shares issued pursuant to the full exercise by the underwriter of its over-allotment option. The offering was priced at $10.00 per share, resulting in gross proceeds of $166,750,000.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special purpose acquisition company formed for the purpose of effecting a business combination with one or more businesses in the biotechnology sector. While the Company may pursue an initial business combination target in any therapeutic area, it intends to focus on opportunities in targeted oncology. The Company, sponsored by Boxer Capital, LLC, is led by Aaron Davis as Chief Executive Officer and Chairman, Christopher Fuglesang as President, Michael Beauchamp as Chief Financial Officer and Andrew Ellis as Chief Operating 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began trading on The Nasdaq Capital Market under the ticker symbol “BCTG” on September 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SVB Leerink is acting as sole bookrunning manager for the offering.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offering is being made only by means of a prospectus. Copies of the prospectus may be obtained from: SVB Leerink LLC, Attention: Syndicate Department, One Federal Street, 37th Floor, Boston, MA 02110, by telephone at 1-800-808-7525, ext. 6218, or by email at syndicate@svbleerink.com.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Registration statements relating to these securities became effective on September 2, 2020. This press release shall not constitute an offer to sell or the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contains statements that constitute “forward-looking statements,” including with respect to the proposed initial public offering and the anticipated use of the net proceeds. No assurance can be given that the offering discussed above will be completed on the terms described, or at all, or that the net proceeds of the offering will be used as indicated. Forward-looking statements are subject to numerous conditions, many of which are beyond the control of the Company, including those set forth in the Risk Factors section of the Company’s final prospectus for the Company’s offering filed with the Securities and Exchange Commission (the “SEC”). Copies are available on the SEC’s website, www.sec.gov. The Company undertakes no obligation to update these statements for revisions or changes after the date of this release,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BCTG Acquisition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Martinez</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(858) 400-3132</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C32E20"/>
    <w:multiLevelType w:val="hybridMultilevel"/>
    <w:lvl w:ilvl="0">
      <w:lvlJc w:val="left"/>
      <w:lvlText w:val="☐"/>
      <w:numFmt w:val="bullet"/>
      <w:start w:val="1"/>
    </w:lvl>
  </w:abstractNum>
  <w:abstractNum w:abstractNumId="1">
    <w:nsid w:val="49C0E823"/>
    <w:multiLevelType w:val="hybridMultilevel"/>
    <w:lvl w:ilvl="0">
      <w:lvlJc w:val="left"/>
      <w:lvlText w:val="●"/>
      <w:numFmt w:val="bullet"/>
      <w:start w:val="1"/>
    </w:lvl>
  </w:abstractNum>
  <w:abstractNum w:abstractNumId="2">
    <w:nsid w:val="14D5368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230F856C"/>
    <w:multiLevelType w:val="hybridMultilevel"/>
    <w:lvl w:ilvl="0">
      <w:lvlJc w:val="left"/>
      <w:lvlText w:val="(%1)"/>
      <w:numFmt w:val="lowerLetter"/>
      <w:start w:val="2"/>
    </w:lvl>
    <w:lvl w:ilvl="1">
      <w:lvlJc w:val="left"/>
      <w:lvlText w:val="(%2)"/>
      <w:numFmt w:val="lowerRoman"/>
      <w:start w:val="1"/>
    </w:lvl>
  </w:abstractNum>
  <w:abstractNum w:abstractNumId="4">
    <w:nsid w:val="6EAA85F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
    <w:nsid w:val="3F06ECB2"/>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
    <w:nsid w:val="3B594807"/>
    <w:multiLevelType w:val="hybridMultilevel"/>
    <w:lvl w:ilvl="0">
      <w:lvlJc w:val="left"/>
      <w:lvlText w:val="(%1)"/>
      <w:numFmt w:val="lowerLetter"/>
      <w:start w:val="2"/>
    </w:lvl>
    <w:lvl w:ilvl="1">
      <w:lvlJc w:val="left"/>
      <w:lvlText w:val="(%2)"/>
      <w:numFmt w:val="lowerRoman"/>
      <w:start w:val="1"/>
    </w:lvl>
  </w:abstractNum>
  <w:abstractNum w:abstractNumId="7">
    <w:nsid w:val="6CAA2304"/>
    <w:multiLevelType w:val="hybridMultilevel"/>
    <w:lvl w:ilvl="0">
      <w:lvlJc w:val="left"/>
      <w:lvlText w:val="%1"/>
      <w:numFmt w:val="lowerLetter"/>
      <w:start w:val="1"/>
    </w:lvl>
    <w:lvl w:ilvl="1">
      <w:lvlJc w:val="left"/>
      <w:lvlText w:val="(%2)"/>
      <w:numFmt w:val="lowerRoman"/>
      <w:start w:val="3"/>
    </w:lvl>
  </w:abstractNum>
  <w:abstractNum w:abstractNumId="8">
    <w:nsid w:val="3F7C2FF4"/>
    <w:multiLevelType w:val="hybridMultilevel"/>
    <w:lvl w:ilvl="0">
      <w:lvlJc w:val="left"/>
      <w:lvlText w:val="(%1)"/>
      <w:numFmt w:val="lowerLetter"/>
      <w:start w:val="4"/>
    </w:lvl>
    <w:lvl w:ilvl="1">
      <w:lvlJc w:val="left"/>
      <w:lvlText w:val="(%2)"/>
      <w:numFmt w:val="lowerRoman"/>
      <w:start w:val="1"/>
    </w:lvl>
  </w:abstractNum>
  <w:abstractNum w:abstractNumId="9">
    <w:nsid w:val="25413BEC"/>
    <w:multiLevelType w:val="hybridMultilevel"/>
    <w:lvl w:ilvl="0">
      <w:lvlJc w:val="left"/>
      <w:lvlText w:val="%1"/>
      <w:numFmt w:val="lowerLetter"/>
      <w:start w:val="1"/>
    </w:lvl>
    <w:lvl w:ilvl="1">
      <w:lvlJc w:val="left"/>
      <w:lvlText w:val="(%2)"/>
      <w:numFmt w:val="lowerLetter"/>
      <w:start w:val="35"/>
    </w:lvl>
  </w:abstractNum>
  <w:abstractNum w:abstractNumId="10">
    <w:nsid w:val="17180B0B"/>
    <w:multiLevelType w:val="hybridMultilevel"/>
    <w:lvl w:ilvl="0">
      <w:lvlJc w:val="left"/>
      <w:lvlText w:val="(%1)"/>
      <w:numFmt w:val="lowerLetter"/>
      <w:start w:val="7"/>
    </w:lvl>
    <w:lvl w:ilvl="1">
      <w:lvlJc w:val="left"/>
      <w:lvlText w:val="(%2)"/>
      <w:numFmt w:val="lowerLetter"/>
      <w:start w:val="9"/>
    </w:lvl>
  </w:abstractNum>
  <w:abstractNum w:abstractNumId="11">
    <w:nsid w:val="579328B9"/>
    <w:multiLevelType w:val="hybridMultilevel"/>
    <w:lvl w:ilvl="0">
      <w:lvlJc w:val="left"/>
      <w:lvlText w:val="%1"/>
      <w:numFmt w:val="lowerRoman"/>
      <w:start w:val="1"/>
    </w:lvl>
    <w:lvl w:ilvl="1">
      <w:lvlJc w:val="left"/>
      <w:lvlText w:val="(%2)"/>
      <w:numFmt w:val="lowerRoman"/>
      <w:start w:val="2"/>
    </w:lvl>
  </w:abstractNum>
  <w:abstractNum w:abstractNumId="12">
    <w:nsid w:val="5D205E20"/>
    <w:multiLevelType w:val="hybridMultilevel"/>
    <w:lvl w:ilvl="0">
      <w:lvlJc w:val="left"/>
      <w:lvlText w:val="(%1)"/>
      <w:numFmt w:val="lowerRoman"/>
      <w:start w:val="1"/>
    </w:lvl>
    <w:lvl w:ilvl="1">
      <w:lvlJc w:val="left"/>
      <w:lvlText w:val="%2"/>
      <w:numFmt w:val="lowerRoman"/>
      <w:start w:val="1"/>
    </w:lvl>
  </w:abstractNum>
  <w:abstractNum w:abstractNumId="13">
    <w:nsid w:val="11CCA8BA"/>
    <w:multiLevelType w:val="hybridMultilevel"/>
    <w:lvl w:ilvl="0">
      <w:lvlJc w:val="left"/>
      <w:lvlText w:val="(%1)"/>
      <w:numFmt w:val="lowerLetter"/>
      <w:start w:val="10"/>
    </w:lvl>
    <w:lvl w:ilvl="1">
      <w:lvlJc w:val="left"/>
      <w:lvlText w:val="(%2)"/>
      <w:numFmt w:val="lowerRoman"/>
      <w:start w:val="1"/>
    </w:lvl>
  </w:abstractNum>
  <w:abstractNum w:abstractNumId="14">
    <w:nsid w:val="4D32AB86"/>
    <w:multiLevelType w:val="hybridMultilevel"/>
    <w:lvl w:ilvl="0">
      <w:lvlJc w:val="left"/>
      <w:lvlText w:val="(%1)"/>
      <w:numFmt w:val="lowerLetter"/>
      <w:start w:val="15"/>
    </w:lvl>
    <w:lvl w:ilvl="1">
      <w:lvlJc w:val="left"/>
      <w:lvlText w:val="(%2)"/>
      <w:numFmt w:val="lowerRoman"/>
      <w:start w:val="1"/>
    </w:lvl>
  </w:abstractNum>
  <w:abstractNum w:abstractNumId="15">
    <w:nsid w:val="3F07ACC3"/>
    <w:multiLevelType w:val="hybridMultilevel"/>
    <w:lvl w:ilvl="0">
      <w:lvlJc w:val="left"/>
      <w:lvlText w:val="%1"/>
      <w:numFmt w:val="lowerLetter"/>
      <w:start w:val="1"/>
    </w:lvl>
    <w:lvl w:ilvl="1">
      <w:lvlJc w:val="left"/>
      <w:lvlText w:val="(%2)"/>
      <w:numFmt w:val="lowerRoman"/>
      <w:start w:val="8"/>
    </w:lvl>
  </w:abstractNum>
  <w:abstractNum w:abstractNumId="16">
    <w:nsid w:val="6B47F63E"/>
    <w:multiLevelType w:val="hybridMultilevel"/>
    <w:lvl w:ilvl="0">
      <w:lvlJc w:val="left"/>
      <w:lvlText w:val="(%1)"/>
      <w:numFmt w:val="lowerLetter"/>
      <w:start w:val="19"/>
    </w:lvl>
    <w:lvl w:ilvl="1">
      <w:lvlJc w:val="left"/>
      <w:lvlText w:val="(%2)"/>
      <w:numFmt w:val="lowerRoman"/>
      <w:start w:val="1"/>
    </w:lvl>
  </w:abstractNum>
  <w:abstractNum w:abstractNumId="17">
    <w:nsid w:val="5CB44A05"/>
    <w:multiLevelType w:val="hybridMultilevel"/>
    <w:lvl w:ilvl="0">
      <w:lvlJc w:val="left"/>
      <w:lvlText w:val="%1"/>
      <w:numFmt w:val="lowerLetter"/>
      <w:start w:val="1"/>
    </w:lvl>
    <w:lvl w:ilvl="1">
      <w:lvlJc w:val="left"/>
      <w:lvlText w:val="(%2)"/>
      <w:numFmt w:val="lowerRoman"/>
      <w:start w:val="3"/>
    </w:lvl>
  </w:abstractNum>
  <w:abstractNum w:abstractNumId="18">
    <w:nsid w:val="16CF80F1"/>
    <w:multiLevelType w:val="hybridMultilevel"/>
    <w:lvl w:ilvl="0">
      <w:lvlJc w:val="left"/>
      <w:lvlText w:val="(%1)"/>
      <w:numFmt w:val="lowerLetter"/>
      <w:start w:val="23"/>
    </w:lvl>
    <w:lvl w:ilvl="1">
      <w:lvlJc w:val="left"/>
      <w:lvlText w:val="%2"/>
      <w:numFmt w:val="lowerRoman"/>
      <w:start w:val="1"/>
    </w:lvl>
  </w:abstractNum>
  <w:abstractNum w:abstractNumId="19">
    <w:nsid w:val="1C695DEC"/>
    <w:multiLevelType w:val="hybridMultilevel"/>
    <w:lvl w:ilvl="0">
      <w:lvlJc w:val="left"/>
      <w:lvlText w:val="(%1)"/>
      <w:numFmt w:val="lowerLetter"/>
      <w:start w:val="27"/>
    </w:lvl>
  </w:abstractNum>
  <w:abstractNum w:abstractNumId="20">
    <w:nsid w:val="3FCFAED9"/>
    <w:multiLevelType w:val="hybridMultilevel"/>
    <w:lvl w:ilvl="0">
      <w:lvlJc w:val="left"/>
      <w:lvlText w:val="%1"/>
      <w:numFmt w:val="decimal"/>
      <w:start w:val="1"/>
    </w:lvl>
    <w:lvl w:ilvl="1">
      <w:lvlJc w:val="left"/>
      <w:lvlText w:val="(%2)"/>
      <w:numFmt w:val="lowerLetter"/>
      <w:start w:val="30"/>
    </w:lvl>
    <w:lvl w:ilvl="2">
      <w:lvlJc w:val="left"/>
      <w:lvlText w:val="%3"/>
      <w:numFmt w:val="lowerRoman"/>
      <w:start w:val="1"/>
    </w:lvl>
  </w:abstractNum>
  <w:abstractNum w:abstractNumId="21">
    <w:nsid w:val="F85686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2">
    <w:nsid w:val="11B1CC3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3">
    <w:nsid w:val="2E22FBB7"/>
    <w:multiLevelType w:val="hybridMultilevel"/>
    <w:lvl w:ilvl="0">
      <w:lvlJc w:val="left"/>
      <w:lvlText w:val="(%1)"/>
      <w:numFmt w:val="lowerLetter"/>
      <w:start w:val="22"/>
    </w:lvl>
    <w:lvl w:ilvl="1">
      <w:lvlJc w:val="left"/>
      <w:lvlText w:val="(%2)"/>
      <w:numFmt w:val="lowerLetter"/>
      <w:start w:val="4"/>
    </w:lvl>
    <w:lvl w:ilvl="2">
      <w:lvlJc w:val="left"/>
      <w:lvlText w:val="(%3)"/>
      <w:numFmt w:val="lowerRoman"/>
      <w:start w:val="1"/>
    </w:lvl>
  </w:abstractNum>
  <w:abstractNum w:abstractNumId="24">
    <w:nsid w:val="29934699"/>
    <w:multiLevelType w:val="hybridMultilevel"/>
    <w:lvl w:ilvl="0">
      <w:lvlJc w:val="left"/>
      <w:lvlText w:val="(%1)"/>
      <w:numFmt w:val="lowerLetter"/>
      <w:start w:val="7"/>
    </w:lvl>
    <w:lvl w:ilvl="1">
      <w:lvlJc w:val="left"/>
      <w:lvlText w:val="(%2)"/>
      <w:numFmt w:val="lowerRoman"/>
      <w:start w:val="1"/>
    </w:lvl>
  </w:abstractNum>
  <w:abstractNum w:abstractNumId="25">
    <w:nsid w:val="77485850"/>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9"/>
    </w:lvl>
  </w:abstractNum>
  <w:abstractNum w:abstractNumId="26">
    <w:nsid w:val="744939A3"/>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27">
    <w:nsid w:val="4FA0D2E3"/>
    <w:multiLevelType w:val="hybridMultilevel"/>
    <w:lvl w:ilvl="0">
      <w:lvlJc w:val="left"/>
      <w:lvlText w:val="(%1)"/>
      <w:numFmt w:val="lowerLetter"/>
      <w:start w:val="22"/>
    </w:lvl>
    <w:lvl w:ilvl="1">
      <w:lvlJc w:val="left"/>
      <w:lvlText w:val="%2"/>
      <w:numFmt w:val="lowerLetter"/>
      <w:start w:val="1"/>
    </w:lvl>
    <w:lvl w:ilvl="2">
      <w:lvlJc w:val="left"/>
      <w:lvlText w:val="%3"/>
      <w:numFmt w:val="lowerLetter"/>
      <w:start w:val="1"/>
    </w:lvl>
  </w:abstractNum>
  <w:abstractNum w:abstractNumId="28">
    <w:nsid w:val="6B1D2C14"/>
    <w:multiLevelType w:val="hybridMultilevel"/>
    <w:lvl w:ilvl="0">
      <w:lvlJc w:val="left"/>
      <w:lvlText w:val="(%1)"/>
      <w:numFmt w:val="lowerLetter"/>
      <w:start w:val="24"/>
    </w:lvl>
    <w:lvl w:ilvl="1">
      <w:lvlJc w:val="left"/>
      <w:lvlText w:val="(%2)"/>
      <w:numFmt w:val="lowerLetter"/>
      <w:start w:val="9"/>
    </w:lvl>
    <w:lvl w:ilvl="2">
      <w:lvlJc w:val="left"/>
      <w:lvlText w:val="(%3)"/>
      <w:numFmt w:val="lowerLetter"/>
      <w:start w:val="35"/>
    </w:lvl>
  </w:abstractNum>
  <w:abstractNum w:abstractNumId="29">
    <w:nsid w:val="68B867D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30">
    <w:nsid w:val="3F7F5DD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1">
    <w:nsid w:val="2AE05A34"/>
    <w:multiLevelType w:val="hybridMultilevel"/>
    <w:lvl w:ilvl="0">
      <w:lvlJc w:val="left"/>
      <w:lvlText w:val="%1"/>
      <w:numFmt w:val="decimal"/>
      <w:start w:val="1"/>
    </w:lvl>
    <w:lvl w:ilvl="1">
      <w:lvlJc w:val="left"/>
      <w:lvlText w:val="(%2)"/>
      <w:numFmt w:val="lowerLetter"/>
      <w:start w:val="13"/>
    </w:lvl>
    <w:lvl w:ilvl="2">
      <w:lvlJc w:val="left"/>
      <w:lvlText w:val="%3"/>
      <w:numFmt w:val="lowerLetter"/>
      <w:start w:val="1"/>
    </w:lvl>
  </w:abstractNum>
  <w:abstractNum w:abstractNumId="32">
    <w:nsid w:val="32794FF7"/>
    <w:multiLevelType w:val="hybridMultilevel"/>
    <w:lvl w:ilvl="0">
      <w:lvlJc w:val="left"/>
      <w:lvlText w:val="(%1)"/>
      <w:numFmt w:val="decimal"/>
      <w:start w:val="4"/>
    </w:lvl>
    <w:lvl w:ilvl="1">
      <w:lvlJc w:val="left"/>
      <w:lvlText w:val="(%2)"/>
      <w:numFmt w:val="lowerLetter"/>
      <w:start w:val="17"/>
    </w:lvl>
    <w:lvl w:ilvl="2">
      <w:lvlJc w:val="left"/>
      <w:lvlText w:val="%3"/>
      <w:numFmt w:val="lowerLetter"/>
      <w:start w:val="1"/>
    </w:lvl>
  </w:abstractNum>
  <w:abstractNum w:abstractNumId="33">
    <w:nsid w:val="5454945E"/>
    <w:multiLevelType w:val="hybridMultilevel"/>
    <w:lvl w:ilvl="0">
      <w:lvlJc w:val="left"/>
      <w:lvlText w:val="(%1)"/>
      <w:numFmt w:val="lowerLetter"/>
      <w:start w:val="21"/>
    </w:lvl>
    <w:lvl w:ilvl="1">
      <w:lvlJc w:val="left"/>
      <w:lvlText w:val="(%2)"/>
      <w:numFmt w:val="lowerRoman"/>
      <w:start w:val="1"/>
    </w:lvl>
  </w:abstractNum>
  <w:abstractNum w:abstractNumId="34">
    <w:nsid w:val="4DEFDFA0"/>
    <w:multiLevelType w:val="hybridMultilevel"/>
    <w:lvl w:ilvl="0">
      <w:lvlJc w:val="left"/>
      <w:lvlText w:val="(%1)"/>
      <w:numFmt w:val="lowerLetter"/>
      <w:start w:val="27"/>
    </w:lvl>
  </w:abstractNum>
  <w:abstractNum w:abstractNumId="35">
    <w:nsid w:val="2123D5F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6">
    <w:nsid w:val="135B8110"/>
    <w:multiLevelType w:val="hybridMultilevel"/>
    <w:lvl w:ilvl="0">
      <w:lvlJc w:val="left"/>
      <w:lvlText w:val="%1"/>
      <w:numFmt w:val="lowerLetter"/>
      <w:start w:val="1"/>
    </w:lvl>
    <w:lvl w:ilvl="1">
      <w:lvlJc w:val="left"/>
      <w:lvlText w:val="(%2)"/>
      <w:numFmt w:val="lowerRoman"/>
      <w:start w:val="2"/>
    </w:lvl>
  </w:abstractNum>
  <w:abstractNum w:abstractNumId="37">
    <w:nsid w:val="94927A8"/>
    <w:multiLevelType w:val="hybridMultilevel"/>
    <w:lvl w:ilvl="0">
      <w:lvlJc w:val="left"/>
      <w:lvlText w:val="(%1)"/>
      <w:numFmt w:val="lowerLetter"/>
      <w:start w:val="3"/>
    </w:lvl>
    <w:lvl w:ilvl="1">
      <w:lvlJc w:val="left"/>
      <w:lvlText w:val="(%2)"/>
      <w:numFmt w:val="lowerRoman"/>
      <w:start w:val="1"/>
    </w:lvl>
  </w:abstractNum>
  <w:abstractNum w:abstractNumId="38">
    <w:nsid w:val="DCDF8F6"/>
    <w:multiLevelType w:val="hybridMultilevel"/>
    <w:lvl w:ilvl="0">
      <w:lvlJc w:val="left"/>
      <w:lvlText w:val="(%1)"/>
      <w:numFmt w:val="lowerLetter"/>
      <w:start w:val="4"/>
    </w:lvl>
  </w:abstractNum>
  <w:abstractNum w:abstractNumId="39">
    <w:nsid w:val="52D7B105"/>
    <w:multiLevelType w:val="hybridMultilevel"/>
    <w:lvl w:ilvl="0">
      <w:lvlJc w:val="left"/>
      <w:lvlText w:val="%1"/>
      <w:numFmt w:val="lowerLetter"/>
      <w:start w:val="1"/>
    </w:lvl>
    <w:lvl w:ilvl="1">
      <w:lvlJc w:val="left"/>
      <w:lvlText w:val="(%2)"/>
      <w:numFmt w:val="lowerLetter"/>
      <w:start w:val="35"/>
    </w:lvl>
  </w:abstractNum>
  <w:abstractNum w:abstractNumId="40">
    <w:nsid w:val="2E8A6394"/>
    <w:multiLevelType w:val="hybridMultilevel"/>
    <w:lvl w:ilvl="0">
      <w:lvlJc w:val="left"/>
      <w:lvlText w:val="(%1)"/>
      <w:numFmt w:val="lowerLetter"/>
      <w:start w:val="5"/>
    </w:lvl>
    <w:lvl w:ilvl="1">
      <w:lvlJc w:val="left"/>
      <w:lvlText w:val="(%2)"/>
      <w:numFmt w:val="lowerLetter"/>
      <w:start w:val="9"/>
    </w:lvl>
  </w:abstractNum>
  <w:abstractNum w:abstractNumId="41">
    <w:nsid w:val="24E6040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2">
    <w:nsid w:val="2A6AD9B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3">
    <w:nsid w:val="BAAC1B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44">
    <w:nsid w:val="36B2ACBC"/>
    <w:multiLevelType w:val="hybridMultilevel"/>
    <w:lvl w:ilvl="0">
      <w:lvlJc w:val="left"/>
      <w:lvlText w:val="(%1)"/>
      <w:numFmt w:val="lowerLetter"/>
      <w:start w:val="3"/>
    </w:lvl>
  </w:abstractNum>
  <w:abstractNum w:abstractNumId="45">
    <w:nsid w:val="779D8544"/>
    <w:multiLevelType w:val="hybridMultilevel"/>
    <w:lvl w:ilvl="0">
      <w:lvlJc w:val="left"/>
      <w:lvlText w:val="%1."/>
      <w:numFmt w:val="decimal"/>
      <w:start w:val="7"/>
    </w:lvl>
    <w:lvl w:ilvl="1">
      <w:lvlJc w:val="left"/>
      <w:lvlText w:val="(%2)"/>
      <w:numFmt w:val="lowerLetter"/>
      <w:start w:val="1"/>
    </w:lvl>
  </w:abstractNum>
  <w:abstractNum w:abstractNumId="46">
    <w:nsid w:val="4AB26E78"/>
    <w:multiLevelType w:val="hybridMultilevel"/>
    <w:lvl w:ilvl="0">
      <w:lvlJc w:val="left"/>
      <w:lvlText w:val="(%1)"/>
      <w:numFmt w:val="lowerLetter"/>
      <w:start w:val="2"/>
    </w:lvl>
    <w:lvl w:ilvl="1">
      <w:lvlJc w:val="left"/>
      <w:lvlText w:val="(%2)"/>
      <w:numFmt w:val="lowerLetter"/>
      <w:start w:val="9"/>
    </w:lvl>
  </w:abstractNum>
  <w:abstractNum w:abstractNumId="47">
    <w:nsid w:val="21FAA2FA"/>
    <w:multiLevelType w:val="hybridMultilevel"/>
    <w:lvl w:ilvl="0">
      <w:lvlJc w:val="left"/>
      <w:lvlText w:val="%1"/>
      <w:numFmt w:val="lowerLetter"/>
      <w:start w:val="1"/>
    </w:lvl>
    <w:lvl w:ilvl="1">
      <w:lvlJc w:val="left"/>
      <w:lvlText w:val="(%2)"/>
      <w:numFmt w:val="lowerRoman"/>
      <w:start w:val="2"/>
    </w:lvl>
  </w:abstractNum>
  <w:abstractNum w:abstractNumId="48">
    <w:nsid w:val="5451CF49"/>
    <w:multiLevelType w:val="hybridMultilevel"/>
    <w:lvl w:ilvl="0">
      <w:lvlJc w:val="left"/>
      <w:lvlText w:val="(%1)"/>
      <w:numFmt w:val="lowerLetter"/>
      <w:start w:val="7"/>
    </w:lvl>
    <w:lvl w:ilvl="1">
      <w:lvlJc w:val="left"/>
      <w:lvlText w:val="%2"/>
      <w:numFmt w:val="lowerRoman"/>
      <w:start w:val="1"/>
    </w:lvl>
  </w:abstractNum>
  <w:abstractNum w:abstractNumId="49">
    <w:nsid w:val="6181EF69"/>
    <w:multiLevelType w:val="hybridMultilevel"/>
    <w:lvl w:ilvl="0">
      <w:lvlJc w:val="left"/>
      <w:lvlText w:val="(%1)"/>
      <w:numFmt w:val="lowerLetter"/>
      <w:start w:val="10"/>
    </w:lvl>
    <w:lvl w:ilvl="1">
      <w:lvlJc w:val="left"/>
      <w:lvlText w:val="(%2)"/>
      <w:numFmt w:val="lowerRoman"/>
      <w:start w:val="1"/>
    </w:lvl>
  </w:abstractNum>
  <w:abstractNum w:abstractNumId="50">
    <w:nsid w:val="3E6400E6"/>
    <w:multiLevelType w:val="hybridMultilevel"/>
    <w:lvl w:ilvl="0">
      <w:lvlJc w:val="left"/>
      <w:lvlText w:val="%1."/>
      <w:numFmt w:val="decimal"/>
      <w:start w:val="1"/>
    </w:lvl>
  </w:abstractNum>
  <w:abstractNum w:abstractNumId="51">
    <w:nsid w:val="14217E23"/>
    <w:multiLevelType w:val="hybridMultilevel"/>
    <w:lvl w:ilvl="0">
      <w:lvlJc w:val="left"/>
      <w:lvlText w:val="(%1)"/>
      <w:numFmt w:val="lowerRoman"/>
      <w:start w:val="2"/>
    </w:lvl>
  </w:abstractNum>
  <w:abstractNum w:abstractNumId="52">
    <w:nsid w:val="710757D0"/>
    <w:multiLevelType w:val="hybridMultilevel"/>
    <w:lvl w:ilvl="0">
      <w:lvlJc w:val="left"/>
      <w:lvlText w:val="%1."/>
      <w:numFmt w:val="decimal"/>
      <w:start w:val="1"/>
    </w:lvl>
  </w:abstractNum>
  <w:abstractNum w:abstractNumId="53">
    <w:nsid w:val="5015CD1A"/>
    <w:multiLevelType w:val="hybridMultilevel"/>
    <w:lvl w:ilvl="0">
      <w:lvlJc w:val="left"/>
      <w:lvlText w:val="%1."/>
      <w:numFmt w:val="decimal"/>
      <w:start w:val="2"/>
    </w:lvl>
  </w:abstractNum>
  <w:abstractNum w:abstractNumId="54">
    <w:nsid w:val="424479DA"/>
    <w:multiLevelType w:val="hybridMultilevel"/>
    <w:lvl w:ilvl="0">
      <w:lvlJc w:val="left"/>
      <w:lvlText w:val="%1."/>
      <w:numFmt w:val="decimal"/>
      <w:start w:val="3"/>
    </w:lvl>
  </w:abstractNum>
  <w:abstractNum w:abstractNumId="55">
    <w:nsid w:val="1A9A9E69"/>
    <w:multiLevelType w:val="hybridMultilevel"/>
    <w:lvl w:ilvl="0">
      <w:lvlJc w:val="left"/>
      <w:lvlText w:val="%1."/>
      <w:numFmt w:val="decimal"/>
      <w:start w:val="4"/>
    </w:lvl>
  </w:abstractNum>
  <w:abstractNum w:abstractNumId="56">
    <w:nsid w:val="475E256A"/>
    <w:multiLevelType w:val="hybridMultilevel"/>
    <w:lvl w:ilvl="0">
      <w:lvlJc w:val="left"/>
      <w:lvlText w:val="(%1)"/>
      <w:numFmt w:val="lowerRoman"/>
      <w:start w:val="2"/>
    </w:lvl>
  </w:abstractNum>
  <w:abstractNum w:abstractNumId="57">
    <w:nsid w:val="368DB37E"/>
    <w:multiLevelType w:val="hybridMultilevel"/>
    <w:lvl w:ilvl="0">
      <w:lvlJc w:val="left"/>
      <w:lvlText w:val="(%1)"/>
      <w:numFmt w:val="lowerRoman"/>
      <w:start w:val="3"/>
    </w:lvl>
  </w:abstractNum>
  <w:abstractNum w:abstractNumId="58">
    <w:nsid w:val="6A3B714C"/>
    <w:multiLevelType w:val="hybridMultilevel"/>
    <w:lvl w:ilvl="0">
      <w:lvlJc w:val="left"/>
      <w:lvlText w:val="%1."/>
      <w:numFmt w:val="decimal"/>
      <w:start w:val="8"/>
    </w:lvl>
  </w:abstractNum>
  <w:abstractNum w:abstractNumId="59">
    <w:nsid w:val="327B517E"/>
    <w:multiLevelType w:val="hybridMultilevel"/>
    <w:lvl w:ilvl="0">
      <w:lvlJc w:val="left"/>
      <w:lvlText w:val="%1."/>
      <w:numFmt w:val="decimal"/>
      <w:start w:val="11"/>
    </w:lvl>
  </w:abstractNum>
  <w:abstractNum w:abstractNumId="60">
    <w:nsid w:val="1F461B51"/>
    <w:multiLevelType w:val="hybridMultilevel"/>
    <w:lvl w:ilvl="0">
      <w:lvlJc w:val="left"/>
      <w:lvlText w:val="%1."/>
      <w:numFmt w:val="decimal"/>
      <w:start w:val="18"/>
    </w:lvl>
  </w:abstractNum>
  <w:abstractNum w:abstractNumId="61">
    <w:nsid w:val="29BACF25"/>
    <w:multiLevelType w:val="hybridMultilevel"/>
    <w:lvl w:ilvl="0">
      <w:lvlJc w:val="left"/>
      <w:lvlText w:val="%1."/>
      <w:numFmt w:val="decimal"/>
      <w:start w:val="1"/>
    </w:lvl>
    <w:lvl w:ilvl="1">
      <w:lvlJc w:val="left"/>
      <w:lvlText w:val="(%2)"/>
      <w:numFmt w:val="lowerLetter"/>
      <w:start w:val="1"/>
    </w:lvl>
  </w:abstractNum>
  <w:abstractNum w:abstractNumId="62">
    <w:nsid w:val="5D5BABB3"/>
    <w:multiLevelType w:val="hybridMultilevel"/>
    <w:lvl w:ilvl="0">
      <w:lvlJc w:val="left"/>
      <w:lvlText w:val="%1"/>
      <w:numFmt w:val="decimal"/>
      <w:start w:val="1"/>
    </w:lvl>
    <w:lvl w:ilvl="1">
      <w:lvlJc w:val="left"/>
      <w:lvlText w:val="(%2)"/>
      <w:numFmt w:val="lowerLetter"/>
      <w:start w:val="4"/>
    </w:lvl>
  </w:abstractNum>
  <w:abstractNum w:abstractNumId="63">
    <w:nsid w:val="51BF6B48"/>
    <w:multiLevelType w:val="hybridMultilevel"/>
    <w:lvl w:ilvl="0">
      <w:lvlJc w:val="left"/>
      <w:lvlText w:val="%1."/>
      <w:numFmt w:val="decimal"/>
      <w:start w:val="2"/>
    </w:lvl>
    <w:lvl w:ilvl="1">
      <w:lvlJc w:val="left"/>
      <w:lvlText w:val="(%2)"/>
      <w:numFmt w:val="lowerLetter"/>
      <w:start w:val="1"/>
    </w:lvl>
  </w:abstractNum>
  <w:abstractNum w:abstractNumId="64">
    <w:nsid w:val="7E0F6384"/>
    <w:multiLevelType w:val="hybridMultilevel"/>
    <w:lvl w:ilvl="0">
      <w:lvlJc w:val="left"/>
      <w:lvlText w:val="%1"/>
      <w:numFmt w:val="decimal"/>
      <w:start w:val="1"/>
    </w:lvl>
    <w:lvl w:ilvl="1">
      <w:lvlJc w:val="left"/>
      <w:lvlText w:val="(%2)"/>
      <w:numFmt w:val="lowerLetter"/>
      <w:start w:val="2"/>
    </w:lvl>
  </w:abstractNum>
  <w:abstractNum w:abstractNumId="65">
    <w:nsid w:val="2B4B8B53"/>
    <w:multiLevelType w:val="hybridMultilevel"/>
    <w:lvl w:ilvl="0">
      <w:lvlJc w:val="left"/>
      <w:lvlText w:val="%1."/>
      <w:numFmt w:val="decimal"/>
      <w:start w:val="3"/>
    </w:lvl>
    <w:lvl w:ilvl="1">
      <w:lvlJc w:val="left"/>
      <w:lvlText w:val="(%2)"/>
      <w:numFmt w:val="lowerLetter"/>
      <w:start w:val="1"/>
    </w:lvl>
  </w:abstractNum>
  <w:abstractNum w:abstractNumId="66">
    <w:nsid w:val="72E3413A"/>
    <w:multiLevelType w:val="hybridMultilevel"/>
    <w:lvl w:ilvl="0">
      <w:lvlJc w:val="left"/>
      <w:lvlText w:val="%1"/>
      <w:numFmt w:val="decimal"/>
      <w:start w:val="1"/>
    </w:lvl>
    <w:lvl w:ilvl="1">
      <w:lvlJc w:val="left"/>
      <w:lvlText w:val="(%2)"/>
      <w:numFmt w:val="lowerLetter"/>
      <w:start w:val="4"/>
    </w:lvl>
  </w:abstractNum>
  <w:abstractNum w:abstractNumId="67">
    <w:nsid w:val="116AE494"/>
    <w:multiLevelType w:val="hybridMultilevel"/>
    <w:lvl w:ilvl="0">
      <w:lvlJc w:val="left"/>
      <w:lvlText w:val="%1."/>
      <w:numFmt w:val="decimal"/>
      <w:start w:val="4"/>
    </w:lvl>
    <w:lvl w:ilvl="1">
      <w:lvlJc w:val="left"/>
      <w:lvlText w:val="(%2)"/>
      <w:numFmt w:val="lowerLetter"/>
      <w:start w:val="1"/>
    </w:lvl>
  </w:abstractNum>
  <w:abstractNum w:abstractNumId="68">
    <w:nsid w:val="3494B2FB"/>
    <w:multiLevelType w:val="hybridMultilevel"/>
    <w:lvl w:ilvl="0">
      <w:lvlJc w:val="left"/>
      <w:lvlText w:val="%1"/>
      <w:numFmt w:val="decimal"/>
      <w:start w:val="1"/>
    </w:lvl>
    <w:lvl w:ilvl="1">
      <w:lvlJc w:val="left"/>
      <w:lvlText w:val="(%2)"/>
      <w:numFmt w:val="lowerLetter"/>
      <w:start w:val="8"/>
    </w:lvl>
  </w:abstractNum>
  <w:abstractNum w:abstractNumId="69">
    <w:nsid w:val="B13A31"/>
    <w:multiLevelType w:val="hybridMultilevel"/>
    <w:lvl w:ilvl="0">
      <w:lvlJc w:val="left"/>
      <w:lvlText w:val="%1."/>
      <w:numFmt w:val="decimal"/>
      <w:start w:val="5"/>
    </w:lvl>
    <w:lvl w:ilvl="1">
      <w:lvlJc w:val="left"/>
      <w:lvlText w:val="(%2)"/>
      <w:numFmt w:val="lowerLetter"/>
      <w:start w:val="1"/>
    </w:lvl>
  </w:abstractNum>
  <w:abstractNum w:abstractNumId="70">
    <w:nsid w:val="64429599"/>
    <w:multiLevelType w:val="hybridMultilevel"/>
    <w:lvl w:ilvl="0">
      <w:lvlJc w:val="left"/>
      <w:lvlText w:val="%1."/>
      <w:numFmt w:val="decimal"/>
      <w:start w:val="7"/>
    </w:lvl>
    <w:lvl w:ilvl="1">
      <w:lvlJc w:val="left"/>
      <w:lvlText w:val="(%2)"/>
      <w:numFmt w:val="lowerLetter"/>
      <w:start w:val="1"/>
    </w:lvl>
  </w:abstractNum>
  <w:abstractNum w:abstractNumId="71">
    <w:nsid w:val="631F1690"/>
    <w:multiLevelType w:val="hybridMultilevel"/>
    <w:lvl w:ilvl="0">
      <w:lvlJc w:val="left"/>
      <w:lvlText w:val="(%1)"/>
      <w:numFmt w:val="lowerLetter"/>
      <w:start w:val="6"/>
    </w:lvl>
  </w:abstractNum>
  <w:abstractNum w:abstractNumId="72">
    <w:nsid w:val="25973E32"/>
    <w:multiLevelType w:val="hybridMultilevel"/>
    <w:lvl w:ilvl="0">
      <w:lvlJc w:val="left"/>
      <w:lvlText w:val="%1."/>
      <w:numFmt w:val="decimal"/>
      <w:start w:val="1"/>
    </w:lvl>
  </w:abstractNum>
  <w:abstractNum w:abstractNumId="73">
    <w:nsid w:val="EAD6F57"/>
    <w:multiLevelType w:val="hybridMultilevel"/>
    <w:lvl w:ilvl="0">
      <w:lvlJc w:val="left"/>
      <w:lvlText w:val="%1."/>
      <w:numFmt w:val="decimal"/>
      <w:start w:val="3"/>
    </w:lvl>
  </w:abstractNum>
  <w:abstractNum w:abstractNumId="74">
    <w:nsid w:val="6EC9D844"/>
    <w:multiLevelType w:val="hybridMultilevel"/>
    <w:lvl w:ilvl="0">
      <w:lvlJc w:val="left"/>
      <w:lvlText w:val="%1."/>
      <w:numFmt w:val="decimal"/>
      <w:start w:val="4"/>
    </w:lvl>
  </w:abstractNum>
  <w:abstractNum w:abstractNumId="75">
    <w:nsid w:val="5C49EAEE"/>
    <w:multiLevelType w:val="hybridMultilevel"/>
    <w:lvl w:ilvl="0">
      <w:lvlJc w:val="left"/>
      <w:lvlText w:val="%1."/>
      <w:numFmt w:val="decimal"/>
      <w:start w:val="5"/>
    </w:lvl>
  </w:abstractNum>
  <w:abstractNum w:abstractNumId="76">
    <w:nsid w:val="64AF49B"/>
    <w:multiLevelType w:val="hybridMultilevel"/>
    <w:lvl w:ilvl="0">
      <w:lvlJc w:val="left"/>
      <w:lvlText w:val="%1."/>
      <w:numFmt w:val="decimal"/>
      <w:start w:val="6"/>
    </w:lvl>
  </w:abstractNum>
  <w:abstractNum w:abstractNumId="77">
    <w:nsid w:val="397C46BC"/>
    <w:multiLevelType w:val="hybridMultilevel"/>
    <w:lvl w:ilvl="0">
      <w:lvlJc w:val="left"/>
      <w:lvlText w:val="%1."/>
      <w:numFmt w:val="decimal"/>
      <w:start w:val="2"/>
    </w:lvl>
  </w:abstractNum>
  <w:abstractNum w:abstractNumId="78">
    <w:nsid w:val="7E448DE9"/>
    <w:multiLevelType w:val="hybridMultilevel"/>
    <w:lvl w:ilvl="0">
      <w:lvlJc w:val="left"/>
      <w:lvlText w:val="(%1)"/>
      <w:numFmt w:val="lowerLetter"/>
      <w:start w:val="1"/>
    </w:lvl>
  </w:abstractNum>
  <w:abstractNum w:abstractNumId="79">
    <w:nsid w:val="5A9CC3E5"/>
    <w:multiLevelType w:val="hybridMultilevel"/>
    <w:lvl w:ilvl="0">
      <w:lvlJc w:val="left"/>
      <w:lvlText w:val="(%1)"/>
      <w:numFmt w:val="lowerLetter"/>
      <w:start w:val="2"/>
    </w:lvl>
  </w:abstractNum>
  <w:abstractNum w:abstractNumId="80">
    <w:nsid w:val="1AFE3625"/>
    <w:multiLevelType w:val="hybridMultilevel"/>
    <w:lvl w:ilvl="0">
      <w:lvlJc w:val="left"/>
      <w:lvlText w:val="%1."/>
      <w:numFmt w:val="decimal"/>
      <w:start w:val="3"/>
    </w:lvl>
  </w:abstractNum>
  <w:abstractNum w:abstractNumId="81">
    <w:nsid w:val="3CA88ECF"/>
    <w:multiLevelType w:val="hybridMultilevel"/>
    <w:lvl w:ilvl="0">
      <w:lvlJc w:val="left"/>
      <w:lvlText w:val="%1."/>
      <w:numFmt w:val="decimal"/>
      <w:start w:val="4"/>
    </w:lvl>
  </w:abstractNum>
  <w:abstractNum w:abstractNumId="82">
    <w:nsid w:val="6EBE4208"/>
    <w:multiLevelType w:val="hybridMultilevel"/>
    <w:lvl w:ilvl="0">
      <w:lvlJc w:val="left"/>
      <w:lvlText w:val="%1."/>
      <w:numFmt w:val="decimal"/>
      <w:start w:val="5"/>
    </w:lvl>
  </w:abstractNum>
  <w:abstractNum w:abstractNumId="83">
    <w:nsid w:val="C058DF5"/>
    <w:multiLevelType w:val="hybridMultilevel"/>
    <w:lvl w:ilvl="0">
      <w:lvlJc w:val="left"/>
      <w:lvlText w:val="%1."/>
      <w:numFmt w:val="decimal"/>
      <w:start w:val="6"/>
    </w:lvl>
  </w:abstractNum>
  <w:abstractNum w:abstractNumId="84">
    <w:nsid w:val="CBE5BE9"/>
    <w:multiLevelType w:val="hybridMultilevel"/>
    <w:lvl w:ilvl="0">
      <w:lvlJc w:val="left"/>
      <w:lvlText w:val="1"/>
      <w:numFmt w:val="bullet"/>
      <w:start w:val="1"/>
    </w:lvl>
  </w:abstractNum>
  <w:abstractNum w:abstractNumId="85">
    <w:nsid w:val="3102BBE2"/>
    <w:multiLevelType w:val="hybridMultilevel"/>
    <w:lvl w:ilvl="0">
      <w:lvlJc w:val="left"/>
      <w:lvlText w:val="●"/>
      <w:numFmt w:val="bullet"/>
      <w:start w:val="1"/>
    </w:lvl>
  </w:abstractNum>
  <w:abstractNum w:abstractNumId="86">
    <w:nsid w:val="26A02C5E"/>
    <w:multiLevelType w:val="hybridMultilevel"/>
    <w:lvl w:ilvl="0">
      <w:lvlJc w:val="left"/>
      <w:lvlText w:val="●"/>
      <w:numFmt w:val="bullet"/>
      <w:start w:val="1"/>
    </w:lvl>
  </w:abstractNum>
  <w:abstractNum w:abstractNumId="87">
    <w:nsid w:val="541C8153"/>
    <w:multiLevelType w:val="hybridMultilevel"/>
    <w:lvl w:ilvl="0">
      <w:lvlJc w:val="left"/>
      <w:lvlText w:val="(%1)"/>
      <w:numFmt w:val="lowerLetter"/>
      <w:start w:val="1"/>
    </w:lvl>
  </w:abstractNum>
  <w:abstractNum w:abstractNumId="88">
    <w:nsid w:val="67906F6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9">
    <w:nsid w:val="10DB9DAA"/>
    <w:multiLevelType w:val="hybridMultilevel"/>
    <w:lvl w:ilvl="0">
      <w:lvlJc w:val="left"/>
      <w:lvlText w:val="%1"/>
      <w:numFmt w:val="lowerLetter"/>
      <w:start w:val="1"/>
    </w:lvl>
    <w:lvl w:ilvl="1">
      <w:lvlJc w:val="left"/>
      <w:lvlText w:val="(%2)"/>
      <w:numFmt w:val="lowerRoman"/>
      <w:start w:val="2"/>
    </w:lvl>
  </w:abstractNum>
  <w:abstractNum w:abstractNumId="90">
    <w:nsid w:val="697D2D2"/>
    <w:multiLevelType w:val="hybridMultilevel"/>
    <w:lvl w:ilvl="0">
      <w:lvlJc w:val="left"/>
      <w:lvlText w:val="(%1)"/>
      <w:numFmt w:val="lowerLetter"/>
      <w:start w:val="4"/>
    </w:lvl>
    <w:lvl w:ilvl="1">
      <w:lvlJc w:val="left"/>
      <w:lvlText w:val="%2"/>
      <w:numFmt w:val="lowerRoman"/>
      <w:start w:val="1"/>
    </w:lvl>
  </w:abstractNum>
  <w:abstractNum w:abstractNumId="91">
    <w:nsid w:val="6D68AB2"/>
    <w:multiLevelType w:val="hybridMultilevel"/>
    <w:lvl w:ilvl="0">
      <w:lvlJc w:val="left"/>
      <w:lvlText w:val="(%1)"/>
      <w:numFmt w:val="lowerLetter"/>
      <w:start w:val="5"/>
    </w:lvl>
  </w:abstractNum>
  <w:abstractNum w:abstractNumId="92">
    <w:nsid w:val="3A966CD0"/>
    <w:multiLevelType w:val="hybridMultilevel"/>
    <w:lvl w:ilvl="0">
      <w:lvlJc w:val="left"/>
      <w:lvlText w:val="%1"/>
      <w:numFmt w:val="decimal"/>
      <w:start w:val="1"/>
    </w:lvl>
    <w:lvl w:ilvl="1">
      <w:lvlJc w:val="left"/>
      <w:lvlText w:val="(%2)"/>
      <w:numFmt w:val="lowerLetter"/>
      <w:start w:val="11"/>
    </w:lvl>
  </w:abstractNum>
  <w:abstractNum w:abstractNumId="93">
    <w:nsid w:val="63F37E85"/>
    <w:multiLevelType w:val="hybridMultilevel"/>
    <w:lvl w:ilvl="0">
      <w:lvlJc w:val="left"/>
      <w:lvlText w:val="%1"/>
      <w:numFmt w:val="decimal"/>
      <w:start w:val="1"/>
    </w:lvl>
    <w:lvl w:ilvl="1">
      <w:lvlJc w:val="left"/>
      <w:lvlText w:val="(%2)"/>
      <w:numFmt w:val="lowerLetter"/>
      <w:start w:val="35"/>
    </w:lvl>
  </w:abstractNum>
  <w:abstractNum w:abstractNumId="94">
    <w:nsid w:val="5895F5FA"/>
    <w:multiLevelType w:val="hybridMultilevel"/>
    <w:lvl w:ilvl="0">
      <w:lvlJc w:val="left"/>
      <w:lvlText w:val="%1"/>
      <w:numFmt w:val="decimal"/>
      <w:start w:val="1"/>
    </w:lvl>
    <w:lvl w:ilvl="1">
      <w:lvlJc w:val="left"/>
      <w:lvlText w:val="(%2)"/>
      <w:numFmt w:val="lowerLetter"/>
      <w:start w:val="12"/>
    </w:lvl>
  </w:abstractNum>
  <w:abstractNum w:abstractNumId="95">
    <w:nsid w:val="38A5D054"/>
    <w:multiLevelType w:val="hybridMultilevel"/>
    <w:lvl w:ilvl="0">
      <w:lvlJc w:val="left"/>
      <w:lvlText w:val="%1."/>
      <w:numFmt w:val="decimal"/>
      <w:start w:val="3"/>
    </w:lvl>
    <w:lvl w:ilvl="1">
      <w:lvlJc w:val="left"/>
      <w:lvlText w:val="%2"/>
      <w:numFmt w:val="lowerLetter"/>
      <w:start w:val="1"/>
    </w:lvl>
  </w:abstractNum>
  <w:abstractNum w:abstractNumId="96">
    <w:nsid w:val="F3F09D8"/>
    <w:multiLevelType w:val="hybridMultilevel"/>
    <w:lvl w:ilvl="0">
      <w:lvlJc w:val="left"/>
      <w:lvlText w:val="%1."/>
      <w:numFmt w:val="decimal"/>
      <w:start w:val="4"/>
    </w:lvl>
  </w:abstractNum>
  <w:abstractNum w:abstractNumId="97">
    <w:nsid w:val="4B793735"/>
    <w:multiLevelType w:val="hybridMultilevel"/>
    <w:lvl w:ilvl="0">
      <w:lvlJc w:val="left"/>
      <w:lvlText w:val="%1."/>
      <w:numFmt w:val="decimal"/>
      <w:start w:val="7"/>
    </w:lvl>
    <w:lvl w:ilvl="1">
      <w:lvlJc w:val="left"/>
      <w:lvlText w:val="(%2)"/>
      <w:numFmt w:val="lowerLetter"/>
      <w:start w:val="1"/>
    </w:lvl>
  </w:abstractNum>
  <w:abstractNum w:abstractNumId="98">
    <w:nsid w:val="4A10B4E8"/>
    <w:multiLevelType w:val="hybridMultilevel"/>
    <w:lvl w:ilvl="0">
      <w:lvlJc w:val="left"/>
      <w:lvlText w:val="%1"/>
      <w:numFmt w:val="decimal"/>
      <w:start w:val="1"/>
    </w:lvl>
    <w:lvl w:ilvl="1">
      <w:lvlJc w:val="left"/>
      <w:lvlText w:val="(%2)"/>
      <w:numFmt w:val="lowerLetter"/>
      <w:start w:val="3"/>
    </w:lvl>
  </w:abstractNum>
  <w:abstractNum w:abstractNumId="99">
    <w:nsid w:val="43D3BCD4"/>
    <w:multiLevelType w:val="hybridMultilevel"/>
    <w:lvl w:ilvl="0">
      <w:lvlJc w:val="left"/>
      <w:lvlText w:val="%1."/>
      <w:numFmt w:val="decimal"/>
      <w:start w:val="10"/>
    </w:lvl>
    <w:lvl w:ilvl="1">
      <w:lvlJc w:val="left"/>
      <w:lvlText w:val="(%2)"/>
      <w:numFmt w:val="lowerLetter"/>
      <w:start w:val="1"/>
    </w:lvl>
  </w:abstractNum>
  <w:abstractNum w:abstractNumId="100">
    <w:nsid w:val="4C2A7166"/>
    <w:multiLevelType w:val="hybridMultilevel"/>
    <w:lvl w:ilvl="0">
      <w:lvlJc w:val="left"/>
      <w:lvlText w:val="%1"/>
      <w:numFmt w:val="decimal"/>
      <w:start w:val="1"/>
    </w:lvl>
    <w:lvl w:ilvl="1">
      <w:lvlJc w:val="left"/>
      <w:lvlText w:val="(%2)"/>
      <w:numFmt w:val="lowerLetter"/>
      <w:start w:val="2"/>
    </w:lvl>
  </w:abstractNum>
  <w:abstractNum w:abstractNumId="101">
    <w:nsid w:val="2E534A82"/>
    <w:multiLevelType w:val="hybridMultilevel"/>
    <w:lvl w:ilvl="0">
      <w:lvlJc w:val="left"/>
      <w:lvlText w:val="%1."/>
      <w:numFmt w:val="decimal"/>
      <w:start w:val="12"/>
    </w:lvl>
    <w:lvl w:ilvl="1">
      <w:lvlJc w:val="left"/>
      <w:lvlText w:val="(%2)"/>
      <w:numFmt w:val="lowerLetter"/>
      <w:start w:val="1"/>
    </w:lvl>
  </w:abstractNum>
  <w:abstractNum w:abstractNumId="102">
    <w:nsid w:val="26F2D364"/>
    <w:multiLevelType w:val="hybridMultilevel"/>
    <w:lvl w:ilvl="0">
      <w:lvlJc w:val="left"/>
      <w:lvlText w:val="%1"/>
      <w:numFmt w:val="decimal"/>
      <w:start w:val="1"/>
    </w:lvl>
    <w:lvl w:ilvl="1">
      <w:lvlJc w:val="left"/>
      <w:lvlText w:val="(%2)"/>
      <w:numFmt w:val="lowerLetter"/>
      <w:start w:val="3"/>
    </w:lvl>
  </w:abstractNum>
  <w:abstractNum w:abstractNumId="103">
    <w:nsid w:val="71C1AF98"/>
    <w:multiLevelType w:val="hybridMultilevel"/>
    <w:lvl w:ilvl="0">
      <w:lvlJc w:val="left"/>
      <w:lvlText w:val="%1."/>
      <w:numFmt w:val="decimal"/>
      <w:start w:val="13"/>
    </w:lvl>
    <w:lvl w:ilvl="1">
      <w:lvlJc w:val="left"/>
      <w:lvlText w:val="(%2)"/>
      <w:numFmt w:val="lowerLetter"/>
      <w:start w:val="1"/>
    </w:lvl>
  </w:abstractNum>
  <w:abstractNum w:abstractNumId="104">
    <w:nsid w:val="3D00B9D9"/>
    <w:multiLevelType w:val="hybridMultilevel"/>
    <w:lvl w:ilvl="0">
      <w:lvlJc w:val="left"/>
      <w:lvlText w:val="%1"/>
      <w:numFmt w:val="decimal"/>
      <w:start w:val="1"/>
    </w:lvl>
    <w:lvl w:ilvl="1">
      <w:lvlJc w:val="left"/>
      <w:lvlText w:val="(%2)"/>
      <w:numFmt w:val="lowerLetter"/>
      <w:start w:val="3"/>
    </w:lvl>
  </w:abstractNum>
  <w:abstractNum w:abstractNumId="105">
    <w:nsid w:val="15BCABA8"/>
    <w:multiLevelType w:val="hybridMultilevel"/>
    <w:lvl w:ilvl="0">
      <w:lvlJc w:val="left"/>
      <w:lvlText w:val="%1."/>
      <w:numFmt w:val="decimal"/>
      <w:start w:val="14"/>
    </w:lvl>
    <w:lvl w:ilvl="1">
      <w:lvlJc w:val="left"/>
      <w:lvlText w:val="(%2)"/>
      <w:numFmt w:val="lowerLetter"/>
      <w:start w:val="1"/>
    </w:lvl>
  </w:abstractNum>
  <w:abstractNum w:abstractNumId="106">
    <w:nsid w:val="4E0B9A87"/>
    <w:multiLevelType w:val="hybridMultilevel"/>
    <w:lvl w:ilvl="0">
      <w:lvlJc w:val="left"/>
      <w:lvlText w:val="(%1)"/>
      <w:numFmt w:val="lowerLetter"/>
      <w:start w:val="2"/>
    </w:lvl>
  </w:abstractNum>
  <w:abstractNum w:abstractNumId="107">
    <w:nsid w:val="434BAE75"/>
    <w:multiLevelType w:val="hybridMultilevel"/>
    <w:lvl w:ilvl="0">
      <w:lvlJc w:val="left"/>
      <w:lvlText w:val="%1"/>
      <w:numFmt w:val="decimal"/>
      <w:start w:val="1"/>
    </w:lvl>
    <w:lvl w:ilvl="1">
      <w:lvlJc w:val="left"/>
      <w:lvlText w:val="(%2)"/>
      <w:numFmt w:val="lowerLetter"/>
      <w:start w:val="6"/>
    </w:lvl>
  </w:abstractNum>
  <w:abstractNum w:abstractNumId="108">
    <w:nsid w:val="4F38F265"/>
    <w:multiLevelType w:val="hybridMultilevel"/>
    <w:lvl w:ilvl="0">
      <w:lvlJc w:val="left"/>
      <w:lvlText w:val="%1."/>
      <w:numFmt w:val="decimal"/>
      <w:start w:val="15"/>
    </w:lvl>
    <w:lvl w:ilvl="1">
      <w:lvlJc w:val="left"/>
      <w:lvlText w:val="(%2)"/>
      <w:numFmt w:val="lowerLetter"/>
      <w:start w:val="1"/>
    </w:lvl>
  </w:abstractNum>
  <w:abstractNum w:abstractNumId="109">
    <w:nsid w:val="4C502870"/>
    <w:multiLevelType w:val="hybridMultilevel"/>
    <w:lvl w:ilvl="0">
      <w:lvlJc w:val="left"/>
      <w:lvlText w:val="(%1)"/>
      <w:numFmt w:val="lowerLetter"/>
      <w:start w:val="3"/>
    </w:lvl>
  </w:abstractNum>
  <w:abstractNum w:abstractNumId="110">
    <w:nsid w:val="1DE8725A"/>
    <w:multiLevelType w:val="hybridMultilevel"/>
    <w:lvl w:ilvl="0">
      <w:lvlJc w:val="left"/>
      <w:lvlText w:val="%1."/>
      <w:numFmt w:val="decimal"/>
      <w:start w:val="17"/>
    </w:lvl>
    <w:lvl w:ilvl="1">
      <w:lvlJc w:val="left"/>
      <w:lvlText w:val="(%2)"/>
      <w:numFmt w:val="lowerLetter"/>
      <w:start w:val="1"/>
    </w:lvl>
  </w:abstractNum>
  <w:abstractNum w:abstractNumId="111">
    <w:nsid w:val="6A37288A"/>
    <w:multiLevelType w:val="hybridMultilevel"/>
    <w:lvl w:ilvl="0">
      <w:lvlJc w:val="left"/>
      <w:lvlText w:val="%1"/>
      <w:numFmt w:val="decimal"/>
      <w:start w:val="1"/>
    </w:lvl>
    <w:lvl w:ilvl="1">
      <w:lvlJc w:val="left"/>
      <w:lvlText w:val="(%2)"/>
      <w:numFmt w:val="lowerLetter"/>
      <w:start w:val="4"/>
    </w:lvl>
  </w:abstractNum>
  <w:abstractNum w:abstractNumId="112">
    <w:nsid w:val="8F8B73F"/>
    <w:multiLevelType w:val="hybridMultilevel"/>
    <w:lvl w:ilvl="0">
      <w:lvlJc w:val="left"/>
      <w:lvlText w:val="%1."/>
      <w:numFmt w:val="decimal"/>
      <w:start w:val="20"/>
    </w:lvl>
    <w:lvl w:ilvl="1">
      <w:lvlJc w:val="left"/>
      <w:lvlText w:val="(%2)"/>
      <w:numFmt w:val="lowerLetter"/>
      <w:start w:val="1"/>
    </w:lvl>
  </w:abstractNum>
  <w:abstractNum w:abstractNumId="113">
    <w:nsid w:val="CA6B462"/>
    <w:multiLevelType w:val="hybridMultilevel"/>
    <w:lvl w:ilvl="0">
      <w:lvlJc w:val="left"/>
      <w:lvlText w:val="%1."/>
      <w:numFmt w:val="decimal"/>
      <w:start w:val="22"/>
    </w:lvl>
  </w:abstractNum>
  <w:abstractNum w:abstractNumId="114">
    <w:nsid w:val="763CB680"/>
    <w:multiLevelType w:val="hybridMultilevel"/>
    <w:lvl w:ilvl="0">
      <w:lvlJc w:val="left"/>
      <w:lvlText w:val="%1."/>
      <w:numFmt w:val="decimal"/>
      <w:start w:val="23"/>
    </w:lvl>
  </w:abstractNum>
  <w:abstractNum w:abstractNumId="115">
    <w:nsid w:val="15B713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16">
    <w:nsid w:val="3DA97044"/>
    <w:multiLevelType w:val="hybridMultilevel"/>
    <w:lvl w:ilvl="0">
      <w:lvlJc w:val="left"/>
      <w:lvlText w:val="%1"/>
      <w:numFmt w:val="lowerLetter"/>
      <w:start w:val="1"/>
    </w:lvl>
    <w:lvl w:ilvl="1">
      <w:lvlJc w:val="left"/>
      <w:lvlText w:val="(%2)"/>
      <w:numFmt w:val="lowerRoman"/>
      <w:start w:val="2"/>
    </w:lvl>
  </w:abstractNum>
  <w:abstractNum w:abstractNumId="117">
    <w:nsid w:val="1CDCE2DE"/>
    <w:multiLevelType w:val="hybridMultilevel"/>
    <w:lvl w:ilvl="0">
      <w:lvlJc w:val="left"/>
      <w:lvlText w:val="(%1)"/>
      <w:numFmt w:val="lowerLetter"/>
      <w:start w:val="4"/>
    </w:lvl>
    <w:lvl w:ilvl="1">
      <w:lvlJc w:val="left"/>
      <w:lvlText w:val="%2"/>
      <w:numFmt w:val="lowerRoman"/>
      <w:start w:val="1"/>
    </w:lvl>
  </w:abstractNum>
  <w:abstractNum w:abstractNumId="118">
    <w:nsid w:val="69D3947C"/>
    <w:multiLevelType w:val="hybridMultilevel"/>
    <w:lvl w:ilvl="0">
      <w:lvlJc w:val="left"/>
      <w:lvlText w:val="(%1)"/>
      <w:numFmt w:val="lowerLetter"/>
      <w:start w:val="5"/>
    </w:lvl>
  </w:abstractNum>
  <w:abstractNum w:abstractNumId="119">
    <w:nsid w:val="2539DFA5"/>
    <w:multiLevelType w:val="hybridMultilevel"/>
    <w:lvl w:ilvl="0">
      <w:lvlJc w:val="left"/>
      <w:lvlText w:val="%1"/>
      <w:numFmt w:val="decimal"/>
      <w:start w:val="1"/>
    </w:lvl>
    <w:lvl w:ilvl="1">
      <w:lvlJc w:val="left"/>
      <w:lvlText w:val="(%2)"/>
      <w:numFmt w:val="lowerLetter"/>
      <w:start w:val="11"/>
    </w:lvl>
  </w:abstractNum>
  <w:abstractNum w:abstractNumId="120">
    <w:nsid w:val="2DB88089"/>
    <w:multiLevelType w:val="hybridMultilevel"/>
    <w:lvl w:ilvl="0">
      <w:lvlJc w:val="left"/>
      <w:lvlText w:val="%1"/>
      <w:numFmt w:val="decimal"/>
      <w:start w:val="1"/>
    </w:lvl>
    <w:lvl w:ilvl="1">
      <w:lvlJc w:val="left"/>
      <w:lvlText w:val="(%2)"/>
      <w:numFmt w:val="lowerLetter"/>
      <w:start w:val="35"/>
    </w:lvl>
  </w:abstractNum>
  <w:abstractNum w:abstractNumId="121">
    <w:nsid w:val="706B674E"/>
    <w:multiLevelType w:val="hybridMultilevel"/>
    <w:lvl w:ilvl="0">
      <w:lvlJc w:val="left"/>
      <w:lvlText w:val="%1"/>
      <w:numFmt w:val="decimal"/>
      <w:start w:val="1"/>
    </w:lvl>
    <w:lvl w:ilvl="1">
      <w:lvlJc w:val="left"/>
      <w:lvlText w:val="(%2)"/>
      <w:numFmt w:val="lowerLetter"/>
      <w:start w:val="12"/>
    </w:lvl>
  </w:abstractNum>
  <w:abstractNum w:abstractNumId="122">
    <w:nsid w:val="2C106A57"/>
    <w:multiLevelType w:val="hybridMultilevel"/>
    <w:lvl w:ilvl="0">
      <w:lvlJc w:val="left"/>
      <w:lvlText w:val="%1."/>
      <w:numFmt w:val="decimal"/>
      <w:start w:val="3"/>
    </w:lvl>
    <w:lvl w:ilvl="1">
      <w:lvlJc w:val="left"/>
      <w:lvlText w:val="%2"/>
      <w:numFmt w:val="lowerLetter"/>
      <w:start w:val="1"/>
    </w:lvl>
  </w:abstractNum>
  <w:abstractNum w:abstractNumId="123">
    <w:nsid w:val="684EED59"/>
    <w:multiLevelType w:val="hybridMultilevel"/>
    <w:lvl w:ilvl="0">
      <w:lvlJc w:val="left"/>
      <w:lvlText w:val="%1."/>
      <w:numFmt w:val="decimal"/>
      <w:start w:val="4"/>
    </w:lvl>
  </w:abstractNum>
  <w:abstractNum w:abstractNumId="124">
    <w:nsid w:val="545EE5D3"/>
    <w:multiLevelType w:val="hybridMultilevel"/>
    <w:lvl w:ilvl="0">
      <w:lvlJc w:val="left"/>
      <w:lvlText w:val="%1."/>
      <w:numFmt w:val="decimal"/>
      <w:start w:val="7"/>
    </w:lvl>
    <w:lvl w:ilvl="1">
      <w:lvlJc w:val="left"/>
      <w:lvlText w:val="(%2)"/>
      <w:numFmt w:val="lowerLetter"/>
      <w:start w:val="1"/>
    </w:lvl>
  </w:abstractNum>
  <w:abstractNum w:abstractNumId="125">
    <w:nsid w:val="4A66051"/>
    <w:multiLevelType w:val="hybridMultilevel"/>
    <w:lvl w:ilvl="0">
      <w:lvlJc w:val="left"/>
      <w:lvlText w:val="%1"/>
      <w:numFmt w:val="decimal"/>
      <w:start w:val="1"/>
    </w:lvl>
    <w:lvl w:ilvl="1">
      <w:lvlJc w:val="left"/>
      <w:lvlText w:val="(%2)"/>
      <w:numFmt w:val="lowerLetter"/>
      <w:start w:val="3"/>
    </w:lvl>
  </w:abstractNum>
  <w:abstractNum w:abstractNumId="126">
    <w:nsid w:val="20F4BDAD"/>
    <w:multiLevelType w:val="hybridMultilevel"/>
    <w:lvl w:ilvl="0">
      <w:lvlJc w:val="left"/>
      <w:lvlText w:val="%1."/>
      <w:numFmt w:val="decimal"/>
      <w:start w:val="10"/>
    </w:lvl>
    <w:lvl w:ilvl="1">
      <w:lvlJc w:val="left"/>
      <w:lvlText w:val="(%2)"/>
      <w:numFmt w:val="lowerLetter"/>
      <w:start w:val="1"/>
    </w:lvl>
  </w:abstractNum>
  <w:abstractNum w:abstractNumId="127">
    <w:nsid w:val="639DEFAC"/>
    <w:multiLevelType w:val="hybridMultilevel"/>
    <w:lvl w:ilvl="0">
      <w:lvlJc w:val="left"/>
      <w:lvlText w:val="%1"/>
      <w:numFmt w:val="decimal"/>
      <w:start w:val="1"/>
    </w:lvl>
    <w:lvl w:ilvl="1">
      <w:lvlJc w:val="left"/>
      <w:lvlText w:val="(%2)"/>
      <w:numFmt w:val="lowerLetter"/>
      <w:start w:val="2"/>
    </w:lvl>
  </w:abstractNum>
  <w:abstractNum w:abstractNumId="128">
    <w:nsid w:val="501F9786"/>
    <w:multiLevelType w:val="hybridMultilevel"/>
    <w:lvl w:ilvl="0">
      <w:lvlJc w:val="left"/>
      <w:lvlText w:val="%1."/>
      <w:numFmt w:val="decimal"/>
      <w:start w:val="12"/>
    </w:lvl>
    <w:lvl w:ilvl="1">
      <w:lvlJc w:val="left"/>
      <w:lvlText w:val="(%2)"/>
      <w:numFmt w:val="lowerLetter"/>
      <w:start w:val="1"/>
    </w:lvl>
  </w:abstractNum>
  <w:abstractNum w:abstractNumId="129">
    <w:nsid w:val="6B057295"/>
    <w:multiLevelType w:val="hybridMultilevel"/>
    <w:lvl w:ilvl="0">
      <w:lvlJc w:val="left"/>
      <w:lvlText w:val="%1"/>
      <w:numFmt w:val="decimal"/>
      <w:start w:val="1"/>
    </w:lvl>
    <w:lvl w:ilvl="1">
      <w:lvlJc w:val="left"/>
      <w:lvlText w:val="(%2)"/>
      <w:numFmt w:val="lowerLetter"/>
      <w:start w:val="3"/>
    </w:lvl>
  </w:abstractNum>
  <w:abstractNum w:abstractNumId="130">
    <w:nsid w:val="2771AC80"/>
    <w:multiLevelType w:val="hybridMultilevel"/>
    <w:lvl w:ilvl="0">
      <w:lvlJc w:val="left"/>
      <w:lvlText w:val="%1."/>
      <w:numFmt w:val="decimal"/>
      <w:start w:val="13"/>
    </w:lvl>
    <w:lvl w:ilvl="1">
      <w:lvlJc w:val="left"/>
      <w:lvlText w:val="(%2)"/>
      <w:numFmt w:val="lowerLetter"/>
      <w:start w:val="1"/>
    </w:lvl>
  </w:abstractNum>
  <w:abstractNum w:abstractNumId="131">
    <w:nsid w:val="1C4A08EC"/>
    <w:multiLevelType w:val="hybridMultilevel"/>
    <w:lvl w:ilvl="0">
      <w:lvlJc w:val="left"/>
      <w:lvlText w:val="%1"/>
      <w:numFmt w:val="decimal"/>
      <w:start w:val="1"/>
    </w:lvl>
    <w:lvl w:ilvl="1">
      <w:lvlJc w:val="left"/>
      <w:lvlText w:val="(%2)"/>
      <w:numFmt w:val="lowerLetter"/>
      <w:start w:val="3"/>
    </w:lvl>
  </w:abstractNum>
  <w:abstractNum w:abstractNumId="132">
    <w:nsid w:val="1958BD17"/>
    <w:multiLevelType w:val="hybridMultilevel"/>
    <w:lvl w:ilvl="0">
      <w:lvlJc w:val="left"/>
      <w:lvlText w:val="%1."/>
      <w:numFmt w:val="decimal"/>
      <w:start w:val="14"/>
    </w:lvl>
    <w:lvl w:ilvl="1">
      <w:lvlJc w:val="left"/>
      <w:lvlText w:val="(%2)"/>
      <w:numFmt w:val="lowerLetter"/>
      <w:start w:val="1"/>
    </w:lvl>
  </w:abstractNum>
  <w:abstractNum w:abstractNumId="133">
    <w:nsid w:val="4E647FE4"/>
    <w:multiLevelType w:val="hybridMultilevel"/>
    <w:lvl w:ilvl="0">
      <w:lvlJc w:val="left"/>
      <w:lvlText w:val="(%1)"/>
      <w:numFmt w:val="lowerLetter"/>
      <w:start w:val="2"/>
    </w:lvl>
  </w:abstractNum>
  <w:abstractNum w:abstractNumId="134">
    <w:nsid w:val="E0BB885"/>
    <w:multiLevelType w:val="hybridMultilevel"/>
    <w:lvl w:ilvl="0">
      <w:lvlJc w:val="left"/>
      <w:lvlText w:val="%1"/>
      <w:numFmt w:val="decimal"/>
      <w:start w:val="1"/>
    </w:lvl>
    <w:lvl w:ilvl="1">
      <w:lvlJc w:val="left"/>
      <w:lvlText w:val="(%2)"/>
      <w:numFmt w:val="lowerLetter"/>
      <w:start w:val="6"/>
    </w:lvl>
  </w:abstractNum>
  <w:abstractNum w:abstractNumId="135">
    <w:nsid w:val="565976F1"/>
    <w:multiLevelType w:val="hybridMultilevel"/>
    <w:lvl w:ilvl="0">
      <w:lvlJc w:val="left"/>
      <w:lvlText w:val="%1."/>
      <w:numFmt w:val="decimal"/>
      <w:start w:val="15"/>
    </w:lvl>
    <w:lvl w:ilvl="1">
      <w:lvlJc w:val="left"/>
      <w:lvlText w:val="(%2)"/>
      <w:numFmt w:val="lowerLetter"/>
      <w:start w:val="1"/>
    </w:lvl>
  </w:abstractNum>
  <w:abstractNum w:abstractNumId="136">
    <w:nsid w:val="64212B8C"/>
    <w:multiLevelType w:val="hybridMultilevel"/>
    <w:lvl w:ilvl="0">
      <w:lvlJc w:val="left"/>
      <w:lvlText w:val="(%1)"/>
      <w:numFmt w:val="lowerLetter"/>
      <w:start w:val="3"/>
    </w:lvl>
  </w:abstractNum>
  <w:abstractNum w:abstractNumId="137">
    <w:nsid w:val="5C17530C"/>
    <w:multiLevelType w:val="hybridMultilevel"/>
    <w:lvl w:ilvl="0">
      <w:lvlJc w:val="left"/>
      <w:lvlText w:val="%1."/>
      <w:numFmt w:val="decimal"/>
      <w:start w:val="17"/>
    </w:lvl>
    <w:lvl w:ilvl="1">
      <w:lvlJc w:val="left"/>
      <w:lvlText w:val="(%2)"/>
      <w:numFmt w:val="lowerLetter"/>
      <w:start w:val="1"/>
    </w:lvl>
  </w:abstractNum>
  <w:abstractNum w:abstractNumId="138">
    <w:nsid w:val="19A52566"/>
    <w:multiLevelType w:val="hybridMultilevel"/>
    <w:lvl w:ilvl="0">
      <w:lvlJc w:val="left"/>
      <w:lvlText w:val="%1"/>
      <w:numFmt w:val="decimal"/>
      <w:start w:val="1"/>
    </w:lvl>
    <w:lvl w:ilvl="1">
      <w:lvlJc w:val="left"/>
      <w:lvlText w:val="(%2)"/>
      <w:numFmt w:val="lowerLetter"/>
      <w:start w:val="4"/>
    </w:lvl>
  </w:abstractNum>
  <w:abstractNum w:abstractNumId="139">
    <w:nsid w:val="335A1DF1"/>
    <w:multiLevelType w:val="hybridMultilevel"/>
    <w:lvl w:ilvl="0">
      <w:lvlJc w:val="left"/>
      <w:lvlText w:val="%1."/>
      <w:numFmt w:val="decimal"/>
      <w:start w:val="20"/>
    </w:lvl>
    <w:lvl w:ilvl="1">
      <w:lvlJc w:val="left"/>
      <w:lvlText w:val="(%2)"/>
      <w:numFmt w:val="lowerLetter"/>
      <w:start w:val="1"/>
    </w:lvl>
  </w:abstractNum>
  <w:abstractNum w:abstractNumId="140">
    <w:nsid w:val="28677B7C"/>
    <w:multiLevelType w:val="hybridMultilevel"/>
    <w:lvl w:ilvl="0">
      <w:lvlJc w:val="left"/>
      <w:lvlText w:val="%1."/>
      <w:numFmt w:val="decimal"/>
      <w:start w:val="22"/>
    </w:lvl>
  </w:abstractNum>
  <w:abstractNum w:abstractNumId="141">
    <w:nsid w:val="378D97C0"/>
    <w:multiLevelType w:val="hybridMultilevel"/>
    <w:lvl w:ilvl="0">
      <w:lvlJc w:val="left"/>
      <w:lvlText w:val="%1."/>
      <w:numFmt w:val="decimal"/>
      <w:start w:val="23"/>
    </w:lvl>
  </w:abstractNum>
  <w:abstractNum w:abstractNumId="142">
    <w:nsid w:val="1D9146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43">
    <w:nsid w:val="316032BB"/>
    <w:multiLevelType w:val="hybridMultilevel"/>
    <w:lvl w:ilvl="0">
      <w:lvlJc w:val="left"/>
      <w:lvlText w:val="%1"/>
      <w:numFmt w:val="lowerLetter"/>
      <w:start w:val="1"/>
    </w:lvl>
    <w:lvl w:ilvl="1">
      <w:lvlJc w:val="left"/>
      <w:lvlText w:val="(%2)"/>
      <w:numFmt w:val="lowerRoman"/>
      <w:start w:val="2"/>
    </w:lvl>
  </w:abstractNum>
  <w:abstractNum w:abstractNumId="144">
    <w:nsid w:val="44344C22"/>
    <w:multiLevelType w:val="hybridMultilevel"/>
    <w:lvl w:ilvl="0">
      <w:lvlJc w:val="left"/>
      <w:lvlText w:val="(%1)"/>
      <w:numFmt w:val="lowerLetter"/>
      <w:start w:val="4"/>
    </w:lvl>
    <w:lvl w:ilvl="1">
      <w:lvlJc w:val="left"/>
      <w:lvlText w:val="%2"/>
      <w:numFmt w:val="lowerRoman"/>
      <w:start w:val="1"/>
    </w:lvl>
  </w:abstractNum>
  <w:abstractNum w:abstractNumId="145">
    <w:nsid w:val="13CDFCFC"/>
    <w:multiLevelType w:val="hybridMultilevel"/>
    <w:lvl w:ilvl="0">
      <w:lvlJc w:val="left"/>
      <w:lvlText w:val="(%1)"/>
      <w:numFmt w:val="lowerLetter"/>
      <w:start w:val="5"/>
    </w:lvl>
  </w:abstractNum>
  <w:abstractNum w:abstractNumId="146">
    <w:nsid w:val="471745E4"/>
    <w:multiLevelType w:val="hybridMultilevel"/>
    <w:lvl w:ilvl="0">
      <w:lvlJc w:val="left"/>
      <w:lvlText w:val="%1"/>
      <w:numFmt w:val="decimal"/>
      <w:start w:val="1"/>
    </w:lvl>
    <w:lvl w:ilvl="1">
      <w:lvlJc w:val="left"/>
      <w:lvlText w:val="(%2)"/>
      <w:numFmt w:val="lowerLetter"/>
      <w:start w:val="11"/>
    </w:lvl>
  </w:abstractNum>
  <w:abstractNum w:abstractNumId="147">
    <w:nsid w:val="1DDBC66"/>
    <w:multiLevelType w:val="hybridMultilevel"/>
    <w:lvl w:ilvl="0">
      <w:lvlJc w:val="left"/>
      <w:lvlText w:val="%1"/>
      <w:numFmt w:val="decimal"/>
      <w:start w:val="1"/>
    </w:lvl>
    <w:lvl w:ilvl="1">
      <w:lvlJc w:val="left"/>
      <w:lvlText w:val="(%2)"/>
      <w:numFmt w:val="lowerLetter"/>
      <w:start w:val="35"/>
    </w:lvl>
  </w:abstractNum>
  <w:abstractNum w:abstractNumId="148">
    <w:nsid w:val="30AADFDA"/>
    <w:multiLevelType w:val="hybridMultilevel"/>
    <w:lvl w:ilvl="0">
      <w:lvlJc w:val="left"/>
      <w:lvlText w:val="%1"/>
      <w:numFmt w:val="decimal"/>
      <w:start w:val="1"/>
    </w:lvl>
    <w:lvl w:ilvl="1">
      <w:lvlJc w:val="left"/>
      <w:lvlText w:val="(%2)"/>
      <w:numFmt w:val="lowerLetter"/>
      <w:start w:val="12"/>
    </w:lvl>
  </w:abstractNum>
  <w:abstractNum w:abstractNumId="149">
    <w:nsid w:val="30EADA61"/>
    <w:multiLevelType w:val="hybridMultilevel"/>
    <w:lvl w:ilvl="0">
      <w:lvlJc w:val="left"/>
      <w:lvlText w:val="%1."/>
      <w:numFmt w:val="decimal"/>
      <w:start w:val="3"/>
    </w:lvl>
    <w:lvl w:ilvl="1">
      <w:lvlJc w:val="left"/>
      <w:lvlText w:val="%2"/>
      <w:numFmt w:val="lowerLetter"/>
      <w:start w:val="1"/>
    </w:lvl>
  </w:abstractNum>
  <w:abstractNum w:abstractNumId="150">
    <w:nsid w:val="27179C0B"/>
    <w:multiLevelType w:val="hybridMultilevel"/>
    <w:lvl w:ilvl="0">
      <w:lvlJc w:val="left"/>
      <w:lvlText w:val="%1."/>
      <w:numFmt w:val="decimal"/>
      <w:start w:val="4"/>
    </w:lvl>
  </w:abstractNum>
  <w:abstractNum w:abstractNumId="151">
    <w:nsid w:val="5E636063"/>
    <w:multiLevelType w:val="hybridMultilevel"/>
    <w:lvl w:ilvl="0">
      <w:lvlJc w:val="left"/>
      <w:lvlText w:val="%1."/>
      <w:numFmt w:val="decimal"/>
      <w:start w:val="7"/>
    </w:lvl>
    <w:lvl w:ilvl="1">
      <w:lvlJc w:val="left"/>
      <w:lvlText w:val="(%2)"/>
      <w:numFmt w:val="lowerLetter"/>
      <w:start w:val="1"/>
    </w:lvl>
  </w:abstractNum>
  <w:abstractNum w:abstractNumId="152">
    <w:nsid w:val="215641AF"/>
    <w:multiLevelType w:val="hybridMultilevel"/>
    <w:lvl w:ilvl="0">
      <w:lvlJc w:val="left"/>
      <w:lvlText w:val="%1"/>
      <w:numFmt w:val="decimal"/>
      <w:start w:val="1"/>
    </w:lvl>
    <w:lvl w:ilvl="1">
      <w:lvlJc w:val="left"/>
      <w:lvlText w:val="(%2)"/>
      <w:numFmt w:val="lowerLetter"/>
      <w:start w:val="3"/>
    </w:lvl>
  </w:abstractNum>
  <w:abstractNum w:abstractNumId="153">
    <w:nsid w:val="53280662"/>
    <w:multiLevelType w:val="hybridMultilevel"/>
    <w:lvl w:ilvl="0">
      <w:lvlJc w:val="left"/>
      <w:lvlText w:val="%1."/>
      <w:numFmt w:val="decimal"/>
      <w:start w:val="10"/>
    </w:lvl>
    <w:lvl w:ilvl="1">
      <w:lvlJc w:val="left"/>
      <w:lvlText w:val="(%2)"/>
      <w:numFmt w:val="lowerLetter"/>
      <w:start w:val="1"/>
    </w:lvl>
  </w:abstractNum>
  <w:abstractNum w:abstractNumId="154">
    <w:nsid w:val="46B24DBC"/>
    <w:multiLevelType w:val="hybridMultilevel"/>
    <w:lvl w:ilvl="0">
      <w:lvlJc w:val="left"/>
      <w:lvlText w:val="%1"/>
      <w:numFmt w:val="decimal"/>
      <w:start w:val="1"/>
    </w:lvl>
    <w:lvl w:ilvl="1">
      <w:lvlJc w:val="left"/>
      <w:lvlText w:val="(%2)"/>
      <w:numFmt w:val="lowerLetter"/>
      <w:start w:val="2"/>
    </w:lvl>
  </w:abstractNum>
  <w:abstractNum w:abstractNumId="155">
    <w:nsid w:val="75B52783"/>
    <w:multiLevelType w:val="hybridMultilevel"/>
    <w:lvl w:ilvl="0">
      <w:lvlJc w:val="left"/>
      <w:lvlText w:val="%1."/>
      <w:numFmt w:val="decimal"/>
      <w:start w:val="12"/>
    </w:lvl>
    <w:lvl w:ilvl="1">
      <w:lvlJc w:val="left"/>
      <w:lvlText w:val="(%2)"/>
      <w:numFmt w:val="lowerLetter"/>
      <w:start w:val="1"/>
    </w:lvl>
  </w:abstractNum>
  <w:abstractNum w:abstractNumId="156">
    <w:nsid w:val="57CE66B4"/>
    <w:multiLevelType w:val="hybridMultilevel"/>
    <w:lvl w:ilvl="0">
      <w:lvlJc w:val="left"/>
      <w:lvlText w:val="%1"/>
      <w:numFmt w:val="decimal"/>
      <w:start w:val="1"/>
    </w:lvl>
    <w:lvl w:ilvl="1">
      <w:lvlJc w:val="left"/>
      <w:lvlText w:val="(%2)"/>
      <w:numFmt w:val="lowerLetter"/>
      <w:start w:val="3"/>
    </w:lvl>
  </w:abstractNum>
  <w:abstractNum w:abstractNumId="157">
    <w:nsid w:val="67A70B69"/>
    <w:multiLevelType w:val="hybridMultilevel"/>
    <w:lvl w:ilvl="0">
      <w:lvlJc w:val="left"/>
      <w:lvlText w:val="%1."/>
      <w:numFmt w:val="decimal"/>
      <w:start w:val="13"/>
    </w:lvl>
    <w:lvl w:ilvl="1">
      <w:lvlJc w:val="left"/>
      <w:lvlText w:val="(%2)"/>
      <w:numFmt w:val="lowerLetter"/>
      <w:start w:val="1"/>
    </w:lvl>
  </w:abstractNum>
  <w:abstractNum w:abstractNumId="158">
    <w:nsid w:val="5953172F"/>
    <w:multiLevelType w:val="hybridMultilevel"/>
    <w:lvl w:ilvl="0">
      <w:lvlJc w:val="left"/>
      <w:lvlText w:val="%1"/>
      <w:numFmt w:val="decimal"/>
      <w:start w:val="1"/>
    </w:lvl>
    <w:lvl w:ilvl="1">
      <w:lvlJc w:val="left"/>
      <w:lvlText w:val="(%2)"/>
      <w:numFmt w:val="lowerLetter"/>
      <w:start w:val="3"/>
    </w:lvl>
  </w:abstractNum>
  <w:abstractNum w:abstractNumId="159">
    <w:nsid w:val="27EDFE3A"/>
    <w:multiLevelType w:val="hybridMultilevel"/>
    <w:lvl w:ilvl="0">
      <w:lvlJc w:val="left"/>
      <w:lvlText w:val="%1."/>
      <w:numFmt w:val="decimal"/>
      <w:start w:val="14"/>
    </w:lvl>
    <w:lvl w:ilvl="1">
      <w:lvlJc w:val="left"/>
      <w:lvlText w:val="(%2)"/>
      <w:numFmt w:val="lowerLetter"/>
      <w:start w:val="1"/>
    </w:lvl>
  </w:abstractNum>
  <w:abstractNum w:abstractNumId="160">
    <w:nsid w:val="52AC7DFF"/>
    <w:multiLevelType w:val="hybridMultilevel"/>
    <w:lvl w:ilvl="0">
      <w:lvlJc w:val="left"/>
      <w:lvlText w:val="(%1)"/>
      <w:numFmt w:val="lowerLetter"/>
      <w:start w:val="2"/>
    </w:lvl>
  </w:abstractNum>
  <w:abstractNum w:abstractNumId="161">
    <w:nsid w:val="C4C3AF"/>
    <w:multiLevelType w:val="hybridMultilevel"/>
    <w:lvl w:ilvl="0">
      <w:lvlJc w:val="left"/>
      <w:lvlText w:val="%1"/>
      <w:numFmt w:val="decimal"/>
      <w:start w:val="1"/>
    </w:lvl>
    <w:lvl w:ilvl="1">
      <w:lvlJc w:val="left"/>
      <w:lvlText w:val="(%2)"/>
      <w:numFmt w:val="lowerLetter"/>
      <w:start w:val="6"/>
    </w:lvl>
  </w:abstractNum>
  <w:abstractNum w:abstractNumId="162">
    <w:nsid w:val="44380727"/>
    <w:multiLevelType w:val="hybridMultilevel"/>
    <w:lvl w:ilvl="0">
      <w:lvlJc w:val="left"/>
      <w:lvlText w:val="%1."/>
      <w:numFmt w:val="decimal"/>
      <w:start w:val="15"/>
    </w:lvl>
    <w:lvl w:ilvl="1">
      <w:lvlJc w:val="left"/>
      <w:lvlText w:val="(%2)"/>
      <w:numFmt w:val="lowerLetter"/>
      <w:start w:val="1"/>
    </w:lvl>
  </w:abstractNum>
  <w:abstractNum w:abstractNumId="163">
    <w:nsid w:val="6C053B16"/>
    <w:multiLevelType w:val="hybridMultilevel"/>
    <w:lvl w:ilvl="0">
      <w:lvlJc w:val="left"/>
      <w:lvlText w:val="(%1)"/>
      <w:numFmt w:val="lowerLetter"/>
      <w:start w:val="3"/>
    </w:lvl>
  </w:abstractNum>
  <w:abstractNum w:abstractNumId="164">
    <w:nsid w:val="4F294393"/>
    <w:multiLevelType w:val="hybridMultilevel"/>
    <w:lvl w:ilvl="0">
      <w:lvlJc w:val="left"/>
      <w:lvlText w:val="%1."/>
      <w:numFmt w:val="decimal"/>
      <w:start w:val="17"/>
    </w:lvl>
    <w:lvl w:ilvl="1">
      <w:lvlJc w:val="left"/>
      <w:lvlText w:val="(%2)"/>
      <w:numFmt w:val="lowerLetter"/>
      <w:start w:val="1"/>
    </w:lvl>
  </w:abstractNum>
  <w:abstractNum w:abstractNumId="165">
    <w:nsid w:val="5243BFAC"/>
    <w:multiLevelType w:val="hybridMultilevel"/>
    <w:lvl w:ilvl="0">
      <w:lvlJc w:val="left"/>
      <w:lvlText w:val="%1"/>
      <w:numFmt w:val="decimal"/>
      <w:start w:val="1"/>
    </w:lvl>
    <w:lvl w:ilvl="1">
      <w:lvlJc w:val="left"/>
      <w:lvlText w:val="(%2)"/>
      <w:numFmt w:val="lowerLetter"/>
      <w:start w:val="4"/>
    </w:lvl>
  </w:abstractNum>
  <w:abstractNum w:abstractNumId="166">
    <w:nsid w:val="425EB207"/>
    <w:multiLevelType w:val="hybridMultilevel"/>
    <w:lvl w:ilvl="0">
      <w:lvlJc w:val="left"/>
      <w:lvlText w:val="%1."/>
      <w:numFmt w:val="decimal"/>
      <w:start w:val="20"/>
    </w:lvl>
    <w:lvl w:ilvl="1">
      <w:lvlJc w:val="left"/>
      <w:lvlText w:val="(%2)"/>
      <w:numFmt w:val="lowerLetter"/>
      <w:start w:val="1"/>
    </w:lvl>
  </w:abstractNum>
  <w:abstractNum w:abstractNumId="167">
    <w:nsid w:val="334A6F1F"/>
    <w:multiLevelType w:val="hybridMultilevel"/>
    <w:lvl w:ilvl="0">
      <w:lvlJc w:val="left"/>
      <w:lvlText w:val="%1."/>
      <w:numFmt w:val="decimal"/>
      <w:start w:val="22"/>
    </w:lvl>
  </w:abstractNum>
  <w:abstractNum w:abstractNumId="168">
    <w:nsid w:val="2E5B12B8"/>
    <w:multiLevelType w:val="hybridMultilevel"/>
    <w:lvl w:ilvl="0">
      <w:lvlJc w:val="left"/>
      <w:lvlText w:val="%1."/>
      <w:numFmt w:val="decimal"/>
      <w:start w:val="23"/>
    </w:lvl>
  </w:abstractNum>
  <w:abstractNum w:abstractNumId="169">
    <w:nsid w:val="5C03D76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70">
    <w:nsid w:val="66A48D11"/>
    <w:multiLevelType w:val="hybridMultilevel"/>
    <w:lvl w:ilvl="0">
      <w:lvlJc w:val="left"/>
      <w:lvlText w:val="%1"/>
      <w:numFmt w:val="lowerLetter"/>
      <w:start w:val="1"/>
    </w:lvl>
    <w:lvl w:ilvl="1">
      <w:lvlJc w:val="left"/>
      <w:lvlText w:val="(%2)"/>
      <w:numFmt w:val="lowerRoman"/>
      <w:start w:val="2"/>
    </w:lvl>
  </w:abstractNum>
  <w:abstractNum w:abstractNumId="171">
    <w:nsid w:val="56C28E34"/>
    <w:multiLevelType w:val="hybridMultilevel"/>
    <w:lvl w:ilvl="0">
      <w:lvlJc w:val="left"/>
      <w:lvlText w:val="(%1)"/>
      <w:numFmt w:val="lowerLetter"/>
      <w:start w:val="4"/>
    </w:lvl>
    <w:lvl w:ilvl="1">
      <w:lvlJc w:val="left"/>
      <w:lvlText w:val="%2"/>
      <w:numFmt w:val="lowerRoman"/>
      <w:start w:val="1"/>
    </w:lvl>
  </w:abstractNum>
  <w:abstractNum w:abstractNumId="172">
    <w:nsid w:val="13916F2D"/>
    <w:multiLevelType w:val="hybridMultilevel"/>
    <w:lvl w:ilvl="0">
      <w:lvlJc w:val="left"/>
      <w:lvlText w:val="(%1)"/>
      <w:numFmt w:val="lowerLetter"/>
      <w:start w:val="5"/>
    </w:lvl>
  </w:abstractNum>
  <w:abstractNum w:abstractNumId="173">
    <w:nsid w:val="435D38D"/>
    <w:multiLevelType w:val="hybridMultilevel"/>
    <w:lvl w:ilvl="0">
      <w:lvlJc w:val="left"/>
      <w:lvlText w:val="%1"/>
      <w:numFmt w:val="decimal"/>
      <w:start w:val="1"/>
    </w:lvl>
    <w:lvl w:ilvl="1">
      <w:lvlJc w:val="left"/>
      <w:lvlText w:val="(%2)"/>
      <w:numFmt w:val="lowerLetter"/>
      <w:start w:val="11"/>
    </w:lvl>
  </w:abstractNum>
  <w:abstractNum w:abstractNumId="174">
    <w:nsid w:val="822C0EF"/>
    <w:multiLevelType w:val="hybridMultilevel"/>
    <w:lvl w:ilvl="0">
      <w:lvlJc w:val="left"/>
      <w:lvlText w:val="%1"/>
      <w:numFmt w:val="decimal"/>
      <w:start w:val="1"/>
    </w:lvl>
    <w:lvl w:ilvl="1">
      <w:lvlJc w:val="left"/>
      <w:lvlText w:val="(%2)"/>
      <w:numFmt w:val="lowerLetter"/>
      <w:start w:val="35"/>
    </w:lvl>
  </w:abstractNum>
  <w:abstractNum w:abstractNumId="175">
    <w:nsid w:val="57C5BB4F"/>
    <w:multiLevelType w:val="hybridMultilevel"/>
    <w:lvl w:ilvl="0">
      <w:lvlJc w:val="left"/>
      <w:lvlText w:val="%1"/>
      <w:numFmt w:val="decimal"/>
      <w:start w:val="1"/>
    </w:lvl>
    <w:lvl w:ilvl="1">
      <w:lvlJc w:val="left"/>
      <w:lvlText w:val="(%2)"/>
      <w:numFmt w:val="lowerLetter"/>
      <w:start w:val="12"/>
    </w:lvl>
  </w:abstractNum>
  <w:abstractNum w:abstractNumId="176">
    <w:nsid w:val="1803D089"/>
    <w:multiLevelType w:val="hybridMultilevel"/>
    <w:lvl w:ilvl="0">
      <w:lvlJc w:val="left"/>
      <w:lvlText w:val="%1."/>
      <w:numFmt w:val="decimal"/>
      <w:start w:val="3"/>
    </w:lvl>
    <w:lvl w:ilvl="1">
      <w:lvlJc w:val="left"/>
      <w:lvlText w:val="%2"/>
      <w:numFmt w:val="lowerLetter"/>
      <w:start w:val="1"/>
    </w:lvl>
  </w:abstractNum>
  <w:abstractNum w:abstractNumId="177">
    <w:nsid w:val="4F3A06D4"/>
    <w:multiLevelType w:val="hybridMultilevel"/>
    <w:lvl w:ilvl="0">
      <w:lvlJc w:val="left"/>
      <w:lvlText w:val="%1."/>
      <w:numFmt w:val="decimal"/>
      <w:start w:val="4"/>
    </w:lvl>
  </w:abstractNum>
  <w:abstractNum w:abstractNumId="178">
    <w:nsid w:val="59A377B6"/>
    <w:multiLevelType w:val="hybridMultilevel"/>
    <w:lvl w:ilvl="0">
      <w:lvlJc w:val="left"/>
      <w:lvlText w:val="%1."/>
      <w:numFmt w:val="decimal"/>
      <w:start w:val="7"/>
    </w:lvl>
    <w:lvl w:ilvl="1">
      <w:lvlJc w:val="left"/>
      <w:lvlText w:val="(%2)"/>
      <w:numFmt w:val="lowerLetter"/>
      <w:start w:val="1"/>
    </w:lvl>
  </w:abstractNum>
  <w:abstractNum w:abstractNumId="179">
    <w:nsid w:val="48AEB063"/>
    <w:multiLevelType w:val="hybridMultilevel"/>
    <w:lvl w:ilvl="0">
      <w:lvlJc w:val="left"/>
      <w:lvlText w:val="%1"/>
      <w:numFmt w:val="decimal"/>
      <w:start w:val="1"/>
    </w:lvl>
    <w:lvl w:ilvl="1">
      <w:lvlJc w:val="left"/>
      <w:lvlText w:val="(%2)"/>
      <w:numFmt w:val="lowerLetter"/>
      <w:start w:val="3"/>
    </w:lvl>
  </w:abstractNum>
  <w:abstractNum w:abstractNumId="180">
    <w:nsid w:val="24E135"/>
    <w:multiLevelType w:val="hybridMultilevel"/>
    <w:lvl w:ilvl="0">
      <w:lvlJc w:val="left"/>
      <w:lvlText w:val="%1."/>
      <w:numFmt w:val="decimal"/>
      <w:start w:val="10"/>
    </w:lvl>
    <w:lvl w:ilvl="1">
      <w:lvlJc w:val="left"/>
      <w:lvlText w:val="(%2)"/>
      <w:numFmt w:val="lowerLetter"/>
      <w:start w:val="1"/>
    </w:lvl>
  </w:abstractNum>
  <w:abstractNum w:abstractNumId="181">
    <w:nsid w:val="BB13C1"/>
    <w:multiLevelType w:val="hybridMultilevel"/>
    <w:lvl w:ilvl="0">
      <w:lvlJc w:val="left"/>
      <w:lvlText w:val="%1"/>
      <w:numFmt w:val="decimal"/>
      <w:start w:val="1"/>
    </w:lvl>
    <w:lvl w:ilvl="1">
      <w:lvlJc w:val="left"/>
      <w:lvlText w:val="(%2)"/>
      <w:numFmt w:val="lowerLetter"/>
      <w:start w:val="2"/>
    </w:lvl>
  </w:abstractNum>
  <w:abstractNum w:abstractNumId="182">
    <w:nsid w:val="271210C7"/>
    <w:multiLevelType w:val="hybridMultilevel"/>
    <w:lvl w:ilvl="0">
      <w:lvlJc w:val="left"/>
      <w:lvlText w:val="%1."/>
      <w:numFmt w:val="decimal"/>
      <w:start w:val="12"/>
    </w:lvl>
    <w:lvl w:ilvl="1">
      <w:lvlJc w:val="left"/>
      <w:lvlText w:val="(%2)"/>
      <w:numFmt w:val="lowerLetter"/>
      <w:start w:val="1"/>
    </w:lvl>
  </w:abstractNum>
  <w:abstractNum w:abstractNumId="183">
    <w:nsid w:val="217B22E4"/>
    <w:multiLevelType w:val="hybridMultilevel"/>
    <w:lvl w:ilvl="0">
      <w:lvlJc w:val="left"/>
      <w:lvlText w:val="%1"/>
      <w:numFmt w:val="decimal"/>
      <w:start w:val="1"/>
    </w:lvl>
    <w:lvl w:ilvl="1">
      <w:lvlJc w:val="left"/>
      <w:lvlText w:val="(%2)"/>
      <w:numFmt w:val="lowerLetter"/>
      <w:start w:val="3"/>
    </w:lvl>
  </w:abstractNum>
  <w:abstractNum w:abstractNumId="184">
    <w:nsid w:val="53E31A24"/>
    <w:multiLevelType w:val="hybridMultilevel"/>
    <w:lvl w:ilvl="0">
      <w:lvlJc w:val="left"/>
      <w:lvlText w:val="%1."/>
      <w:numFmt w:val="decimal"/>
      <w:start w:val="13"/>
    </w:lvl>
    <w:lvl w:ilvl="1">
      <w:lvlJc w:val="left"/>
      <w:lvlText w:val="(%2)"/>
      <w:numFmt w:val="lowerLetter"/>
      <w:start w:val="1"/>
    </w:lvl>
  </w:abstractNum>
  <w:abstractNum w:abstractNumId="185">
    <w:nsid w:val="6DC45E83"/>
    <w:multiLevelType w:val="hybridMultilevel"/>
    <w:lvl w:ilvl="0">
      <w:lvlJc w:val="left"/>
      <w:lvlText w:val="%1"/>
      <w:numFmt w:val="decimal"/>
      <w:start w:val="1"/>
    </w:lvl>
    <w:lvl w:ilvl="1">
      <w:lvlJc w:val="left"/>
      <w:lvlText w:val="(%2)"/>
      <w:numFmt w:val="lowerLetter"/>
      <w:start w:val="3"/>
    </w:lvl>
  </w:abstractNum>
  <w:abstractNum w:abstractNumId="186">
    <w:nsid w:val="17304A67"/>
    <w:multiLevelType w:val="hybridMultilevel"/>
    <w:lvl w:ilvl="0">
      <w:lvlJc w:val="left"/>
      <w:lvlText w:val="%1."/>
      <w:numFmt w:val="decimal"/>
      <w:start w:val="14"/>
    </w:lvl>
    <w:lvl w:ilvl="1">
      <w:lvlJc w:val="left"/>
      <w:lvlText w:val="(%2)"/>
      <w:numFmt w:val="lowerLetter"/>
      <w:start w:val="1"/>
    </w:lvl>
  </w:abstractNum>
  <w:abstractNum w:abstractNumId="187">
    <w:nsid w:val="2BB180D8"/>
    <w:multiLevelType w:val="hybridMultilevel"/>
    <w:lvl w:ilvl="0">
      <w:lvlJc w:val="left"/>
      <w:lvlText w:val="(%1)"/>
      <w:numFmt w:val="lowerLetter"/>
      <w:start w:val="2"/>
    </w:lvl>
  </w:abstractNum>
  <w:abstractNum w:abstractNumId="188">
    <w:nsid w:val="556B69ED"/>
    <w:multiLevelType w:val="hybridMultilevel"/>
    <w:lvl w:ilvl="0">
      <w:lvlJc w:val="left"/>
      <w:lvlText w:val="%1"/>
      <w:numFmt w:val="decimal"/>
      <w:start w:val="1"/>
    </w:lvl>
    <w:lvl w:ilvl="1">
      <w:lvlJc w:val="left"/>
      <w:lvlText w:val="(%2)"/>
      <w:numFmt w:val="lowerLetter"/>
      <w:start w:val="6"/>
    </w:lvl>
  </w:abstractNum>
  <w:abstractNum w:abstractNumId="189">
    <w:nsid w:val="70836196"/>
    <w:multiLevelType w:val="hybridMultilevel"/>
    <w:lvl w:ilvl="0">
      <w:lvlJc w:val="left"/>
      <w:lvlText w:val="%1."/>
      <w:numFmt w:val="decimal"/>
      <w:start w:val="15"/>
    </w:lvl>
    <w:lvl w:ilvl="1">
      <w:lvlJc w:val="left"/>
      <w:lvlText w:val="(%2)"/>
      <w:numFmt w:val="lowerLetter"/>
      <w:start w:val="1"/>
    </w:lvl>
  </w:abstractNum>
  <w:abstractNum w:abstractNumId="190">
    <w:nsid w:val="539F7F12"/>
    <w:multiLevelType w:val="hybridMultilevel"/>
    <w:lvl w:ilvl="0">
      <w:lvlJc w:val="left"/>
      <w:lvlText w:val="(%1)"/>
      <w:numFmt w:val="lowerLetter"/>
      <w:start w:val="3"/>
    </w:lvl>
  </w:abstractNum>
  <w:abstractNum w:abstractNumId="191">
    <w:nsid w:val="2817E7EC"/>
    <w:multiLevelType w:val="hybridMultilevel"/>
    <w:lvl w:ilvl="0">
      <w:lvlJc w:val="left"/>
      <w:lvlText w:val="%1."/>
      <w:numFmt w:val="decimal"/>
      <w:start w:val="17"/>
    </w:lvl>
    <w:lvl w:ilvl="1">
      <w:lvlJc w:val="left"/>
      <w:lvlText w:val="(%2)"/>
      <w:numFmt w:val="lowerLetter"/>
      <w:start w:val="1"/>
    </w:lvl>
  </w:abstractNum>
  <w:abstractNum w:abstractNumId="192">
    <w:nsid w:val="71482545"/>
    <w:multiLevelType w:val="hybridMultilevel"/>
    <w:lvl w:ilvl="0">
      <w:lvlJc w:val="left"/>
      <w:lvlText w:val="%1"/>
      <w:numFmt w:val="decimal"/>
      <w:start w:val="1"/>
    </w:lvl>
    <w:lvl w:ilvl="1">
      <w:lvlJc w:val="left"/>
      <w:lvlText w:val="(%2)"/>
      <w:numFmt w:val="lowerLetter"/>
      <w:start w:val="4"/>
    </w:lvl>
  </w:abstractNum>
  <w:abstractNum w:abstractNumId="193">
    <w:nsid w:val="17D78639"/>
    <w:multiLevelType w:val="hybridMultilevel"/>
    <w:lvl w:ilvl="0">
      <w:lvlJc w:val="left"/>
      <w:lvlText w:val="%1."/>
      <w:numFmt w:val="decimal"/>
      <w:start w:val="20"/>
    </w:lvl>
    <w:lvl w:ilvl="1">
      <w:lvlJc w:val="left"/>
      <w:lvlText w:val="(%2)"/>
      <w:numFmt w:val="lowerLetter"/>
      <w:start w:val="1"/>
    </w:lvl>
  </w:abstractNum>
  <w:abstractNum w:abstractNumId="194">
    <w:nsid w:val="141D2302"/>
    <w:multiLevelType w:val="hybridMultilevel"/>
    <w:lvl w:ilvl="0">
      <w:lvlJc w:val="left"/>
      <w:lvlText w:val="%1."/>
      <w:numFmt w:val="decimal"/>
      <w:start w:val="22"/>
    </w:lvl>
  </w:abstractNum>
  <w:abstractNum w:abstractNumId="195">
    <w:nsid w:val="407168D8"/>
    <w:multiLevelType w:val="hybridMultilevel"/>
    <w:lvl w:ilvl="0">
      <w:lvlJc w:val="left"/>
      <w:lvlText w:val="%1."/>
      <w:numFmt w:val="decimal"/>
      <w:start w:val="23"/>
    </w:lvl>
  </w:abstractNum>
  <w:abstractNum w:abstractNumId="196">
    <w:nsid w:val="6A1B45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97">
    <w:nsid w:val="567BD50A"/>
    <w:multiLevelType w:val="hybridMultilevel"/>
    <w:lvl w:ilvl="0">
      <w:lvlJc w:val="left"/>
      <w:lvlText w:val="%1"/>
      <w:numFmt w:val="lowerLetter"/>
      <w:start w:val="1"/>
    </w:lvl>
    <w:lvl w:ilvl="1">
      <w:lvlJc w:val="left"/>
      <w:lvlText w:val="(%2)"/>
      <w:numFmt w:val="lowerRoman"/>
      <w:start w:val="2"/>
    </w:lvl>
  </w:abstractNum>
  <w:abstractNum w:abstractNumId="198">
    <w:nsid w:val="73BBD7F8"/>
    <w:multiLevelType w:val="hybridMultilevel"/>
    <w:lvl w:ilvl="0">
      <w:lvlJc w:val="left"/>
      <w:lvlText w:val="(%1)"/>
      <w:numFmt w:val="lowerLetter"/>
      <w:start w:val="4"/>
    </w:lvl>
    <w:lvl w:ilvl="1">
      <w:lvlJc w:val="left"/>
      <w:lvlText w:val="%2"/>
      <w:numFmt w:val="lowerRoman"/>
      <w:start w:val="1"/>
    </w:lvl>
  </w:abstractNum>
  <w:abstractNum w:abstractNumId="199">
    <w:nsid w:val="1876589D"/>
    <w:multiLevelType w:val="hybridMultilevel"/>
    <w:lvl w:ilvl="0">
      <w:lvlJc w:val="left"/>
      <w:lvlText w:val="(%1)"/>
      <w:numFmt w:val="lowerLetter"/>
      <w:start w:val="5"/>
    </w:lvl>
  </w:abstractNum>
  <w:abstractNum w:abstractNumId="200">
    <w:nsid w:val="327FAC77"/>
    <w:multiLevelType w:val="hybridMultilevel"/>
    <w:lvl w:ilvl="0">
      <w:lvlJc w:val="left"/>
      <w:lvlText w:val="%1"/>
      <w:numFmt w:val="decimal"/>
      <w:start w:val="1"/>
    </w:lvl>
    <w:lvl w:ilvl="1">
      <w:lvlJc w:val="left"/>
      <w:lvlText w:val="(%2)"/>
      <w:numFmt w:val="lowerLetter"/>
      <w:start w:val="11"/>
    </w:lvl>
  </w:abstractNum>
  <w:abstractNum w:abstractNumId="201">
    <w:nsid w:val="5A606509"/>
    <w:multiLevelType w:val="hybridMultilevel"/>
    <w:lvl w:ilvl="0">
      <w:lvlJc w:val="left"/>
      <w:lvlText w:val="%1"/>
      <w:numFmt w:val="decimal"/>
      <w:start w:val="1"/>
    </w:lvl>
    <w:lvl w:ilvl="1">
      <w:lvlJc w:val="left"/>
      <w:lvlText w:val="(%2)"/>
      <w:numFmt w:val="lowerLetter"/>
      <w:start w:val="35"/>
    </w:lvl>
  </w:abstractNum>
  <w:abstractNum w:abstractNumId="202">
    <w:nsid w:val="6F38E6D1"/>
    <w:multiLevelType w:val="hybridMultilevel"/>
    <w:lvl w:ilvl="0">
      <w:lvlJc w:val="left"/>
      <w:lvlText w:val="%1"/>
      <w:numFmt w:val="decimal"/>
      <w:start w:val="1"/>
    </w:lvl>
    <w:lvl w:ilvl="1">
      <w:lvlJc w:val="left"/>
      <w:lvlText w:val="(%2)"/>
      <w:numFmt w:val="lowerLetter"/>
      <w:start w:val="12"/>
    </w:lvl>
  </w:abstractNum>
  <w:abstractNum w:abstractNumId="203">
    <w:nsid w:val="46111BA5"/>
    <w:multiLevelType w:val="hybridMultilevel"/>
    <w:lvl w:ilvl="0">
      <w:lvlJc w:val="left"/>
      <w:lvlText w:val="%1."/>
      <w:numFmt w:val="decimal"/>
      <w:start w:val="3"/>
    </w:lvl>
    <w:lvl w:ilvl="1">
      <w:lvlJc w:val="left"/>
      <w:lvlText w:val="%2"/>
      <w:numFmt w:val="lowerLetter"/>
      <w:start w:val="1"/>
    </w:lvl>
  </w:abstractNum>
  <w:abstractNum w:abstractNumId="204">
    <w:nsid w:val="5E963896"/>
    <w:multiLevelType w:val="hybridMultilevel"/>
    <w:lvl w:ilvl="0">
      <w:lvlJc w:val="left"/>
      <w:lvlText w:val="%1."/>
      <w:numFmt w:val="decimal"/>
      <w:start w:val="4"/>
    </w:lvl>
  </w:abstractNum>
  <w:abstractNum w:abstractNumId="205">
    <w:nsid w:val="775BA7C1"/>
    <w:multiLevelType w:val="hybridMultilevel"/>
    <w:lvl w:ilvl="0">
      <w:lvlJc w:val="left"/>
      <w:lvlText w:val="%1."/>
      <w:numFmt w:val="decimal"/>
      <w:start w:val="7"/>
    </w:lvl>
    <w:lvl w:ilvl="1">
      <w:lvlJc w:val="left"/>
      <w:lvlText w:val="(%2)"/>
      <w:numFmt w:val="lowerLetter"/>
      <w:start w:val="1"/>
    </w:lvl>
  </w:abstractNum>
  <w:abstractNum w:abstractNumId="206">
    <w:nsid w:val="1DD6D6F4"/>
    <w:multiLevelType w:val="hybridMultilevel"/>
    <w:lvl w:ilvl="0">
      <w:lvlJc w:val="left"/>
      <w:lvlText w:val="%1"/>
      <w:numFmt w:val="decimal"/>
      <w:start w:val="1"/>
    </w:lvl>
    <w:lvl w:ilvl="1">
      <w:lvlJc w:val="left"/>
      <w:lvlText w:val="(%2)"/>
      <w:numFmt w:val="lowerLetter"/>
      <w:start w:val="3"/>
    </w:lvl>
  </w:abstractNum>
  <w:abstractNum w:abstractNumId="207">
    <w:nsid w:val="769A091F"/>
    <w:multiLevelType w:val="hybridMultilevel"/>
    <w:lvl w:ilvl="0">
      <w:lvlJc w:val="left"/>
      <w:lvlText w:val="%1."/>
      <w:numFmt w:val="decimal"/>
      <w:start w:val="10"/>
    </w:lvl>
    <w:lvl w:ilvl="1">
      <w:lvlJc w:val="left"/>
      <w:lvlText w:val="(%2)"/>
      <w:numFmt w:val="lowerLetter"/>
      <w:start w:val="1"/>
    </w:lvl>
  </w:abstractNum>
  <w:abstractNum w:abstractNumId="208">
    <w:nsid w:val="4695AE95"/>
    <w:multiLevelType w:val="hybridMultilevel"/>
    <w:lvl w:ilvl="0">
      <w:lvlJc w:val="left"/>
      <w:lvlText w:val="%1"/>
      <w:numFmt w:val="decimal"/>
      <w:start w:val="1"/>
    </w:lvl>
    <w:lvl w:ilvl="1">
      <w:lvlJc w:val="left"/>
      <w:lvlText w:val="(%2)"/>
      <w:numFmt w:val="lowerLetter"/>
      <w:start w:val="2"/>
    </w:lvl>
  </w:abstractNum>
  <w:abstractNum w:abstractNumId="209">
    <w:nsid w:val="777A4EAA"/>
    <w:multiLevelType w:val="hybridMultilevel"/>
    <w:lvl w:ilvl="0">
      <w:lvlJc w:val="left"/>
      <w:lvlText w:val="%1."/>
      <w:numFmt w:val="decimal"/>
      <w:start w:val="12"/>
    </w:lvl>
    <w:lvl w:ilvl="1">
      <w:lvlJc w:val="left"/>
      <w:lvlText w:val="(%2)"/>
      <w:numFmt w:val="lowerLetter"/>
      <w:start w:val="1"/>
    </w:lvl>
  </w:abstractNum>
  <w:abstractNum w:abstractNumId="210">
    <w:nsid w:val="3F48B982"/>
    <w:multiLevelType w:val="hybridMultilevel"/>
    <w:lvl w:ilvl="0">
      <w:lvlJc w:val="left"/>
      <w:lvlText w:val="%1"/>
      <w:numFmt w:val="decimal"/>
      <w:start w:val="1"/>
    </w:lvl>
    <w:lvl w:ilvl="1">
      <w:lvlJc w:val="left"/>
      <w:lvlText w:val="(%2)"/>
      <w:numFmt w:val="lowerLetter"/>
      <w:start w:val="3"/>
    </w:lvl>
  </w:abstractNum>
  <w:abstractNum w:abstractNumId="211">
    <w:nsid w:val="46BA8FCA"/>
    <w:multiLevelType w:val="hybridMultilevel"/>
    <w:lvl w:ilvl="0">
      <w:lvlJc w:val="left"/>
      <w:lvlText w:val="%1."/>
      <w:numFmt w:val="decimal"/>
      <w:start w:val="13"/>
    </w:lvl>
    <w:lvl w:ilvl="1">
      <w:lvlJc w:val="left"/>
      <w:lvlText w:val="(%2)"/>
      <w:numFmt w:val="lowerLetter"/>
      <w:start w:val="1"/>
    </w:lvl>
  </w:abstractNum>
  <w:abstractNum w:abstractNumId="212">
    <w:nsid w:val="7835626C"/>
    <w:multiLevelType w:val="hybridMultilevel"/>
    <w:lvl w:ilvl="0">
      <w:lvlJc w:val="left"/>
      <w:lvlText w:val="%1"/>
      <w:numFmt w:val="decimal"/>
      <w:start w:val="1"/>
    </w:lvl>
    <w:lvl w:ilvl="1">
      <w:lvlJc w:val="left"/>
      <w:lvlText w:val="(%2)"/>
      <w:numFmt w:val="lowerLetter"/>
      <w:start w:val="3"/>
    </w:lvl>
  </w:abstractNum>
  <w:abstractNum w:abstractNumId="213">
    <w:nsid w:val="665ACA49"/>
    <w:multiLevelType w:val="hybridMultilevel"/>
    <w:lvl w:ilvl="0">
      <w:lvlJc w:val="left"/>
      <w:lvlText w:val="%1."/>
      <w:numFmt w:val="decimal"/>
      <w:start w:val="14"/>
    </w:lvl>
    <w:lvl w:ilvl="1">
      <w:lvlJc w:val="left"/>
      <w:lvlText w:val="(%2)"/>
      <w:numFmt w:val="lowerLetter"/>
      <w:start w:val="1"/>
    </w:lvl>
  </w:abstractNum>
  <w:abstractNum w:abstractNumId="214">
    <w:nsid w:val="6835B2AE"/>
    <w:multiLevelType w:val="hybridMultilevel"/>
    <w:lvl w:ilvl="0">
      <w:lvlJc w:val="left"/>
      <w:lvlText w:val="(%1)"/>
      <w:numFmt w:val="lowerLetter"/>
      <w:start w:val="2"/>
    </w:lvl>
  </w:abstractNum>
  <w:abstractNum w:abstractNumId="215">
    <w:nsid w:val="4C187C90"/>
    <w:multiLevelType w:val="hybridMultilevel"/>
    <w:lvl w:ilvl="0">
      <w:lvlJc w:val="left"/>
      <w:lvlText w:val="%1"/>
      <w:numFmt w:val="decimal"/>
      <w:start w:val="1"/>
    </w:lvl>
    <w:lvl w:ilvl="1">
      <w:lvlJc w:val="left"/>
      <w:lvlText w:val="(%2)"/>
      <w:numFmt w:val="lowerLetter"/>
      <w:start w:val="6"/>
    </w:lvl>
  </w:abstractNum>
  <w:abstractNum w:abstractNumId="216">
    <w:nsid w:val="541F28CD"/>
    <w:multiLevelType w:val="hybridMultilevel"/>
    <w:lvl w:ilvl="0">
      <w:lvlJc w:val="left"/>
      <w:lvlText w:val="%1."/>
      <w:numFmt w:val="decimal"/>
      <w:start w:val="15"/>
    </w:lvl>
    <w:lvl w:ilvl="1">
      <w:lvlJc w:val="left"/>
      <w:lvlText w:val="(%2)"/>
      <w:numFmt w:val="lowerLetter"/>
      <w:start w:val="1"/>
    </w:lvl>
  </w:abstractNum>
  <w:abstractNum w:abstractNumId="217">
    <w:nsid w:val="7F65FD16"/>
    <w:multiLevelType w:val="hybridMultilevel"/>
    <w:lvl w:ilvl="0">
      <w:lvlJc w:val="left"/>
      <w:lvlText w:val="(%1)"/>
      <w:numFmt w:val="lowerLetter"/>
      <w:start w:val="3"/>
    </w:lvl>
  </w:abstractNum>
  <w:abstractNum w:abstractNumId="218">
    <w:nsid w:val="77C9FD68"/>
    <w:multiLevelType w:val="hybridMultilevel"/>
    <w:lvl w:ilvl="0">
      <w:lvlJc w:val="left"/>
      <w:lvlText w:val="%1."/>
      <w:numFmt w:val="decimal"/>
      <w:start w:val="17"/>
    </w:lvl>
    <w:lvl w:ilvl="1">
      <w:lvlJc w:val="left"/>
      <w:lvlText w:val="(%2)"/>
      <w:numFmt w:val="lowerLetter"/>
      <w:start w:val="1"/>
    </w:lvl>
  </w:abstractNum>
  <w:abstractNum w:abstractNumId="219">
    <w:nsid w:val="298A92BA"/>
    <w:multiLevelType w:val="hybridMultilevel"/>
    <w:lvl w:ilvl="0">
      <w:lvlJc w:val="left"/>
      <w:lvlText w:val="%1"/>
      <w:numFmt w:val="decimal"/>
      <w:start w:val="1"/>
    </w:lvl>
    <w:lvl w:ilvl="1">
      <w:lvlJc w:val="left"/>
      <w:lvlText w:val="(%2)"/>
      <w:numFmt w:val="lowerLetter"/>
      <w:start w:val="4"/>
    </w:lvl>
  </w:abstractNum>
  <w:abstractNum w:abstractNumId="220">
    <w:nsid w:val="6FE95EAC"/>
    <w:multiLevelType w:val="hybridMultilevel"/>
    <w:lvl w:ilvl="0">
      <w:lvlJc w:val="left"/>
      <w:lvlText w:val="%1."/>
      <w:numFmt w:val="decimal"/>
      <w:start w:val="20"/>
    </w:lvl>
    <w:lvl w:ilvl="1">
      <w:lvlJc w:val="left"/>
      <w:lvlText w:val="(%2)"/>
      <w:numFmt w:val="lowerLetter"/>
      <w:start w:val="1"/>
    </w:lvl>
  </w:abstractNum>
  <w:abstractNum w:abstractNumId="221">
    <w:nsid w:val="4B697C7A"/>
    <w:multiLevelType w:val="hybridMultilevel"/>
    <w:lvl w:ilvl="0">
      <w:lvlJc w:val="left"/>
      <w:lvlText w:val="%1."/>
      <w:numFmt w:val="decimal"/>
      <w:start w:val="22"/>
    </w:lvl>
  </w:abstractNum>
  <w:abstractNum w:abstractNumId="222">
    <w:nsid w:val="51A27AA6"/>
    <w:multiLevelType w:val="hybridMultilevel"/>
    <w:lvl w:ilvl="0">
      <w:lvlJc w:val="left"/>
      <w:lvlText w:val="%1."/>
      <w:numFmt w:val="decimal"/>
      <w:start w:val="23"/>
    </w:lvl>
  </w:abstractNum>
  <w:abstractNum w:abstractNumId="223">
    <w:nsid w:val="613183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24">
    <w:nsid w:val="634102B4"/>
    <w:multiLevelType w:val="hybridMultilevel"/>
    <w:lvl w:ilvl="0">
      <w:lvlJc w:val="left"/>
      <w:lvlText w:val="%1"/>
      <w:numFmt w:val="lowerLetter"/>
      <w:start w:val="1"/>
    </w:lvl>
    <w:lvl w:ilvl="1">
      <w:lvlJc w:val="left"/>
      <w:lvlText w:val="(%2)"/>
      <w:numFmt w:val="lowerRoman"/>
      <w:start w:val="2"/>
    </w:lvl>
  </w:abstractNum>
  <w:abstractNum w:abstractNumId="225">
    <w:nsid w:val="65BF9DA8"/>
    <w:multiLevelType w:val="hybridMultilevel"/>
    <w:lvl w:ilvl="0">
      <w:lvlJc w:val="left"/>
      <w:lvlText w:val="(%1)"/>
      <w:numFmt w:val="lowerLetter"/>
      <w:start w:val="4"/>
    </w:lvl>
    <w:lvl w:ilvl="1">
      <w:lvlJc w:val="left"/>
      <w:lvlText w:val="%2"/>
      <w:numFmt w:val="lowerRoman"/>
      <w:start w:val="1"/>
    </w:lvl>
  </w:abstractNum>
  <w:abstractNum w:abstractNumId="226">
    <w:nsid w:val="21A2ECCA"/>
    <w:multiLevelType w:val="hybridMultilevel"/>
    <w:lvl w:ilvl="0">
      <w:lvlJc w:val="left"/>
      <w:lvlText w:val="(%1)"/>
      <w:numFmt w:val="lowerLetter"/>
      <w:start w:val="5"/>
    </w:lvl>
  </w:abstractNum>
  <w:abstractNum w:abstractNumId="227">
    <w:nsid w:val="4D5C4899"/>
    <w:multiLevelType w:val="hybridMultilevel"/>
    <w:lvl w:ilvl="0">
      <w:lvlJc w:val="left"/>
      <w:lvlText w:val="%1"/>
      <w:numFmt w:val="decimal"/>
      <w:start w:val="1"/>
    </w:lvl>
    <w:lvl w:ilvl="1">
      <w:lvlJc w:val="left"/>
      <w:lvlText w:val="(%2)"/>
      <w:numFmt w:val="lowerLetter"/>
      <w:start w:val="11"/>
    </w:lvl>
  </w:abstractNum>
  <w:abstractNum w:abstractNumId="228">
    <w:nsid w:val="3C3B72B2"/>
    <w:multiLevelType w:val="hybridMultilevel"/>
    <w:lvl w:ilvl="0">
      <w:lvlJc w:val="left"/>
      <w:lvlText w:val="%1"/>
      <w:numFmt w:val="decimal"/>
      <w:start w:val="1"/>
    </w:lvl>
    <w:lvl w:ilvl="1">
      <w:lvlJc w:val="left"/>
      <w:lvlText w:val="(%2)"/>
      <w:numFmt w:val="lowerLetter"/>
      <w:start w:val="35"/>
    </w:lvl>
  </w:abstractNum>
  <w:abstractNum w:abstractNumId="229">
    <w:nsid w:val="155EC4C2"/>
    <w:multiLevelType w:val="hybridMultilevel"/>
    <w:lvl w:ilvl="0">
      <w:lvlJc w:val="left"/>
      <w:lvlText w:val="%1"/>
      <w:numFmt w:val="decimal"/>
      <w:start w:val="1"/>
    </w:lvl>
    <w:lvl w:ilvl="1">
      <w:lvlJc w:val="left"/>
      <w:lvlText w:val="(%2)"/>
      <w:numFmt w:val="lowerLetter"/>
      <w:start w:val="12"/>
    </w:lvl>
  </w:abstractNum>
  <w:abstractNum w:abstractNumId="230">
    <w:nsid w:val="65D2A137"/>
    <w:multiLevelType w:val="hybridMultilevel"/>
    <w:lvl w:ilvl="0">
      <w:lvlJc w:val="left"/>
      <w:lvlText w:val="%1."/>
      <w:numFmt w:val="decimal"/>
      <w:start w:val="3"/>
    </w:lvl>
    <w:lvl w:ilvl="1">
      <w:lvlJc w:val="left"/>
      <w:lvlText w:val="%2"/>
      <w:numFmt w:val="lowerLetter"/>
      <w:start w:val="1"/>
    </w:lvl>
  </w:abstractNum>
  <w:abstractNum w:abstractNumId="231">
    <w:nsid w:val="6EBB1F2A"/>
    <w:multiLevelType w:val="hybridMultilevel"/>
    <w:lvl w:ilvl="0">
      <w:lvlJc w:val="left"/>
      <w:lvlText w:val="%1."/>
      <w:numFmt w:val="decimal"/>
      <w:start w:val="4"/>
    </w:lvl>
  </w:abstractNum>
  <w:abstractNum w:abstractNumId="232">
    <w:nsid w:val="6FBF29CB"/>
    <w:multiLevelType w:val="hybridMultilevel"/>
    <w:lvl w:ilvl="0">
      <w:lvlJc w:val="left"/>
      <w:lvlText w:val="%1."/>
      <w:numFmt w:val="decimal"/>
      <w:start w:val="7"/>
    </w:lvl>
    <w:lvl w:ilvl="1">
      <w:lvlJc w:val="left"/>
      <w:lvlText w:val="(%2)"/>
      <w:numFmt w:val="lowerLetter"/>
      <w:start w:val="1"/>
    </w:lvl>
  </w:abstractNum>
  <w:abstractNum w:abstractNumId="233">
    <w:nsid w:val="550B8808"/>
    <w:multiLevelType w:val="hybridMultilevel"/>
    <w:lvl w:ilvl="0">
      <w:lvlJc w:val="left"/>
      <w:lvlText w:val="%1"/>
      <w:numFmt w:val="decimal"/>
      <w:start w:val="1"/>
    </w:lvl>
    <w:lvl w:ilvl="1">
      <w:lvlJc w:val="left"/>
      <w:lvlText w:val="(%2)"/>
      <w:numFmt w:val="lowerLetter"/>
      <w:start w:val="3"/>
    </w:lvl>
  </w:abstractNum>
  <w:abstractNum w:abstractNumId="234">
    <w:nsid w:val="34CC3ACF"/>
    <w:multiLevelType w:val="hybridMultilevel"/>
    <w:lvl w:ilvl="0">
      <w:lvlJc w:val="left"/>
      <w:lvlText w:val="%1."/>
      <w:numFmt w:val="decimal"/>
      <w:start w:val="10"/>
    </w:lvl>
    <w:lvl w:ilvl="1">
      <w:lvlJc w:val="left"/>
      <w:lvlText w:val="(%2)"/>
      <w:numFmt w:val="lowerLetter"/>
      <w:start w:val="1"/>
    </w:lvl>
  </w:abstractNum>
  <w:abstractNum w:abstractNumId="235">
    <w:nsid w:val="4E556261"/>
    <w:multiLevelType w:val="hybridMultilevel"/>
    <w:lvl w:ilvl="0">
      <w:lvlJc w:val="left"/>
      <w:lvlText w:val="%1"/>
      <w:numFmt w:val="decimal"/>
      <w:start w:val="1"/>
    </w:lvl>
    <w:lvl w:ilvl="1">
      <w:lvlJc w:val="left"/>
      <w:lvlText w:val="(%2)"/>
      <w:numFmt w:val="lowerLetter"/>
      <w:start w:val="2"/>
    </w:lvl>
  </w:abstractNum>
  <w:abstractNum w:abstractNumId="236">
    <w:nsid w:val="4C672FC9"/>
    <w:multiLevelType w:val="hybridMultilevel"/>
    <w:lvl w:ilvl="0">
      <w:lvlJc w:val="left"/>
      <w:lvlText w:val="%1."/>
      <w:numFmt w:val="decimal"/>
      <w:start w:val="12"/>
    </w:lvl>
    <w:lvl w:ilvl="1">
      <w:lvlJc w:val="left"/>
      <w:lvlText w:val="(%2)"/>
      <w:numFmt w:val="lowerLetter"/>
      <w:start w:val="1"/>
    </w:lvl>
  </w:abstractNum>
  <w:abstractNum w:abstractNumId="237">
    <w:nsid w:val="52A311C3"/>
    <w:multiLevelType w:val="hybridMultilevel"/>
    <w:lvl w:ilvl="0">
      <w:lvlJc w:val="left"/>
      <w:lvlText w:val="%1"/>
      <w:numFmt w:val="decimal"/>
      <w:start w:val="1"/>
    </w:lvl>
    <w:lvl w:ilvl="1">
      <w:lvlJc w:val="left"/>
      <w:lvlText w:val="(%2)"/>
      <w:numFmt w:val="lowerLetter"/>
      <w:start w:val="3"/>
    </w:lvl>
  </w:abstractNum>
  <w:abstractNum w:abstractNumId="238">
    <w:nsid w:val="44EF6B80"/>
    <w:multiLevelType w:val="hybridMultilevel"/>
    <w:lvl w:ilvl="0">
      <w:lvlJc w:val="left"/>
      <w:lvlText w:val="%1."/>
      <w:numFmt w:val="decimal"/>
      <w:start w:val="13"/>
    </w:lvl>
    <w:lvl w:ilvl="1">
      <w:lvlJc w:val="left"/>
      <w:lvlText w:val="(%2)"/>
      <w:numFmt w:val="lowerLetter"/>
      <w:start w:val="1"/>
    </w:lvl>
  </w:abstractNum>
  <w:abstractNum w:abstractNumId="239">
    <w:nsid w:val="12FCDE5E"/>
    <w:multiLevelType w:val="hybridMultilevel"/>
    <w:lvl w:ilvl="0">
      <w:lvlJc w:val="left"/>
      <w:lvlText w:val="%1"/>
      <w:numFmt w:val="decimal"/>
      <w:start w:val="1"/>
    </w:lvl>
    <w:lvl w:ilvl="1">
      <w:lvlJc w:val="left"/>
      <w:lvlText w:val="(%2)"/>
      <w:numFmt w:val="lowerLetter"/>
      <w:start w:val="3"/>
    </w:lvl>
  </w:abstractNum>
  <w:abstractNum w:abstractNumId="240">
    <w:nsid w:val="4A1D606E"/>
    <w:multiLevelType w:val="hybridMultilevel"/>
    <w:lvl w:ilvl="0">
      <w:lvlJc w:val="left"/>
      <w:lvlText w:val="%1."/>
      <w:numFmt w:val="decimal"/>
      <w:start w:val="14"/>
    </w:lvl>
    <w:lvl w:ilvl="1">
      <w:lvlJc w:val="left"/>
      <w:lvlText w:val="(%2)"/>
      <w:numFmt w:val="lowerLetter"/>
      <w:start w:val="1"/>
    </w:lvl>
  </w:abstractNum>
  <w:abstractNum w:abstractNumId="241">
    <w:nsid w:val="4382503"/>
    <w:multiLevelType w:val="hybridMultilevel"/>
    <w:lvl w:ilvl="0">
      <w:lvlJc w:val="left"/>
      <w:lvlText w:val="(%1)"/>
      <w:numFmt w:val="lowerLetter"/>
      <w:start w:val="2"/>
    </w:lvl>
  </w:abstractNum>
  <w:abstractNum w:abstractNumId="242">
    <w:nsid w:val="59B76E28"/>
    <w:multiLevelType w:val="hybridMultilevel"/>
    <w:lvl w:ilvl="0">
      <w:lvlJc w:val="left"/>
      <w:lvlText w:val="%1"/>
      <w:numFmt w:val="decimal"/>
      <w:start w:val="1"/>
    </w:lvl>
    <w:lvl w:ilvl="1">
      <w:lvlJc w:val="left"/>
      <w:lvlText w:val="(%2)"/>
      <w:numFmt w:val="lowerLetter"/>
      <w:start w:val="6"/>
    </w:lvl>
  </w:abstractNum>
  <w:abstractNum w:abstractNumId="243">
    <w:nsid w:val="4252C2DA"/>
    <w:multiLevelType w:val="hybridMultilevel"/>
    <w:lvl w:ilvl="0">
      <w:lvlJc w:val="left"/>
      <w:lvlText w:val="%1."/>
      <w:numFmt w:val="decimal"/>
      <w:start w:val="15"/>
    </w:lvl>
    <w:lvl w:ilvl="1">
      <w:lvlJc w:val="left"/>
      <w:lvlText w:val="(%2)"/>
      <w:numFmt w:val="lowerLetter"/>
      <w:start w:val="1"/>
    </w:lvl>
  </w:abstractNum>
  <w:abstractNum w:abstractNumId="244">
    <w:nsid w:val="6A92EF4C"/>
    <w:multiLevelType w:val="hybridMultilevel"/>
    <w:lvl w:ilvl="0">
      <w:lvlJc w:val="left"/>
      <w:lvlText w:val="(%1)"/>
      <w:numFmt w:val="lowerLetter"/>
      <w:start w:val="3"/>
    </w:lvl>
  </w:abstractNum>
  <w:abstractNum w:abstractNumId="245">
    <w:nsid w:val="41ED20D7"/>
    <w:multiLevelType w:val="hybridMultilevel"/>
    <w:lvl w:ilvl="0">
      <w:lvlJc w:val="left"/>
      <w:lvlText w:val="%1."/>
      <w:numFmt w:val="decimal"/>
      <w:start w:val="17"/>
    </w:lvl>
    <w:lvl w:ilvl="1">
      <w:lvlJc w:val="left"/>
      <w:lvlText w:val="(%2)"/>
      <w:numFmt w:val="lowerLetter"/>
      <w:start w:val="1"/>
    </w:lvl>
  </w:abstractNum>
  <w:abstractNum w:abstractNumId="246">
    <w:nsid w:val="E6B3F6A"/>
    <w:multiLevelType w:val="hybridMultilevel"/>
    <w:lvl w:ilvl="0">
      <w:lvlJc w:val="left"/>
      <w:lvlText w:val="%1"/>
      <w:numFmt w:val="decimal"/>
      <w:start w:val="1"/>
    </w:lvl>
    <w:lvl w:ilvl="1">
      <w:lvlJc w:val="left"/>
      <w:lvlText w:val="(%2)"/>
      <w:numFmt w:val="lowerLetter"/>
      <w:start w:val="4"/>
    </w:lvl>
  </w:abstractNum>
  <w:abstractNum w:abstractNumId="247">
    <w:nsid w:val="3EB21819"/>
    <w:multiLevelType w:val="hybridMultilevel"/>
    <w:lvl w:ilvl="0">
      <w:lvlJc w:val="left"/>
      <w:lvlText w:val="%1."/>
      <w:numFmt w:val="decimal"/>
      <w:start w:val="20"/>
    </w:lvl>
    <w:lvl w:ilvl="1">
      <w:lvlJc w:val="left"/>
      <w:lvlText w:val="(%2)"/>
      <w:numFmt w:val="lowerLetter"/>
      <w:start w:val="1"/>
    </w:lvl>
  </w:abstractNum>
  <w:abstractNum w:abstractNumId="248">
    <w:nsid w:val="41531DED"/>
    <w:multiLevelType w:val="hybridMultilevel"/>
    <w:lvl w:ilvl="0">
      <w:lvlJc w:val="left"/>
      <w:lvlText w:val="%1."/>
      <w:numFmt w:val="decimal"/>
      <w:start w:val="22"/>
    </w:lvl>
  </w:abstractNum>
  <w:abstractNum w:abstractNumId="249">
    <w:nsid w:val="6353CD2"/>
    <w:multiLevelType w:val="hybridMultilevel"/>
    <w:lvl w:ilvl="0">
      <w:lvlJc w:val="left"/>
      <w:lvlText w:val="%1."/>
      <w:numFmt w:val="decimal"/>
      <w:start w:val="23"/>
    </w:lvl>
  </w:abstractNum>
  <w:abstractNum w:abstractNumId="250">
    <w:nsid w:val="683CAAD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51">
    <w:nsid w:val="313C7C99"/>
    <w:multiLevelType w:val="hybridMultilevel"/>
    <w:lvl w:ilvl="0">
      <w:lvlJc w:val="left"/>
      <w:lvlText w:val="%1"/>
      <w:numFmt w:val="lowerLetter"/>
      <w:start w:val="1"/>
    </w:lvl>
    <w:lvl w:ilvl="1">
      <w:lvlJc w:val="left"/>
      <w:lvlText w:val="(%2)"/>
      <w:numFmt w:val="lowerRoman"/>
      <w:start w:val="2"/>
    </w:lvl>
  </w:abstractNum>
  <w:abstractNum w:abstractNumId="252">
    <w:nsid w:val="519EB94C"/>
    <w:multiLevelType w:val="hybridMultilevel"/>
    <w:lvl w:ilvl="0">
      <w:lvlJc w:val="left"/>
      <w:lvlText w:val="(%1)"/>
      <w:numFmt w:val="lowerLetter"/>
      <w:start w:val="4"/>
    </w:lvl>
    <w:lvl w:ilvl="1">
      <w:lvlJc w:val="left"/>
      <w:lvlText w:val="%2"/>
      <w:numFmt w:val="lowerRoman"/>
      <w:start w:val="1"/>
    </w:lvl>
  </w:abstractNum>
  <w:abstractNum w:abstractNumId="253">
    <w:nsid w:val="39DF2579"/>
    <w:multiLevelType w:val="hybridMultilevel"/>
    <w:lvl w:ilvl="0">
      <w:lvlJc w:val="left"/>
      <w:lvlText w:val="(%1)"/>
      <w:numFmt w:val="lowerLetter"/>
      <w:start w:val="5"/>
    </w:lvl>
  </w:abstractNum>
  <w:abstractNum w:abstractNumId="254">
    <w:nsid w:val="126E008B"/>
    <w:multiLevelType w:val="hybridMultilevel"/>
    <w:lvl w:ilvl="0">
      <w:lvlJc w:val="left"/>
      <w:lvlText w:val="%1"/>
      <w:numFmt w:val="decimal"/>
      <w:start w:val="1"/>
    </w:lvl>
    <w:lvl w:ilvl="1">
      <w:lvlJc w:val="left"/>
      <w:lvlText w:val="(%2)"/>
      <w:numFmt w:val="lowerLetter"/>
      <w:start w:val="11"/>
    </w:lvl>
  </w:abstractNum>
  <w:abstractNum w:abstractNumId="255">
    <w:nsid w:val="34DFBC00"/>
    <w:multiLevelType w:val="hybridMultilevel"/>
    <w:lvl w:ilvl="0">
      <w:lvlJc w:val="left"/>
      <w:lvlText w:val="%1"/>
      <w:numFmt w:val="decimal"/>
      <w:start w:val="1"/>
    </w:lvl>
    <w:lvl w:ilvl="1">
      <w:lvlJc w:val="left"/>
      <w:lvlText w:val="(%2)"/>
      <w:numFmt w:val="lowerLetter"/>
      <w:start w:val="35"/>
    </w:lvl>
  </w:abstractNum>
  <w:abstractNum w:abstractNumId="256">
    <w:nsid w:val="1F9EC322"/>
    <w:multiLevelType w:val="hybridMultilevel"/>
    <w:lvl w:ilvl="0">
      <w:lvlJc w:val="left"/>
      <w:lvlText w:val="%1"/>
      <w:numFmt w:val="decimal"/>
      <w:start w:val="1"/>
    </w:lvl>
    <w:lvl w:ilvl="1">
      <w:lvlJc w:val="left"/>
      <w:lvlText w:val="(%2)"/>
      <w:numFmt w:val="lowerLetter"/>
      <w:start w:val="12"/>
    </w:lvl>
  </w:abstractNum>
  <w:abstractNum w:abstractNumId="257">
    <w:nsid w:val="3410ED56"/>
    <w:multiLevelType w:val="hybridMultilevel"/>
    <w:lvl w:ilvl="0">
      <w:lvlJc w:val="left"/>
      <w:lvlText w:val="%1."/>
      <w:numFmt w:val="decimal"/>
      <w:start w:val="3"/>
    </w:lvl>
    <w:lvl w:ilvl="1">
      <w:lvlJc w:val="left"/>
      <w:lvlText w:val="%2"/>
      <w:numFmt w:val="lowerLetter"/>
      <w:start w:val="1"/>
    </w:lvl>
  </w:abstractNum>
  <w:abstractNum w:abstractNumId="258">
    <w:nsid w:val="23C049A"/>
    <w:multiLevelType w:val="hybridMultilevel"/>
    <w:lvl w:ilvl="0">
      <w:lvlJc w:val="left"/>
      <w:lvlText w:val="%1."/>
      <w:numFmt w:val="decimal"/>
      <w:start w:val="4"/>
    </w:lvl>
  </w:abstractNum>
  <w:abstractNum w:abstractNumId="259">
    <w:nsid w:val="5BDA35D4"/>
    <w:multiLevelType w:val="hybridMultilevel"/>
    <w:lvl w:ilvl="0">
      <w:lvlJc w:val="left"/>
      <w:lvlText w:val="%1."/>
      <w:numFmt w:val="decimal"/>
      <w:start w:val="7"/>
    </w:lvl>
    <w:lvl w:ilvl="1">
      <w:lvlJc w:val="left"/>
      <w:lvlText w:val="(%2)"/>
      <w:numFmt w:val="lowerLetter"/>
      <w:start w:val="1"/>
    </w:lvl>
  </w:abstractNum>
  <w:abstractNum w:abstractNumId="260">
    <w:nsid w:val="496FB218"/>
    <w:multiLevelType w:val="hybridMultilevel"/>
    <w:lvl w:ilvl="0">
      <w:lvlJc w:val="left"/>
      <w:lvlText w:val="%1"/>
      <w:numFmt w:val="decimal"/>
      <w:start w:val="1"/>
    </w:lvl>
    <w:lvl w:ilvl="1">
      <w:lvlJc w:val="left"/>
      <w:lvlText w:val="(%2)"/>
      <w:numFmt w:val="lowerLetter"/>
      <w:start w:val="3"/>
    </w:lvl>
  </w:abstractNum>
  <w:abstractNum w:abstractNumId="261">
    <w:nsid w:val="680EA5D1"/>
    <w:multiLevelType w:val="hybridMultilevel"/>
    <w:lvl w:ilvl="0">
      <w:lvlJc w:val="left"/>
      <w:lvlText w:val="%1."/>
      <w:numFmt w:val="decimal"/>
      <w:start w:val="10"/>
    </w:lvl>
    <w:lvl w:ilvl="1">
      <w:lvlJc w:val="left"/>
      <w:lvlText w:val="(%2)"/>
      <w:numFmt w:val="lowerLetter"/>
      <w:start w:val="1"/>
    </w:lvl>
  </w:abstractNum>
  <w:abstractNum w:abstractNumId="262">
    <w:nsid w:val="4A9554FE"/>
    <w:multiLevelType w:val="hybridMultilevel"/>
    <w:lvl w:ilvl="0">
      <w:lvlJc w:val="left"/>
      <w:lvlText w:val="%1"/>
      <w:numFmt w:val="decimal"/>
      <w:start w:val="1"/>
    </w:lvl>
    <w:lvl w:ilvl="1">
      <w:lvlJc w:val="left"/>
      <w:lvlText w:val="(%2)"/>
      <w:numFmt w:val="lowerLetter"/>
      <w:start w:val="2"/>
    </w:lvl>
  </w:abstractNum>
  <w:abstractNum w:abstractNumId="263">
    <w:nsid w:val="392EDBE4"/>
    <w:multiLevelType w:val="hybridMultilevel"/>
    <w:lvl w:ilvl="0">
      <w:lvlJc w:val="left"/>
      <w:lvlText w:val="%1."/>
      <w:numFmt w:val="decimal"/>
      <w:start w:val="12"/>
    </w:lvl>
    <w:lvl w:ilvl="1">
      <w:lvlJc w:val="left"/>
      <w:lvlText w:val="(%2)"/>
      <w:numFmt w:val="lowerLetter"/>
      <w:start w:val="1"/>
    </w:lvl>
  </w:abstractNum>
  <w:abstractNum w:abstractNumId="264">
    <w:nsid w:val="3D1A2DD9"/>
    <w:multiLevelType w:val="hybridMultilevel"/>
    <w:lvl w:ilvl="0">
      <w:lvlJc w:val="left"/>
      <w:lvlText w:val="%1"/>
      <w:numFmt w:val="decimal"/>
      <w:start w:val="1"/>
    </w:lvl>
    <w:lvl w:ilvl="1">
      <w:lvlJc w:val="left"/>
      <w:lvlText w:val="(%2)"/>
      <w:numFmt w:val="lowerLetter"/>
      <w:start w:val="3"/>
    </w:lvl>
  </w:abstractNum>
  <w:abstractNum w:abstractNumId="265">
    <w:nsid w:val="7F618FCD"/>
    <w:multiLevelType w:val="hybridMultilevel"/>
    <w:lvl w:ilvl="0">
      <w:lvlJc w:val="left"/>
      <w:lvlText w:val="%1."/>
      <w:numFmt w:val="decimal"/>
      <w:start w:val="13"/>
    </w:lvl>
    <w:lvl w:ilvl="1">
      <w:lvlJc w:val="left"/>
      <w:lvlText w:val="(%2)"/>
      <w:numFmt w:val="lowerLetter"/>
      <w:start w:val="1"/>
    </w:lvl>
  </w:abstractNum>
  <w:abstractNum w:abstractNumId="266">
    <w:nsid w:val="7843E45"/>
    <w:multiLevelType w:val="hybridMultilevel"/>
    <w:lvl w:ilvl="0">
      <w:lvlJc w:val="left"/>
      <w:lvlText w:val="%1"/>
      <w:numFmt w:val="decimal"/>
      <w:start w:val="1"/>
    </w:lvl>
    <w:lvl w:ilvl="1">
      <w:lvlJc w:val="left"/>
      <w:lvlText w:val="(%2)"/>
      <w:numFmt w:val="lowerLetter"/>
      <w:start w:val="3"/>
    </w:lvl>
  </w:abstractNum>
  <w:abstractNum w:abstractNumId="267">
    <w:nsid w:val="9815DA3"/>
    <w:multiLevelType w:val="hybridMultilevel"/>
    <w:lvl w:ilvl="0">
      <w:lvlJc w:val="left"/>
      <w:lvlText w:val="%1."/>
      <w:numFmt w:val="decimal"/>
      <w:start w:val="14"/>
    </w:lvl>
    <w:lvl w:ilvl="1">
      <w:lvlJc w:val="left"/>
      <w:lvlText w:val="(%2)"/>
      <w:numFmt w:val="lowerLetter"/>
      <w:start w:val="1"/>
    </w:lvl>
  </w:abstractNum>
  <w:abstractNum w:abstractNumId="268">
    <w:nsid w:val="5204A191"/>
    <w:multiLevelType w:val="hybridMultilevel"/>
    <w:lvl w:ilvl="0">
      <w:lvlJc w:val="left"/>
      <w:lvlText w:val="(%1)"/>
      <w:numFmt w:val="lowerLetter"/>
      <w:start w:val="2"/>
    </w:lvl>
  </w:abstractNum>
  <w:abstractNum w:abstractNumId="269">
    <w:nsid w:val="4C73A9C6"/>
    <w:multiLevelType w:val="hybridMultilevel"/>
    <w:lvl w:ilvl="0">
      <w:lvlJc w:val="left"/>
      <w:lvlText w:val="%1"/>
      <w:numFmt w:val="decimal"/>
      <w:start w:val="1"/>
    </w:lvl>
    <w:lvl w:ilvl="1">
      <w:lvlJc w:val="left"/>
      <w:lvlText w:val="(%2)"/>
      <w:numFmt w:val="lowerLetter"/>
      <w:start w:val="6"/>
    </w:lvl>
  </w:abstractNum>
  <w:abstractNum w:abstractNumId="270">
    <w:nsid w:val="1C7E3C01"/>
    <w:multiLevelType w:val="hybridMultilevel"/>
    <w:lvl w:ilvl="0">
      <w:lvlJc w:val="left"/>
      <w:lvlText w:val="%1."/>
      <w:numFmt w:val="decimal"/>
      <w:start w:val="15"/>
    </w:lvl>
    <w:lvl w:ilvl="1">
      <w:lvlJc w:val="left"/>
      <w:lvlText w:val="(%2)"/>
      <w:numFmt w:val="lowerLetter"/>
      <w:start w:val="1"/>
    </w:lvl>
  </w:abstractNum>
  <w:abstractNum w:abstractNumId="271">
    <w:nsid w:val="1C2201FF"/>
    <w:multiLevelType w:val="hybridMultilevel"/>
    <w:lvl w:ilvl="0">
      <w:lvlJc w:val="left"/>
      <w:lvlText w:val="(%1)"/>
      <w:numFmt w:val="lowerLetter"/>
      <w:start w:val="3"/>
    </w:lvl>
  </w:abstractNum>
  <w:abstractNum w:abstractNumId="272">
    <w:nsid w:val="50ABCEC9"/>
    <w:multiLevelType w:val="hybridMultilevel"/>
    <w:lvl w:ilvl="0">
      <w:lvlJc w:val="left"/>
      <w:lvlText w:val="%1."/>
      <w:numFmt w:val="decimal"/>
      <w:start w:val="17"/>
    </w:lvl>
    <w:lvl w:ilvl="1">
      <w:lvlJc w:val="left"/>
      <w:lvlText w:val="(%2)"/>
      <w:numFmt w:val="lowerLetter"/>
      <w:start w:val="1"/>
    </w:lvl>
  </w:abstractNum>
  <w:abstractNum w:abstractNumId="273">
    <w:nsid w:val="7635AA2A"/>
    <w:multiLevelType w:val="hybridMultilevel"/>
    <w:lvl w:ilvl="0">
      <w:lvlJc w:val="left"/>
      <w:lvlText w:val="%1"/>
      <w:numFmt w:val="decimal"/>
      <w:start w:val="1"/>
    </w:lvl>
    <w:lvl w:ilvl="1">
      <w:lvlJc w:val="left"/>
      <w:lvlText w:val="(%2)"/>
      <w:numFmt w:val="lowerLetter"/>
      <w:start w:val="4"/>
    </w:lvl>
  </w:abstractNum>
  <w:abstractNum w:abstractNumId="274">
    <w:nsid w:val="5E74C4D9"/>
    <w:multiLevelType w:val="hybridMultilevel"/>
    <w:lvl w:ilvl="0">
      <w:lvlJc w:val="left"/>
      <w:lvlText w:val="%1."/>
      <w:numFmt w:val="decimal"/>
      <w:start w:val="20"/>
    </w:lvl>
    <w:lvl w:ilvl="1">
      <w:lvlJc w:val="left"/>
      <w:lvlText w:val="(%2)"/>
      <w:numFmt w:val="lowerLetter"/>
      <w:start w:val="1"/>
    </w:lvl>
  </w:abstractNum>
  <w:abstractNum w:abstractNumId="275">
    <w:nsid w:val="3B3EBE15"/>
    <w:multiLevelType w:val="hybridMultilevel"/>
    <w:lvl w:ilvl="0">
      <w:lvlJc w:val="left"/>
      <w:lvlText w:val="%1."/>
      <w:numFmt w:val="decimal"/>
      <w:start w:val="22"/>
    </w:lvl>
  </w:abstractNum>
  <w:abstractNum w:abstractNumId="276">
    <w:nsid w:val="3822CB01"/>
    <w:multiLevelType w:val="hybridMultilevel"/>
    <w:lvl w:ilvl="0">
      <w:lvlJc w:val="left"/>
      <w:lvlText w:val="%1."/>
      <w:numFmt w:val="decimal"/>
      <w:start w:val="23"/>
    </w:lvl>
  </w:abstractNum>
  <w:abstractNum w:abstractNumId="277">
    <w:nsid w:val="6CE0044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78">
    <w:nsid w:val="79F0D62F"/>
    <w:multiLevelType w:val="hybridMultilevel"/>
    <w:lvl w:ilvl="0">
      <w:lvlJc w:val="left"/>
      <w:lvlText w:val="%1"/>
      <w:numFmt w:val="lowerLetter"/>
      <w:start w:val="1"/>
    </w:lvl>
    <w:lvl w:ilvl="1">
      <w:lvlJc w:val="left"/>
      <w:lvlText w:val="(%2)"/>
      <w:numFmt w:val="lowerRoman"/>
      <w:start w:val="2"/>
    </w:lvl>
  </w:abstractNum>
  <w:abstractNum w:abstractNumId="279">
    <w:nsid w:val="7975E8EE"/>
    <w:multiLevelType w:val="hybridMultilevel"/>
    <w:lvl w:ilvl="0">
      <w:lvlJc w:val="left"/>
      <w:lvlText w:val="(%1)"/>
      <w:numFmt w:val="lowerLetter"/>
      <w:start w:val="4"/>
    </w:lvl>
    <w:lvl w:ilvl="1">
      <w:lvlJc w:val="left"/>
      <w:lvlText w:val="%2"/>
      <w:numFmt w:val="lowerRoman"/>
      <w:start w:val="1"/>
    </w:lvl>
  </w:abstractNum>
  <w:abstractNum w:abstractNumId="280">
    <w:nsid w:val="73154115"/>
    <w:multiLevelType w:val="hybridMultilevel"/>
    <w:lvl w:ilvl="0">
      <w:lvlJc w:val="left"/>
      <w:lvlText w:val="(%1)"/>
      <w:numFmt w:val="lowerLetter"/>
      <w:start w:val="5"/>
    </w:lvl>
  </w:abstractNum>
  <w:abstractNum w:abstractNumId="281">
    <w:nsid w:val="622D8102"/>
    <w:multiLevelType w:val="hybridMultilevel"/>
    <w:lvl w:ilvl="0">
      <w:lvlJc w:val="left"/>
      <w:lvlText w:val="%1"/>
      <w:numFmt w:val="decimal"/>
      <w:start w:val="1"/>
    </w:lvl>
    <w:lvl w:ilvl="1">
      <w:lvlJc w:val="left"/>
      <w:lvlText w:val="(%2)"/>
      <w:numFmt w:val="lowerLetter"/>
      <w:start w:val="11"/>
    </w:lvl>
  </w:abstractNum>
  <w:abstractNum w:abstractNumId="282">
    <w:nsid w:val="2AB26587"/>
    <w:multiLevelType w:val="hybridMultilevel"/>
    <w:lvl w:ilvl="0">
      <w:lvlJc w:val="left"/>
      <w:lvlText w:val="%1"/>
      <w:numFmt w:val="decimal"/>
      <w:start w:val="1"/>
    </w:lvl>
    <w:lvl w:ilvl="1">
      <w:lvlJc w:val="left"/>
      <w:lvlText w:val="(%2)"/>
      <w:numFmt w:val="lowerLetter"/>
      <w:start w:val="35"/>
    </w:lvl>
  </w:abstractNum>
  <w:abstractNum w:abstractNumId="283">
    <w:nsid w:val="44B3FA61"/>
    <w:multiLevelType w:val="hybridMultilevel"/>
    <w:lvl w:ilvl="0">
      <w:lvlJc w:val="left"/>
      <w:lvlText w:val="%1"/>
      <w:numFmt w:val="decimal"/>
      <w:start w:val="1"/>
    </w:lvl>
    <w:lvl w:ilvl="1">
      <w:lvlJc w:val="left"/>
      <w:lvlText w:val="(%2)"/>
      <w:numFmt w:val="lowerLetter"/>
      <w:start w:val="12"/>
    </w:lvl>
  </w:abstractNum>
  <w:abstractNum w:abstractNumId="284">
    <w:nsid w:val="1C0CA67C"/>
    <w:multiLevelType w:val="hybridMultilevel"/>
    <w:lvl w:ilvl="0">
      <w:lvlJc w:val="left"/>
      <w:lvlText w:val="%1."/>
      <w:numFmt w:val="decimal"/>
      <w:start w:val="3"/>
    </w:lvl>
    <w:lvl w:ilvl="1">
      <w:lvlJc w:val="left"/>
      <w:lvlText w:val="%2"/>
      <w:numFmt w:val="lowerLetter"/>
      <w:start w:val="1"/>
    </w:lvl>
  </w:abstractNum>
  <w:abstractNum w:abstractNumId="285">
    <w:nsid w:val="3D206613"/>
    <w:multiLevelType w:val="hybridMultilevel"/>
    <w:lvl w:ilvl="0">
      <w:lvlJc w:val="left"/>
      <w:lvlText w:val="%1."/>
      <w:numFmt w:val="decimal"/>
      <w:start w:val="4"/>
    </w:lvl>
  </w:abstractNum>
  <w:abstractNum w:abstractNumId="286">
    <w:nsid w:val="7993B662"/>
    <w:multiLevelType w:val="hybridMultilevel"/>
    <w:lvl w:ilvl="0">
      <w:lvlJc w:val="left"/>
      <w:lvlText w:val="%1."/>
      <w:numFmt w:val="decimal"/>
      <w:start w:val="7"/>
    </w:lvl>
    <w:lvl w:ilvl="1">
      <w:lvlJc w:val="left"/>
      <w:lvlText w:val="(%2)"/>
      <w:numFmt w:val="lowerLetter"/>
      <w:start w:val="1"/>
    </w:lvl>
  </w:abstractNum>
  <w:abstractNum w:abstractNumId="287">
    <w:nsid w:val="3BAB699E"/>
    <w:multiLevelType w:val="hybridMultilevel"/>
    <w:lvl w:ilvl="0">
      <w:lvlJc w:val="left"/>
      <w:lvlText w:val="%1"/>
      <w:numFmt w:val="decimal"/>
      <w:start w:val="1"/>
    </w:lvl>
    <w:lvl w:ilvl="1">
      <w:lvlJc w:val="left"/>
      <w:lvlText w:val="(%2)"/>
      <w:numFmt w:val="lowerLetter"/>
      <w:start w:val="3"/>
    </w:lvl>
  </w:abstractNum>
  <w:abstractNum w:abstractNumId="288">
    <w:nsid w:val="71315369"/>
    <w:multiLevelType w:val="hybridMultilevel"/>
    <w:lvl w:ilvl="0">
      <w:lvlJc w:val="left"/>
      <w:lvlText w:val="%1."/>
      <w:numFmt w:val="decimal"/>
      <w:start w:val="10"/>
    </w:lvl>
    <w:lvl w:ilvl="1">
      <w:lvlJc w:val="left"/>
      <w:lvlText w:val="(%2)"/>
      <w:numFmt w:val="lowerLetter"/>
      <w:start w:val="1"/>
    </w:lvl>
  </w:abstractNum>
  <w:abstractNum w:abstractNumId="289">
    <w:nsid w:val="7BCFBAFC"/>
    <w:multiLevelType w:val="hybridMultilevel"/>
    <w:lvl w:ilvl="0">
      <w:lvlJc w:val="left"/>
      <w:lvlText w:val="%1"/>
      <w:numFmt w:val="decimal"/>
      <w:start w:val="1"/>
    </w:lvl>
    <w:lvl w:ilvl="1">
      <w:lvlJc w:val="left"/>
      <w:lvlText w:val="(%2)"/>
      <w:numFmt w:val="lowerLetter"/>
      <w:start w:val="2"/>
    </w:lvl>
  </w:abstractNum>
  <w:abstractNum w:abstractNumId="290">
    <w:nsid w:val="17859F72"/>
    <w:multiLevelType w:val="hybridMultilevel"/>
    <w:lvl w:ilvl="0">
      <w:lvlJc w:val="left"/>
      <w:lvlText w:val="%1."/>
      <w:numFmt w:val="decimal"/>
      <w:start w:val="12"/>
    </w:lvl>
    <w:lvl w:ilvl="1">
      <w:lvlJc w:val="left"/>
      <w:lvlText w:val="(%2)"/>
      <w:numFmt w:val="lowerLetter"/>
      <w:start w:val="1"/>
    </w:lvl>
  </w:abstractNum>
  <w:abstractNum w:abstractNumId="291">
    <w:nsid w:val="3AA10581"/>
    <w:multiLevelType w:val="hybridMultilevel"/>
    <w:lvl w:ilvl="0">
      <w:lvlJc w:val="left"/>
      <w:lvlText w:val="%1"/>
      <w:numFmt w:val="decimal"/>
      <w:start w:val="1"/>
    </w:lvl>
    <w:lvl w:ilvl="1">
      <w:lvlJc w:val="left"/>
      <w:lvlText w:val="(%2)"/>
      <w:numFmt w:val="lowerLetter"/>
      <w:start w:val="3"/>
    </w:lvl>
  </w:abstractNum>
  <w:abstractNum w:abstractNumId="292">
    <w:nsid w:val="63DE60CD"/>
    <w:multiLevelType w:val="hybridMultilevel"/>
    <w:lvl w:ilvl="0">
      <w:lvlJc w:val="left"/>
      <w:lvlText w:val="%1."/>
      <w:numFmt w:val="decimal"/>
      <w:start w:val="13"/>
    </w:lvl>
    <w:lvl w:ilvl="1">
      <w:lvlJc w:val="left"/>
      <w:lvlText w:val="(%2)"/>
      <w:numFmt w:val="lowerLetter"/>
      <w:start w:val="1"/>
    </w:lvl>
  </w:abstractNum>
  <w:abstractNum w:abstractNumId="293">
    <w:nsid w:val="621AF471"/>
    <w:multiLevelType w:val="hybridMultilevel"/>
    <w:lvl w:ilvl="0">
      <w:lvlJc w:val="left"/>
      <w:lvlText w:val="%1"/>
      <w:numFmt w:val="decimal"/>
      <w:start w:val="1"/>
    </w:lvl>
    <w:lvl w:ilvl="1">
      <w:lvlJc w:val="left"/>
      <w:lvlText w:val="(%2)"/>
      <w:numFmt w:val="lowerLetter"/>
      <w:start w:val="3"/>
    </w:lvl>
  </w:abstractNum>
  <w:abstractNum w:abstractNumId="294">
    <w:nsid w:val="73CFE165"/>
    <w:multiLevelType w:val="hybridMultilevel"/>
    <w:lvl w:ilvl="0">
      <w:lvlJc w:val="left"/>
      <w:lvlText w:val="%1."/>
      <w:numFmt w:val="decimal"/>
      <w:start w:val="14"/>
    </w:lvl>
    <w:lvl w:ilvl="1">
      <w:lvlJc w:val="left"/>
      <w:lvlText w:val="(%2)"/>
      <w:numFmt w:val="lowerLetter"/>
      <w:start w:val="1"/>
    </w:lvl>
  </w:abstractNum>
  <w:abstractNum w:abstractNumId="295">
    <w:nsid w:val="20F88EA6"/>
    <w:multiLevelType w:val="hybridMultilevel"/>
    <w:lvl w:ilvl="0">
      <w:lvlJc w:val="left"/>
      <w:lvlText w:val="(%1)"/>
      <w:numFmt w:val="lowerLetter"/>
      <w:start w:val="2"/>
    </w:lvl>
  </w:abstractNum>
  <w:abstractNum w:abstractNumId="296">
    <w:nsid w:val="617C843E"/>
    <w:multiLevelType w:val="hybridMultilevel"/>
    <w:lvl w:ilvl="0">
      <w:lvlJc w:val="left"/>
      <w:lvlText w:val="%1"/>
      <w:numFmt w:val="decimal"/>
      <w:start w:val="1"/>
    </w:lvl>
    <w:lvl w:ilvl="1">
      <w:lvlJc w:val="left"/>
      <w:lvlText w:val="(%2)"/>
      <w:numFmt w:val="lowerLetter"/>
      <w:start w:val="6"/>
    </w:lvl>
  </w:abstractNum>
  <w:abstractNum w:abstractNumId="297">
    <w:nsid w:val="7B541FAB"/>
    <w:multiLevelType w:val="hybridMultilevel"/>
    <w:lvl w:ilvl="0">
      <w:lvlJc w:val="left"/>
      <w:lvlText w:val="%1."/>
      <w:numFmt w:val="decimal"/>
      <w:start w:val="15"/>
    </w:lvl>
    <w:lvl w:ilvl="1">
      <w:lvlJc w:val="left"/>
      <w:lvlText w:val="(%2)"/>
      <w:numFmt w:val="lowerLetter"/>
      <w:start w:val="1"/>
    </w:lvl>
  </w:abstractNum>
  <w:abstractNum w:abstractNumId="298">
    <w:nsid w:val="2A79EC49"/>
    <w:multiLevelType w:val="hybridMultilevel"/>
    <w:lvl w:ilvl="0">
      <w:lvlJc w:val="left"/>
      <w:lvlText w:val="(%1)"/>
      <w:numFmt w:val="lowerLetter"/>
      <w:start w:val="3"/>
    </w:lvl>
  </w:abstractNum>
  <w:abstractNum w:abstractNumId="299">
    <w:nsid w:val="338125CF"/>
    <w:multiLevelType w:val="hybridMultilevel"/>
    <w:lvl w:ilvl="0">
      <w:lvlJc w:val="left"/>
      <w:lvlText w:val="%1."/>
      <w:numFmt w:val="decimal"/>
      <w:start w:val="17"/>
    </w:lvl>
    <w:lvl w:ilvl="1">
      <w:lvlJc w:val="left"/>
      <w:lvlText w:val="(%2)"/>
      <w:numFmt w:val="lowerLetter"/>
      <w:start w:val="1"/>
    </w:lvl>
  </w:abstractNum>
  <w:abstractNum w:abstractNumId="300">
    <w:nsid w:val="47C7C971"/>
    <w:multiLevelType w:val="hybridMultilevel"/>
    <w:lvl w:ilvl="0">
      <w:lvlJc w:val="left"/>
      <w:lvlText w:val="%1"/>
      <w:numFmt w:val="decimal"/>
      <w:start w:val="1"/>
    </w:lvl>
    <w:lvl w:ilvl="1">
      <w:lvlJc w:val="left"/>
      <w:lvlText w:val="(%2)"/>
      <w:numFmt w:val="lowerLetter"/>
      <w:start w:val="4"/>
    </w:lvl>
  </w:abstractNum>
  <w:abstractNum w:abstractNumId="301">
    <w:nsid w:val="46F8284B"/>
    <w:multiLevelType w:val="hybridMultilevel"/>
    <w:lvl w:ilvl="0">
      <w:lvlJc w:val="left"/>
      <w:lvlText w:val="%1."/>
      <w:numFmt w:val="decimal"/>
      <w:start w:val="20"/>
    </w:lvl>
    <w:lvl w:ilvl="1">
      <w:lvlJc w:val="left"/>
      <w:lvlText w:val="(%2)"/>
      <w:numFmt w:val="lowerLetter"/>
      <w:start w:val="1"/>
    </w:lvl>
  </w:abstractNum>
  <w:abstractNum w:abstractNumId="302">
    <w:nsid w:val="4FA327CE"/>
    <w:multiLevelType w:val="hybridMultilevel"/>
    <w:lvl w:ilvl="0">
      <w:lvlJc w:val="left"/>
      <w:lvlText w:val="%1."/>
      <w:numFmt w:val="decimal"/>
      <w:start w:val="22"/>
    </w:lvl>
  </w:abstractNum>
  <w:abstractNum w:abstractNumId="303">
    <w:nsid w:val="1873983A"/>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2020-09-09T16:32:55Z</dcterms:created>
  <dcterms:modified xsi:type="dcterms:W3CDTF">2020-09-09T16:32:55Z</dcterms:modified>
</cp:coreProperties>
</file>