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CALIFORNIA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1,792,415.00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1,792,415.00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1,792,415.00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2,301,057.00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2,301,057.00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2,301,057.00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589,896.00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589,896.00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589,896.00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417,567.00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417,567.00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417,567.00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505,935.00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505,935.00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505,935.00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4,421,621.00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4,421,621.00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4,421,621.00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425,421.00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425,421.00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303,088.00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303,088.00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303,088.00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10,331,579.00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10,331,579.00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10,331,579.00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505,935.00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505,935.00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505,935.00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425,421.00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425,421.00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Dapice Joshua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10,757,000.00</w:t>
      </w:r>
    </w:p>
    <w:p>
      <w:pPr>
        <w:sectPr>
          <w:pgSz w:w="11900" w:h="16911" w:orient="portrait"/>
          <w:cols w:equalWidth="0" w:num="1">
            <w:col w:w="10099"/>
          </w:cols>
          <w:pgMar w:left="360" w:top="111" w:right="1440" w:bottom="0" w:gutter="0" w:footer="0" w:header="0"/>
          <w:type w:val="continuous"/>
        </w:sectPr>
      </w:pPr>
    </w:p>
    <w:bookmarkStart w:id="9" w:name="page10"/>
    <w:bookmarkEnd w:id="9"/>
    <w:p>
      <w:pPr>
        <w:jc w:val="right"/>
        <w:ind w:right="1399"/>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40"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4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ectPr>
          <w:pgSz w:w="11900" w:h="16838" w:orient="portrait"/>
          <w:cols w:equalWidth="0" w:num="1">
            <w:col w:w="10099"/>
          </w:cols>
          <w:pgMar w:left="360" w:top="140" w:right="1440"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0099"/>
          </w:cols>
          <w:pgMar w:left="360" w:top="140" w:right="1440" w:bottom="0" w:gutter="0" w:footer="0" w:header="0"/>
          <w:type w:val="continuous"/>
        </w:sectPr>
      </w:pPr>
    </w:p>
    <w:bookmarkStart w:id="10" w:name="page11"/>
    <w:bookmarkEnd w:id="10"/>
    <w:p>
      <w:pPr>
        <w:ind w:left="1120"/>
        <w:spacing w:after="0"/>
        <w:rPr>
          <w:sz w:val="20"/>
          <w:szCs w:val="20"/>
          <w:color w:val="auto"/>
        </w:rPr>
      </w:pPr>
      <w:r>
        <w:rPr>
          <w:rFonts w:ascii="Times New Roman" w:cs="Times New Roman" w:eastAsia="Times New Roman" w:hAnsi="Times New Roman"/>
          <w:sz w:val="22"/>
          <w:szCs w:val="22"/>
          <w:color w:val="auto"/>
        </w:rPr>
        <w:t>Dunn Hannah E.</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Fried, Richard 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112" w:right="1440" w:bottom="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112" w:right="1440" w:bottom="0" w:gutter="0" w:footer="0" w:header="0"/>
          <w:type w:val="continuous"/>
        </w:sectPr>
      </w:pPr>
    </w:p>
    <w:bookmarkStart w:id="11" w:name="page12"/>
    <w:bookmarkEnd w:id="11"/>
    <w:p>
      <w:pPr>
        <w:ind w:left="1400" w:right="7059" w:hanging="231"/>
        <w:spacing w:after="0" w:line="259" w:lineRule="auto"/>
        <w:tabs>
          <w:tab w:leader="none" w:pos="14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10,757,000.00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Gehani, Varun 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51"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Kim, David 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110" w:right="14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Linn, Michael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2" w:right="1440" w:bottom="0" w:gutter="0" w:footer="0" w:header="0"/>
          <w:type w:val="continuous"/>
        </w:sectPr>
      </w:pPr>
    </w:p>
    <w:bookmarkStart w:id="14" w:name="page15"/>
    <w:bookmarkEnd w:id="14"/>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Patel, Rajiv A.</w:t>
      </w:r>
    </w:p>
    <w:p>
      <w:pPr>
        <w:spacing w:after="0" w:line="20"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327" w:gutter="0" w:footer="0" w:header="0"/>
          <w:type w:val="continuous"/>
        </w:sectPr>
      </w:pPr>
    </w:p>
    <w:bookmarkStart w:id="15" w:name="page16"/>
    <w:bookmarkEnd w:id="15"/>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16" w:name="page17"/>
    <w:bookmarkEnd w:id="16"/>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10,757,000.00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Saito Edric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87583X109</w:t>
      </w:r>
    </w:p>
    <w:p>
      <w:pPr>
        <w:sectPr>
          <w:pgSz w:w="11900" w:h="16887" w:orient="portrait"/>
          <w:cols w:equalWidth="0" w:num="1">
            <w:col w:w="10099"/>
          </w:cols>
          <w:pgMar w:left="360" w:top="112" w:right="1440" w:bottom="0" w:gutter="0" w:footer="0" w:header="0"/>
          <w:type w:val="continuous"/>
        </w:sectPr>
      </w:pPr>
    </w:p>
    <w:bookmarkStart w:id="17" w:name="page18"/>
    <w:bookmarkEnd w:id="17"/>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90"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90"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Short Daniel 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90" w:orient="portrait"/>
          <w:cols w:equalWidth="0" w:num="1">
            <w:col w:w="10099"/>
          </w:cols>
          <w:pgMar w:left="360" w:top="108" w:right="1440" w:bottom="0" w:gutter="0" w:footer="0" w:header="0"/>
          <w:type w:val="continuous"/>
        </w:sectPr>
      </w:pPr>
    </w:p>
    <w:bookmarkStart w:id="18" w:name="page19"/>
    <w:bookmarkEnd w:id="18"/>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5"/>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10,757,000.00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10,757,000.00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19" w:name="page20"/>
    <w:bookmarkEnd w:id="19"/>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Warren, John 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87583X109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Wehrly, Mark 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10,757,000.00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10,757,000.00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Brookline Ave., Suite 901, Boston, Massachusetts, 02215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statement is filed by the entities and persons listed below, all of whom together are referred to herein as the "Reporting Persons". (i) Farallon Capital Partners, L.P., a California limited partnership ("FCP"), with respect to the Shares held by it; (ii) Farallon Capital Institutional Partners, L.P., a California limited partnership ("FCIP"), with respect to the Shares held by it; (iii) Farallon Capital Institutional Partners II, L.P., a California limited partnership ("FCIP II"), with respect to the Shares held by it; (iv) Farallon Capital Institutional Partners III, L.P., a Delaware limited partnership ("FCIP III"), with respect to the Shares held by it; (v) Four Crossings Institutional Partners V, L.P., a Delaware limited partnership ("FCIP V"), with respect to the Shares held by it; (vi) Farallon Capital Offshore Investors II, L.P., a Cayman Islands exempted limited partnership ("FCOI II"), with respect to the Shares held by it; (vii) Farallon Capital F5 Master I, L.P., a Cayman Islands exempted limited partnership ("F5MI"), with respect to the Shares held by it; and (viii) Farallon Capital (AM) Investors, L.P., a Delaware limited partnership ("FCAMI"), with respect to the Shares held by it. FCP, FCIP, FCIP II, FCIP III, FCIP V, FCOI II, F5MI and FCAMI are together referred to herein as the "Farallon Funds." (ix) Farallon Partners, L.L.C., a Delaware limited liability company (the "Farallon General Partner"), which is (i) the general partner of each of FCP, FCIP, FCIP II, FCIP III, FCOI II and FCAMI, and (ii) the sole member of the FCIP V General Partner (as defined below), with respect to the Shares held by each of the Farallon Funds other than F5MI. (x) Farallon Institutional (GP) V, L.L.C., a Delaware limited liability company (the "FCIP V General Partner"), which is the general partner of FCIP V, with respect to the Shares held by FCIP V. (xi) Farallon F5 (GP), L.L.C., a Delaware limited liability company (the "F5MI General Partner"), which is the general partner of F5MI, with respect to the Shares held by F5MI. (xii) The following persons, each of whom is a managing member or senior managing member, as the case may be, of the Farallon General Partner, and a manager or senior manager, as the case may be, of the FCIP V General Partner and the F5MI General Partner, with respect to the Shares held by the Farallon Funds: Joshua J. Dapice ("Dapice"); Philip D. Dreyfuss ("Dreyfuss"); Hannah E. Dunn</w:t>
      </w:r>
    </w:p>
    <w:p>
      <w:pPr>
        <w:sectPr>
          <w:pgSz w:w="11900" w:h="16838" w:orient="portrait"/>
          <w:cols w:equalWidth="0" w:num="1">
            <w:col w:w="11120"/>
          </w:cols>
          <w:pgMar w:left="360" w:top="111" w:right="419" w:bottom="0" w:gutter="0" w:footer="0" w:header="0"/>
          <w:type w:val="continuous"/>
        </w:sectPr>
      </w:pPr>
    </w:p>
    <w:bookmarkStart w:id="21" w:name="page22"/>
    <w:bookmarkEnd w:id="21"/>
    <w:p>
      <w:pPr>
        <w:ind w:left="920" w:right="120"/>
        <w:spacing w:after="0" w:line="236" w:lineRule="auto"/>
        <w:rPr>
          <w:sz w:val="20"/>
          <w:szCs w:val="20"/>
          <w:color w:val="auto"/>
        </w:rPr>
      </w:pPr>
      <w:r>
        <w:rPr>
          <w:rFonts w:ascii="Times New Roman" w:cs="Times New Roman" w:eastAsia="Times New Roman" w:hAnsi="Times New Roman"/>
          <w:sz w:val="22"/>
          <w:szCs w:val="22"/>
          <w:color w:val="auto"/>
        </w:rPr>
        <w:t>("Dunn"); Richard B. Fried ("Fried"); Varun N. Gehani ("Gehani"); Nicolas Giauque ("Giauque"); David T. Kim ("Kim"); Michael G. Linn ("Linn"); Patrick (Cheng) Luo ("Luo"); Rajiv A. Patel ("Patel"); Thomas G. Roberts, Jr. ("Roberts"); Edric C. Saito ("Saito"); William Seybold ("Seybold"); Daniel S. Short ("Short"); Andrew J. M. Spokes ("Spokes"); John R. Warren ("Warren"); and Mark C. Wehrly ("Wehrly"). Dapice, Dreyfuss, Dunn, Fried, Gehani, Giauque, Kim, Linn, Luo, Patel, Roberts, Saito, Seybold, Short, Spokes, Warren and Wehrly are together referred to herein as the "Farallon Individual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340" w:hanging="912"/>
        <w:spacing w:after="0" w:line="185" w:lineRule="auto"/>
        <w:tabs>
          <w:tab w:leader="none" w:pos="920" w:val="left"/>
        </w:tabs>
        <w:numPr>
          <w:ilvl w:val="0"/>
          <w:numId w:val="2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Farallon Capital Management, L.L.C., One Maritime Plaza, Suite 2100,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60" w:hanging="912"/>
        <w:spacing w:after="0" w:line="193" w:lineRule="auto"/>
        <w:tabs>
          <w:tab w:leader="none" w:pos="920" w:val="left"/>
        </w:tabs>
        <w:numPr>
          <w:ilvl w:val="0"/>
          <w:numId w:val="2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citizenship of each of the Farallon Funds, the Farallon General Partner, the FCIP V General Partner and the F5MI General Partner is set forth above. Each of the Farallon Individual Reporting Persons, other than Giauque, Luo and Spokes, is a citizen of the United States. Giauque is a citizen of France. Luo is a citizen of China. Spokes is a citizen of the United Kingdom.</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87583X109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2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Â§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The information required by Items 4(a) - (c) and set forth in Rows 5 through 11 of the cover page for each Reporting Person is incorporated herein by reference for each such Reporting Person. The Shares reported hereby for the respective Farallon Funds are held directly by the respective Farallon Funds. The Farallon General Partner, as the general partner of each of FCP, FCIP, FCIP II, FCIP III, FCOI II and FCAMI, and as the sole member of the FCIP V General Partner, may be deemed to be a beneficial owner of such Shares held by the Farallon Funds other than F5MI.</w:t>
      </w:r>
    </w:p>
    <w:p>
      <w:pPr>
        <w:spacing w:after="0" w:line="1" w:lineRule="exact"/>
        <w:rPr>
          <w:sz w:val="20"/>
          <w:szCs w:val="20"/>
          <w:color w:val="auto"/>
        </w:rPr>
      </w:pPr>
    </w:p>
    <w:p>
      <w:pPr>
        <w:ind w:left="920" w:hanging="912"/>
        <w:spacing w:after="0" w:line="232" w:lineRule="auto"/>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FCIP V General Partner, as the general partner of FCIP V, may be deemed to be a beneficial owner of such Shares held by FCIP V. The F5MI General Partner, as the general partner of F5MI, may be deemed to be a beneficial owner of such Shares held by F5MI. Each of the Farallon Individual Reporting Persons, as a managing member or senior managing member, as the case may be, of the Farallon General Partner, and as a manager or senior manager, as the case may be, of the FCIP V General Partner and the F5MI General Partner, in each case with the power to exercise investment discretion, may be deemed to be a beneficial owner of such Shares held by the Farallon Funds. Each of the Farallon General Partner, the FCIP V General Partner, the F5MI General Partner and the Farallon Individual Reporting Persons hereby disclaims any beneficial ownership of any such Shares.</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100" w:hanging="912"/>
        <w:spacing w:after="0" w:line="185" w:lineRule="auto"/>
        <w:tabs>
          <w:tab w:leader="none" w:pos="920" w:val="left"/>
        </w:tabs>
        <w:numPr>
          <w:ilvl w:val="0"/>
          <w:numId w:val="2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Items 4(a) - (c) and set forth in Rows 5 through 11 of the cover page for each Reporting Person is incorporated herein by reference for each such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00"/>
          </w:cols>
          <w:pgMar w:left="360" w:top="111" w:right="439" w:bottom="235"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and set forth in Rows 5 through 11 of the cover page for each Reporting Person is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120"/>
        <w:spacing w:after="0" w:line="244" w:lineRule="auto"/>
        <w:rPr>
          <w:sz w:val="20"/>
          <w:szCs w:val="20"/>
          <w:color w:val="auto"/>
        </w:rPr>
      </w:pPr>
      <w:r>
        <w:rPr>
          <w:rFonts w:ascii="Times New Roman" w:cs="Times New Roman" w:eastAsia="Times New Roman" w:hAnsi="Times New Roman"/>
          <w:sz w:val="22"/>
          <w:szCs w:val="22"/>
          <w:color w:val="auto"/>
        </w:rPr>
        <w:t>The Reporting Persons are filing this Schedule 13G pursuant to Section 240.13d-1(c). The Reporting Persons neither disclaim nor affirm the existence of a group among them. Each Reporting Person is a beneficial owner only of the securities reported by it on its cover page.</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Farallon Capital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Farallon Capital Institutional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Farallon Capital Institutional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ectPr>
          <w:pgSz w:w="11900" w:h="16838" w:orient="portrait"/>
          <w:cols w:equalWidth="0" w:num="1">
            <w:col w:w="11140"/>
          </w:cols>
          <w:pgMar w:left="360" w:top="111" w:right="399" w:bottom="0" w:gutter="0" w:footer="0" w:header="0"/>
          <w:type w:val="continuous"/>
        </w:sectPr>
      </w:pPr>
    </w:p>
    <w:bookmarkStart w:id="23" w:name="page24"/>
    <w:bookmarkEnd w:id="23"/>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Farallon Capital Institutional Partners III,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jc w:val="both"/>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jc w:val="right"/>
        <w:ind w:right="3040"/>
        <w:spacing w:after="0"/>
        <w:rPr>
          <w:sz w:val="20"/>
          <w:szCs w:val="20"/>
          <w:color w:val="auto"/>
        </w:rPr>
      </w:pPr>
      <w:r>
        <w:rPr>
          <w:rFonts w:ascii="Times New Roman" w:cs="Times New Roman" w:eastAsia="Times New Roman" w:hAnsi="Times New Roman"/>
          <w:sz w:val="22"/>
          <w:szCs w:val="22"/>
          <w:color w:val="auto"/>
        </w:rPr>
        <w:t>Four Crossings Institutional Partners V,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jc w:val="both"/>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jc w:val="right"/>
        <w:ind w:right="3240"/>
        <w:spacing w:after="0"/>
        <w:rPr>
          <w:sz w:val="20"/>
          <w:szCs w:val="20"/>
          <w:color w:val="auto"/>
        </w:rPr>
      </w:pPr>
      <w:r>
        <w:rPr>
          <w:rFonts w:ascii="Times New Roman" w:cs="Times New Roman" w:eastAsia="Times New Roman" w:hAnsi="Times New Roman"/>
          <w:sz w:val="22"/>
          <w:szCs w:val="22"/>
          <w:color w:val="auto"/>
        </w:rPr>
        <w:t>Farallon Capital Offshore Investors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Farallon Capital F5 Master I, L.P.</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color w:val="auto"/>
        </w:rPr>
        <w:t>Name/Title: Hannah E. Dunn, Manager of its General Partner</w:t>
      </w:r>
    </w:p>
    <w:p>
      <w:pPr>
        <w:spacing w:after="0" w:line="56"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Farallon Capital (AM) Investors,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Hannah E. Dunn, Managing Member of its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Partners, L.L.C.</w:t>
      </w:r>
    </w:p>
    <w:p>
      <w:pPr>
        <w:spacing w:after="0" w:line="152"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Hannah E. Dunn, Managing Member</w:t>
      </w:r>
    </w:p>
    <w:p>
      <w:pPr>
        <w:spacing w:after="0" w:line="44" w:lineRule="exact"/>
        <w:rPr>
          <w:sz w:val="20"/>
          <w:szCs w:val="20"/>
          <w:color w:val="auto"/>
        </w:rPr>
      </w:pPr>
    </w:p>
    <w:p>
      <w:pPr>
        <w:ind w:left="3420"/>
        <w:spacing w:after="0"/>
        <w:tabs>
          <w:tab w:leader="none" w:pos="4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Farallon Institutional (GP) V,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Farallon F5 (GP),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Hannah E. Dunn, 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Dapice Joshua J.</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Dreyfuss, Philip D.</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Hannah E. Dunn, as attorney-in-fact</w:t>
      </w:r>
    </w:p>
    <w:p>
      <w:pPr>
        <w:spacing w:after="0" w:line="44"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Dunn Hannah E.</w:t>
      </w:r>
    </w:p>
    <w:p>
      <w:pPr>
        <w:spacing w:after="0" w:line="152"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Hannah E. Dunn</w:t>
      </w:r>
    </w:p>
    <w:p>
      <w:pPr>
        <w:spacing w:after="0" w:line="44" w:lineRule="exact"/>
        <w:rPr>
          <w:sz w:val="20"/>
          <w:szCs w:val="20"/>
          <w:color w:val="auto"/>
        </w:rPr>
      </w:pPr>
    </w:p>
    <w:p>
      <w:pPr>
        <w:ind w:left="192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ectPr>
          <w:pgSz w:w="11900" w:h="16838" w:orient="portrait"/>
          <w:cols w:equalWidth="0" w:num="1">
            <w:col w:w="9760"/>
          </w:cols>
          <w:pgMar w:left="1440" w:top="111" w:right="699" w:bottom="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22"/>
          <w:szCs w:val="22"/>
          <w:color w:val="auto"/>
        </w:rPr>
        <w:t>Fried, Richard B</w:t>
      </w:r>
    </w:p>
    <w:p>
      <w:pPr>
        <w:spacing w:after="0" w:line="153"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Gehani, Varun N.</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Giauque, Nicolas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Kim, David T.</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Linn, Michael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Luo Patrick (Cheng)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Patel, Rajiv A.</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Roberts, Jr., Thomas G.</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Saito Edric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Seybold, William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Short Daniel S.</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Spokes, Andrew J. M.</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ectPr>
          <w:pgSz w:w="11900" w:h="16838" w:orient="portrait"/>
          <w:cols w:equalWidth="0" w:num="1">
            <w:col w:w="9019"/>
          </w:cols>
          <w:pgMar w:left="1440" w:top="111" w:right="1440" w:bottom="0" w:gutter="0" w:footer="0" w:header="0"/>
        </w:sectPr>
      </w:pPr>
    </w:p>
    <w:bookmarkStart w:id="25" w:name="page26"/>
    <w:bookmarkEnd w:id="25"/>
    <w:p>
      <w:pPr>
        <w:ind w:left="332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11/12/2025</w:t>
      </w:r>
    </w:p>
    <w:p>
      <w:pPr>
        <w:spacing w:after="0" w:line="164" w:lineRule="exact"/>
        <w:rPr>
          <w:sz w:val="20"/>
          <w:szCs w:val="20"/>
          <w:color w:val="auto"/>
        </w:rPr>
      </w:pPr>
    </w:p>
    <w:p>
      <w:pPr>
        <w:sectPr>
          <w:pgSz w:w="11900" w:h="16838" w:orient="portrait"/>
          <w:cols w:equalWidth="0" w:num="2">
            <w:col w:w="3800" w:space="620"/>
            <w:col w:w="4599"/>
          </w:cols>
          <w:pgMar w:left="1440" w:top="111" w:right="1440" w:bottom="1440" w:gutter="0" w:footer="0" w:header="0"/>
        </w:sectPr>
      </w:pPr>
    </w:p>
    <w:p>
      <w:pPr>
        <w:ind w:left="500"/>
        <w:spacing w:after="0"/>
        <w:rPr>
          <w:sz w:val="20"/>
          <w:szCs w:val="20"/>
          <w:color w:val="auto"/>
        </w:rPr>
      </w:pPr>
      <w:r>
        <w:rPr>
          <w:rFonts w:ascii="Times New Roman" w:cs="Times New Roman" w:eastAsia="Times New Roman" w:hAnsi="Times New Roman"/>
          <w:sz w:val="22"/>
          <w:szCs w:val="22"/>
          <w:color w:val="auto"/>
        </w:rPr>
        <w:t>Warren, John R.</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Wehrly, Mark C.</w:t>
      </w:r>
    </w:p>
    <w:p>
      <w:pPr>
        <w:spacing w:after="0" w:line="152"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Hannah E. Dunn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1"/>
          <w:szCs w:val="21"/>
          <w:color w:val="auto"/>
        </w:rPr>
        <w:t>Name/Title: Hannah E. Dunn, as attorney-in-fact</w:t>
      </w:r>
    </w:p>
    <w:p>
      <w:pPr>
        <w:spacing w:after="0" w:line="56" w:lineRule="exact"/>
        <w:rPr>
          <w:sz w:val="20"/>
          <w:szCs w:val="20"/>
          <w:color w:val="auto"/>
        </w:rPr>
      </w:pPr>
    </w:p>
    <w:p>
      <w:pPr>
        <w:ind w:left="3320"/>
        <w:spacing w:after="0"/>
        <w:tabs>
          <w:tab w:leader="none" w:pos="4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11/12/2025</w:t>
      </w:r>
    </w:p>
    <w:sectPr>
      <w:pgSz w:w="11900" w:h="16838" w:orient="portrait"/>
      <w:cols w:equalWidth="0" w:num="1">
        <w:col w:w="9019"/>
      </w:cols>
      <w:pgMar w:left="1440" w:top="11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2"/>
      <w:numFmt w:val="bullet"/>
      <w:start w:val="1"/>
    </w:lvl>
  </w:abstractNum>
  <w:abstractNum w:abstractNumId="1">
    <w:nsid w:val="41A7C4C9"/>
    <w:multiLevelType w:val="hybridMultilevel"/>
    <w:lvl w:ilvl="0">
      <w:lvlJc w:val="left"/>
      <w:lvlText w:val="3"/>
      <w:numFmt w:val="bullet"/>
      <w:start w:val="1"/>
    </w:lvl>
  </w:abstractNum>
  <w:abstractNum w:abstractNumId="2">
    <w:nsid w:val="6B68079A"/>
    <w:multiLevelType w:val="hybridMultilevel"/>
    <w:lvl w:ilvl="0">
      <w:lvlJc w:val="left"/>
      <w:lvlText w:val="2"/>
      <w:numFmt w:val="bullet"/>
      <w:start w:val="1"/>
    </w:lvl>
  </w:abstractNum>
  <w:abstractNum w:abstractNumId="3">
    <w:nsid w:val="4E6AFB66"/>
    <w:multiLevelType w:val="hybridMultilevel"/>
    <w:lvl w:ilvl="0">
      <w:lvlJc w:val="left"/>
      <w:lvlText w:val="2"/>
      <w:numFmt w:val="bullet"/>
      <w:start w:val="1"/>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3"/>
      <w:numFmt w:val="bullet"/>
      <w:start w:val="1"/>
    </w:lvl>
  </w:abstractNum>
  <w:abstractNum w:abstractNumId="7">
    <w:nsid w:val="3F2DBA31"/>
    <w:multiLevelType w:val="hybridMultilevel"/>
    <w:lvl w:ilvl="0">
      <w:lvlJc w:val="left"/>
      <w:lvlText w:val="2"/>
      <w:numFmt w:val="bullet"/>
      <w:start w:val="1"/>
    </w:lvl>
  </w:abstractNum>
  <w:abstractNum w:abstractNumId="8">
    <w:nsid w:val="7C83E458"/>
    <w:multiLevelType w:val="hybridMultilevel"/>
    <w:lvl w:ilvl="0">
      <w:lvlJc w:val="left"/>
      <w:lvlText w:val="3"/>
      <w:numFmt w:val="bullet"/>
      <w:start w:val="1"/>
    </w:lvl>
  </w:abstractNum>
  <w:abstractNum w:abstractNumId="9">
    <w:nsid w:val="257130A3"/>
    <w:multiLevelType w:val="hybridMultilevel"/>
    <w:lvl w:ilvl="0">
      <w:lvlJc w:val="left"/>
      <w:lvlText w:val="2"/>
      <w:numFmt w:val="bullet"/>
      <w:start w:val="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1"/>
      <w:numFmt w:val="bullet"/>
      <w:start w:val="1"/>
    </w:lvl>
  </w:abstractNum>
  <w:abstractNum w:abstractNumId="12">
    <w:nsid w:val="628C895D"/>
    <w:multiLevelType w:val="hybridMultilevel"/>
    <w:lvl w:ilvl="0">
      <w:lvlJc w:val="left"/>
      <w:lvlText w:val="2"/>
      <w:numFmt w:val="bullet"/>
      <w:start w:val="1"/>
    </w:lvl>
  </w:abstractNum>
  <w:abstractNum w:abstractNumId="13">
    <w:nsid w:val="333AB105"/>
    <w:multiLevelType w:val="hybridMultilevel"/>
    <w:lvl w:ilvl="0">
      <w:lvlJc w:val="left"/>
      <w:lvlText w:val="3"/>
      <w:numFmt w:val="bullet"/>
      <w:start w:val="1"/>
    </w:lvl>
  </w:abstractNum>
  <w:abstractNum w:abstractNumId="14">
    <w:nsid w:val="721DA317"/>
    <w:multiLevelType w:val="hybridMultilevel"/>
    <w:lvl w:ilvl="0">
      <w:lvlJc w:val="left"/>
      <w:lvlText w:val="8"/>
      <w:numFmt w:val="bullet"/>
      <w:start w:val="1"/>
    </w:lvl>
  </w:abstractNum>
  <w:abstractNum w:abstractNumId="15">
    <w:nsid w:val="2443A858"/>
    <w:multiLevelType w:val="hybridMultilevel"/>
    <w:lvl w:ilvl="0">
      <w:lvlJc w:val="left"/>
      <w:lvlText w:val="2"/>
      <w:numFmt w:val="bullet"/>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2"/>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2"/>
      <w:numFmt w:val="bullet"/>
      <w:start w:val="1"/>
    </w:lvl>
  </w:abstractNum>
  <w:abstractNum w:abstractNumId="21">
    <w:nsid w:val="4353D0CD"/>
    <w:multiLevelType w:val="hybridMultilevel"/>
    <w:lvl w:ilvl="0">
      <w:lvlJc w:val="left"/>
      <w:lvlText w:val="3"/>
      <w:numFmt w:val="bullet"/>
      <w:start w:val="1"/>
    </w:lvl>
  </w:abstractNum>
  <w:abstractNum w:abstractNumId="22">
    <w:nsid w:val="B03E0C6"/>
    <w:multiLevelType w:val="hybridMultilevel"/>
    <w:lvl w:ilvl="0">
      <w:lvlJc w:val="left"/>
      <w:lvlText w:val="2"/>
      <w:numFmt w:val="bullet"/>
      <w:start w:val="1"/>
    </w:lvl>
  </w:abstractNum>
  <w:abstractNum w:abstractNumId="23">
    <w:nsid w:val="189A769B"/>
    <w:multiLevelType w:val="hybridMultilevel"/>
    <w:lvl w:ilvl="0">
      <w:lvlJc w:val="left"/>
      <w:lvlText w:val="3"/>
      <w:numFmt w:val="bullet"/>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1"/>
    </w:lvl>
  </w:abstractNum>
  <w:abstractNum w:abstractNumId="28">
    <w:nsid w:val="2901D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2025-11-12T11:21:13Z</dcterms:created>
  <dcterms:modified xsi:type="dcterms:W3CDTF">2025-11-12T11:21:13Z</dcterms:modified>
</cp:coreProperties>
</file>