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38" w:lineRule="auto"/>
        <w:rPr>
          <w:sz w:val="20"/>
          <w:szCs w:val="20"/>
          <w:color w:val="auto"/>
        </w:rPr>
      </w:pPr>
      <w:r>
        <w:rPr>
          <w:rFonts w:ascii="Courier New" w:cs="Courier New" w:eastAsia="Courier New" w:hAnsi="Courier New"/>
          <w:sz w:val="18"/>
          <w:szCs w:val="18"/>
          <w:color w:val="auto"/>
        </w:rPr>
        <w:t>TANGO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#87583X109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#87583X109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9,083,074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9,083,679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9,083,679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8.291%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#87583X109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9,083,679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9,083,679</w:t>
      </w:r>
    </w:p>
    <w:p>
      <w:pPr>
        <w:spacing w:after="0" w:line="237" w:lineRule="auto"/>
        <w:rPr>
          <w:sz w:val="20"/>
          <w:szCs w:val="20"/>
          <w:color w:val="auto"/>
        </w:rPr>
      </w:pPr>
      <w:r>
        <w:rPr>
          <w:rFonts w:ascii="Courier New" w:cs="Courier New" w:eastAsia="Courier New" w:hAnsi="Courier New"/>
          <w:sz w:val="18"/>
          <w:szCs w:val="18"/>
          <w:color w:val="auto"/>
        </w:rPr>
        <w:t>Item 11: 8.291%</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TANGO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BINNEY ST, SUITE 700</w:t>
      </w:r>
    </w:p>
    <w:p>
      <w:pPr>
        <w:spacing w:after="0" w:line="238" w:lineRule="auto"/>
        <w:rPr>
          <w:sz w:val="20"/>
          <w:szCs w:val="20"/>
          <w:color w:val="auto"/>
        </w:rPr>
      </w:pPr>
      <w:r>
        <w:rPr>
          <w:rFonts w:ascii="Courier New" w:cs="Courier New" w:eastAsia="Courier New" w:hAnsi="Courier New"/>
          <w:sz w:val="18"/>
          <w:szCs w:val="18"/>
          <w:color w:val="auto"/>
        </w:rPr>
        <w:t>CAMBRIDGE, MA 02142</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87583X109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9,083,679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8.291%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9,083,679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TANGO THERAPEUTICS INC. No one other person's interest in the COMMON STOCK of TANGO THERAPEUTICS INC is more than five percent of the total outstanding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16"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44"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TANGO THERAPEUTICS INC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2023-02-09T11:43:31Z</dcterms:created>
  <dcterms:modified xsi:type="dcterms:W3CDTF">2023-02-09T11:43:31Z</dcterms:modified>
</cp:coreProperties>
</file>