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061" w:type="dxa"/>
        <w:jc w:val="left"/>
        <w:tblInd w:w="0" w:type="dxa"/>
        <w:tblLayout w:type="fixed"/>
        <w:tblCellMar>
          <w:top w:w="28" w:type="dxa"/>
          <w:left w:w="28" w:type="dxa"/>
          <w:bottom w:w="28" w:type="dxa"/>
          <w:right w:w="28" w:type="dxa"/>
        </w:tblCellMar>
      </w:tblPr>
      <w:tblGrid>
        <w:gridCol w:w="6061"/>
      </w:tblGrid>
      <w:tr>
        <w:trPr/>
        <w:tc>
          <w:tcPr>
            <w:tcW w:w="606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06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061" w:type="dxa"/>
            <w:tcBorders/>
            <w:vAlign w:val="center"/>
          </w:tcPr>
          <w:p>
            <w:pPr>
              <w:pStyle w:val="TableContents"/>
              <w:bidi w:val="0"/>
              <w:spacing w:before="0" w:after="0"/>
              <w:jc w:val="left"/>
              <w:rPr/>
            </w:pPr>
            <w:r>
              <w:rPr/>
              <w:t xml:space="preserve">UNDER THE SECURITIES EXCHANGE ACT OF 1934 </w:t>
            </w:r>
          </w:p>
        </w:tc>
      </w:tr>
      <w:tr>
        <w:trPr/>
        <w:tc>
          <w:tcPr>
            <w:tcW w:w="6061" w:type="dxa"/>
            <w:tcBorders/>
            <w:vAlign w:val="center"/>
          </w:tcPr>
          <w:p>
            <w:pPr>
              <w:pStyle w:val="TableContents"/>
              <w:bidi w:val="0"/>
              <w:spacing w:before="0" w:after="283"/>
              <w:jc w:val="left"/>
              <w:rPr>
                <w:sz w:val="4"/>
                <w:szCs w:val="4"/>
              </w:rPr>
            </w:pPr>
            <w:r>
              <w:rPr>
                <w:sz w:val="4"/>
                <w:szCs w:val="4"/>
              </w:rPr>
            </w:r>
          </w:p>
        </w:tc>
      </w:tr>
      <w:tr>
        <w:trPr/>
        <w:tc>
          <w:tcPr>
            <w:tcW w:w="6061" w:type="dxa"/>
            <w:tcBorders/>
            <w:vAlign w:val="center"/>
          </w:tcPr>
          <w:p>
            <w:pPr>
              <w:pStyle w:val="TableContents"/>
              <w:bidi w:val="0"/>
              <w:spacing w:before="0" w:after="0"/>
              <w:jc w:val="center"/>
              <w:rPr>
                <w:b/>
                <w:color w:val="0000FF"/>
              </w:rPr>
            </w:pPr>
            <w:r>
              <w:rPr>
                <w:b/>
                <w:color w:val="0000FF"/>
              </w:rPr>
              <w:t>Tango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061" w:type="dxa"/>
            <w:tcBorders/>
            <w:vAlign w:val="center"/>
          </w:tcPr>
          <w:p>
            <w:pPr>
              <w:pStyle w:val="TableContents"/>
              <w:bidi w:val="0"/>
              <w:spacing w:before="0" w:after="0"/>
              <w:jc w:val="center"/>
              <w:rPr>
                <w:b/>
                <w:color w:val="0000FF"/>
              </w:rPr>
            </w:pPr>
            <w:r>
              <w:rPr>
                <w:b/>
                <w:color w:val="0000FF"/>
              </w:rPr>
              <w:t>Common stock, par value $0.001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061" w:type="dxa"/>
            <w:tcBorders/>
            <w:vAlign w:val="center"/>
          </w:tcPr>
          <w:p>
            <w:pPr>
              <w:pStyle w:val="TableContents"/>
              <w:bidi w:val="0"/>
              <w:spacing w:before="0" w:after="0"/>
              <w:jc w:val="center"/>
              <w:rPr>
                <w:b/>
                <w:color w:val="0000FF"/>
              </w:rPr>
            </w:pPr>
            <w:r>
              <w:rPr>
                <w:b/>
                <w:color w:val="0000FF"/>
              </w:rPr>
              <w:t>87583X109</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061" w:type="dxa"/>
            <w:tcBorders/>
            <w:vAlign w:val="center"/>
          </w:tcPr>
          <w:p>
            <w:pPr>
              <w:pStyle w:val="TableContents"/>
              <w:bidi w:val="0"/>
              <w:spacing w:before="0" w:after="0"/>
              <w:jc w:val="center"/>
              <w:rPr>
                <w:b/>
                <w:color w:val="0000FF"/>
              </w:rPr>
            </w:pPr>
            <w:r>
              <w:rPr>
                <w:b/>
                <w:color w:val="0000FF"/>
              </w:rPr>
              <w:t>06/06/2025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Partners, L.P.</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1,145,398.00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1,145,398.00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1,145,398.00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L.P.</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1,627,113.00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1,627,113.00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1,627,113.00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 L.P.</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351,630.00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351,630.00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351,630.00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262,855.00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262,855.00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262,855.00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Four Crossings Institutional Partners V,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0.30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334,426.00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0.30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334,426.00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334,426.00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Offshore Investors II,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2,984,329.00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2,984,329.00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2,984,329.00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F5 Master I,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276,302.00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276,302.00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276,302.00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(AM) Investors,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199,947.00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199,947.00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199,947.00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Partners,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6,905,698.00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6,905,698.00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6,905,698.00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Institutional (GP) V,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334,426.00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334,426.00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334,426.00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F5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276,302.00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276,302.00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276,302.00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Dapice Joshua J.</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7,182,000.00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7,182,000.00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Dreyfuss, Philip 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7,182,000.00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7,182,000.00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Dunn Hannah 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7,182,000.00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7,182,000.00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Fried, Richard B</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7,182,000.00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7,182,000.00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Gehani, Varun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7,182,000.00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7,182,000.00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Giauque, Nicolas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7,182,000.00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7,182,000.00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Kim, David 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7,182,000.00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7,182,000.00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Linn, Michael 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7,182,000.00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7,182,000.00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Luo Patrick (Cheng)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7,182,000.00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7,182,000.00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Patel, Rajiv 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7,182,000.00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7,182,000.00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Roberts, Jr., Thomas 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7,182,000.00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7,182,000.00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Saito Edric 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7,182,000.00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7,182,000.00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Seybold, William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7,182,000.00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7,182,000.00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Short Daniel 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7,182,000.00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7,182,000.00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Spokes, Andrew J. 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7,182,000.00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7,182,000.00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Warren, John 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7,182,000.00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7,182,000.00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4" w:name="cusipNumber27"/>
      <w:bookmarkStart w:id="115" w:name="cusipNumber27"/>
      <w:bookmarkEnd w:id="1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87583X109</w:t>
            </w:r>
          </w:p>
        </w:tc>
      </w:tr>
    </w:tbl>
    <w:p>
      <w:pPr>
        <w:pStyle w:val="TextBody"/>
        <w:bidi w:val="0"/>
        <w:spacing w:before="0" w:after="283"/>
        <w:jc w:val="left"/>
        <w:rPr/>
      </w:pPr>
      <w:r>
        <w:rPr/>
      </w:r>
      <w:bookmarkStart w:id="116" w:name="reportingPersonDetails27"/>
      <w:bookmarkStart w:id="117" w:name="reportingPersonDetails27"/>
      <w:bookmarkEnd w:id="1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Wehrly, Mark 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7,182,000.00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7,182,000.00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7,182,000.00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8" w:name="item1to9"/>
      <w:bookmarkStart w:id="119" w:name="item1to9"/>
      <w:bookmarkEnd w:id="119"/>
    </w:p>
    <w:tbl>
      <w:tblPr>
        <w:tblW w:w="10205" w:type="dxa"/>
        <w:jc w:val="left"/>
        <w:tblInd w:w="0" w:type="dxa"/>
        <w:tblLayout w:type="fixed"/>
        <w:tblCellMar>
          <w:top w:w="28" w:type="dxa"/>
          <w:left w:w="28" w:type="dxa"/>
          <w:bottom w:w="28" w:type="dxa"/>
          <w:right w:w="28" w:type="dxa"/>
        </w:tblCellMar>
      </w:tblPr>
      <w:tblGrid>
        <w:gridCol w:w="1168"/>
        <w:gridCol w:w="8882"/>
        <w:gridCol w:w="155"/>
      </w:tblGrid>
      <w:tr>
        <w:trPr/>
        <w:tc>
          <w:tcPr>
            <w:tcW w:w="1168" w:type="dxa"/>
            <w:tcBorders/>
            <w:vAlign w:val="center"/>
          </w:tcPr>
          <w:p>
            <w:pPr>
              <w:pStyle w:val="TableContents"/>
              <w:bidi w:val="0"/>
              <w:spacing w:before="0" w:after="283"/>
              <w:jc w:val="left"/>
              <w:rPr/>
            </w:pPr>
            <w:r>
              <w:rPr/>
              <w:t>Item 1.</w:t>
            </w:r>
          </w:p>
        </w:tc>
        <w:tc>
          <w:tcPr>
            <w:tcW w:w="888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Name of issuer: </w:t>
            </w:r>
          </w:p>
          <w:p>
            <w:pPr>
              <w:pStyle w:val="TableContents"/>
              <w:bidi w:val="0"/>
              <w:spacing w:before="0" w:after="0"/>
              <w:jc w:val="left"/>
              <w:rPr/>
            </w:pPr>
            <w:r>
              <w:rPr/>
              <w:t>Tango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Brookline Avenue, Suite 901, Boston, Massachusetts, 02215</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2.</w:t>
            </w:r>
          </w:p>
        </w:tc>
        <w:tc>
          <w:tcPr>
            <w:tcW w:w="888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entities and persons listed below, all of whom together are referred to herein as the "Reporting Persons". (i) Farallon Capital Partners, L.P., a California limited partnership ("FCP"), with respect to the Shares held by it; (ii) Farallon Capital Institutional Partners, L.P., a California limited partnership ("FCIP"), with respect to the Shares held by it; (iii) Farallon Capital Institutional Partners II, L.P., a California limited partnership ("FCIP II"), with respect to the Shares held by it; (iv) Farallon Capital Institutional Partners III, L.P., a Delaware limited partnership ("FCIP III"), with respect to the Shares held by it; (v) Four Crossings Institutional Partners V, L.P., a Delaware limited partnership ("FCIP V"), with respect to the Shares held by it; (vi) Farallon Capital Offshore Investors II, L.P., a Cayman Islands exempted limited partnership ("FCOI II"), with respect to the Shares held by it; (vii) Farallon Capital F5 Master I, L.P., a Cayman Islands exempted limited partnership ("F5MI"), with respect to the Shares held by it; and (viii) Farallon Capital (AM) Investors, L.P., a Delaware limited partnership ("FCAMI"), with respect to the Shares held by it. FCP, FCIP, FCIP II, FCIP III, FCIP V, FCOI II, F5MI and FCAMI are together referred to herein as the "Farallon Funds." (ix) Farallon Partners, L.L.C., a Delaware limited liability company (the "Farallon General Partner"), which is (i) the general partner of each of FCP, FCIP, FCIP II, FCIP III, FCOI II and FCAMI, and (ii) the sole member of the FCIP V General Partner (as defined below), with respect to the Shares held by each of the Farallon Funds other than F5MI. (x) Farallon Institutional (GP) V, L.L.C., a Delaware limited liability company (the "FCIP V General Partner"), which is the general partner of FCIP V, with respect to the Shares held by FCIP V. (xi) Farallon F5 (GP), L.L.C., a Delaware limited liability company (the "F5MI General Partner"), which is the general partner of F5MI, with respect to the Shares held by F5MI. (xii) The following persons, each of whom is a managing member or senior managing member, as the case may be, of the Farallon General Partner, and a manager or senior manager, as the case may be, of the FCIP V General Partner and the F5MI General Partner, with respect to the Shares held by the Farallon Funds: Joshua J. Dapice ("Dapice"); Philip D. Dreyfuss ("Dreyfuss"); Hannah E. Dunn ("Dunn"); Richard B. Fried ("Fried"); Varun N. Gehani ("Gehani"); Nicolas Giauque ("Giauque"); David T. Kim ("Kim"); Michael G. Linn ("Linn"); Patrick (Cheng) Luo ("Luo"); Rajiv A. Patel ("Patel"); Thomas G. Roberts, Jr. ("Roberts"); Edric C. Saito ("Saito"); William Seybold ("Seybold"); Daniel S. Short ("Short"); Andrew J. M. Spokes ("Spokes"); John R. Warren ("Warren"); and Mark C. Wehrly ("Wehrly"). Dapice, Dreyfuss, Dunn, Fried, Gehani, Giauque, Kim, Linn, Luo, Patel, Roberts, Saito, Seybold, Short, Spokes, Warren and Wehrly are together referred to herein as the "Farallon Individual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Farallon Capital Management, L.L.C., One Maritime Plaza, Suite 2100, San Francisco, California 94111.</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jc w:val="left"/>
              <w:rPr/>
            </w:pPr>
            <w:r>
              <w:rPr/>
              <w:t xml:space="preserve">Citizenship: </w:t>
            </w:r>
          </w:p>
          <w:p>
            <w:pPr>
              <w:pStyle w:val="TableContents"/>
              <w:bidi w:val="0"/>
              <w:spacing w:before="0" w:after="0"/>
              <w:jc w:val="left"/>
              <w:rPr/>
            </w:pPr>
            <w:r>
              <w:rPr/>
              <w:t>The citizenship of each of the Farallon Funds, the Farallon General Partner, the FCIP V General Partner and the F5MI General Partner is set forth above. Each of the Farallon Individual Reporting Persons, other than Giauque, Luo and Spokes, is a citizen of the United States. Giauque is a citizen of France. Luo is a citizen of China. Spokes is a citizen of the United Kingdom.</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jc w:val="left"/>
              <w:rPr/>
            </w:pPr>
            <w:r>
              <w:rPr/>
              <w:t xml:space="preserve">CUSIP No.: </w:t>
            </w:r>
          </w:p>
          <w:p>
            <w:pPr>
              <w:pStyle w:val="TableContents"/>
              <w:bidi w:val="0"/>
              <w:spacing w:before="0" w:after="0"/>
              <w:jc w:val="left"/>
              <w:rPr/>
            </w:pPr>
            <w:r>
              <w:rPr/>
              <w:t>87583X109</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3.</w:t>
            </w:r>
          </w:p>
        </w:tc>
        <w:tc>
          <w:tcPr>
            <w:tcW w:w="888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(f)</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(g)</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(h)</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(j)</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(k)</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9037" w:type="dxa"/>
            <w:gridSpan w:val="2"/>
            <w:tcBorders/>
            <w:vAlign w:val="center"/>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4.</w:t>
            </w:r>
          </w:p>
        </w:tc>
        <w:tc>
          <w:tcPr>
            <w:tcW w:w="888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 The Shares reported hereby for the respective Farallon Funds are held directly by the respective Farallon Funds. The Farallon General Partner, as the general partner of each of FCP, FCIP, FCIP II, FCIP III, FCOI II and FCAMI, and as the sole member of the FCIP V General Partner, may be deemed to be a beneficial owner of such Shares held by the Farallon Funds other than F5MI. The FCIP V General Partner, as the general partner of FCIP V, may be deemed to be a beneficial owner of such Shares held by FCIP V. The F5MI General Partner, as the general partner of F5MI, may be deemed to be a beneficial owner of such Shares held by F5MI. Each of the Farallon Individual Reporting Persons, as a managing member or senior managing member, as the case may be, of the Farallon General Partner, and as a manager or senior manager, as the case may be, of the FCIP V General Partner and the F5MI General Partner, in each case with the power to exercise investment discretion, may be deemed to be a beneficial owner of such Shares held by the Farallon Funds. Each of the Farallon General Partner, the FCIP V General Partner, the F5MI General Partner and the Farallon Individual Reporting Persons hereby disclaims any beneficial ownership of any such Shares.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4(a) - (c) and set forth in Rows 5 through 11 of the cover page for each Reporting Person is incorporated herein by reference for each such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5.</w:t>
            </w:r>
          </w:p>
        </w:tc>
        <w:tc>
          <w:tcPr>
            <w:tcW w:w="888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6.</w:t>
            </w:r>
          </w:p>
        </w:tc>
        <w:tc>
          <w:tcPr>
            <w:tcW w:w="888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7.</w:t>
            </w:r>
          </w:p>
        </w:tc>
        <w:tc>
          <w:tcPr>
            <w:tcW w:w="888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8.</w:t>
            </w:r>
          </w:p>
        </w:tc>
        <w:tc>
          <w:tcPr>
            <w:tcW w:w="888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The Reporting Persons are filing this Schedule 13G pursuant to Section 240.13d-1(c). The Reporting Persons neither disclaim nor affirm the existence of a group among them. Each Reporting Person is a beneficial owner only of the securities reported by it on its cover page.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9.</w:t>
            </w:r>
          </w:p>
        </w:tc>
        <w:tc>
          <w:tcPr>
            <w:tcW w:w="888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0" w:name="certifications"/>
      <w:bookmarkStart w:id="121" w:name="certifications"/>
      <w:bookmarkEnd w:id="1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2" w:name="signatureInfo"/>
      <w:bookmarkStart w:id="123" w:name="signatureInfo"/>
      <w:bookmarkEnd w:id="1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Farallon Capital Partners,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0"/>
        <w:gridCol w:w="4405"/>
      </w:tblGrid>
      <w:tr>
        <w:trPr/>
        <w:tc>
          <w:tcPr>
            <w:tcW w:w="58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Hannah E. Dunn, Managing Member of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405"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Farallon Capital Institutional Partners,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0"/>
        <w:gridCol w:w="4405"/>
      </w:tblGrid>
      <w:tr>
        <w:trPr/>
        <w:tc>
          <w:tcPr>
            <w:tcW w:w="58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Hannah E. Dunn, Managing Member of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405"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Farallon Capital Institutional Partners II,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0"/>
        <w:gridCol w:w="4405"/>
      </w:tblGrid>
      <w:tr>
        <w:trPr/>
        <w:tc>
          <w:tcPr>
            <w:tcW w:w="58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Hannah E. Dunn, Managing Member of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405"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Farallon Capital Institutional Partners III, L.P.</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0"/>
        <w:gridCol w:w="4405"/>
      </w:tblGrid>
      <w:tr>
        <w:trPr/>
        <w:tc>
          <w:tcPr>
            <w:tcW w:w="58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Hannah E. Dunn, Managing Member of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405"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Four Crossings Institutional Partners V, L.P.</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Hannah E. Dunn, 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Farallon Capital Offshore Investors II,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0"/>
        <w:gridCol w:w="4405"/>
      </w:tblGrid>
      <w:tr>
        <w:trPr/>
        <w:tc>
          <w:tcPr>
            <w:tcW w:w="58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Hannah E. Dunn, Managing Member of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405"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Farallon Capital F5 Master I, L.P.</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Hannah E. Dunn, 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Farallon Capital (AM) Investors, L.P.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0"/>
        <w:gridCol w:w="4405"/>
      </w:tblGrid>
      <w:tr>
        <w:trPr/>
        <w:tc>
          <w:tcPr>
            <w:tcW w:w="58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Hannah E. Dunn, Managing Member of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405"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Farallon Partners,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Hannah E. Dunn,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Farallon Institutional (GP) V, L.L.C.</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Hannah E. Dunn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Hannah E. Dunn, Manager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Farallon F5 (GP),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Hannah E. Dunn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Hannah E. Dunn, Manager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Dapice Joshua J.</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Hannah E. Dunn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Hannah E. Dunn, as attorney-in-fact</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Dreyfuss, Philip D.</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Hannah E. Dunn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Hannah E. Dunn, as attorney-in-fact</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Dunn Hannah E.</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Hannah E. Dunn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Hannah E. Dunn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Fried, Richard B</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Hannah E. Dunn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Hannah E. Dunn, as attorney-in-fact</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Gehani, Varun N.</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Hannah E. Dunn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Hannah E. Dunn, as attorney-in-fact</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Giauque, Nicolas</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Hannah E. Dunn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Hannah E. Dunn, as attorney-in-fact</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Kim, David T.</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Hannah E. Dunn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Hannah E. Dunn, as attorney-in-fact</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Linn, Michael G.</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Hannah E. Dunn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Hannah E. Dunn, as attorney-in-fact</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Luo Patrick (Cheng)</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Hannah E. Dunn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Hannah E. Dunn, as attorney-in-fact</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Patel, Rajiv A.</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Hannah E. Dunn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Hannah E. Dunn, as attorney-in-fact</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Roberts, Jr., Thomas G.</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Hannah E. Dunn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Hannah E. Dunn, as attorney-in-fact</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Saito Edric C.</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Hannah E. Dunn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Hannah E. Dunn, as attorney-in-fact</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Seybold, William</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Hannah E. Dunn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Hannah E. Dunn, as attorney-in-fact</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Short Daniel S.</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Hannah E. Dunn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Hannah E. Dunn, as attorney-in-fact</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Spokes, Andrew J. M.</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Hannah E. Dunn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Hannah E. Dunn, as attorney-in-fact</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Warren, John R.</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Hannah E. Dunn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Hannah E. Dunn, as attorney-in-fact</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Wehrly, Mark C.</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56"/>
        <w:gridCol w:w="4149"/>
      </w:tblGrid>
      <w:tr>
        <w:trPr/>
        <w:tc>
          <w:tcPr>
            <w:tcW w:w="60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Hannah E. Dunn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Hannah E. Dunn, as attorney-in-fact</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06/13/2025</w:t>
                  </w:r>
                </w:p>
              </w:tc>
            </w:tr>
          </w:tbl>
          <w:p>
            <w:pPr>
              <w:pStyle w:val="TableContents"/>
              <w:bidi w:val="0"/>
              <w:spacing w:before="0" w:after="283"/>
              <w:jc w:val="left"/>
              <w:rPr/>
            </w:pPr>
            <w:r>
              <w:rPr/>
            </w:r>
          </w:p>
        </w:tc>
        <w:tc>
          <w:tcPr>
            <w:tcW w:w="4149" w:type="dxa"/>
            <w:tcBorders/>
            <w:vAlign w:val="center"/>
          </w:tcPr>
          <w:p>
            <w:pPr>
              <w:pStyle w:val="TableContents"/>
              <w:bidi w:val="0"/>
              <w:spacing w:before="0" w:after="283"/>
              <w:jc w:val="left"/>
              <w:rPr>
                <w:sz w:val="4"/>
                <w:szCs w:val="4"/>
              </w:rPr>
            </w:pPr>
            <w:r>
              <w:rPr>
                <w:sz w:val="4"/>
                <w:szCs w:val="4"/>
              </w:rPr>
            </w:r>
          </w:p>
        </w:tc>
      </w:tr>
    </w:tbl>
    <w:tbl>
      <w:tblPr>
        <w:tblW w:w="6946" w:type="dxa"/>
        <w:jc w:val="left"/>
        <w:tblInd w:w="0" w:type="dxa"/>
        <w:tblLayout w:type="fixed"/>
        <w:tblCellMar>
          <w:top w:w="28" w:type="dxa"/>
          <w:left w:w="28" w:type="dxa"/>
          <w:bottom w:w="28" w:type="dxa"/>
          <w:right w:w="28" w:type="dxa"/>
        </w:tblCellMar>
      </w:tblPr>
      <w:tblGrid>
        <w:gridCol w:w="6946"/>
      </w:tblGrid>
      <w:tr>
        <w:trPr/>
        <w:tc>
          <w:tcPr>
            <w:tcW w:w="6946" w:type="dxa"/>
            <w:tcBorders/>
            <w:vAlign w:val="center"/>
          </w:tcPr>
          <w:p>
            <w:pPr>
              <w:pStyle w:val="TableContents"/>
              <w:bidi w:val="0"/>
              <w:spacing w:before="0" w:after="283"/>
              <w:jc w:val="center"/>
              <w:rPr>
                <w:b/>
              </w:rPr>
            </w:pPr>
            <w:r>
              <w:rPr>
                <w:b/>
              </w:rPr>
              <w:t xml:space="preserve">Exhibit Information </w:t>
            </w:r>
          </w:p>
        </w:tc>
      </w:tr>
      <w:tr>
        <w:trPr/>
        <w:tc>
          <w:tcPr>
            <w:tcW w:w="6946" w:type="dxa"/>
            <w:tcBorders/>
            <w:vAlign w:val="center"/>
          </w:tcPr>
          <w:p>
            <w:pPr>
              <w:pStyle w:val="TableContents"/>
              <w:bidi w:val="0"/>
              <w:spacing w:before="0" w:after="283"/>
              <w:jc w:val="left"/>
              <w:rPr/>
            </w:pPr>
            <w:r>
              <w:rPr/>
              <w:t>Exhibit 1. Joint Acquisition Statement Pursuant to Section 240.13d-1(k)</w:t>
            </w:r>
          </w:p>
        </w:tc>
      </w:tr>
    </w:tbl>
    <w:p>
      <w:pPr>
        <w:pStyle w:val="TextBody"/>
        <w:bidi w:val="0"/>
        <w:spacing w:before="0" w:after="0"/>
        <w:jc w:val="right"/>
        <w:rPr>
          <w:rFonts w:ascii="Times New Roman;Times;serif" w:hAnsi="Times New Roman;Times;serif"/>
          <w:color w:val="000000"/>
          <w:sz w:val="24"/>
        </w:rPr>
      </w:pPr>
      <w:bookmarkStart w:id="124" w:name="jas.htm"/>
      <w:bookmarkStart w:id="125" w:name="ksjas"/>
      <w:bookmarkEnd w:id="124"/>
      <w:bookmarkEnd w:id="125"/>
      <w:r>
        <w:rPr>
          <w:rFonts w:ascii="Times New Roman;Times;serif" w:hAnsi="Times New Roman;Times;serif"/>
          <w:color w:val="000000"/>
          <w:sz w:val="24"/>
        </w:rPr>
        <w:t>EXHIBIT 1</w:t>
      </w:r>
      <w:r>
        <w:br w:type="page"/>
      </w:r>
    </w:p>
    <w:p>
      <w:pPr>
        <w:pStyle w:val="TextBody"/>
        <w:bidi w:val="0"/>
        <w:spacing w:before="0" w:after="0"/>
        <w:jc w:val="right"/>
        <w:rPr>
          <w:rFonts w:ascii="Times New Roman;Times;serif" w:hAnsi="Times New Roman;Times;serif"/>
          <w:color w:val="000000"/>
          <w:sz w:val="24"/>
        </w:rPr>
      </w:pPr>
      <w:r>
        <w:rPr>
          <w:rFonts w:ascii="Times New Roman;Times;serif" w:hAnsi="Times New Roman;Times;serif"/>
          <w:color w:val="000000"/>
          <w:sz w:val="24"/>
        </w:rPr>
        <w:t>to</w:t>
      </w:r>
    </w:p>
    <w:p>
      <w:pPr>
        <w:pStyle w:val="TextBody"/>
        <w:bidi w:val="0"/>
        <w:spacing w:before="0" w:after="0"/>
        <w:jc w:val="right"/>
        <w:rPr>
          <w:rFonts w:ascii="Times New Roman;Times;serif" w:hAnsi="Times New Roman;Times;serif"/>
          <w:color w:val="000000"/>
          <w:sz w:val="24"/>
        </w:rPr>
      </w:pPr>
      <w:r>
        <w:rPr>
          <w:rFonts w:ascii="Times New Roman;Times;serif" w:hAnsi="Times New Roman;Times;serif"/>
          <w:color w:val="000000"/>
          <w:sz w:val="24"/>
        </w:rPr>
        <w:t>SCHEDULE 13G</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4"/>
        </w:rPr>
      </w:pPr>
      <w:r>
        <w:rPr>
          <w:rFonts w:ascii="Times New Roman;Times;serif" w:hAnsi="Times New Roman;Times;serif"/>
          <w:color w:val="000000"/>
          <w:sz w:val="24"/>
        </w:rPr>
        <w:t>JOINT ACQUISITION STATEMENT</w:t>
      </w:r>
    </w:p>
    <w:p>
      <w:pPr>
        <w:pStyle w:val="TextBody"/>
        <w:bidi w:val="0"/>
        <w:spacing w:before="0" w:after="0"/>
        <w:jc w:val="center"/>
        <w:rPr>
          <w:rFonts w:ascii="Times New Roman;Times;serif" w:hAnsi="Times New Roman;Times;serif"/>
          <w:color w:val="000000"/>
          <w:sz w:val="24"/>
          <w:u w:val="single"/>
        </w:rPr>
      </w:pPr>
      <w:r>
        <w:rPr>
          <w:rFonts w:ascii="Times New Roman;Times;serif" w:hAnsi="Times New Roman;Times;serif"/>
          <w:color w:val="000000"/>
          <w:sz w:val="24"/>
          <w:u w:val="single"/>
        </w:rPr>
        <w:t>PURSUANT TO SECTION 240.13d-1(k)</w:t>
      </w:r>
    </w:p>
    <w:p>
      <w:pPr>
        <w:pStyle w:val="TextBody"/>
        <w:bidi w:val="0"/>
        <w:spacing w:before="0" w:after="0"/>
        <w:jc w:val="center"/>
        <w:rPr>
          <w:sz w:val="24"/>
          <w:u w:val="single"/>
        </w:rPr>
      </w:pPr>
      <w:r>
        <w:rPr>
          <w:sz w:val="24"/>
          <w:u w:val="single"/>
        </w:rPr>
      </w:r>
    </w:p>
    <w:p>
      <w:pPr>
        <w:pStyle w:val="TextBody"/>
        <w:bidi w:val="0"/>
        <w:spacing w:before="0" w:after="0"/>
        <w:ind w:left="0" w:right="0" w:firstLine="720"/>
        <w:jc w:val="both"/>
        <w:rPr>
          <w:rFonts w:ascii="Times New Roman;Times;serif" w:hAnsi="Times New Roman;Times;serif"/>
          <w:color w:val="000000"/>
          <w:sz w:val="24"/>
        </w:rPr>
      </w:pPr>
      <w:r>
        <w:rPr>
          <w:rFonts w:ascii="Times New Roman;Times;serif" w:hAnsi="Times New Roman;Times;serif"/>
          <w:color w:val="000000"/>
          <w:sz w:val="24"/>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4"/>
        </w:rPr>
      </w:pPr>
      <w:r>
        <w:rPr>
          <w:rFonts w:ascii="Times New Roman;Times;serif" w:hAnsi="Times New Roman;Times;serif"/>
          <w:color w:val="000000"/>
          <w:sz w:val="24"/>
        </w:rPr>
        <w:t>Dated:  June 13,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z8c452a033d6c49dabade1954008dd888"/>
      <w:bookmarkStart w:id="127" w:name="z8c452a033d6c49dabade1954008dd888"/>
      <w:bookmarkEnd w:id="127"/>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0130" w:type="dxa"/>
            <w:tcBorders>
              <w:bottom w:val="single" w:sz="12" w:space="0" w:color="000000"/>
            </w:tcBorders>
            <w:tcMar>
              <w:bottom w:w="28" w:type="dxa"/>
            </w:tcMar>
            <w:vAlign w:val="center"/>
          </w:tcPr>
          <w:p>
            <w:pPr>
              <w:pStyle w:val="TableContents"/>
              <w:bidi w:val="0"/>
              <w:spacing w:before="0" w:after="0"/>
              <w:jc w:val="both"/>
              <w:rPr>
                <w:sz w:val="24"/>
              </w:rPr>
            </w:pPr>
            <w:r>
              <w:rPr>
                <w:sz w:val="24"/>
              </w:rPr>
              <w:t>/s/ Hannah E. Dunn</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FARALLON PARTNERS, L.L.C.,</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On its own behalf and</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As the General Partner of</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FARALLON CAPITAL PARTNERS, L.P.,</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FARALLON CAPITAL INSTITUTIONAL PARTNERS, L.P.,</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FARALLON CAPITAL INSTITUTIONAL PARTNERS II, L.P.,</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FARALLON CAPITAL INSTITUTIONAL PARTNERS III, L.P.,</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left"/>
              <w:rPr>
                <w:sz w:val="24"/>
              </w:rPr>
            </w:pPr>
            <w:r>
              <w:rPr>
                <w:sz w:val="24"/>
              </w:rPr>
              <w:t>FARALLON CAPITAL OFFSHORE INVESTORS II, L.P., and</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left"/>
              <w:rPr>
                <w:sz w:val="24"/>
              </w:rPr>
            </w:pPr>
            <w:r>
              <w:rPr>
                <w:sz w:val="24"/>
              </w:rPr>
              <w:t>FARALLON CAPITAL (AM) INVESTORS, L.P.</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left"/>
              <w:rPr>
                <w:sz w:val="24"/>
              </w:rPr>
            </w:pPr>
            <w:r>
              <w:rPr>
                <w:sz w:val="24"/>
              </w:rPr>
              <w:t>By: Hannah E. Dunn, Managing Member</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0130" w:type="dxa"/>
            <w:tcBorders>
              <w:bottom w:val="single" w:sz="12" w:space="0" w:color="000000"/>
            </w:tcBorders>
            <w:tcMar>
              <w:bottom w:w="28" w:type="dxa"/>
            </w:tcMar>
            <w:vAlign w:val="center"/>
          </w:tcPr>
          <w:p>
            <w:pPr>
              <w:pStyle w:val="TableContents"/>
              <w:bidi w:val="0"/>
              <w:spacing w:before="0" w:after="0"/>
              <w:jc w:val="both"/>
              <w:rPr>
                <w:sz w:val="24"/>
              </w:rPr>
            </w:pPr>
            <w:r>
              <w:rPr>
                <w:sz w:val="24"/>
              </w:rPr>
              <w:t>/s/ Hannah E. Dunn</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FARALLON INSTITUTIONAL (GP) V, L.L.C.,</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On its own behalf and</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As the General Partner of</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FOUR CROSSINGS INSTITUTIONAL PARTNERS V, L.P.</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By: Hannah E. Dunn, Manager</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0130" w:type="dxa"/>
            <w:tcBorders>
              <w:bottom w:val="single" w:sz="12" w:space="0" w:color="000000"/>
            </w:tcBorders>
            <w:tcMar>
              <w:bottom w:w="28" w:type="dxa"/>
            </w:tcMar>
            <w:vAlign w:val="center"/>
          </w:tcPr>
          <w:p>
            <w:pPr>
              <w:pStyle w:val="TableContents"/>
              <w:bidi w:val="0"/>
              <w:spacing w:before="0" w:after="0"/>
              <w:jc w:val="both"/>
              <w:rPr>
                <w:sz w:val="24"/>
              </w:rPr>
            </w:pPr>
            <w:r>
              <w:rPr>
                <w:sz w:val="24"/>
              </w:rPr>
              <w:t>/s/ Hannah E. Dunn</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FARALLON F5 (GP), L.L.C.,</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On its own behalf and</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As the General Partner of</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FARALLON CAPITAL F5 MASTER I, L.P.</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By: Hannah E. Dunn, Manager</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10130" w:type="dxa"/>
            <w:tcBorders>
              <w:bottom w:val="single" w:sz="12" w:space="0" w:color="000000"/>
            </w:tcBorders>
            <w:tcMar>
              <w:bottom w:w="28" w:type="dxa"/>
            </w:tcMar>
            <w:vAlign w:val="center"/>
          </w:tcPr>
          <w:p>
            <w:pPr>
              <w:pStyle w:val="TableContents"/>
              <w:bidi w:val="0"/>
              <w:spacing w:before="0" w:after="0"/>
              <w:jc w:val="both"/>
              <w:rPr>
                <w:sz w:val="24"/>
              </w:rPr>
            </w:pPr>
            <w:r>
              <w:rPr>
                <w:sz w:val="24"/>
              </w:rPr>
              <w:t>/s/ Hannah E. Dunn</w:t>
            </w:r>
          </w:p>
        </w:tc>
      </w:tr>
      <w:tr>
        <w:trPr/>
        <w:tc>
          <w:tcPr>
            <w:tcW w:w="75" w:type="dxa"/>
            <w:tcBorders/>
            <w:vAlign w:val="center"/>
          </w:tcPr>
          <w:p>
            <w:pPr>
              <w:pStyle w:val="TableContents"/>
              <w:bidi w:val="0"/>
              <w:spacing w:before="0" w:after="0"/>
              <w:jc w:val="left"/>
              <w:rPr/>
            </w:pPr>
            <w:r>
              <w:rPr/>
              <w:t> </w:t>
            </w:r>
          </w:p>
        </w:tc>
        <w:tc>
          <w:tcPr>
            <w:tcW w:w="10130" w:type="dxa"/>
            <w:tcBorders/>
            <w:vAlign w:val="center"/>
          </w:tcPr>
          <w:p>
            <w:pPr>
              <w:pStyle w:val="TableContents"/>
              <w:bidi w:val="0"/>
              <w:spacing w:before="0" w:after="0"/>
              <w:jc w:val="both"/>
              <w:rPr>
                <w:sz w:val="24"/>
              </w:rPr>
            </w:pPr>
            <w:r>
              <w:rPr>
                <w:sz w:val="24"/>
              </w:rPr>
              <w:t>Hannah E. Dunn, individually and as attorney-in-fact for each of Joshua J. Dapice, Philip D. Dreyfuss, Richard B. Fried, Varun N. Gehani, Nicolas Giauque, David T. Kim, Michael G. Linn, Patrick (Cheng) Luo, Rajiv A. Patel, Thomas G. Roberts, Jr., Edric C. Saito, William Seybold, Daniel S. Short, Andrew J. M. Spokes, John R. Warren and Mark C. Wehrly</w:t>
            </w:r>
          </w:p>
        </w:tc>
      </w:tr>
    </w:tbl>
    <w:p>
      <w:pPr>
        <w:pStyle w:val="TextBody"/>
        <w:bidi w:val="0"/>
        <w:spacing w:before="0" w:after="16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fontTable" Target="fontTable.xml"/><Relationship Id="rId10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5737</Words>
  <Characters>29680</Characters>
  <CharactersWithSpaces>34839</CharactersWithSpaces>
  <Paragraphs>1499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