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March 5, 2026</w:t>
      </w:r>
    </w:p>
    <w:p>
      <w:pPr>
        <w:spacing w:after="0" w:line="32" w:lineRule="exact"/>
        <w:rPr>
          <w:sz w:val="24"/>
          <w:szCs w:val="24"/>
          <w:color w:val="auto"/>
        </w:rPr>
      </w:pPr>
    </w:p>
    <w:p>
      <w:pPr>
        <w:ind w:left="8480"/>
        <w:spacing w:after="0"/>
        <w:rPr>
          <w:sz w:val="20"/>
          <w:szCs w:val="20"/>
          <w:color w:val="auto"/>
        </w:rPr>
      </w:pPr>
      <w:r>
        <w:rPr>
          <w:rFonts w:ascii="Times New Roman" w:cs="Times New Roman" w:eastAsia="Times New Roman" w:hAnsi="Times New Roman"/>
          <w:sz w:val="17"/>
          <w:szCs w:val="17"/>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67100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100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106045</wp:posOffset>
            </wp:positionV>
            <wp:extent cx="67100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219075</wp:posOffset>
            </wp:positionV>
            <wp:extent cx="14141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FORM S-8</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REGISTRATION STATEMENT</w:t>
      </w:r>
    </w:p>
    <w:p>
      <w:pPr>
        <w:jc w:val="center"/>
        <w:ind w:right="-39"/>
        <w:spacing w:after="0" w:line="231"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210820</wp:posOffset>
            </wp:positionV>
            <wp:extent cx="14141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1"/>
          <w:szCs w:val="41"/>
          <w:b w:val="1"/>
          <w:bCs w:val="1"/>
          <w:color w:val="auto"/>
        </w:rPr>
        <w:t>TANGO THERAPEUTICS, INC.</w:t>
      </w:r>
    </w:p>
    <w:p>
      <w:pPr>
        <w:spacing w:after="0" w:line="5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220345</wp:posOffset>
            </wp:positionV>
            <wp:extent cx="1414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tbl>
      <w:tblPr>
        <w:tblLayout w:type="fixed"/>
        <w:tblInd w:w="1480" w:type="dxa"/>
        <w:tblCellMar>
          <w:top w:w="0" w:type="dxa"/>
          <w:left w:w="0" w:type="dxa"/>
          <w:bottom w:w="0" w:type="dxa"/>
          <w:right w:w="0" w:type="dxa"/>
        </w:tblCellMar>
      </w:tblPr>
      <w:tr>
        <w:trPr>
          <w:trHeight w:val="203"/>
        </w:trPr>
        <w:tc>
          <w:tcPr>
            <w:tcW w:w="4180" w:type="dxa"/>
            <w:vAlign w:val="bottom"/>
          </w:tcPr>
          <w:p>
            <w:pPr>
              <w:jc w:val="center"/>
              <w:ind w:right="1722"/>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2880" w:type="dxa"/>
            <w:vAlign w:val="bottom"/>
          </w:tcPr>
          <w:p>
            <w:pPr>
              <w:jc w:val="right"/>
              <w:ind w:right="44"/>
              <w:spacing w:after="0"/>
              <w:rPr>
                <w:sz w:val="20"/>
                <w:szCs w:val="20"/>
                <w:color w:val="auto"/>
              </w:rPr>
            </w:pPr>
            <w:r>
              <w:rPr>
                <w:rFonts w:ascii="Times New Roman" w:cs="Times New Roman" w:eastAsia="Times New Roman" w:hAnsi="Times New Roman"/>
                <w:sz w:val="17"/>
                <w:szCs w:val="17"/>
                <w:b w:val="1"/>
                <w:bCs w:val="1"/>
                <w:color w:val="auto"/>
              </w:rPr>
              <w:t>85-1195036</w:t>
            </w:r>
          </w:p>
        </w:tc>
      </w:tr>
      <w:tr>
        <w:trPr>
          <w:trHeight w:val="142"/>
        </w:trPr>
        <w:tc>
          <w:tcPr>
            <w:tcW w:w="4180" w:type="dxa"/>
            <w:vAlign w:val="bottom"/>
          </w:tcPr>
          <w:p>
            <w:pPr>
              <w:jc w:val="center"/>
              <w:ind w:right="1722"/>
              <w:spacing w:after="0" w:line="143"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2880" w:type="dxa"/>
            <w:vAlign w:val="bottom"/>
          </w:tcPr>
          <w:p>
            <w:pPr>
              <w:jc w:val="center"/>
              <w:ind w:left="1724"/>
              <w:spacing w:after="0" w:line="143"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3"/>
        </w:trPr>
        <w:tc>
          <w:tcPr>
            <w:tcW w:w="4180" w:type="dxa"/>
            <w:vAlign w:val="bottom"/>
          </w:tcPr>
          <w:p>
            <w:pPr>
              <w:jc w:val="center"/>
              <w:ind w:right="1742"/>
              <w:spacing w:after="0"/>
              <w:rPr>
                <w:sz w:val="20"/>
                <w:szCs w:val="20"/>
                <w:color w:val="auto"/>
              </w:rPr>
            </w:pPr>
            <w:r>
              <w:rPr>
                <w:rFonts w:ascii="Times New Roman" w:cs="Times New Roman" w:eastAsia="Times New Roman" w:hAnsi="Times New Roman"/>
                <w:sz w:val="14"/>
                <w:szCs w:val="14"/>
                <w:b w:val="1"/>
                <w:bCs w:val="1"/>
                <w:color w:val="auto"/>
                <w:w w:val="98"/>
              </w:rPr>
              <w:t>incorporation or organization)</w:t>
            </w:r>
          </w:p>
        </w:tc>
        <w:tc>
          <w:tcPr>
            <w:tcW w:w="2880" w:type="dxa"/>
            <w:vAlign w:val="bottom"/>
          </w:tcPr>
          <w:p>
            <w:pPr>
              <w:jc w:val="center"/>
              <w:ind w:left="1724"/>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391"/>
        </w:trPr>
        <w:tc>
          <w:tcPr>
            <w:tcW w:w="4180" w:type="dxa"/>
            <w:vAlign w:val="bottom"/>
          </w:tcPr>
          <w:p>
            <w:pPr>
              <w:jc w:val="center"/>
              <w:ind w:right="1722"/>
              <w:spacing w:after="0"/>
              <w:rPr>
                <w:sz w:val="20"/>
                <w:szCs w:val="20"/>
                <w:color w:val="auto"/>
              </w:rPr>
            </w:pPr>
            <w:r>
              <w:rPr>
                <w:rFonts w:ascii="Times New Roman" w:cs="Times New Roman" w:eastAsia="Times New Roman" w:hAnsi="Times New Roman"/>
                <w:sz w:val="17"/>
                <w:szCs w:val="17"/>
                <w:b w:val="1"/>
                <w:bCs w:val="1"/>
                <w:color w:val="auto"/>
              </w:rPr>
              <w:t>201 Brookline Ave., Suite 901</w:t>
            </w:r>
          </w:p>
        </w:tc>
        <w:tc>
          <w:tcPr>
            <w:tcW w:w="2880" w:type="dxa"/>
            <w:vAlign w:val="bottom"/>
          </w:tcPr>
          <w:p>
            <w:pPr>
              <w:spacing w:after="0"/>
              <w:rPr>
                <w:sz w:val="24"/>
                <w:szCs w:val="24"/>
                <w:color w:val="auto"/>
              </w:rPr>
            </w:pPr>
          </w:p>
        </w:tc>
      </w:tr>
      <w:tr>
        <w:trPr>
          <w:trHeight w:val="216"/>
        </w:trPr>
        <w:tc>
          <w:tcPr>
            <w:tcW w:w="4180" w:type="dxa"/>
            <w:vAlign w:val="bottom"/>
          </w:tcPr>
          <w:p>
            <w:pPr>
              <w:jc w:val="center"/>
              <w:ind w:right="1742"/>
              <w:spacing w:after="0"/>
              <w:rPr>
                <w:sz w:val="20"/>
                <w:szCs w:val="20"/>
                <w:color w:val="auto"/>
              </w:rPr>
            </w:pPr>
            <w:r>
              <w:rPr>
                <w:rFonts w:ascii="Times New Roman" w:cs="Times New Roman" w:eastAsia="Times New Roman" w:hAnsi="Times New Roman"/>
                <w:sz w:val="17"/>
                <w:szCs w:val="17"/>
                <w:b w:val="1"/>
                <w:bCs w:val="1"/>
                <w:color w:val="auto"/>
              </w:rPr>
              <w:t>Boston, MA</w:t>
            </w:r>
          </w:p>
        </w:tc>
        <w:tc>
          <w:tcPr>
            <w:tcW w:w="2880" w:type="dxa"/>
            <w:vAlign w:val="bottom"/>
          </w:tcPr>
          <w:p>
            <w:pPr>
              <w:jc w:val="right"/>
              <w:ind w:right="244"/>
              <w:spacing w:after="0"/>
              <w:rPr>
                <w:sz w:val="20"/>
                <w:szCs w:val="20"/>
                <w:color w:val="auto"/>
              </w:rPr>
            </w:pPr>
            <w:r>
              <w:rPr>
                <w:rFonts w:ascii="Times New Roman" w:cs="Times New Roman" w:eastAsia="Times New Roman" w:hAnsi="Times New Roman"/>
                <w:sz w:val="17"/>
                <w:szCs w:val="17"/>
                <w:b w:val="1"/>
                <w:bCs w:val="1"/>
                <w:color w:val="auto"/>
              </w:rPr>
              <w:t>02215</w:t>
            </w:r>
          </w:p>
        </w:tc>
      </w:tr>
      <w:tr>
        <w:trPr>
          <w:trHeight w:val="183"/>
        </w:trPr>
        <w:tc>
          <w:tcPr>
            <w:tcW w:w="4180" w:type="dxa"/>
            <w:vAlign w:val="bottom"/>
          </w:tcPr>
          <w:p>
            <w:pPr>
              <w:jc w:val="center"/>
              <w:ind w:right="1742"/>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w:t>
            </w:r>
          </w:p>
        </w:tc>
        <w:tc>
          <w:tcPr>
            <w:tcW w:w="2880" w:type="dxa"/>
            <w:vAlign w:val="bottom"/>
          </w:tcPr>
          <w:p>
            <w:pPr>
              <w:jc w:val="center"/>
              <w:ind w:left="1724"/>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bl>
    <w:p>
      <w:pPr>
        <w:spacing w:after="0" w:line="1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Tango Therapeutics, Inc. 2021 Stock Option and Incentive Plan</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Tango Therapeutics, Inc. 2021 Employee Stock Purchase Plan</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Malte Peters, M.D.</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President and Chief Executive Officer</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Tango Therapeutics, Inc.</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201 Brookline Ave., Suite 901</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Boston, MA 02215</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(857) 320-4900</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206375</wp:posOffset>
            </wp:positionV>
            <wp:extent cx="1414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tbl>
      <w:tblPr>
        <w:tblLayout w:type="fixed"/>
        <w:tblInd w:w="1800" w:type="dxa"/>
        <w:tblCellMar>
          <w:top w:w="0" w:type="dxa"/>
          <w:left w:w="0" w:type="dxa"/>
          <w:bottom w:w="0" w:type="dxa"/>
          <w:right w:w="0" w:type="dxa"/>
        </w:tblCellMar>
      </w:tblPr>
      <w:tr>
        <w:trPr>
          <w:trHeight w:val="230"/>
        </w:trPr>
        <w:tc>
          <w:tcPr>
            <w:tcW w:w="2420" w:type="dxa"/>
            <w:vAlign w:val="bottom"/>
          </w:tcPr>
          <w:p>
            <w:pPr>
              <w:spacing w:after="0"/>
              <w:rPr>
                <w:sz w:val="19"/>
                <w:szCs w:val="19"/>
                <w:color w:val="auto"/>
              </w:rPr>
            </w:pPr>
          </w:p>
        </w:tc>
        <w:tc>
          <w:tcPr>
            <w:tcW w:w="4980" w:type="dxa"/>
            <w:vAlign w:val="bottom"/>
          </w:tcPr>
          <w:p>
            <w:pPr>
              <w:ind w:left="700"/>
              <w:spacing w:after="0"/>
              <w:rPr>
                <w:sz w:val="20"/>
                <w:szCs w:val="20"/>
                <w:color w:val="auto"/>
              </w:rPr>
            </w:pPr>
            <w:r>
              <w:rPr>
                <w:rFonts w:ascii="Times New Roman" w:cs="Times New Roman" w:eastAsia="Times New Roman" w:hAnsi="Times New Roman"/>
                <w:sz w:val="17"/>
                <w:szCs w:val="17"/>
                <w:b w:val="1"/>
                <w:bCs w:val="1"/>
                <w:i w:val="1"/>
                <w:iCs w:val="1"/>
                <w:color w:val="auto"/>
              </w:rPr>
              <w:t>Copies to:</w:t>
            </w:r>
          </w:p>
        </w:tc>
      </w:tr>
      <w:tr>
        <w:trPr>
          <w:trHeight w:val="303"/>
        </w:trPr>
        <w:tc>
          <w:tcPr>
            <w:tcW w:w="2420" w:type="dxa"/>
            <w:vAlign w:val="bottom"/>
          </w:tcPr>
          <w:p>
            <w:pPr>
              <w:jc w:val="center"/>
              <w:ind w:right="594"/>
              <w:spacing w:after="0"/>
              <w:rPr>
                <w:sz w:val="20"/>
                <w:szCs w:val="20"/>
                <w:color w:val="auto"/>
              </w:rPr>
            </w:pPr>
            <w:r>
              <w:rPr>
                <w:rFonts w:ascii="Times New Roman" w:cs="Times New Roman" w:eastAsia="Times New Roman" w:hAnsi="Times New Roman"/>
                <w:sz w:val="17"/>
                <w:szCs w:val="17"/>
                <w:b w:val="1"/>
                <w:bCs w:val="1"/>
                <w:color w:val="auto"/>
              </w:rPr>
              <w:t>Mitchell S. Bloom, Esq.</w:t>
            </w:r>
          </w:p>
        </w:tc>
        <w:tc>
          <w:tcPr>
            <w:tcW w:w="4980" w:type="dxa"/>
            <w:vAlign w:val="bottom"/>
          </w:tcPr>
          <w:p>
            <w:pPr>
              <w:jc w:val="center"/>
              <w:ind w:left="2514"/>
              <w:spacing w:after="0"/>
              <w:rPr>
                <w:sz w:val="20"/>
                <w:szCs w:val="20"/>
                <w:color w:val="auto"/>
              </w:rPr>
            </w:pPr>
            <w:r>
              <w:rPr>
                <w:rFonts w:ascii="Times New Roman" w:cs="Times New Roman" w:eastAsia="Times New Roman" w:hAnsi="Times New Roman"/>
                <w:sz w:val="17"/>
                <w:szCs w:val="17"/>
                <w:b w:val="1"/>
                <w:bCs w:val="1"/>
                <w:color w:val="auto"/>
              </w:rPr>
              <w:t>Julie Fogarty</w:t>
            </w:r>
          </w:p>
        </w:tc>
      </w:tr>
      <w:tr>
        <w:trPr>
          <w:trHeight w:val="207"/>
        </w:trPr>
        <w:tc>
          <w:tcPr>
            <w:tcW w:w="2420" w:type="dxa"/>
            <w:vAlign w:val="bottom"/>
          </w:tcPr>
          <w:p>
            <w:pPr>
              <w:jc w:val="center"/>
              <w:ind w:right="594"/>
              <w:spacing w:after="0"/>
              <w:rPr>
                <w:sz w:val="20"/>
                <w:szCs w:val="20"/>
                <w:color w:val="auto"/>
              </w:rPr>
            </w:pPr>
            <w:r>
              <w:rPr>
                <w:rFonts w:ascii="Times New Roman" w:cs="Times New Roman" w:eastAsia="Times New Roman" w:hAnsi="Times New Roman"/>
                <w:sz w:val="17"/>
                <w:szCs w:val="17"/>
                <w:b w:val="1"/>
                <w:bCs w:val="1"/>
                <w:color w:val="auto"/>
                <w:w w:val="99"/>
              </w:rPr>
              <w:t>Marishka DeToy, Esq.</w:t>
            </w:r>
          </w:p>
        </w:tc>
        <w:tc>
          <w:tcPr>
            <w:tcW w:w="4980" w:type="dxa"/>
            <w:vAlign w:val="bottom"/>
          </w:tcPr>
          <w:p>
            <w:pPr>
              <w:jc w:val="center"/>
              <w:ind w:left="2494"/>
              <w:spacing w:after="0"/>
              <w:rPr>
                <w:sz w:val="20"/>
                <w:szCs w:val="20"/>
                <w:color w:val="auto"/>
              </w:rPr>
            </w:pPr>
            <w:r>
              <w:rPr>
                <w:rFonts w:ascii="Times New Roman" w:cs="Times New Roman" w:eastAsia="Times New Roman" w:hAnsi="Times New Roman"/>
                <w:sz w:val="17"/>
                <w:szCs w:val="17"/>
                <w:b w:val="1"/>
                <w:bCs w:val="1"/>
                <w:color w:val="auto"/>
              </w:rPr>
              <w:t>Vice President, Legal</w:t>
            </w:r>
          </w:p>
        </w:tc>
      </w:tr>
      <w:tr>
        <w:trPr>
          <w:trHeight w:val="207"/>
        </w:trPr>
        <w:tc>
          <w:tcPr>
            <w:tcW w:w="2420" w:type="dxa"/>
            <w:vAlign w:val="bottom"/>
          </w:tcPr>
          <w:p>
            <w:pPr>
              <w:jc w:val="center"/>
              <w:ind w:right="594"/>
              <w:spacing w:after="0"/>
              <w:rPr>
                <w:sz w:val="20"/>
                <w:szCs w:val="20"/>
                <w:color w:val="auto"/>
              </w:rPr>
            </w:pPr>
            <w:r>
              <w:rPr>
                <w:rFonts w:ascii="Times New Roman" w:cs="Times New Roman" w:eastAsia="Times New Roman" w:hAnsi="Times New Roman"/>
                <w:sz w:val="17"/>
                <w:szCs w:val="17"/>
                <w:b w:val="1"/>
                <w:bCs w:val="1"/>
                <w:color w:val="auto"/>
              </w:rPr>
              <w:t>Goodwin Procter LLP</w:t>
            </w:r>
          </w:p>
        </w:tc>
        <w:tc>
          <w:tcPr>
            <w:tcW w:w="4980" w:type="dxa"/>
            <w:vAlign w:val="bottom"/>
          </w:tcPr>
          <w:p>
            <w:pPr>
              <w:jc w:val="center"/>
              <w:ind w:left="2494"/>
              <w:spacing w:after="0"/>
              <w:rPr>
                <w:sz w:val="20"/>
                <w:szCs w:val="20"/>
                <w:color w:val="auto"/>
              </w:rPr>
            </w:pPr>
            <w:r>
              <w:rPr>
                <w:rFonts w:ascii="Times New Roman" w:cs="Times New Roman" w:eastAsia="Times New Roman" w:hAnsi="Times New Roman"/>
                <w:sz w:val="17"/>
                <w:szCs w:val="17"/>
                <w:b w:val="1"/>
                <w:bCs w:val="1"/>
                <w:color w:val="auto"/>
              </w:rPr>
              <w:t>Tango Therapeutics, Inc.</w:t>
            </w:r>
          </w:p>
        </w:tc>
      </w:tr>
      <w:tr>
        <w:trPr>
          <w:trHeight w:val="207"/>
        </w:trPr>
        <w:tc>
          <w:tcPr>
            <w:tcW w:w="2420" w:type="dxa"/>
            <w:vAlign w:val="bottom"/>
          </w:tcPr>
          <w:p>
            <w:pPr>
              <w:jc w:val="center"/>
              <w:ind w:right="594"/>
              <w:spacing w:after="0"/>
              <w:rPr>
                <w:sz w:val="20"/>
                <w:szCs w:val="20"/>
                <w:color w:val="auto"/>
              </w:rPr>
            </w:pPr>
            <w:r>
              <w:rPr>
                <w:rFonts w:ascii="Times New Roman" w:cs="Times New Roman" w:eastAsia="Times New Roman" w:hAnsi="Times New Roman"/>
                <w:sz w:val="17"/>
                <w:szCs w:val="17"/>
                <w:b w:val="1"/>
                <w:bCs w:val="1"/>
                <w:color w:val="auto"/>
              </w:rPr>
              <w:t>100 Northern Avenue</w:t>
            </w:r>
          </w:p>
        </w:tc>
        <w:tc>
          <w:tcPr>
            <w:tcW w:w="4980" w:type="dxa"/>
            <w:vAlign w:val="bottom"/>
          </w:tcPr>
          <w:p>
            <w:pPr>
              <w:jc w:val="center"/>
              <w:ind w:left="2514"/>
              <w:spacing w:after="0"/>
              <w:rPr>
                <w:sz w:val="20"/>
                <w:szCs w:val="20"/>
                <w:color w:val="auto"/>
              </w:rPr>
            </w:pPr>
            <w:r>
              <w:rPr>
                <w:rFonts w:ascii="Times New Roman" w:cs="Times New Roman" w:eastAsia="Times New Roman" w:hAnsi="Times New Roman"/>
                <w:sz w:val="17"/>
                <w:szCs w:val="17"/>
                <w:b w:val="1"/>
                <w:bCs w:val="1"/>
                <w:color w:val="auto"/>
              </w:rPr>
              <w:t>201 Brookline Avenue, Suite 901</w:t>
            </w:r>
          </w:p>
        </w:tc>
      </w:tr>
      <w:tr>
        <w:trPr>
          <w:trHeight w:val="207"/>
        </w:trPr>
        <w:tc>
          <w:tcPr>
            <w:tcW w:w="2420" w:type="dxa"/>
            <w:vAlign w:val="bottom"/>
          </w:tcPr>
          <w:p>
            <w:pPr>
              <w:jc w:val="center"/>
              <w:ind w:right="614"/>
              <w:spacing w:after="0"/>
              <w:rPr>
                <w:sz w:val="20"/>
                <w:szCs w:val="20"/>
                <w:color w:val="auto"/>
              </w:rPr>
            </w:pPr>
            <w:r>
              <w:rPr>
                <w:rFonts w:ascii="Times New Roman" w:cs="Times New Roman" w:eastAsia="Times New Roman" w:hAnsi="Times New Roman"/>
                <w:sz w:val="17"/>
                <w:szCs w:val="17"/>
                <w:b w:val="1"/>
                <w:bCs w:val="1"/>
                <w:color w:val="auto"/>
              </w:rPr>
              <w:t>Boston, MA 02210</w:t>
            </w:r>
          </w:p>
        </w:tc>
        <w:tc>
          <w:tcPr>
            <w:tcW w:w="4980" w:type="dxa"/>
            <w:vAlign w:val="bottom"/>
          </w:tcPr>
          <w:p>
            <w:pPr>
              <w:jc w:val="center"/>
              <w:ind w:left="2494"/>
              <w:spacing w:after="0"/>
              <w:rPr>
                <w:sz w:val="20"/>
                <w:szCs w:val="20"/>
                <w:color w:val="auto"/>
              </w:rPr>
            </w:pPr>
            <w:r>
              <w:rPr>
                <w:rFonts w:ascii="Times New Roman" w:cs="Times New Roman" w:eastAsia="Times New Roman" w:hAnsi="Times New Roman"/>
                <w:sz w:val="17"/>
                <w:szCs w:val="17"/>
                <w:b w:val="1"/>
                <w:bCs w:val="1"/>
                <w:color w:val="auto"/>
              </w:rPr>
              <w:t>Boston, MA 02215</w:t>
            </w:r>
          </w:p>
        </w:tc>
      </w:tr>
      <w:tr>
        <w:trPr>
          <w:trHeight w:val="228"/>
        </w:trPr>
        <w:tc>
          <w:tcPr>
            <w:tcW w:w="2420" w:type="dxa"/>
            <w:vAlign w:val="bottom"/>
          </w:tcPr>
          <w:p>
            <w:pPr>
              <w:jc w:val="center"/>
              <w:ind w:right="614"/>
              <w:spacing w:after="0"/>
              <w:rPr>
                <w:sz w:val="20"/>
                <w:szCs w:val="20"/>
                <w:color w:val="auto"/>
              </w:rPr>
            </w:pPr>
            <w:r>
              <w:rPr>
                <w:rFonts w:ascii="Times New Roman" w:cs="Times New Roman" w:eastAsia="Times New Roman" w:hAnsi="Times New Roman"/>
                <w:sz w:val="17"/>
                <w:szCs w:val="17"/>
                <w:b w:val="1"/>
                <w:bCs w:val="1"/>
                <w:color w:val="auto"/>
              </w:rPr>
              <w:t>(617) 570-1000</w:t>
            </w:r>
          </w:p>
        </w:tc>
        <w:tc>
          <w:tcPr>
            <w:tcW w:w="4980" w:type="dxa"/>
            <w:vAlign w:val="bottom"/>
          </w:tcPr>
          <w:p>
            <w:pPr>
              <w:jc w:val="center"/>
              <w:ind w:left="2494"/>
              <w:spacing w:after="0"/>
              <w:rPr>
                <w:sz w:val="20"/>
                <w:szCs w:val="20"/>
                <w:color w:val="auto"/>
              </w:rPr>
            </w:pPr>
            <w:r>
              <w:rPr>
                <w:rFonts w:ascii="Times New Roman" w:cs="Times New Roman" w:eastAsia="Times New Roman" w:hAnsi="Times New Roman"/>
                <w:sz w:val="17"/>
                <w:szCs w:val="17"/>
                <w:b w:val="1"/>
                <w:bCs w:val="1"/>
                <w:color w:val="auto"/>
              </w:rPr>
              <w:t>(857) 320-4900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229870</wp:posOffset>
            </wp:positionV>
            <wp:extent cx="1414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90"/>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36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ind w:left="3040"/>
              <w:spacing w:after="0"/>
              <w:rPr>
                <w:sz w:val="20"/>
                <w:szCs w:val="20"/>
                <w:color w:val="auto"/>
              </w:rPr>
            </w:pPr>
            <w:r>
              <w:rPr>
                <w:rFonts w:ascii="Times New Roman" w:cs="Times New Roman" w:eastAsia="Times New Roman" w:hAnsi="Times New Roman"/>
                <w:sz w:val="17"/>
                <w:szCs w:val="17"/>
                <w:color w:val="auto"/>
              </w:rPr>
              <w:t>Accelerated filer</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1"/>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36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ind w:left="30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1"/>
        </w:trPr>
        <w:tc>
          <w:tcPr>
            <w:tcW w:w="17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100" w:type="dxa"/>
            <w:vAlign w:val="bottom"/>
          </w:tcPr>
          <w:p>
            <w:pPr>
              <w:ind w:left="3040"/>
              <w:spacing w:after="0"/>
              <w:rPr>
                <w:sz w:val="20"/>
                <w:szCs w:val="20"/>
                <w:color w:val="auto"/>
              </w:rPr>
            </w:pPr>
            <w:r>
              <w:rPr>
                <w:rFonts w:ascii="Times New Roman" w:cs="Times New Roman" w:eastAsia="Times New Roman" w:hAnsi="Times New Roman"/>
                <w:sz w:val="17"/>
                <w:szCs w:val="17"/>
                <w:color w:val="auto"/>
              </w:rPr>
              <w:t>Emerging growth company</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63" w:lineRule="exact"/>
        <w:rPr>
          <w:sz w:val="24"/>
          <w:szCs w:val="24"/>
          <w:color w:val="auto"/>
        </w:rPr>
      </w:pPr>
    </w:p>
    <w:p>
      <w:pPr>
        <w:ind w:right="24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6710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100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6710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ectPr>
          <w:pgSz w:w="11900" w:h="16838" w:orient="portrait"/>
          <w:cols w:equalWidth="0" w:num="1">
            <w:col w:w="10520"/>
          </w:cols>
          <w:pgMar w:left="660" w:top="223" w:right="71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EXPLANATORY NOTE AND STATEMENT OF INCORPORATION BY REFERENCE</w:t>
      </w:r>
    </w:p>
    <w:p>
      <w:pPr>
        <w:spacing w:after="0" w:line="221" w:lineRule="exact"/>
        <w:rPr>
          <w:sz w:val="20"/>
          <w:szCs w:val="20"/>
          <w:color w:val="auto"/>
        </w:rPr>
      </w:pPr>
    </w:p>
    <w:p>
      <w:pPr>
        <w:ind w:firstLine="422"/>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Registration Statement on Form S-8 (the “Registration Statement”) is being filed for the purpose of (i) registering the offer and sale of an additional 6,797,023 shares of the Registrant’s common stock, par value $0.001 per share (the “Common Stock”), to be issued under the Registrant’s 2021 Stock Option and Incentive Plan and (ii) registering the offer and sale of an additional 949,873 shares of the Registrant’s Common Stock, to be issued under the Registrant’s 2021 Employee Stock Purchase Plan. This Registration Statement incorporates by reference the contents of the registration statements on Form S-8, filed by the Registrant on </w:t>
      </w:r>
      <w:hyperlink r:id="rId18">
        <w:r>
          <w:rPr>
            <w:rFonts w:ascii="Times New Roman" w:cs="Times New Roman" w:eastAsia="Times New Roman" w:hAnsi="Times New Roman"/>
            <w:sz w:val="17"/>
            <w:szCs w:val="17"/>
            <w:u w:val="single" w:color="auto"/>
            <w:color w:val="0000EE"/>
          </w:rPr>
          <w:t>October 14, 2021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(File No. 333-260258), </w:t>
      </w:r>
      <w:hyperlink r:id="rId19">
        <w:r>
          <w:rPr>
            <w:rFonts w:ascii="Times New Roman" w:cs="Times New Roman" w:eastAsia="Times New Roman" w:hAnsi="Times New Roman"/>
            <w:sz w:val="17"/>
            <w:szCs w:val="17"/>
            <w:u w:val="single" w:color="auto"/>
            <w:color w:val="0000EE"/>
          </w:rPr>
          <w:t>March 28, 2022</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(File No. 333-263893), </w:t>
      </w:r>
      <w:hyperlink r:id="rId20">
        <w:r>
          <w:rPr>
            <w:rFonts w:ascii="Times New Roman" w:cs="Times New Roman" w:eastAsia="Times New Roman" w:hAnsi="Times New Roman"/>
            <w:sz w:val="17"/>
            <w:szCs w:val="17"/>
            <w:u w:val="single" w:color="auto"/>
            <w:color w:val="0000EE"/>
          </w:rPr>
          <w:t>February 7, 2023</w:t>
        </w:r>
      </w:hyperlink>
      <w:r>
        <w:rPr>
          <w:rFonts w:ascii="Times New Roman" w:cs="Times New Roman" w:eastAsia="Times New Roman" w:hAnsi="Times New Roman"/>
          <w:sz w:val="17"/>
          <w:szCs w:val="17"/>
          <w:color w:val="auto"/>
        </w:rPr>
        <w:t xml:space="preserve"> (File No. 333-269620), </w:t>
      </w:r>
      <w:hyperlink r:id="rId21">
        <w:r>
          <w:rPr>
            <w:rFonts w:ascii="Times New Roman" w:cs="Times New Roman" w:eastAsia="Times New Roman" w:hAnsi="Times New Roman"/>
            <w:sz w:val="17"/>
            <w:szCs w:val="17"/>
            <w:u w:val="single" w:color="auto"/>
            <w:color w:val="0000EE"/>
          </w:rPr>
          <w:t>March 18, 2024</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(File No. 333-278016), and </w:t>
      </w:r>
      <w:hyperlink r:id="rId22">
        <w:r>
          <w:rPr>
            <w:rFonts w:ascii="Times New Roman" w:cs="Times New Roman" w:eastAsia="Times New Roman" w:hAnsi="Times New Roman"/>
            <w:sz w:val="17"/>
            <w:szCs w:val="17"/>
            <w:u w:val="single" w:color="auto"/>
            <w:color w:val="0000EE"/>
          </w:rPr>
          <w:t>February 27, 2025</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(File No. 333-285306), relating to the Registrant’s 2021 Stock Option and Incentive Plan and 2021 Employee Stock Purchase Plan pursuant to General Instruction E.</w:t>
      </w:r>
    </w:p>
    <w:p>
      <w:pPr>
        <w:spacing w:after="0" w:line="380" w:lineRule="exact"/>
        <w:rPr>
          <w:rFonts w:ascii="Times New Roman" w:cs="Times New Roman" w:eastAsia="Times New Roman" w:hAnsi="Times New Roman"/>
          <w:sz w:val="17"/>
          <w:szCs w:val="17"/>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2" w:lineRule="exact"/>
        <w:rPr>
          <w:rFonts w:ascii="Times New Roman" w:cs="Times New Roman" w:eastAsia="Times New Roman" w:hAnsi="Times New Roman"/>
          <w:sz w:val="17"/>
          <w:szCs w:val="17"/>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INFORMATION REQUIRED IN THE REGISTRATION STATEMENT</w:t>
      </w:r>
    </w:p>
    <w:p>
      <w:pPr>
        <w:spacing w:after="0" w:line="198"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Exhibits.</w:t>
      </w:r>
    </w:p>
    <w:p>
      <w:pPr>
        <w:spacing w:after="0" w:line="117" w:lineRule="exact"/>
        <w:rPr>
          <w:rFonts w:ascii="Times New Roman" w:cs="Times New Roman" w:eastAsia="Times New Roman" w:hAnsi="Times New Roman"/>
          <w:sz w:val="17"/>
          <w:szCs w:val="17"/>
          <w:color w:val="auto"/>
        </w:rPr>
      </w:pPr>
    </w:p>
    <w:p>
      <w:pPr>
        <w:ind w:left="420"/>
        <w:spacing w:after="0"/>
        <w:rPr>
          <w:sz w:val="20"/>
          <w:szCs w:val="20"/>
          <w:color w:val="auto"/>
        </w:rPr>
      </w:pPr>
      <w:r>
        <w:rPr>
          <w:rFonts w:ascii="Times New Roman" w:cs="Times New Roman" w:eastAsia="Times New Roman" w:hAnsi="Times New Roman"/>
          <w:sz w:val="17"/>
          <w:szCs w:val="17"/>
          <w:color w:val="auto"/>
        </w:rPr>
        <w:t>See the Exhibit Index for a list of exhibits filed as part of this Registration Statement, which Exhibit Index is incorporated herein by reference.</w:t>
      </w:r>
    </w:p>
    <w:p>
      <w:pPr>
        <w:sectPr>
          <w:pgSz w:w="11900" w:h="16838" w:orient="portrait"/>
          <w:cols w:equalWidth="0" w:num="1">
            <w:col w:w="10520"/>
          </w:cols>
          <w:pgMar w:left="660" w:top="262" w:right="7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720" w:type="dxa"/>
            <w:vAlign w:val="bottom"/>
          </w:tcPr>
          <w:p>
            <w:pPr>
              <w:ind w:left="3780"/>
              <w:spacing w:after="0"/>
              <w:rPr>
                <w:sz w:val="20"/>
                <w:szCs w:val="20"/>
                <w:color w:val="auto"/>
              </w:rPr>
            </w:pPr>
            <w:r>
              <w:rPr>
                <w:rFonts w:ascii="Times New Roman" w:cs="Times New Roman" w:eastAsia="Times New Roman" w:hAnsi="Times New Roman"/>
                <w:sz w:val="17"/>
                <w:szCs w:val="17"/>
                <w:b w:val="1"/>
                <w:bCs w:val="1"/>
                <w:color w:val="auto"/>
              </w:rPr>
              <w:t>EXHIBIT INDEX</w:t>
            </w:r>
          </w:p>
        </w:tc>
        <w:tc>
          <w:tcPr>
            <w:tcW w:w="0" w:type="dxa"/>
            <w:vAlign w:val="bottom"/>
          </w:tcPr>
          <w:p>
            <w:pPr>
              <w:spacing w:after="0"/>
              <w:rPr>
                <w:sz w:val="1"/>
                <w:szCs w:val="1"/>
                <w:color w:val="auto"/>
              </w:rPr>
            </w:pPr>
          </w:p>
        </w:tc>
      </w:tr>
      <w:tr>
        <w:trPr>
          <w:trHeight w:val="351"/>
        </w:trPr>
        <w:tc>
          <w:tcPr>
            <w:tcW w:w="8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9720" w:type="dxa"/>
            <w:vAlign w:val="bottom"/>
            <w:vMerge w:val="restart"/>
          </w:tcPr>
          <w:p>
            <w:pPr>
              <w:ind w:left="4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7"/>
        </w:trPr>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400" w:type="dxa"/>
            <w:vAlign w:val="bottom"/>
          </w:tcPr>
          <w:p>
            <w:pPr>
              <w:spacing w:after="0"/>
              <w:rPr>
                <w:sz w:val="14"/>
                <w:szCs w:val="14"/>
                <w:color w:val="auto"/>
              </w:rPr>
            </w:pPr>
          </w:p>
        </w:tc>
        <w:tc>
          <w:tcPr>
            <w:tcW w:w="9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p>
    <w:p>
      <w:pPr>
        <w:ind w:left="840" w:right="180" w:hanging="840"/>
        <w:spacing w:after="0" w:line="291" w:lineRule="auto"/>
        <w:tabs>
          <w:tab w:leader="none" w:pos="85" w:val="left"/>
        </w:tabs>
        <w:numPr>
          <w:ilvl w:val="0"/>
          <w:numId w:val="1"/>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4.1</w:t>
      </w:r>
      <w:hyperlink r:id="rId24">
        <w:r>
          <w:rPr>
            <w:rFonts w:ascii="Times New Roman" w:cs="Times New Roman" w:eastAsia="Times New Roman" w:hAnsi="Times New Roman"/>
            <w:sz w:val="17"/>
            <w:szCs w:val="17"/>
            <w:u w:val="single" w:color="auto"/>
            <w:color w:val="0000EE"/>
          </w:rPr>
          <w:t>Second Amended and Restated Certificate of Incorporation of Tango Therapeutics, Inc., as amended (incorporated by reference to Exhibit</w:t>
        </w:r>
      </w:hyperlink>
      <w:r>
        <w:rPr>
          <w:rFonts w:ascii="Times New Roman" w:cs="Times New Roman" w:eastAsia="Times New Roman" w:hAnsi="Times New Roman"/>
          <w:sz w:val="17"/>
          <w:szCs w:val="17"/>
          <w:u w:val="single" w:color="auto"/>
          <w:color w:val="0000EE"/>
        </w:rPr>
        <w:t xml:space="preserve"> </w:t>
      </w:r>
      <w:hyperlink r:id="rId24">
        <w:r>
          <w:rPr>
            <w:rFonts w:ascii="Times New Roman" w:cs="Times New Roman" w:eastAsia="Times New Roman" w:hAnsi="Times New Roman"/>
            <w:sz w:val="17"/>
            <w:szCs w:val="17"/>
            <w:u w:val="single" w:color="auto"/>
            <w:color w:val="0000EE"/>
          </w:rPr>
          <w:t>3.1 to the Quarterly Report on Form 10-Q filed by the Registrant on August 7, 2024).</w:t>
        </w:r>
      </w:hyperlink>
    </w:p>
    <w:p>
      <w:pPr>
        <w:spacing w:after="0" w:line="43" w:lineRule="exact"/>
        <w:rPr>
          <w:rFonts w:ascii="Times New Roman" w:cs="Times New Roman" w:eastAsia="Times New Roman" w:hAnsi="Times New Roman"/>
          <w:sz w:val="17"/>
          <w:szCs w:val="17"/>
          <w:u w:val="single" w:color="auto"/>
          <w:color w:val="0000EE"/>
        </w:rPr>
      </w:pPr>
    </w:p>
    <w:p>
      <w:pPr>
        <w:ind w:left="840" w:right="520" w:hanging="840"/>
        <w:spacing w:after="0" w:line="291" w:lineRule="auto"/>
        <w:tabs>
          <w:tab w:leader="none" w:pos="85" w:val="left"/>
        </w:tabs>
        <w:numPr>
          <w:ilvl w:val="0"/>
          <w:numId w:val="1"/>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4.2</w:t>
      </w:r>
      <w:hyperlink r:id="rId25">
        <w:r>
          <w:rPr>
            <w:rFonts w:ascii="Times New Roman" w:cs="Times New Roman" w:eastAsia="Times New Roman" w:hAnsi="Times New Roman"/>
            <w:sz w:val="17"/>
            <w:szCs w:val="17"/>
            <w:u w:val="single" w:color="auto"/>
            <w:color w:val="0000EE"/>
          </w:rPr>
          <w:t>Amendment to Second Amended and Restated Certificate of Incorporation of Tango Therapeutics, Inc., (incorporated by reference to</w:t>
        </w:r>
      </w:hyperlink>
      <w:r>
        <w:rPr>
          <w:rFonts w:ascii="Times New Roman" w:cs="Times New Roman" w:eastAsia="Times New Roman" w:hAnsi="Times New Roman"/>
          <w:sz w:val="17"/>
          <w:szCs w:val="17"/>
          <w:u w:val="single" w:color="auto"/>
          <w:color w:val="0000EE"/>
        </w:rPr>
        <w:t xml:space="preserve"> </w:t>
      </w:r>
      <w:hyperlink r:id="rId25">
        <w:r>
          <w:rPr>
            <w:rFonts w:ascii="Times New Roman" w:cs="Times New Roman" w:eastAsia="Times New Roman" w:hAnsi="Times New Roman"/>
            <w:sz w:val="17"/>
            <w:szCs w:val="17"/>
            <w:u w:val="single" w:color="auto"/>
            <w:color w:val="0000EE"/>
          </w:rPr>
          <w:t>Exhibit 3.1 to the Registrant’s Current Report on Form 8-K filed with the SEC on June 6, 2025).</w:t>
        </w:r>
      </w:hyperlink>
    </w:p>
    <w:p>
      <w:pPr>
        <w:spacing w:after="0" w:line="43" w:lineRule="exact"/>
        <w:rPr>
          <w:rFonts w:ascii="Times New Roman" w:cs="Times New Roman" w:eastAsia="Times New Roman" w:hAnsi="Times New Roman"/>
          <w:sz w:val="17"/>
          <w:szCs w:val="17"/>
          <w:u w:val="single" w:color="auto"/>
          <w:color w:val="0000EE"/>
        </w:rPr>
      </w:pPr>
    </w:p>
    <w:p>
      <w:pPr>
        <w:ind w:left="840" w:right="40" w:hanging="840"/>
        <w:spacing w:after="0" w:line="291" w:lineRule="auto"/>
        <w:tabs>
          <w:tab w:leader="none" w:pos="85" w:val="left"/>
        </w:tabs>
        <w:numPr>
          <w:ilvl w:val="0"/>
          <w:numId w:val="1"/>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4.3</w:t>
      </w:r>
      <w:hyperlink r:id="rId26">
        <w:r>
          <w:rPr>
            <w:rFonts w:ascii="Times New Roman" w:cs="Times New Roman" w:eastAsia="Times New Roman" w:hAnsi="Times New Roman"/>
            <w:sz w:val="17"/>
            <w:szCs w:val="17"/>
            <w:u w:val="single" w:color="auto"/>
            <w:color w:val="0000EE"/>
          </w:rPr>
          <w:t>Amended and Restated Bylaws of the Registrant (incorporated by reference to Exhibit 4.2 to the Registrant’s registration statement on Form</w:t>
        </w:r>
      </w:hyperlink>
      <w:r>
        <w:rPr>
          <w:rFonts w:ascii="Times New Roman" w:cs="Times New Roman" w:eastAsia="Times New Roman" w:hAnsi="Times New Roman"/>
          <w:sz w:val="17"/>
          <w:szCs w:val="17"/>
          <w:u w:val="single" w:color="auto"/>
          <w:color w:val="0000EE"/>
        </w:rPr>
        <w:t xml:space="preserve"> </w:t>
      </w:r>
      <w:hyperlink r:id="rId26">
        <w:r>
          <w:rPr>
            <w:rFonts w:ascii="Times New Roman" w:cs="Times New Roman" w:eastAsia="Times New Roman" w:hAnsi="Times New Roman"/>
            <w:sz w:val="17"/>
            <w:szCs w:val="17"/>
            <w:u w:val="single" w:color="auto"/>
            <w:color w:val="0000EE"/>
          </w:rPr>
          <w:t>S-8 filed with the Commission on October 14, 2021).</w:t>
        </w:r>
      </w:hyperlink>
    </w:p>
    <w:p>
      <w:pPr>
        <w:spacing w:after="0" w:line="43" w:lineRule="exact"/>
        <w:rPr>
          <w:rFonts w:ascii="Times New Roman" w:cs="Times New Roman" w:eastAsia="Times New Roman" w:hAnsi="Times New Roman"/>
          <w:sz w:val="17"/>
          <w:szCs w:val="17"/>
          <w:u w:val="single" w:color="auto"/>
          <w:color w:val="0000EE"/>
        </w:rPr>
      </w:pPr>
    </w:p>
    <w:p>
      <w:pPr>
        <w:ind w:left="840" w:right="60" w:hanging="840"/>
        <w:spacing w:after="0" w:line="291" w:lineRule="auto"/>
        <w:tabs>
          <w:tab w:leader="none" w:pos="85" w:val="left"/>
        </w:tabs>
        <w:numPr>
          <w:ilvl w:val="0"/>
          <w:numId w:val="1"/>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4.4</w:t>
      </w:r>
      <w:hyperlink r:id="rId27">
        <w:r>
          <w:rPr>
            <w:rFonts w:ascii="Times New Roman" w:cs="Times New Roman" w:eastAsia="Times New Roman" w:hAnsi="Times New Roman"/>
            <w:sz w:val="17"/>
            <w:szCs w:val="17"/>
            <w:u w:val="single" w:color="auto"/>
            <w:color w:val="0000EE"/>
          </w:rPr>
          <w:t>Specimen common stock certificate (incorporated by reference to Exhibit 4.5 to the Registrant’s registration statement on Form S-4/A, filed</w:t>
        </w:r>
      </w:hyperlink>
      <w:r>
        <w:rPr>
          <w:rFonts w:ascii="Times New Roman" w:cs="Times New Roman" w:eastAsia="Times New Roman" w:hAnsi="Times New Roman"/>
          <w:sz w:val="17"/>
          <w:szCs w:val="17"/>
          <w:u w:val="single" w:color="auto"/>
          <w:color w:val="0000EE"/>
        </w:rPr>
        <w:t xml:space="preserve"> </w:t>
      </w:r>
      <w:hyperlink r:id="rId27">
        <w:r>
          <w:rPr>
            <w:rFonts w:ascii="Times New Roman" w:cs="Times New Roman" w:eastAsia="Times New Roman" w:hAnsi="Times New Roman"/>
            <w:sz w:val="17"/>
            <w:szCs w:val="17"/>
            <w:u w:val="single" w:color="auto"/>
            <w:color w:val="0000EE"/>
          </w:rPr>
          <w:t>with the Commission on July 16, 2021).</w:t>
        </w:r>
      </w:hyperlink>
    </w:p>
    <w:p>
      <w:pPr>
        <w:spacing w:after="0" w:line="43" w:lineRule="exact"/>
        <w:rPr>
          <w:rFonts w:ascii="Times New Roman" w:cs="Times New Roman" w:eastAsia="Times New Roman" w:hAnsi="Times New Roman"/>
          <w:sz w:val="17"/>
          <w:szCs w:val="17"/>
          <w:u w:val="single" w:color="auto"/>
          <w:color w:val="0000EE"/>
        </w:rPr>
      </w:pPr>
    </w:p>
    <w:p>
      <w:pPr>
        <w:ind w:left="840" w:right="460" w:hanging="840"/>
        <w:spacing w:after="0" w:line="291" w:lineRule="auto"/>
        <w:tabs>
          <w:tab w:leader="none" w:pos="85" w:val="left"/>
        </w:tabs>
        <w:numPr>
          <w:ilvl w:val="0"/>
          <w:numId w:val="1"/>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4.5</w:t>
      </w:r>
      <w:hyperlink r:id="rId28">
        <w:r>
          <w:rPr>
            <w:rFonts w:ascii="Times New Roman" w:cs="Times New Roman" w:eastAsia="Times New Roman" w:hAnsi="Times New Roman"/>
            <w:sz w:val="17"/>
            <w:szCs w:val="17"/>
            <w:u w:val="single" w:color="auto"/>
            <w:color w:val="0000EE"/>
          </w:rPr>
          <w:t>Description of Securities (incorporated by reference to Exhibit 4.2 to the Registrant’s Annual Report on Form 10-K for the year ended</w:t>
        </w:r>
      </w:hyperlink>
      <w:r>
        <w:rPr>
          <w:rFonts w:ascii="Times New Roman" w:cs="Times New Roman" w:eastAsia="Times New Roman" w:hAnsi="Times New Roman"/>
          <w:sz w:val="17"/>
          <w:szCs w:val="17"/>
          <w:u w:val="single" w:color="auto"/>
          <w:color w:val="0000EE"/>
        </w:rPr>
        <w:t xml:space="preserve"> </w:t>
      </w:r>
      <w:hyperlink r:id="rId28">
        <w:r>
          <w:rPr>
            <w:rFonts w:ascii="Times New Roman" w:cs="Times New Roman" w:eastAsia="Times New Roman" w:hAnsi="Times New Roman"/>
            <w:sz w:val="17"/>
            <w:szCs w:val="17"/>
            <w:u w:val="single" w:color="auto"/>
            <w:color w:val="0000EE"/>
          </w:rPr>
          <w:t>December 31, 2021, filed with the Commission on March 28, 2022).</w:t>
        </w:r>
      </w:hyperlink>
    </w:p>
    <w:p>
      <w:pPr>
        <w:spacing w:after="0" w:line="43" w:lineRule="exact"/>
        <w:rPr>
          <w:rFonts w:ascii="Times New Roman" w:cs="Times New Roman" w:eastAsia="Times New Roman" w:hAnsi="Times New Roman"/>
          <w:sz w:val="17"/>
          <w:szCs w:val="17"/>
          <w:u w:val="single" w:color="auto"/>
          <w:color w:val="0000EE"/>
        </w:rPr>
      </w:pPr>
    </w:p>
    <w:p>
      <w:pPr>
        <w:ind w:left="80" w:hanging="80"/>
        <w:spacing w:after="0"/>
        <w:tabs>
          <w:tab w:leader="none" w:pos="8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5.1*</w:t>
      </w:r>
      <w:r>
        <w:rPr>
          <w:rFonts w:ascii="Times New Roman" w:cs="Times New Roman" w:eastAsia="Times New Roman" w:hAnsi="Times New Roman"/>
          <w:sz w:val="17"/>
          <w:szCs w:val="17"/>
          <w:u w:val="single" w:color="auto"/>
          <w:color w:val="0000EE"/>
        </w:rPr>
        <w:t>Opinion of Goodwin Procter LLP.</w:t>
      </w:r>
    </w:p>
    <w:p>
      <w:pPr>
        <w:spacing w:after="0" w:line="115" w:lineRule="exact"/>
        <w:rPr>
          <w:rFonts w:ascii="Times New Roman" w:cs="Times New Roman" w:eastAsia="Times New Roman" w:hAnsi="Times New Roman"/>
          <w:sz w:val="17"/>
          <w:szCs w:val="17"/>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Goodwin Procter LLP (included in Exhibit 5.1).</w:t>
      </w:r>
    </w:p>
    <w:p>
      <w:pPr>
        <w:spacing w:after="0" w:line="115" w:lineRule="exact"/>
        <w:rPr>
          <w:rFonts w:ascii="Times New Roman" w:cs="Times New Roman" w:eastAsia="Times New Roman" w:hAnsi="Times New Roman"/>
          <w:sz w:val="17"/>
          <w:szCs w:val="17"/>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PricewaterhouseCoopers LLP.</w:t>
      </w:r>
    </w:p>
    <w:p>
      <w:pPr>
        <w:spacing w:after="0" w:line="115" w:lineRule="exact"/>
        <w:rPr>
          <w:rFonts w:ascii="Times New Roman" w:cs="Times New Roman" w:eastAsia="Times New Roman" w:hAnsi="Times New Roman"/>
          <w:sz w:val="17"/>
          <w:szCs w:val="17"/>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color w:val="auto"/>
        </w:rPr>
        <w:t>24.1</w:t>
      </w:r>
      <w:r>
        <w:rPr>
          <w:sz w:val="20"/>
          <w:szCs w:val="20"/>
          <w:color w:val="auto"/>
        </w:rPr>
        <w:tab/>
      </w:r>
      <w:r>
        <w:rPr>
          <w:rFonts w:ascii="Times New Roman" w:cs="Times New Roman" w:eastAsia="Times New Roman" w:hAnsi="Times New Roman"/>
          <w:sz w:val="17"/>
          <w:szCs w:val="17"/>
          <w:u w:val="single" w:color="auto"/>
          <w:color w:val="0000EE"/>
        </w:rPr>
        <w:t>Power of attorney (included on signature page).</w:t>
      </w:r>
    </w:p>
    <w:p>
      <w:pPr>
        <w:spacing w:after="0" w:line="115" w:lineRule="exact"/>
        <w:rPr>
          <w:rFonts w:ascii="Times New Roman" w:cs="Times New Roman" w:eastAsia="Times New Roman" w:hAnsi="Times New Roman"/>
          <w:sz w:val="17"/>
          <w:szCs w:val="17"/>
          <w:color w:val="auto"/>
        </w:rPr>
      </w:pPr>
    </w:p>
    <w:p>
      <w:pPr>
        <w:ind w:left="840" w:hanging="841"/>
        <w:spacing w:after="0" w:line="291" w:lineRule="auto"/>
        <w:tabs>
          <w:tab w:leader="none" w:pos="8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99.1</w:t>
      </w:r>
      <w:r>
        <w:rPr>
          <w:sz w:val="20"/>
          <w:szCs w:val="20"/>
          <w:color w:val="auto"/>
        </w:rPr>
        <w:tab/>
      </w:r>
      <w:hyperlink r:id="rId29">
        <w:r>
          <w:rPr>
            <w:rFonts w:ascii="Times New Roman" w:cs="Times New Roman" w:eastAsia="Times New Roman" w:hAnsi="Times New Roman"/>
            <w:sz w:val="17"/>
            <w:szCs w:val="17"/>
            <w:u w:val="single" w:color="auto"/>
            <w:color w:val="0000EE"/>
          </w:rPr>
          <w:t>Tango Therapeutics, Inc. 2021 Stock Option and Incentive Plan (incorporated by reference to Exhibit 10.4 to the Registrant’s Current Report</w:t>
        </w:r>
      </w:hyperlink>
      <w:r>
        <w:rPr>
          <w:rFonts w:ascii="Times New Roman" w:cs="Times New Roman" w:eastAsia="Times New Roman" w:hAnsi="Times New Roman"/>
          <w:sz w:val="17"/>
          <w:szCs w:val="17"/>
          <w:u w:val="single" w:color="auto"/>
          <w:color w:val="0000EE"/>
        </w:rPr>
        <w:t xml:space="preserve"> </w:t>
      </w:r>
      <w:hyperlink r:id="rId29">
        <w:r>
          <w:rPr>
            <w:rFonts w:ascii="Times New Roman" w:cs="Times New Roman" w:eastAsia="Times New Roman" w:hAnsi="Times New Roman"/>
            <w:sz w:val="17"/>
            <w:szCs w:val="17"/>
            <w:u w:val="single" w:color="auto"/>
            <w:color w:val="0000EE"/>
          </w:rPr>
          <w:t>on Form 8-K filed with the SEC on August 13, 2021).</w:t>
        </w:r>
      </w:hyperlink>
    </w:p>
    <w:p>
      <w:pPr>
        <w:spacing w:after="0" w:line="44" w:lineRule="exact"/>
        <w:rPr>
          <w:sz w:val="20"/>
          <w:szCs w:val="20"/>
          <w:color w:val="auto"/>
        </w:rPr>
      </w:pPr>
    </w:p>
    <w:p>
      <w:pPr>
        <w:spacing w:after="0"/>
        <w:tabs>
          <w:tab w:leader="none" w:pos="8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99.2</w:t>
      </w:r>
      <w:r>
        <w:rPr>
          <w:sz w:val="20"/>
          <w:szCs w:val="20"/>
          <w:color w:val="auto"/>
        </w:rPr>
        <w:tab/>
      </w:r>
      <w:hyperlink r:id="rId30">
        <w:r>
          <w:rPr>
            <w:rFonts w:ascii="Times New Roman" w:cs="Times New Roman" w:eastAsia="Times New Roman" w:hAnsi="Times New Roman"/>
            <w:sz w:val="17"/>
            <w:szCs w:val="17"/>
            <w:u w:val="single" w:color="auto"/>
            <w:color w:val="0000EE"/>
          </w:rPr>
          <w:t>Forms of Award Agreements under the Tango Therapeutics, Inc. 2021 Stock Option and Incentive Plan (incorporated by reference to Exhibit</w:t>
        </w:r>
      </w:hyperlink>
    </w:p>
    <w:p>
      <w:pPr>
        <w:spacing w:after="0" w:line="30" w:lineRule="exact"/>
        <w:rPr>
          <w:sz w:val="20"/>
          <w:szCs w:val="20"/>
          <w:color w:val="auto"/>
        </w:rPr>
      </w:pPr>
    </w:p>
    <w:p>
      <w:pPr>
        <w:ind w:left="840"/>
        <w:spacing w:after="0"/>
        <w:rPr>
          <w:rFonts w:ascii="Times New Roman" w:cs="Times New Roman" w:eastAsia="Times New Roman" w:hAnsi="Times New Roman"/>
          <w:sz w:val="17"/>
          <w:szCs w:val="17"/>
          <w:u w:val="single" w:color="auto"/>
          <w:color w:val="0000EE"/>
        </w:rPr>
      </w:pPr>
      <w:hyperlink r:id="rId30">
        <w:r>
          <w:rPr>
            <w:rFonts w:ascii="Times New Roman" w:cs="Times New Roman" w:eastAsia="Times New Roman" w:hAnsi="Times New Roman"/>
            <w:sz w:val="17"/>
            <w:szCs w:val="17"/>
            <w:u w:val="single" w:color="auto"/>
            <w:color w:val="0000EE"/>
          </w:rPr>
          <w:t>10.5 to the Registrant’s Current Report on Form 8-K filed with the SEC on August 13, 2021).</w:t>
        </w:r>
      </w:hyperlink>
    </w:p>
    <w:p>
      <w:pPr>
        <w:spacing w:after="0" w:line="97" w:lineRule="exact"/>
        <w:rPr>
          <w:sz w:val="20"/>
          <w:szCs w:val="20"/>
          <w:color w:val="auto"/>
        </w:rPr>
      </w:pPr>
    </w:p>
    <w:p>
      <w:pPr>
        <w:ind w:left="840" w:right="100" w:hanging="841"/>
        <w:spacing w:after="0" w:line="291" w:lineRule="auto"/>
        <w:tabs>
          <w:tab w:leader="none" w:pos="8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99.3</w:t>
      </w:r>
      <w:r>
        <w:rPr>
          <w:sz w:val="20"/>
          <w:szCs w:val="20"/>
          <w:color w:val="auto"/>
        </w:rPr>
        <w:tab/>
      </w:r>
      <w:hyperlink r:id="rId31">
        <w:r>
          <w:rPr>
            <w:rFonts w:ascii="Times New Roman" w:cs="Times New Roman" w:eastAsia="Times New Roman" w:hAnsi="Times New Roman"/>
            <w:sz w:val="17"/>
            <w:szCs w:val="17"/>
            <w:u w:val="single" w:color="auto"/>
            <w:color w:val="0000EE"/>
          </w:rPr>
          <w:t>Tango Therapeutics, Inc. 2021 Employee Stock Purchase Plan (incorporated by reference to Exhibit 10.6 to the Registrant’s Current Report</w:t>
        </w:r>
      </w:hyperlink>
      <w:r>
        <w:rPr>
          <w:rFonts w:ascii="Times New Roman" w:cs="Times New Roman" w:eastAsia="Times New Roman" w:hAnsi="Times New Roman"/>
          <w:sz w:val="17"/>
          <w:szCs w:val="17"/>
          <w:u w:val="single" w:color="auto"/>
          <w:color w:val="0000EE"/>
        </w:rPr>
        <w:t xml:space="preserve"> </w:t>
      </w:r>
      <w:hyperlink r:id="rId31">
        <w:r>
          <w:rPr>
            <w:rFonts w:ascii="Times New Roman" w:cs="Times New Roman" w:eastAsia="Times New Roman" w:hAnsi="Times New Roman"/>
            <w:sz w:val="17"/>
            <w:szCs w:val="17"/>
            <w:u w:val="single" w:color="auto"/>
            <w:color w:val="0000EE"/>
          </w:rPr>
          <w:t>on Form 8-K filed with the SEC on August 13, 2021).</w:t>
        </w:r>
      </w:hyperlink>
    </w:p>
    <w:p>
      <w:pPr>
        <w:spacing w:after="0" w:line="4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color w:val="auto"/>
        </w:rPr>
        <w:t>107*</w:t>
      </w:r>
      <w:r>
        <w:rPr>
          <w:sz w:val="20"/>
          <w:szCs w:val="20"/>
          <w:color w:val="auto"/>
        </w:rPr>
        <w:tab/>
      </w:r>
      <w:r>
        <w:rPr>
          <w:rFonts w:ascii="Times New Roman" w:cs="Times New Roman" w:eastAsia="Times New Roman" w:hAnsi="Times New Roman"/>
          <w:sz w:val="17"/>
          <w:szCs w:val="17"/>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404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74041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Filed herewith.</w:t>
      </w:r>
    </w:p>
    <w:p>
      <w:pPr>
        <w:sectPr>
          <w:pgSz w:w="11900" w:h="16838" w:orient="portrait"/>
          <w:cols w:equalWidth="0" w:num="1">
            <w:col w:w="10560"/>
          </w:cols>
          <w:pgMar w:left="660" w:top="262" w:right="67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SIGNATURES</w:t>
      </w:r>
    </w:p>
    <w:p>
      <w:pPr>
        <w:spacing w:after="0" w:line="221" w:lineRule="exact"/>
        <w:rPr>
          <w:sz w:val="20"/>
          <w:szCs w:val="20"/>
          <w:color w:val="auto"/>
        </w:rPr>
      </w:pPr>
    </w:p>
    <w:p>
      <w:pPr>
        <w:jc w:val="both"/>
        <w:ind w:right="80"/>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Boston, Commonwealth of Massachusetts, on the 5th day of March,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Tango Therapeutics, Inc.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 Malte Peters</w:t>
            </w:r>
          </w:p>
        </w:tc>
      </w:tr>
      <w:tr>
        <w:trPr>
          <w:trHeight w:val="182"/>
        </w:trPr>
        <w:tc>
          <w:tcPr>
            <w:tcW w:w="54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Name:</w:t>
            </w:r>
          </w:p>
        </w:tc>
        <w:tc>
          <w:tcPr>
            <w:tcW w:w="3680" w:type="dxa"/>
            <w:vAlign w:val="bottom"/>
          </w:tcPr>
          <w:p>
            <w:pPr>
              <w:ind w:left="60"/>
              <w:spacing w:after="0" w:line="182" w:lineRule="exact"/>
              <w:rPr>
                <w:sz w:val="20"/>
                <w:szCs w:val="20"/>
                <w:color w:val="auto"/>
              </w:rPr>
            </w:pPr>
            <w:r>
              <w:rPr>
                <w:rFonts w:ascii="Times New Roman" w:cs="Times New Roman" w:eastAsia="Times New Roman" w:hAnsi="Times New Roman"/>
                <w:sz w:val="17"/>
                <w:szCs w:val="17"/>
                <w:color w:val="auto"/>
              </w:rPr>
              <w:t>Malte Peters, M.D.</w:t>
            </w:r>
          </w:p>
        </w:tc>
      </w:tr>
      <w:tr>
        <w:trPr>
          <w:trHeight w:val="22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Each person whose signature appears below constitutes and appoints each of Malte Peters, M.D. and Daniella Beckman,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her substitute or substitutes, may lawfully do or cause to be done by virtue hereof.</w:t>
      </w:r>
    </w:p>
    <w:p>
      <w:pPr>
        <w:spacing w:after="0" w:line="173" w:lineRule="exact"/>
        <w:rPr>
          <w:sz w:val="20"/>
          <w:szCs w:val="20"/>
          <w:color w:val="auto"/>
        </w:rPr>
      </w:pPr>
    </w:p>
    <w:p>
      <w:pPr>
        <w:ind w:right="120"/>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560"/>
          </w:cols>
          <w:pgMar w:left="660" w:top="262" w:right="6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0"/>
        </w:trPr>
        <w:tc>
          <w:tcPr>
            <w:tcW w:w="402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464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94"/>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Malte Peters</w:t>
            </w:r>
          </w:p>
        </w:tc>
        <w:tc>
          <w:tcPr>
            <w:tcW w:w="486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5, 2026</w:t>
            </w:r>
          </w:p>
        </w:tc>
      </w:tr>
      <w:tr>
        <w:trPr>
          <w:trHeight w:val="219"/>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Malte Peters, M.D.</w:t>
            </w:r>
          </w:p>
        </w:tc>
        <w:tc>
          <w:tcPr>
            <w:tcW w:w="486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168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Daniella Beckman</w:t>
            </w:r>
          </w:p>
        </w:tc>
        <w:tc>
          <w:tcPr>
            <w:tcW w:w="486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Chief Financial Officer</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5, 2026</w:t>
            </w:r>
          </w:p>
        </w:tc>
      </w:tr>
      <w:tr>
        <w:trPr>
          <w:trHeight w:val="219"/>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Daniella Beckman</w:t>
            </w:r>
          </w:p>
        </w:tc>
        <w:tc>
          <w:tcPr>
            <w:tcW w:w="486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tc>
        <w:tc>
          <w:tcPr>
            <w:tcW w:w="168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Barbara Weber</w:t>
            </w:r>
          </w:p>
        </w:tc>
        <w:tc>
          <w:tcPr>
            <w:tcW w:w="486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Executive Chairman of the Board of Directors</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5, 2026</w:t>
            </w:r>
          </w:p>
        </w:tc>
      </w:tr>
      <w:tr>
        <w:trPr>
          <w:trHeight w:val="219"/>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Barbara Weber, M.D.</w:t>
            </w:r>
          </w:p>
        </w:tc>
        <w:tc>
          <w:tcPr>
            <w:tcW w:w="1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Alexis Borisy</w:t>
            </w:r>
          </w:p>
        </w:tc>
        <w:tc>
          <w:tcPr>
            <w:tcW w:w="486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5, 2026</w:t>
            </w:r>
          </w:p>
        </w:tc>
      </w:tr>
      <w:tr>
        <w:trPr>
          <w:trHeight w:val="219"/>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Alexis Borisy</w:t>
            </w:r>
          </w:p>
        </w:tc>
        <w:tc>
          <w:tcPr>
            <w:tcW w:w="1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Lesley Calhoun</w:t>
            </w:r>
          </w:p>
        </w:tc>
        <w:tc>
          <w:tcPr>
            <w:tcW w:w="486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5, 2026</w:t>
            </w:r>
          </w:p>
        </w:tc>
      </w:tr>
      <w:tr>
        <w:trPr>
          <w:trHeight w:val="219"/>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Lesley Calhoun</w:t>
            </w:r>
          </w:p>
        </w:tc>
        <w:tc>
          <w:tcPr>
            <w:tcW w:w="1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John Ketchum</w:t>
            </w:r>
          </w:p>
        </w:tc>
        <w:tc>
          <w:tcPr>
            <w:tcW w:w="486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5, 2026</w:t>
            </w:r>
          </w:p>
        </w:tc>
      </w:tr>
      <w:tr>
        <w:trPr>
          <w:trHeight w:val="219"/>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John Ketchum</w:t>
            </w:r>
          </w:p>
        </w:tc>
        <w:tc>
          <w:tcPr>
            <w:tcW w:w="1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Sung Lee</w:t>
            </w:r>
          </w:p>
        </w:tc>
        <w:tc>
          <w:tcPr>
            <w:tcW w:w="486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5, 2026</w:t>
            </w:r>
          </w:p>
        </w:tc>
      </w:tr>
      <w:tr>
        <w:trPr>
          <w:trHeight w:val="219"/>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Sung Lee</w:t>
            </w:r>
          </w:p>
        </w:tc>
        <w:tc>
          <w:tcPr>
            <w:tcW w:w="1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Kanishka Pothula</w:t>
            </w:r>
          </w:p>
        </w:tc>
        <w:tc>
          <w:tcPr>
            <w:tcW w:w="486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5, 2026</w:t>
            </w:r>
          </w:p>
        </w:tc>
      </w:tr>
      <w:tr>
        <w:trPr>
          <w:trHeight w:val="219"/>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Kanishka Pothula</w:t>
            </w:r>
          </w:p>
        </w:tc>
        <w:tc>
          <w:tcPr>
            <w:tcW w:w="1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Mace Rothenberg</w:t>
            </w:r>
          </w:p>
        </w:tc>
        <w:tc>
          <w:tcPr>
            <w:tcW w:w="486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5, 2026</w:t>
            </w:r>
          </w:p>
        </w:tc>
      </w:tr>
      <w:tr>
        <w:trPr>
          <w:trHeight w:val="219"/>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Mace Rothenberg, M.D.</w:t>
            </w:r>
          </w:p>
        </w:tc>
        <w:tc>
          <w:tcPr>
            <w:tcW w:w="1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10560"/>
          </w:cols>
          <w:pgMar w:left="660" w:top="258" w:right="679" w:bottom="1440" w:gutter="0" w:footer="0" w:header="0"/>
        </w:sect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p>
    <w:bookmarkStart w:id="5" w:name="page6"/>
    <w:bookmarkEnd w:id="5"/>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4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7"/>
          <w:szCs w:val="17"/>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1644650" cy="361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1644650" cy="361950"/>
                    </a:xfrm>
                    <a:prstGeom prst="rect">
                      <a:avLst/>
                    </a:prstGeom>
                    <a:noFill/>
                  </pic:spPr>
                </pic:pic>
              </a:graphicData>
            </a:graphic>
          </wp:anchor>
        </w:drawing>
      </w:r>
    </w:p>
    <w:p>
      <w:pPr>
        <w:spacing w:after="0" w:line="10"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7"/>
          <w:szCs w:val="17"/>
          <w:color w:val="auto"/>
        </w:rPr>
        <w:t>100 Northern Avenue</w:t>
      </w:r>
    </w:p>
    <w:p>
      <w:pPr>
        <w:spacing w:after="0" w:line="12"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7"/>
          <w:szCs w:val="17"/>
          <w:color w:val="auto"/>
        </w:rPr>
        <w:t>Boston, MA 02210</w:t>
      </w:r>
    </w:p>
    <w:p>
      <w:pPr>
        <w:spacing w:after="0" w:line="110"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7"/>
          <w:szCs w:val="17"/>
          <w:color w:val="auto"/>
        </w:rPr>
        <w:t>goodwinlaw.com</w:t>
      </w:r>
    </w:p>
    <w:p>
      <w:pPr>
        <w:spacing w:after="0" w:line="30"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7"/>
          <w:szCs w:val="17"/>
          <w:color w:val="auto"/>
        </w:rPr>
        <w:t>+1 617 570 1000</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March 5, 2026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Tango Therapeutics,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201 Brookline Ave., Suite 901</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MA 02215</w:t>
      </w:r>
    </w:p>
    <w:p>
      <w:pPr>
        <w:spacing w:after="0" w:line="20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color w:val="auto"/>
        </w:rPr>
        <w:t>Re: </w:t>
      </w:r>
      <w:r>
        <w:rPr>
          <w:sz w:val="20"/>
          <w:szCs w:val="20"/>
          <w:color w:val="auto"/>
        </w:rPr>
        <w:tab/>
      </w:r>
      <w:r>
        <w:rPr>
          <w:rFonts w:ascii="Times New Roman" w:cs="Times New Roman" w:eastAsia="Times New Roman" w:hAnsi="Times New Roman"/>
          <w:sz w:val="17"/>
          <w:szCs w:val="17"/>
          <w:u w:val="single" w:color="auto"/>
          <w:color w:val="auto"/>
        </w:rPr>
        <w:t>Securities Being Registered under Registration Statement on Form S-8</w:t>
      </w:r>
    </w:p>
    <w:p>
      <w:pPr>
        <w:spacing w:after="0" w:line="21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7"/>
          <w:szCs w:val="17"/>
          <w:color w:val="auto"/>
        </w:rPr>
        <w:t>We have acted as your counsel in connection with your filing of a Registration Statement on Form S-8 (the “Registration Statement”) pursuant to the Securities Act of 1933, as amended (the “Securities Act”), on or about the date hereof relating to an aggregate of 7,746,896 shares (the “Shares”) of Common Stock, par value $0.001 per share (“Common Stock”), of Tango Therapeutics, Inc., a Delaware corporation (the “Company”), that may be issued pursuant to the Company’s 2021 Stock Option and Incentive Plan and 2021 Employee Stock Purchase Plan (collectively, the “Plans”).</w:t>
      </w:r>
    </w:p>
    <w:p>
      <w:pPr>
        <w:spacing w:after="0" w:line="16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62"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For purposes of the opinion set forth below, we have assumed that, at the time Shares are issued, the total number of then unissued Shares, when added to the number of shares of Common Stock issued, subscribed for, or otherwise committed to be issued, does not exceed the number of shares of Common Stock authorized by the Company’s certificate of incorporation.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opinion set forth below is limited to the Delaware General Corporation Law.</w:t>
      </w:r>
    </w:p>
    <w:p>
      <w:pPr>
        <w:spacing w:after="0" w:line="219" w:lineRule="exact"/>
        <w:rPr>
          <w:sz w:val="20"/>
          <w:szCs w:val="20"/>
          <w:color w:val="auto"/>
        </w:rPr>
      </w:pPr>
    </w:p>
    <w:p>
      <w:pPr>
        <w:ind w:right="280"/>
        <w:spacing w:after="0" w:line="291" w:lineRule="auto"/>
        <w:rPr>
          <w:sz w:val="20"/>
          <w:szCs w:val="20"/>
          <w:color w:val="auto"/>
        </w:rPr>
      </w:pPr>
      <w:r>
        <w:rPr>
          <w:rFonts w:ascii="Times New Roman" w:cs="Times New Roman" w:eastAsia="Times New Roman" w:hAnsi="Times New Roman"/>
          <w:sz w:val="17"/>
          <w:szCs w:val="17"/>
          <w:color w:val="auto"/>
        </w:rPr>
        <w:t>Based on the foregoing, we are of the opinion that the Shares have been duly authorized and, when delivered against payment therefor in accordance with the terms of the Plans, will be validly issued, fully paid and nonassessable.</w:t>
      </w:r>
    </w:p>
    <w:p>
      <w:pPr>
        <w:spacing w:after="0" w:line="146"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7"/>
          <w:szCs w:val="17"/>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7"/>
          <w:szCs w:val="17"/>
          <w:i w:val="1"/>
          <w:iCs w:val="1"/>
          <w:color w:val="auto"/>
        </w:rPr>
        <w:t>Business Lawyer</w:t>
      </w:r>
      <w:r>
        <w:rPr>
          <w:rFonts w:ascii="Times New Roman" w:cs="Times New Roman" w:eastAsia="Times New Roman" w:hAnsi="Times New Roman"/>
          <w:sz w:val="17"/>
          <w:szCs w:val="17"/>
          <w:color w:val="auto"/>
        </w:rPr>
        <w:t xml:space="preserve"> 815 (Summer 2019).</w:t>
      </w:r>
    </w:p>
    <w:p>
      <w:pPr>
        <w:spacing w:after="0" w:line="145"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7"/>
          <w:szCs w:val="17"/>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7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1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/s/ Goodwin Procter LLP</w:t>
      </w:r>
    </w:p>
    <w:p>
      <w:pPr>
        <w:spacing w:after="0" w:line="21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GOODWIN PROCTER LLP</w:t>
      </w:r>
    </w:p>
    <w:p>
      <w:pPr>
        <w:sectPr>
          <w:pgSz w:w="11900" w:h="16838" w:orient="portrait"/>
          <w:cols w:equalWidth="0" w:num="1">
            <w:col w:w="10560"/>
          </w:cols>
          <w:pgMar w:left="660" w:top="119" w:right="6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CONSENT OF INDEPENDENT REGISTERED PUBLIC ACCOUNTING FIRM</w:t>
      </w:r>
    </w:p>
    <w:p>
      <w:pPr>
        <w:spacing w:after="0" w:line="21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We hereby consent to the incorporation by reference in this Registration Statement on Form S-8 of Tango Therapeutics, Inc. of our report dated March 5, 2026 relating to the financial statements, which appears in Tango Therapeutics, Inc.’s Annual Report on Form 10-K for the year ended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Massachusetts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5, 2026</w:t>
      </w:r>
    </w:p>
    <w:p>
      <w:pPr>
        <w:sectPr>
          <w:pgSz w:w="11900" w:h="16838" w:orient="portrait"/>
          <w:cols w:equalWidth="0" w:num="1">
            <w:col w:w="10560"/>
          </w:cols>
          <w:pgMar w:left="660" w:top="119" w:right="679" w:bottom="1440" w:gutter="0" w:footer="0" w:header="0"/>
        </w:sectPr>
      </w:pPr>
    </w:p>
    <w:bookmarkStart w:id="7" w:name="page8"/>
    <w:bookmarkEnd w:id="7"/>
    <w:p>
      <w:pPr>
        <w:ind w:left="2420"/>
        <w:spacing w:after="0"/>
        <w:rPr>
          <w:sz w:val="20"/>
          <w:szCs w:val="20"/>
          <w:color w:val="auto"/>
        </w:rPr>
      </w:pPr>
      <w:r>
        <w:rPr>
          <w:rFonts w:ascii="Arial" w:cs="Arial" w:eastAsia="Arial" w:hAnsi="Arial"/>
          <w:sz w:val="35"/>
          <w:szCs w:val="35"/>
          <w:b w:val="1"/>
          <w:bCs w:val="1"/>
          <w:color w:val="auto"/>
        </w:rPr>
        <w:t>Calculation of Filing Fee Tables</w:t>
      </w:r>
    </w:p>
    <w:p>
      <w:pPr>
        <w:spacing w:after="0" w:line="206" w:lineRule="exact"/>
        <w:rPr>
          <w:sz w:val="20"/>
          <w:szCs w:val="20"/>
          <w:color w:val="auto"/>
        </w:rPr>
      </w:pPr>
    </w:p>
    <w:p>
      <w:pPr>
        <w:ind w:left="4720"/>
        <w:spacing w:after="0"/>
        <w:rPr>
          <w:sz w:val="20"/>
          <w:szCs w:val="20"/>
          <w:color w:val="auto"/>
        </w:rPr>
      </w:pPr>
      <w:r>
        <w:rPr>
          <w:rFonts w:ascii="Arial" w:cs="Arial" w:eastAsia="Arial" w:hAnsi="Arial"/>
          <w:sz w:val="35"/>
          <w:szCs w:val="35"/>
          <w:b w:val="1"/>
          <w:bCs w:val="1"/>
          <w:color w:val="auto"/>
        </w:rPr>
        <w:t>S-8</w:t>
      </w:r>
    </w:p>
    <w:p>
      <w:pPr>
        <w:spacing w:after="0" w:line="116" w:lineRule="exact"/>
        <w:rPr>
          <w:sz w:val="20"/>
          <w:szCs w:val="20"/>
          <w:color w:val="auto"/>
        </w:rPr>
      </w:pPr>
    </w:p>
    <w:p>
      <w:pPr>
        <w:jc w:val="center"/>
        <w:ind w:right="160"/>
        <w:spacing w:after="0"/>
        <w:rPr>
          <w:sz w:val="20"/>
          <w:szCs w:val="20"/>
          <w:color w:val="auto"/>
        </w:rPr>
      </w:pPr>
      <w:r>
        <w:rPr>
          <w:rFonts w:ascii="Arial" w:cs="Arial" w:eastAsia="Arial" w:hAnsi="Arial"/>
          <w:sz w:val="35"/>
          <w:szCs w:val="35"/>
          <w:b w:val="1"/>
          <w:bCs w:val="1"/>
          <w:color w:val="auto"/>
        </w:rPr>
        <w:t>Tango Therapeutics, Inc.</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Table 1: Newly Registered Securities</w:t>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6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6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60" w:type="dxa"/>
            <w:vAlign w:val="bottom"/>
            <w:tcBorders>
              <w:left w:val="single" w:sz="8" w:color="auto"/>
            </w:tcBorders>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18"/>
                <w:szCs w:val="18"/>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18"/>
                <w:szCs w:val="18"/>
                <w:color w:val="auto"/>
              </w:rPr>
            </w:pPr>
          </w:p>
        </w:tc>
        <w:tc>
          <w:tcPr>
            <w:tcW w:w="11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shd w:val="clear" w:color="auto" w:fill="9ADAF6"/>
          </w:tcPr>
          <w:p>
            <w:pPr>
              <w:jc w:val="center"/>
              <w:spacing w:after="0" w:line="214" w:lineRule="exact"/>
              <w:rPr>
                <w:sz w:val="20"/>
                <w:szCs w:val="20"/>
                <w:color w:val="auto"/>
              </w:rPr>
            </w:pPr>
            <w:r>
              <w:rPr>
                <w:rFonts w:ascii="Arial" w:cs="Arial" w:eastAsia="Arial" w:hAnsi="Arial"/>
                <w:sz w:val="21"/>
                <w:szCs w:val="21"/>
                <w:b w:val="1"/>
                <w:bCs w:val="1"/>
                <w:color w:val="auto"/>
                <w:w w:val="99"/>
              </w:rPr>
              <w:t>Proposed</w:t>
            </w:r>
          </w:p>
        </w:tc>
        <w:tc>
          <w:tcPr>
            <w:tcW w:w="20" w:type="dxa"/>
            <w:vAlign w:val="bottom"/>
          </w:tcPr>
          <w:p>
            <w:pPr>
              <w:spacing w:after="0"/>
              <w:rPr>
                <w:sz w:val="18"/>
                <w:szCs w:val="18"/>
                <w:color w:val="auto"/>
              </w:rPr>
            </w:pPr>
          </w:p>
        </w:tc>
        <w:tc>
          <w:tcPr>
            <w:tcW w:w="15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Amount of</w:t>
            </w: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 w:type="dxa"/>
            <w:vAlign w:val="bottom"/>
            <w:tcBorders>
              <w:left w:val="single" w:sz="8" w:color="auto"/>
            </w:tcBorders>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18"/>
                <w:szCs w:val="18"/>
                <w:color w:val="auto"/>
              </w:rPr>
            </w:pPr>
          </w:p>
        </w:tc>
        <w:tc>
          <w:tcPr>
            <w:tcW w:w="9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shd w:val="clear" w:color="auto" w:fill="9ADAF6"/>
          </w:tcPr>
          <w:p>
            <w:pPr>
              <w:jc w:val="right"/>
              <w:ind w:right="56"/>
              <w:spacing w:after="0" w:line="208" w:lineRule="exact"/>
              <w:rPr>
                <w:sz w:val="20"/>
                <w:szCs w:val="20"/>
                <w:color w:val="auto"/>
              </w:rPr>
            </w:pPr>
            <w:r>
              <w:rPr>
                <w:rFonts w:ascii="Arial" w:cs="Arial" w:eastAsia="Arial" w:hAnsi="Arial"/>
                <w:sz w:val="21"/>
                <w:szCs w:val="21"/>
                <w:b w:val="1"/>
                <w:bCs w:val="1"/>
                <w:color w:val="auto"/>
              </w:rPr>
              <w:t>Amount</w:t>
            </w:r>
          </w:p>
        </w:tc>
        <w:tc>
          <w:tcPr>
            <w:tcW w:w="40" w:type="dxa"/>
            <w:vAlign w:val="bottom"/>
          </w:tcPr>
          <w:p>
            <w:pPr>
              <w:spacing w:after="0"/>
              <w:rPr>
                <w:sz w:val="18"/>
                <w:szCs w:val="18"/>
                <w:color w:val="auto"/>
              </w:rPr>
            </w:pPr>
          </w:p>
        </w:tc>
        <w:tc>
          <w:tcPr>
            <w:tcW w:w="140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18"/>
                <w:szCs w:val="18"/>
                <w:color w:val="auto"/>
              </w:rPr>
            </w:pPr>
          </w:p>
        </w:tc>
        <w:tc>
          <w:tcPr>
            <w:tcW w:w="15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vMerge w:val="continue"/>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Type</w:t>
            </w:r>
          </w:p>
        </w:tc>
        <w:tc>
          <w:tcPr>
            <w:tcW w:w="40" w:type="dxa"/>
            <w:vAlign w:val="bottom"/>
          </w:tcPr>
          <w:p>
            <w:pPr>
              <w:spacing w:after="0"/>
              <w:rPr>
                <w:sz w:val="20"/>
                <w:szCs w:val="20"/>
                <w:color w:val="auto"/>
              </w:rPr>
            </w:pPr>
          </w:p>
        </w:tc>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Class</w:t>
            </w:r>
          </w:p>
        </w:tc>
        <w:tc>
          <w:tcPr>
            <w:tcW w:w="20" w:type="dxa"/>
            <w:vAlign w:val="bottom"/>
          </w:tcPr>
          <w:p>
            <w:pPr>
              <w:spacing w:after="0"/>
              <w:rPr>
                <w:sz w:val="20"/>
                <w:szCs w:val="20"/>
                <w:color w:val="auto"/>
              </w:rPr>
            </w:pPr>
          </w:p>
        </w:tc>
        <w:tc>
          <w:tcPr>
            <w:tcW w:w="11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Calculation</w:t>
            </w:r>
          </w:p>
        </w:tc>
        <w:tc>
          <w:tcPr>
            <w:tcW w:w="20" w:type="dxa"/>
            <w:vAlign w:val="bottom"/>
          </w:tcPr>
          <w:p>
            <w:pPr>
              <w:spacing w:after="0"/>
              <w:rPr>
                <w:sz w:val="20"/>
                <w:szCs w:val="20"/>
                <w:color w:val="auto"/>
              </w:rPr>
            </w:pPr>
          </w:p>
        </w:tc>
        <w:tc>
          <w:tcPr>
            <w:tcW w:w="110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Registered</w:t>
            </w:r>
          </w:p>
        </w:tc>
        <w:tc>
          <w:tcPr>
            <w:tcW w:w="40" w:type="dxa"/>
            <w:vAlign w:val="bottom"/>
          </w:tcPr>
          <w:p>
            <w:pPr>
              <w:spacing w:after="0"/>
              <w:rPr>
                <w:sz w:val="20"/>
                <w:szCs w:val="20"/>
                <w:color w:val="auto"/>
              </w:rPr>
            </w:pPr>
          </w:p>
        </w:tc>
        <w:tc>
          <w:tcPr>
            <w:tcW w:w="14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Offering Price</w:t>
            </w:r>
          </w:p>
        </w:tc>
        <w:tc>
          <w:tcPr>
            <w:tcW w:w="20" w:type="dxa"/>
            <w:vAlign w:val="bottom"/>
          </w:tcPr>
          <w:p>
            <w:pPr>
              <w:spacing w:after="0"/>
              <w:rPr>
                <w:sz w:val="20"/>
                <w:szCs w:val="20"/>
                <w:color w:val="auto"/>
              </w:rPr>
            </w:pPr>
          </w:p>
        </w:tc>
        <w:tc>
          <w:tcPr>
            <w:tcW w:w="15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10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Fee Rate</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Registration</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Title</w:t>
            </w:r>
          </w:p>
        </w:tc>
        <w:tc>
          <w:tcPr>
            <w:tcW w:w="20" w:type="dxa"/>
            <w:vAlign w:val="bottom"/>
          </w:tcPr>
          <w:p>
            <w:pPr>
              <w:spacing w:after="0"/>
              <w:rPr>
                <w:sz w:val="20"/>
                <w:szCs w:val="20"/>
                <w:color w:val="auto"/>
              </w:rPr>
            </w:pPr>
          </w:p>
        </w:tc>
        <w:tc>
          <w:tcPr>
            <w:tcW w:w="11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Rule</w:t>
            </w:r>
          </w:p>
        </w:tc>
        <w:tc>
          <w:tcPr>
            <w:tcW w:w="20" w:type="dxa"/>
            <w:vAlign w:val="bottom"/>
          </w:tcPr>
          <w:p>
            <w:pPr>
              <w:spacing w:after="0"/>
              <w:rPr>
                <w:sz w:val="20"/>
                <w:szCs w:val="20"/>
                <w:color w:val="auto"/>
              </w:rPr>
            </w:pPr>
          </w:p>
        </w:tc>
        <w:tc>
          <w:tcPr>
            <w:tcW w:w="110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Per Unit</w:t>
            </w:r>
          </w:p>
        </w:tc>
        <w:tc>
          <w:tcPr>
            <w:tcW w:w="20" w:type="dxa"/>
            <w:vAlign w:val="bottom"/>
          </w:tcPr>
          <w:p>
            <w:pPr>
              <w:spacing w:after="0"/>
              <w:rPr>
                <w:sz w:val="20"/>
                <w:szCs w:val="20"/>
                <w:color w:val="auto"/>
              </w:rPr>
            </w:pPr>
          </w:p>
        </w:tc>
        <w:tc>
          <w:tcPr>
            <w:tcW w:w="15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Offering Price</w:t>
            </w:r>
          </w:p>
        </w:tc>
        <w:tc>
          <w:tcPr>
            <w:tcW w:w="20" w:type="dxa"/>
            <w:vAlign w:val="bottom"/>
          </w:tcPr>
          <w:p>
            <w:pPr>
              <w:spacing w:after="0"/>
              <w:rPr>
                <w:sz w:val="20"/>
                <w:szCs w:val="20"/>
                <w:color w:val="auto"/>
              </w:rPr>
            </w:pPr>
          </w:p>
        </w:tc>
        <w:tc>
          <w:tcPr>
            <w:tcW w:w="10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5"/>
        </w:trPr>
        <w:tc>
          <w:tcPr>
            <w:tcW w:w="60" w:type="dxa"/>
            <w:vAlign w:val="bottom"/>
            <w:tcBorders>
              <w:left w:val="single" w:sz="8" w:color="auto"/>
            </w:tcBorders>
          </w:tcPr>
          <w:p>
            <w:pPr>
              <w:spacing w:after="0"/>
              <w:rPr>
                <w:sz w:val="5"/>
                <w:szCs w:val="5"/>
                <w:color w:val="auto"/>
              </w:rPr>
            </w:pPr>
          </w:p>
        </w:tc>
        <w:tc>
          <w:tcPr>
            <w:tcW w:w="1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shd w:val="clear" w:color="auto" w:fill="9ADAF6"/>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vMerge w:val="continue"/>
          </w:tcPr>
          <w:p>
            <w:pPr>
              <w:spacing w:after="0"/>
              <w:rPr>
                <w:sz w:val="19"/>
                <w:szCs w:val="19"/>
                <w:color w:val="auto"/>
              </w:rPr>
            </w:pPr>
          </w:p>
        </w:tc>
        <w:tc>
          <w:tcPr>
            <w:tcW w:w="960" w:type="dxa"/>
            <w:vAlign w:val="bottom"/>
            <w:shd w:val="clear" w:color="auto" w:fill="E7E7E2"/>
          </w:tcPr>
          <w:p>
            <w:pPr>
              <w:spacing w:after="0" w:line="220" w:lineRule="exact"/>
              <w:rPr>
                <w:sz w:val="20"/>
                <w:szCs w:val="20"/>
                <w:color w:val="auto"/>
              </w:rPr>
            </w:pPr>
            <w:r>
              <w:rPr>
                <w:rFonts w:ascii="Arial" w:cs="Arial" w:eastAsia="Arial" w:hAnsi="Arial"/>
                <w:sz w:val="21"/>
                <w:szCs w:val="21"/>
                <w:color w:val="auto"/>
              </w:rPr>
              <w:t>2021</w:t>
            </w: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Option</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and</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Incentive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4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Equity</w:t>
            </w:r>
          </w:p>
        </w:tc>
        <w:tc>
          <w:tcPr>
            <w:tcW w:w="4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Plan</w:t>
            </w:r>
          </w:p>
        </w:tc>
        <w:tc>
          <w:tcPr>
            <w:tcW w:w="20" w:type="dxa"/>
            <w:vAlign w:val="bottom"/>
          </w:tcPr>
          <w:p>
            <w:pPr>
              <w:spacing w:after="0"/>
              <w:rPr>
                <w:sz w:val="20"/>
                <w:szCs w:val="20"/>
                <w:color w:val="auto"/>
              </w:rPr>
            </w:pPr>
          </w:p>
        </w:tc>
        <w:tc>
          <w:tcPr>
            <w:tcW w:w="116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20"/>
                <w:szCs w:val="20"/>
                <w:color w:val="auto"/>
              </w:rPr>
            </w:pPr>
          </w:p>
        </w:tc>
        <w:tc>
          <w:tcPr>
            <w:tcW w:w="110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6,797,023</w:t>
            </w:r>
          </w:p>
        </w:tc>
        <w:tc>
          <w:tcPr>
            <w:tcW w:w="40" w:type="dxa"/>
            <w:vAlign w:val="bottom"/>
          </w:tcPr>
          <w:p>
            <w:pPr>
              <w:spacing w:after="0"/>
              <w:rPr>
                <w:sz w:val="20"/>
                <w:szCs w:val="20"/>
                <w:color w:val="auto"/>
              </w:rPr>
            </w:pPr>
          </w:p>
        </w:tc>
        <w:tc>
          <w:tcPr>
            <w:tcW w:w="140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$ 11.33</w:t>
            </w:r>
          </w:p>
        </w:tc>
        <w:tc>
          <w:tcPr>
            <w:tcW w:w="20" w:type="dxa"/>
            <w:vAlign w:val="bottom"/>
          </w:tcPr>
          <w:p>
            <w:pPr>
              <w:spacing w:after="0"/>
              <w:rPr>
                <w:sz w:val="20"/>
                <w:szCs w:val="20"/>
                <w:color w:val="auto"/>
              </w:rPr>
            </w:pPr>
          </w:p>
        </w:tc>
        <w:tc>
          <w:tcPr>
            <w:tcW w:w="15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w w:val="98"/>
              </w:rPr>
              <w:t>$ 77,010,271.00</w:t>
            </w:r>
          </w:p>
        </w:tc>
        <w:tc>
          <w:tcPr>
            <w:tcW w:w="20" w:type="dxa"/>
            <w:vAlign w:val="bottom"/>
          </w:tcPr>
          <w:p>
            <w:pPr>
              <w:spacing w:after="0"/>
              <w:rPr>
                <w:sz w:val="20"/>
                <w:szCs w:val="20"/>
                <w:color w:val="auto"/>
              </w:rPr>
            </w:pPr>
          </w:p>
        </w:tc>
        <w:tc>
          <w:tcPr>
            <w:tcW w:w="10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8"/>
              </w:rPr>
              <w:t>0.0001381</w:t>
            </w:r>
          </w:p>
        </w:tc>
        <w:tc>
          <w:tcPr>
            <w:tcW w:w="20" w:type="dxa"/>
            <w:vAlign w:val="bottom"/>
          </w:tcPr>
          <w:p>
            <w:pPr>
              <w:spacing w:after="0"/>
              <w:rPr>
                <w:sz w:val="20"/>
                <w:szCs w:val="20"/>
                <w:color w:val="auto"/>
              </w:rPr>
            </w:pPr>
          </w:p>
        </w:tc>
        <w:tc>
          <w:tcPr>
            <w:tcW w:w="152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$ 10,635.12</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$0.001</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960" w:type="dxa"/>
            <w:vAlign w:val="bottom"/>
            <w:shd w:val="clear" w:color="auto" w:fill="E7E7E2"/>
          </w:tcPr>
          <w:p>
            <w:pPr>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3"/>
                <w:szCs w:val="23"/>
                <w:color w:val="auto"/>
              </w:rPr>
            </w:pPr>
          </w:p>
        </w:tc>
        <w:tc>
          <w:tcPr>
            <w:tcW w:w="1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4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vMerge w:val="continue"/>
          </w:tcPr>
          <w:p>
            <w:pPr>
              <w:spacing w:after="0"/>
              <w:rPr>
                <w:sz w:val="19"/>
                <w:szCs w:val="19"/>
                <w:color w:val="auto"/>
              </w:rPr>
            </w:pPr>
          </w:p>
        </w:tc>
        <w:tc>
          <w:tcPr>
            <w:tcW w:w="960" w:type="dxa"/>
            <w:vAlign w:val="bottom"/>
            <w:shd w:val="clear" w:color="auto" w:fill="E7E7E2"/>
          </w:tcPr>
          <w:p>
            <w:pPr>
              <w:spacing w:after="0" w:line="220" w:lineRule="exact"/>
              <w:rPr>
                <w:sz w:val="20"/>
                <w:szCs w:val="20"/>
                <w:color w:val="auto"/>
              </w:rPr>
            </w:pPr>
            <w:r>
              <w:rPr>
                <w:rFonts w:ascii="Arial" w:cs="Arial" w:eastAsia="Arial" w:hAnsi="Arial"/>
                <w:sz w:val="21"/>
                <w:szCs w:val="21"/>
                <w:color w:val="auto"/>
              </w:rPr>
              <w:t>2021</w:t>
            </w: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Employee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Purchase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2</w:t>
            </w:r>
          </w:p>
        </w:tc>
        <w:tc>
          <w:tcPr>
            <w:tcW w:w="20" w:type="dxa"/>
            <w:vAlign w:val="bottom"/>
          </w:tcPr>
          <w:p>
            <w:pPr>
              <w:spacing w:after="0"/>
              <w:rPr>
                <w:sz w:val="20"/>
                <w:szCs w:val="20"/>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Equity</w:t>
            </w:r>
          </w:p>
        </w:tc>
        <w:tc>
          <w:tcPr>
            <w:tcW w:w="4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Plan</w:t>
            </w:r>
          </w:p>
        </w:tc>
        <w:tc>
          <w:tcPr>
            <w:tcW w:w="20" w:type="dxa"/>
            <w:vAlign w:val="bottom"/>
          </w:tcPr>
          <w:p>
            <w:pPr>
              <w:spacing w:after="0"/>
              <w:rPr>
                <w:sz w:val="20"/>
                <w:szCs w:val="20"/>
                <w:color w:val="auto"/>
              </w:rPr>
            </w:pPr>
          </w:p>
        </w:tc>
        <w:tc>
          <w:tcPr>
            <w:tcW w:w="116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20"/>
                <w:szCs w:val="20"/>
                <w:color w:val="auto"/>
              </w:rPr>
            </w:pPr>
          </w:p>
        </w:tc>
        <w:tc>
          <w:tcPr>
            <w:tcW w:w="11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949,873</w:t>
            </w:r>
          </w:p>
        </w:tc>
        <w:tc>
          <w:tcPr>
            <w:tcW w:w="40" w:type="dxa"/>
            <w:vAlign w:val="bottom"/>
          </w:tcPr>
          <w:p>
            <w:pPr>
              <w:spacing w:after="0"/>
              <w:rPr>
                <w:sz w:val="20"/>
                <w:szCs w:val="20"/>
                <w:color w:val="auto"/>
              </w:rPr>
            </w:pPr>
          </w:p>
        </w:tc>
        <w:tc>
          <w:tcPr>
            <w:tcW w:w="14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$ 9.64</w:t>
            </w:r>
          </w:p>
        </w:tc>
        <w:tc>
          <w:tcPr>
            <w:tcW w:w="20" w:type="dxa"/>
            <w:vAlign w:val="bottom"/>
          </w:tcPr>
          <w:p>
            <w:pPr>
              <w:spacing w:after="0"/>
              <w:rPr>
                <w:sz w:val="20"/>
                <w:szCs w:val="20"/>
                <w:color w:val="auto"/>
              </w:rPr>
            </w:pPr>
          </w:p>
        </w:tc>
        <w:tc>
          <w:tcPr>
            <w:tcW w:w="15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$ 9,156,776.00</w:t>
            </w:r>
          </w:p>
        </w:tc>
        <w:tc>
          <w:tcPr>
            <w:tcW w:w="20" w:type="dxa"/>
            <w:vAlign w:val="bottom"/>
          </w:tcPr>
          <w:p>
            <w:pPr>
              <w:spacing w:after="0"/>
              <w:rPr>
                <w:sz w:val="20"/>
                <w:szCs w:val="20"/>
                <w:color w:val="auto"/>
              </w:rPr>
            </w:pPr>
          </w:p>
        </w:tc>
        <w:tc>
          <w:tcPr>
            <w:tcW w:w="102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0.0001381</w:t>
            </w:r>
          </w:p>
        </w:tc>
        <w:tc>
          <w:tcPr>
            <w:tcW w:w="20" w:type="dxa"/>
            <w:vAlign w:val="bottom"/>
          </w:tcPr>
          <w:p>
            <w:pPr>
              <w:spacing w:after="0"/>
              <w:rPr>
                <w:sz w:val="20"/>
                <w:szCs w:val="2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$ 1,264.55</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60" w:type="dxa"/>
            <w:vAlign w:val="bottom"/>
            <w:tcBorders>
              <w:left w:val="single" w:sz="8" w:color="auto"/>
            </w:tcBorders>
          </w:tcPr>
          <w:p>
            <w:pPr>
              <w:spacing w:after="0"/>
              <w:rPr>
                <w:sz w:val="13"/>
                <w:szCs w:val="13"/>
                <w:color w:val="auto"/>
              </w:rPr>
            </w:pPr>
          </w:p>
        </w:tc>
        <w:tc>
          <w:tcPr>
            <w:tcW w:w="18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vMerge w:val="continue"/>
            <w:shd w:val="clear" w:color="auto" w:fill="E7E7E2"/>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vMerge w:val="restart"/>
            <w:shd w:val="clear" w:color="auto" w:fill="E7E7E2"/>
          </w:tcPr>
          <w:p>
            <w:pPr>
              <w:spacing w:after="0" w:line="233"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3"/>
                <w:szCs w:val="13"/>
                <w:color w:val="auto"/>
              </w:rPr>
            </w:pPr>
          </w:p>
        </w:tc>
        <w:tc>
          <w:tcPr>
            <w:tcW w:w="11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vMerge w:val="continue"/>
            <w:shd w:val="clear" w:color="auto" w:fill="E7E7E2"/>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vMerge w:val="continue"/>
            <w:shd w:val="clear" w:color="auto" w:fill="E7E7E2"/>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60" w:type="dxa"/>
            <w:vAlign w:val="bottom"/>
            <w:tcBorders>
              <w:left w:val="single" w:sz="8" w:color="auto"/>
            </w:tcBorders>
          </w:tcPr>
          <w:p>
            <w:pPr>
              <w:spacing w:after="0"/>
              <w:rPr>
                <w:sz w:val="6"/>
                <w:szCs w:val="6"/>
                <w:color w:val="auto"/>
              </w:rPr>
            </w:pPr>
          </w:p>
        </w:tc>
        <w:tc>
          <w:tcPr>
            <w:tcW w:w="18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vMerge w:val="continue"/>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54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520" w:type="dxa"/>
            <w:vAlign w:val="bottom"/>
            <w:shd w:val="clear" w:color="auto" w:fill="E7E7E2"/>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$0.001</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960" w:type="dxa"/>
            <w:vAlign w:val="bottom"/>
            <w:shd w:val="clear" w:color="auto" w:fill="E7E7E2"/>
          </w:tcPr>
          <w:p>
            <w:pPr>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3"/>
                <w:szCs w:val="23"/>
                <w:color w:val="auto"/>
              </w:rPr>
            </w:pPr>
          </w:p>
        </w:tc>
        <w:tc>
          <w:tcPr>
            <w:tcW w:w="1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4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21"/>
                <w:szCs w:val="21"/>
                <w:color w:val="auto"/>
              </w:rPr>
              <w:t>$ 86,167,047.00</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$ 11,899.67</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$ 11,899.67</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Offering Note</w:t>
      </w:r>
    </w:p>
    <w:p>
      <w:pPr>
        <w:spacing w:after="0" w:line="134" w:lineRule="exact"/>
        <w:rPr>
          <w:sz w:val="20"/>
          <w:szCs w:val="20"/>
          <w:color w:val="auto"/>
        </w:rPr>
      </w:pPr>
    </w:p>
    <w:p>
      <w:pPr>
        <w:ind w:left="260" w:right="120" w:hanging="214"/>
        <w:spacing w:after="0" w:line="230" w:lineRule="auto"/>
        <w:tabs>
          <w:tab w:leader="none" w:pos="260" w:val="left"/>
        </w:tabs>
        <w:numPr>
          <w:ilvl w:val="0"/>
          <w:numId w:val="2"/>
        </w:numPr>
        <w:rPr>
          <w:rFonts w:ascii="Arial" w:cs="Arial" w:eastAsia="Arial" w:hAnsi="Arial"/>
          <w:sz w:val="26"/>
          <w:szCs w:val="26"/>
          <w:color w:val="auto"/>
          <w:vertAlign w:val="superscript"/>
        </w:rPr>
      </w:pPr>
      <w:r>
        <w:rPr>
          <w:rFonts w:ascii="Arial" w:cs="Arial" w:eastAsia="Arial" w:hAnsi="Arial"/>
          <w:sz w:val="21"/>
          <w:szCs w:val="21"/>
          <w:color w:val="auto"/>
        </w:rPr>
        <w:t>Pursuant to Rule 416 under the Securities Act of 1933, as amended (the "Securities Act"), this registration statement shall also cover any additional shares of common stock, $0.001 par value per share ("Common Stock") which become issuable under the Tango Therapeutics, Inc. 2021 Stock Option and Incentive Plan (the "2021 Plan") or the Tango Therapeutics, Inc. 2021 Employee Stock Purchase Plan (the "2021 ESPP") by reason of any stock dividend, stock split, recapitalization or any other similar transaction effected without the receipt of consideration which results in an increase in the number of the Registrant's outstanding shares of Common Stock. Pursuant to Rule 416(c) under the Securities Act, this Registration Statement shall also cover an indeterminate amount of interests to be offered or sold pursuant to the employee benefit plans described herein. Represents an automatic increase of 6,797,023 shares of common stock to the number of shares available for issuance under the 2021 Plan effective as of January 1, 2026. Shares available for issuance under the 2021 Plan were previously registered on Form S-8 filed with the Securities and Exchange Commission on October 14, 2021 (File No. 333-260258), March 28, 2022 (File No. 333-263893), February 7, 2023 (File No. 333-269620), March 18, 2024 (File No. 333-278016) and February 27, 2025 (File No. 333-285306). Estimated solely for the purpose of calculating the registration fee pursuant to Rule 457(c) and (h)(1) of the Securities Act, and based on $11.33, the average of the high and low sale prices of the Registrant's common stock as reported on the Nasdaq Global Market on March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85725</wp:posOffset>
            </wp:positionV>
            <wp:extent cx="6398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90" w:lineRule="exact"/>
        <w:rPr>
          <w:sz w:val="20"/>
          <w:szCs w:val="20"/>
          <w:color w:val="auto"/>
        </w:rPr>
      </w:pPr>
    </w:p>
    <w:p>
      <w:pPr>
        <w:ind w:left="260" w:right="120" w:hanging="214"/>
        <w:spacing w:after="0" w:line="239" w:lineRule="auto"/>
        <w:tabs>
          <w:tab w:leader="none" w:pos="260" w:val="left"/>
        </w:tabs>
        <w:numPr>
          <w:ilvl w:val="0"/>
          <w:numId w:val="3"/>
        </w:numPr>
        <w:rPr>
          <w:rFonts w:ascii="Arial" w:cs="Arial" w:eastAsia="Arial" w:hAnsi="Arial"/>
          <w:sz w:val="25"/>
          <w:szCs w:val="25"/>
          <w:color w:val="auto"/>
          <w:vertAlign w:val="superscript"/>
        </w:rPr>
      </w:pPr>
      <w:r>
        <w:rPr>
          <w:rFonts w:ascii="Arial" w:cs="Arial" w:eastAsia="Arial" w:hAnsi="Arial"/>
          <w:sz w:val="20"/>
          <w:szCs w:val="20"/>
          <w:color w:val="auto"/>
        </w:rPr>
        <w:t>Pursuant to Rule 416 under the Securities Act, this registration statement shall also cover any additional shares of Common Stock which become issuable under the 2021 Plan or the 2021 ESPP by reason of any stock dividend, stock split, recapitalization or any other similar transaction effected without the receipt of consideration which results in an increase in the number of the Registrant's outstanding shares of Common Stock. Pursuant to Rule 416(c) under the Securities Act, this Registration Statement shall also cover an indeterminate amount of interests to be offered or sold pursuant to the employee benefit plans described herein. Represents an automatic increase of 949,873 shares of common stock to the number of shares available for issuance under the 2021 ESPP effective as of January 1, 2026. Shares available for issuance under the 2021 ESPP were previously registered on Form S-8 filed with the Securities and Exchange Commission on October 14, 2021 (File No. 333-260258), March 28, 2022 (File No. 333-</w:t>
      </w:r>
    </w:p>
    <w:p>
      <w:pPr>
        <w:spacing w:after="0" w:line="3" w:lineRule="exact"/>
        <w:rPr>
          <w:rFonts w:ascii="Arial" w:cs="Arial" w:eastAsia="Arial" w:hAnsi="Arial"/>
          <w:sz w:val="25"/>
          <w:szCs w:val="25"/>
          <w:color w:val="auto"/>
          <w:vertAlign w:val="superscript"/>
        </w:rPr>
      </w:pPr>
    </w:p>
    <w:p>
      <w:pPr>
        <w:ind w:left="260"/>
        <w:spacing w:after="0"/>
        <w:rPr>
          <w:rFonts w:ascii="Arial" w:cs="Arial" w:eastAsia="Arial" w:hAnsi="Arial"/>
          <w:sz w:val="25"/>
          <w:szCs w:val="25"/>
          <w:color w:val="auto"/>
          <w:vertAlign w:val="superscript"/>
        </w:rPr>
      </w:pPr>
      <w:r>
        <w:rPr>
          <w:rFonts w:ascii="Arial" w:cs="Arial" w:eastAsia="Arial" w:hAnsi="Arial"/>
          <w:sz w:val="20"/>
          <w:szCs w:val="20"/>
          <w:color w:val="auto"/>
        </w:rPr>
        <w:t>263893), February 7, 2023 (File No. 333-269620), March 18, 2024 (File No. 333-278016) and February 27,</w:t>
      </w:r>
    </w:p>
    <w:p>
      <w:pPr>
        <w:sectPr>
          <w:pgSz w:w="11900" w:h="16838" w:orient="portrait"/>
          <w:cols w:equalWidth="0" w:num="1">
            <w:col w:w="10140"/>
          </w:cols>
          <w:pgMar w:left="880" w:top="141" w:right="879" w:bottom="0" w:gutter="0" w:footer="0" w:header="0"/>
        </w:sectPr>
      </w:pPr>
    </w:p>
    <w:bookmarkStart w:id="8" w:name="page9"/>
    <w:bookmarkEnd w:id="8"/>
    <w:p>
      <w:pPr>
        <w:ind w:left="780" w:right="720"/>
        <w:spacing w:after="0" w:line="237" w:lineRule="auto"/>
        <w:rPr>
          <w:sz w:val="20"/>
          <w:szCs w:val="20"/>
          <w:color w:val="auto"/>
        </w:rPr>
      </w:pPr>
      <w:r>
        <w:rPr>
          <w:rFonts w:ascii="Arial" w:cs="Arial" w:eastAsia="Arial" w:hAnsi="Arial"/>
          <w:sz w:val="21"/>
          <w:szCs w:val="21"/>
          <w:color w:val="auto"/>
        </w:rPr>
        <w:t>2025 (File No. 333-285306). Estimated solely for the purpose of calculating the registration fee pursuant to Rule 457(c) and (h)(1) of the Securities Act, and based on 85% of $9.64, the average of the high and low sale prices of the Registrant's common stock as reported on the Nasdaq Global Market on March 3, 2026. Pursuant to the 2021 ESPP, the purchase price of the shares of common stock reserved for issuance thereunder will be at a maximum discount of 15% of the fair market value of a share of common stock on the first trading day of the applicable offering period or on the last trading day of the applicable offering period, whichever is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78740</wp:posOffset>
            </wp:positionV>
            <wp:extent cx="6398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line="242" w:lineRule="exact"/>
        <w:tabs>
          <w:tab w:leader="none" w:pos="952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63500</wp:posOffset>
            </wp:positionV>
            <wp:extent cx="7200900" cy="23895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extLst>
                    </a:blip>
                    <a:srcRect/>
                    <a:stretch>
                      <a:fillRect/>
                    </a:stretch>
                  </pic:blipFill>
                  <pic:spPr bwMode="auto">
                    <a:xfrm>
                      <a:off x="0" y="0"/>
                      <a:ext cx="7200900" cy="2389505"/>
                    </a:xfrm>
                    <a:prstGeom prst="rect">
                      <a:avLst/>
                    </a:prstGeom>
                    <a:noFill/>
                  </pic:spPr>
                </pic:pic>
              </a:graphicData>
            </a:graphic>
          </wp:anchor>
        </w:drawing>
      </w:r>
    </w:p>
    <w:p>
      <w:pPr>
        <w:sectPr>
          <w:pgSz w:w="11900" w:h="16838" w:orient="portrait"/>
          <w:cols w:equalWidth="0" w:num="1">
            <w:col w:w="11240"/>
          </w:cols>
          <w:pgMar w:left="360" w:top="114"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1240"/>
        <w:spacing w:after="0"/>
        <w:rPr>
          <w:sz w:val="20"/>
          <w:szCs w:val="20"/>
          <w:color w:val="auto"/>
        </w:rPr>
      </w:pPr>
      <w:r>
        <w:rPr>
          <w:rFonts w:ascii="Arial" w:cs="Arial" w:eastAsia="Arial" w:hAnsi="Arial"/>
          <w:sz w:val="20"/>
          <w:szCs w:val="20"/>
          <w:b w:val="1"/>
          <w:bCs w:val="1"/>
          <w:color w:val="auto"/>
        </w:rPr>
        <w:t>Registrant</w:t>
      </w:r>
    </w:p>
    <w:p>
      <w:pPr>
        <w:spacing w:after="0" w:line="15" w:lineRule="exact"/>
        <w:rPr>
          <w:sz w:val="20"/>
          <w:szCs w:val="20"/>
          <w:color w:val="auto"/>
        </w:rPr>
      </w:pPr>
    </w:p>
    <w:p>
      <w:pPr>
        <w:jc w:val="center"/>
        <w:ind w:left="1240"/>
        <w:spacing w:after="0"/>
        <w:rPr>
          <w:sz w:val="20"/>
          <w:szCs w:val="20"/>
          <w:color w:val="auto"/>
        </w:rPr>
      </w:pPr>
      <w:r>
        <w:rPr>
          <w:rFonts w:ascii="Arial" w:cs="Arial" w:eastAsia="Arial" w:hAnsi="Arial"/>
          <w:sz w:val="21"/>
          <w:szCs w:val="21"/>
          <w:b w:val="1"/>
          <w:bCs w:val="1"/>
          <w:color w:val="auto"/>
        </w:rPr>
        <w:t>or Filer</w:t>
      </w:r>
    </w:p>
    <w:p>
      <w:pPr>
        <w:jc w:val="center"/>
        <w:ind w:left="1240"/>
        <w:spacing w:after="0"/>
        <w:rPr>
          <w:sz w:val="20"/>
          <w:szCs w:val="20"/>
          <w:color w:val="auto"/>
        </w:rPr>
      </w:pPr>
      <w:r>
        <w:rPr>
          <w:rFonts w:ascii="Arial" w:cs="Arial" w:eastAsia="Arial" w:hAnsi="Arial"/>
          <w:sz w:val="21"/>
          <w:szCs w:val="21"/>
          <w:b w:val="1"/>
          <w:bCs w:val="1"/>
          <w:color w:val="auto"/>
        </w:rPr>
        <w:t>Name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68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Form</w:t>
            </w: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Initial</w:t>
            </w: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5"/>
              </w:rPr>
              <w:t>or</w:t>
            </w:r>
          </w:p>
        </w:tc>
        <w:tc>
          <w:tcPr>
            <w:tcW w:w="20" w:type="dxa"/>
            <w:vAlign w:val="bottom"/>
          </w:tcPr>
          <w:p>
            <w:pPr>
              <w:spacing w:after="0"/>
              <w:rPr>
                <w:sz w:val="10"/>
                <w:szCs w:val="10"/>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File</w:t>
            </w:r>
          </w:p>
        </w:tc>
        <w:tc>
          <w:tcPr>
            <w:tcW w:w="20" w:type="dxa"/>
            <w:vAlign w:val="bottom"/>
          </w:tcPr>
          <w:p>
            <w:pPr>
              <w:spacing w:after="0"/>
              <w:rPr>
                <w:sz w:val="10"/>
                <w:szCs w:val="10"/>
                <w:color w:val="auto"/>
              </w:rPr>
            </w:pPr>
          </w:p>
        </w:tc>
        <w:tc>
          <w:tcPr>
            <w:tcW w:w="58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Filing</w:t>
            </w:r>
          </w:p>
        </w:tc>
        <w:tc>
          <w:tcPr>
            <w:tcW w:w="0" w:type="dxa"/>
            <w:vAlign w:val="bottom"/>
          </w:tcPr>
          <w:p>
            <w:pPr>
              <w:spacing w:after="0"/>
              <w:rPr>
                <w:sz w:val="1"/>
                <w:szCs w:val="1"/>
                <w:color w:val="auto"/>
              </w:rPr>
            </w:pPr>
          </w:p>
        </w:tc>
      </w:tr>
      <w:tr>
        <w:trPr>
          <w:trHeight w:val="208"/>
        </w:trPr>
        <w:tc>
          <w:tcPr>
            <w:tcW w:w="6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6"/>
              </w:rPr>
              <w:t>Filing</w:t>
            </w:r>
          </w:p>
        </w:tc>
        <w:tc>
          <w:tcPr>
            <w:tcW w:w="20" w:type="dxa"/>
            <w:vAlign w:val="bottom"/>
          </w:tcPr>
          <w:p>
            <w:pPr>
              <w:spacing w:after="0"/>
              <w:rPr>
                <w:sz w:val="18"/>
                <w:szCs w:val="18"/>
                <w:color w:val="auto"/>
              </w:rPr>
            </w:pPr>
          </w:p>
        </w:tc>
        <w:tc>
          <w:tcPr>
            <w:tcW w:w="58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00" w:type="dxa"/>
            <w:vAlign w:val="bottom"/>
            <w:shd w:val="clear" w:color="auto" w:fill="9ADAF6"/>
          </w:tcPr>
          <w:p>
            <w:pPr>
              <w:jc w:val="center"/>
              <w:spacing w:after="0" w:line="162" w:lineRule="exact"/>
              <w:rPr>
                <w:sz w:val="20"/>
                <w:szCs w:val="20"/>
                <w:color w:val="auto"/>
              </w:rPr>
            </w:pPr>
            <w:r>
              <w:rPr>
                <w:rFonts w:ascii="Arial" w:cs="Arial" w:eastAsia="Arial" w:hAnsi="Arial"/>
                <w:sz w:val="18"/>
                <w:szCs w:val="18"/>
                <w:b w:val="1"/>
                <w:bCs w:val="1"/>
                <w:color w:val="auto"/>
              </w:rPr>
              <w:t>Filing</w:t>
            </w:r>
          </w:p>
        </w:tc>
        <w:tc>
          <w:tcPr>
            <w:tcW w:w="20" w:type="dxa"/>
            <w:vAlign w:val="bottom"/>
          </w:tcPr>
          <w:p>
            <w:pPr>
              <w:spacing w:after="0"/>
              <w:rPr>
                <w:sz w:val="14"/>
                <w:szCs w:val="14"/>
                <w:color w:val="auto"/>
              </w:rPr>
            </w:pPr>
          </w:p>
        </w:tc>
        <w:tc>
          <w:tcPr>
            <w:tcW w:w="820" w:type="dxa"/>
            <w:vAlign w:val="bottom"/>
            <w:shd w:val="clear" w:color="auto" w:fill="9ADAF6"/>
          </w:tcPr>
          <w:p>
            <w:pPr>
              <w:jc w:val="center"/>
              <w:spacing w:after="0" w:line="162" w:lineRule="exact"/>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14"/>
                <w:szCs w:val="14"/>
                <w:color w:val="auto"/>
              </w:rPr>
            </w:pPr>
          </w:p>
        </w:tc>
        <w:tc>
          <w:tcPr>
            <w:tcW w:w="580" w:type="dxa"/>
            <w:vAlign w:val="bottom"/>
            <w:shd w:val="clear" w:color="auto" w:fill="9ADAF6"/>
          </w:tcPr>
          <w:p>
            <w:pPr>
              <w:jc w:val="center"/>
              <w:spacing w:after="0" w:line="162" w:lineRule="exact"/>
              <w:rPr>
                <w:sz w:val="20"/>
                <w:szCs w:val="20"/>
                <w:color w:val="auto"/>
              </w:rPr>
            </w:pPr>
            <w:r>
              <w:rPr>
                <w:rFonts w:ascii="Arial" w:cs="Arial" w:eastAsia="Arial" w:hAnsi="Arial"/>
                <w:sz w:val="18"/>
                <w:szCs w:val="18"/>
                <w:b w:val="1"/>
                <w:bCs w:val="1"/>
                <w:color w:val="auto"/>
              </w:rPr>
              <w:t>Date</w:t>
            </w:r>
          </w:p>
        </w:tc>
        <w:tc>
          <w:tcPr>
            <w:tcW w:w="20" w:type="dxa"/>
            <w:vAlign w:val="bottom"/>
          </w:tcPr>
          <w:p>
            <w:pPr>
              <w:spacing w:after="0"/>
              <w:rPr>
                <w:sz w:val="14"/>
                <w:szCs w:val="14"/>
                <w:color w:val="auto"/>
              </w:rPr>
            </w:pPr>
          </w:p>
        </w:tc>
        <w:tc>
          <w:tcPr>
            <w:tcW w:w="580" w:type="dxa"/>
            <w:vAlign w:val="bottom"/>
            <w:shd w:val="clear" w:color="auto" w:fill="9ADAF6"/>
          </w:tcPr>
          <w:p>
            <w:pPr>
              <w:jc w:val="center"/>
              <w:spacing w:after="0" w:line="162" w:lineRule="exact"/>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84"/>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4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21"/>
                <w:szCs w:val="21"/>
                <w:color w:val="auto"/>
              </w:rPr>
            </w:pPr>
          </w:p>
        </w:tc>
        <w:tc>
          <w:tcPr>
            <w:tcW w:w="740" w:type="dxa"/>
            <w:vAlign w:val="bottom"/>
            <w:shd w:val="clear" w:color="auto" w:fill="9ADAF6"/>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33"/>
        </w:trPr>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Title</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Securities</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17"/>
        </w:trPr>
        <w:tc>
          <w:tcPr>
            <w:tcW w:w="84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10"/>
                <w:szCs w:val="1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Associated</w:t>
            </w:r>
          </w:p>
        </w:tc>
        <w:tc>
          <w:tcPr>
            <w:tcW w:w="40" w:type="dxa"/>
            <w:vAlign w:val="bottom"/>
          </w:tcPr>
          <w:p>
            <w:pPr>
              <w:spacing w:after="0"/>
              <w:rPr>
                <w:sz w:val="10"/>
                <w:szCs w:val="1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10"/>
                <w:szCs w:val="1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Amount</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w:t>
            </w:r>
          </w:p>
        </w:tc>
        <w:tc>
          <w:tcPr>
            <w:tcW w:w="0" w:type="dxa"/>
            <w:vAlign w:val="bottom"/>
          </w:tcPr>
          <w:p>
            <w:pPr>
              <w:spacing w:after="0"/>
              <w:rPr>
                <w:sz w:val="1"/>
                <w:szCs w:val="1"/>
                <w:color w:val="auto"/>
              </w:rPr>
            </w:pPr>
          </w:p>
        </w:tc>
      </w:tr>
      <w:tr>
        <w:trPr>
          <w:trHeight w:val="137"/>
        </w:trPr>
        <w:tc>
          <w:tcPr>
            <w:tcW w:w="840" w:type="dxa"/>
            <w:vAlign w:val="bottom"/>
            <w:shd w:val="clear" w:color="auto" w:fill="9ADAF6"/>
          </w:tcPr>
          <w:p>
            <w:pPr>
              <w:jc w:val="center"/>
              <w:spacing w:after="0" w:line="137" w:lineRule="exact"/>
              <w:rPr>
                <w:sz w:val="20"/>
                <w:szCs w:val="20"/>
                <w:color w:val="auto"/>
              </w:rPr>
            </w:pPr>
            <w:r>
              <w:rPr>
                <w:rFonts w:ascii="Arial" w:cs="Arial" w:eastAsia="Arial" w:hAnsi="Arial"/>
                <w:sz w:val="15"/>
                <w:szCs w:val="15"/>
                <w:b w:val="1"/>
                <w:bCs w:val="1"/>
                <w:color w:val="auto"/>
              </w:rPr>
              <w:t>Offset</w:t>
            </w:r>
          </w:p>
        </w:tc>
        <w:tc>
          <w:tcPr>
            <w:tcW w:w="20" w:type="dxa"/>
            <w:vAlign w:val="bottom"/>
          </w:tcPr>
          <w:p>
            <w:pPr>
              <w:spacing w:after="0"/>
              <w:rPr>
                <w:sz w:val="11"/>
                <w:szCs w:val="11"/>
                <w:color w:val="auto"/>
              </w:rPr>
            </w:pPr>
          </w:p>
        </w:tc>
        <w:tc>
          <w:tcPr>
            <w:tcW w:w="114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vMerge w:val="continue"/>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8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4"/>
                <w:szCs w:val="24"/>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2"/>
        </w:trPr>
        <w:tc>
          <w:tcPr>
            <w:tcW w:w="8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33"/>
        </w:trPr>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Offset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Source</w:t>
            </w:r>
          </w:p>
        </w:tc>
        <w:tc>
          <w:tcPr>
            <w:tcW w:w="0" w:type="dxa"/>
            <w:vAlign w:val="bottom"/>
          </w:tcPr>
          <w:p>
            <w:pPr>
              <w:spacing w:after="0"/>
              <w:rPr>
                <w:sz w:val="1"/>
                <w:szCs w:val="1"/>
                <w:color w:val="auto"/>
              </w:rPr>
            </w:pPr>
          </w:p>
        </w:tc>
      </w:tr>
      <w:tr>
        <w:trPr>
          <w:trHeight w:val="272"/>
        </w:trPr>
        <w:tc>
          <w:tcPr>
            <w:tcW w:w="8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3"/>
                <w:szCs w:val="23"/>
                <w:color w:val="auto"/>
              </w:rPr>
            </w:pPr>
          </w:p>
        </w:tc>
        <w:tc>
          <w:tcPr>
            <w:tcW w:w="740" w:type="dxa"/>
            <w:vAlign w:val="bottom"/>
            <w:shd w:val="clear" w:color="auto" w:fill="9ADAF6"/>
          </w:tcPr>
          <w:p>
            <w:pPr>
              <w:spacing w:after="0"/>
              <w:rPr>
                <w:sz w:val="23"/>
                <w:szCs w:val="23"/>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auto"/>
        </w:rPr>
        <w:t>Rule 457(p)</w:t>
      </w:r>
    </w:p>
    <w:p>
      <w:pPr>
        <w:spacing w:after="0" w:line="35" w:lineRule="exact"/>
        <w:rPr>
          <w:sz w:val="20"/>
          <w:szCs w:val="20"/>
          <w:color w:val="auto"/>
        </w:rPr>
      </w:pPr>
    </w:p>
    <w:p>
      <w:pPr>
        <w:sectPr>
          <w:pgSz w:w="11900" w:h="16838" w:orient="portrait"/>
          <w:cols w:equalWidth="0" w:num="3">
            <w:col w:w="2260" w:space="40"/>
            <w:col w:w="2640" w:space="40"/>
            <w:col w:w="6260"/>
          </w:cols>
          <w:pgMar w:left="360" w:top="114" w:right="29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Fee</w:t>
            </w:r>
          </w:p>
        </w:tc>
        <w:tc>
          <w:tcPr>
            <w:tcW w:w="20" w:type="dxa"/>
            <w:vAlign w:val="bottom"/>
          </w:tcPr>
          <w:p>
            <w:pPr>
              <w:spacing w:after="0"/>
              <w:rPr>
                <w:sz w:val="21"/>
                <w:szCs w:val="21"/>
                <w:color w:val="auto"/>
              </w:rPr>
            </w:pPr>
          </w:p>
        </w:tc>
        <w:tc>
          <w:tcPr>
            <w:tcW w:w="3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shd w:val="clear" w:color="auto" w:fill="E7E7E2"/>
          </w:tcPr>
          <w:p>
            <w:pPr>
              <w:spacing w:after="0"/>
              <w:rPr>
                <w:sz w:val="21"/>
                <w:szCs w:val="21"/>
                <w:color w:val="auto"/>
              </w:rPr>
            </w:pPr>
          </w:p>
        </w:tc>
      </w:tr>
      <w:tr>
        <w:trPr>
          <w:trHeight w:val="233"/>
        </w:trPr>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ind w:left="1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ind w:left="24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580" w:type="dxa"/>
            <w:vAlign w:val="bottom"/>
            <w:shd w:val="clear" w:color="auto" w:fill="E7E7E2"/>
          </w:tcPr>
          <w:p>
            <w:pPr>
              <w:ind w:left="1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580" w:type="dxa"/>
            <w:vAlign w:val="bottom"/>
            <w:shd w:val="clear" w:color="auto" w:fill="E7E7E2"/>
          </w:tcPr>
          <w:p>
            <w:pPr>
              <w:ind w:left="1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ind w:left="4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r>
      <w:tr>
        <w:trPr>
          <w:trHeight w:val="272"/>
        </w:trPr>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Claims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r>
      <w:tr>
        <w:trPr>
          <w:trHeight w:val="26"/>
        </w:trPr>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0"/>
        </w:trPr>
        <w:tc>
          <w:tcPr>
            <w:tcW w:w="80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r>
      <w:tr>
        <w:trPr>
          <w:trHeight w:val="233"/>
        </w:trPr>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ind w:left="1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ind w:left="24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580" w:type="dxa"/>
            <w:vAlign w:val="bottom"/>
            <w:shd w:val="clear" w:color="auto" w:fill="E7E7E2"/>
          </w:tcPr>
          <w:p>
            <w:pPr>
              <w:ind w:left="1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580" w:type="dxa"/>
            <w:vAlign w:val="bottom"/>
            <w:shd w:val="clear" w:color="auto" w:fill="E7E7E2"/>
          </w:tcPr>
          <w:p>
            <w:pPr>
              <w:ind w:left="1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ind w:left="4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r>
      <w:tr>
        <w:trPr>
          <w:trHeight w:val="272"/>
        </w:trPr>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w w:val="98"/>
              </w:rPr>
              <w:t>Sources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240"/>
      </w:cols>
      <w:pgMar w:left="360" w:top="114"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2"/>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3" Type="http://schemas.openxmlformats.org/officeDocument/2006/relationships/image" Target="media/image11.png"/><Relationship Id="rId32"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jpeg"/><Relationship Id="rId36" Type="http://schemas.openxmlformats.org/officeDocument/2006/relationships/image" Target="media/image16.png"/><Relationship Id="rId37" Type="http://schemas.openxmlformats.org/officeDocument/2006/relationships/image" Target="media/image17.png"/><Relationship Id="rId38" Type="http://schemas.openxmlformats.org/officeDocument/2006/relationships/image" Target="media/image18.png"/><Relationship Id="rId18" Type="http://schemas.openxmlformats.org/officeDocument/2006/relationships/hyperlink" Target="http://www.sec.gov/Archives/edgar/data/1819133/000119312521298942/d211731ds8.htm" TargetMode="External"/><Relationship Id="rId19" Type="http://schemas.openxmlformats.org/officeDocument/2006/relationships/hyperlink" Target="http://www.sec.gov/Archives/edgar/data/1819133/000119312522086625/d330479ds8.htm" TargetMode="External"/><Relationship Id="rId20" Type="http://schemas.openxmlformats.org/officeDocument/2006/relationships/hyperlink" Target="http://www.sec.gov/Archives/edgar/data/1819133/000119312523026914/d644136ds8.htm" TargetMode="External"/><Relationship Id="rId21" Type="http://schemas.openxmlformats.org/officeDocument/2006/relationships/hyperlink" Target="http://www.sec.gov/Archives/edgar/data/1819133/000119312524069689/d754544ds8.htm" TargetMode="External"/><Relationship Id="rId22" Type="http://schemas.openxmlformats.org/officeDocument/2006/relationships/hyperlink" Target="http://www.sec.gov/Archives/edgar/data/1819133/000119312525037611/d885219ds8.htm" TargetMode="External"/><Relationship Id="rId24" Type="http://schemas.openxmlformats.org/officeDocument/2006/relationships/hyperlink" Target="http://www.sec.gov/Archives/edgar/data/1819133/000095017024092274/tngx-ex3_1.htm" TargetMode="External"/><Relationship Id="rId25" Type="http://schemas.openxmlformats.org/officeDocument/2006/relationships/hyperlink" Target="http://www.sec.gov/Archives/edgar/data/1819133/000119312525137032/d926935dex31.htm" TargetMode="External"/><Relationship Id="rId26" Type="http://schemas.openxmlformats.org/officeDocument/2006/relationships/hyperlink" Target="http://www.sec.gov/Archives/edgar/data/1819133/000119312521298942/d211731dex42.htm" TargetMode="External"/><Relationship Id="rId27" Type="http://schemas.openxmlformats.org/officeDocument/2006/relationships/hyperlink" Target="http://www.sec.gov/Archives/edgar/data/1819133/000121390021037131/ea144230ex4-5_bctgacq.htm" TargetMode="External"/><Relationship Id="rId28" Type="http://schemas.openxmlformats.org/officeDocument/2006/relationships/hyperlink" Target="http://www.sec.gov/Archives/edgar/data/1819133/000095017022004721/tngx-ex4_2.htm" TargetMode="External"/><Relationship Id="rId29" Type="http://schemas.openxmlformats.org/officeDocument/2006/relationships/hyperlink" Target="http://www.sec.gov/Archives/edgar/data/1819133/000119312521246234/d203347dex104.htm" TargetMode="External"/><Relationship Id="rId30" Type="http://schemas.openxmlformats.org/officeDocument/2006/relationships/hyperlink" Target="http://www.sec.gov/Archives/edgar/data/1819133/000119312521246234/d203347dex105.htm" TargetMode="External"/><Relationship Id="rId31" Type="http://schemas.openxmlformats.org/officeDocument/2006/relationships/hyperlink" Target="http://www.sec.gov/Archives/edgar/data/1819133/000119312521246234/d203347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2026-03-05T06:32:50Z</dcterms:created>
  <dcterms:modified xsi:type="dcterms:W3CDTF">2026-03-05T06:32:50Z</dcterms:modified>
</cp:coreProperties>
</file>