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-228600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17145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89" w:lineRule="exact"/>
        <w:rPr>
          <w:sz w:val="24"/>
          <w:szCs w:val="24"/>
          <w:color w:val="auto"/>
        </w:rPr>
      </w:pPr>
    </w:p>
    <w:p>
      <w:pPr>
        <w:sectPr>
          <w:pgSz w:w="11900" w:h="16910" w:orient="portrait"/>
          <w:cols w:equalWidth="0" w:num="2">
            <w:col w:w="2180" w:space="460"/>
            <w:col w:w="8440"/>
          </w:cols>
          <w:pgMar w:left="460" w:top="218" w:right="35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Boxer Capital, LLC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12860 EL CAMINO REAL</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SUITE 300</w:t>
      </w:r>
    </w:p>
    <w:p>
      <w:pPr>
        <w:spacing w:after="0" w:line="27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DIEGO</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5"/>
          <w:szCs w:val="15"/>
          <w:color w:val="0000FF"/>
        </w:rPr>
        <w:t>92130</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2"/>
          </w:tcPr>
          <w:p>
            <w:pPr>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Tango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TNGX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40" w:type="dxa"/>
            <w:vAlign w:val="bottom"/>
            <w:gridSpan w:val="2"/>
            <w:vMerge w:val="restart"/>
          </w:tcPr>
          <w:p>
            <w:pPr>
              <w:ind w:left="60"/>
              <w:spacing w:after="0"/>
              <w:rPr>
                <w:sz w:val="20"/>
                <w:szCs w:val="20"/>
                <w:color w:val="auto"/>
              </w:rPr>
            </w:pPr>
            <w:r>
              <w:rPr>
                <w:rFonts w:ascii="Arial" w:cs="Arial" w:eastAsia="Arial" w:hAnsi="Arial"/>
                <w:sz w:val="16"/>
                <w:szCs w:val="16"/>
                <w:color w:val="0000FF"/>
              </w:rPr>
              <w:t>08/11/2023</w:t>
            </w:r>
          </w:p>
        </w:tc>
        <w:tc>
          <w:tcPr>
            <w:tcW w:w="178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4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2120" w:type="dxa"/>
            <w:vAlign w:val="bottom"/>
            <w:gridSpan w:val="2"/>
            <w:vMerge w:val="restart"/>
          </w:tcPr>
          <w:p>
            <w:pPr>
              <w:ind w:left="12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tcPr>
          <w:p>
            <w:pPr>
              <w:ind w:left="60"/>
              <w:spacing w:after="0" w:line="175" w:lineRule="exact"/>
              <w:rPr>
                <w:sz w:val="20"/>
                <w:szCs w:val="20"/>
                <w:color w:val="auto"/>
              </w:rPr>
            </w:pPr>
            <w:r>
              <w:rPr>
                <w:rFonts w:ascii="Arial" w:cs="Arial" w:eastAsia="Arial" w:hAnsi="Arial"/>
                <w:sz w:val="16"/>
                <w:szCs w:val="16"/>
                <w:color w:val="0000FF"/>
              </w:rPr>
              <w:t>08/15/2023</w:t>
            </w:r>
          </w:p>
        </w:tc>
        <w:tc>
          <w:tcPr>
            <w:tcW w:w="1780" w:type="dxa"/>
            <w:vAlign w:val="bottom"/>
          </w:tcPr>
          <w:p>
            <w:pPr>
              <w:spacing w:after="0"/>
              <w:rPr>
                <w:sz w:val="15"/>
                <w:szCs w:val="15"/>
                <w:color w:val="auto"/>
              </w:rPr>
            </w:pPr>
          </w:p>
        </w:tc>
        <w:tc>
          <w:tcPr>
            <w:tcW w:w="1680" w:type="dxa"/>
            <w:vAlign w:val="bottom"/>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300" w:type="dxa"/>
            <w:vAlign w:val="bottom"/>
            <w:gridSpan w:val="3"/>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194"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5" w:lineRule="exact"/>
        <w:rPr>
          <w:sz w:val="24"/>
          <w:szCs w:val="24"/>
          <w:color w:val="auto"/>
        </w:rPr>
      </w:pPr>
    </w:p>
    <w:p>
      <w:pPr>
        <w:ind w:left="320" w:right="32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5" w:lineRule="exact"/>
        <w:rPr>
          <w:sz w:val="24"/>
          <w:szCs w:val="24"/>
          <w:color w:val="auto"/>
        </w:rPr>
      </w:pPr>
    </w:p>
    <w:p>
      <w:pPr>
        <w:sectPr>
          <w:pgSz w:w="11900" w:h="16910" w:orient="portrait"/>
          <w:cols w:equalWidth="0" w:num="2">
            <w:col w:w="3120" w:space="72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gridSpan w:val="4"/>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95"/>
              </w:rPr>
              <w:t>(A) or</w:t>
            </w: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3"/>
            <w:vMerge w:val="restart"/>
          </w:tcPr>
          <w:p>
            <w:pPr>
              <w:ind w:left="900"/>
              <w:spacing w:after="0"/>
              <w:rPr>
                <w:sz w:val="20"/>
                <w:szCs w:val="20"/>
                <w:color w:val="auto"/>
              </w:rPr>
            </w:pPr>
            <w:r>
              <w:rPr>
                <w:rFonts w:ascii="Arial" w:cs="Arial" w:eastAsia="Arial" w:hAnsi="Arial"/>
                <w:sz w:val="16"/>
                <w:szCs w:val="16"/>
                <w:color w:val="0000FF"/>
              </w:rPr>
              <w:t>08/11/2023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80" w:type="dxa"/>
            <w:vAlign w:val="bottom"/>
            <w:gridSpan w:val="2"/>
            <w:vMerge w:val="restart"/>
          </w:tcPr>
          <w:p>
            <w:pPr>
              <w:ind w:left="240"/>
              <w:spacing w:after="0"/>
              <w:rPr>
                <w:sz w:val="20"/>
                <w:szCs w:val="20"/>
                <w:color w:val="auto"/>
              </w:rPr>
            </w:pPr>
            <w:r>
              <w:rPr>
                <w:rFonts w:ascii="Arial" w:cs="Arial" w:eastAsia="Arial" w:hAnsi="Arial"/>
                <w:sz w:val="16"/>
                <w:szCs w:val="16"/>
                <w:color w:val="0000FF"/>
                <w:w w:val="89"/>
              </w:rPr>
              <w:t>475,000</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5.15</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743,542</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32"/>
                <w:szCs w:val="32"/>
                <w:color w:val="0000FF"/>
                <w:w w:val="98"/>
                <w:vertAlign w:val="subscript"/>
              </w:rPr>
              <w:t>I</w:t>
            </w:r>
            <w:r>
              <w:rPr>
                <w:rFonts w:ascii="Arial" w:cs="Arial" w:eastAsia="Arial" w:hAnsi="Arial"/>
                <w:sz w:val="10"/>
                <w:szCs w:val="10"/>
                <w:color w:val="008000"/>
                <w:w w:val="98"/>
              </w:rPr>
              <w:t>(1)</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2"/>
              </w:rPr>
              <w:t>7,123,642</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39"/>
              <w:spacing w:after="0" w:line="299" w:lineRule="exact"/>
              <w:rPr>
                <w:sz w:val="20"/>
                <w:szCs w:val="20"/>
                <w:color w:val="auto"/>
              </w:rPr>
            </w:pPr>
            <w:r>
              <w:rPr>
                <w:rFonts w:ascii="Arial" w:cs="Arial" w:eastAsia="Arial" w:hAnsi="Arial"/>
                <w:sz w:val="32"/>
                <w:szCs w:val="32"/>
                <w:color w:val="0000FF"/>
                <w:w w:val="86"/>
                <w:vertAlign w:val="subscript"/>
              </w:rPr>
              <w:t>D</w:t>
            </w:r>
            <w:r>
              <w:rPr>
                <w:rFonts w:ascii="Arial" w:cs="Arial" w:eastAsia="Arial" w:hAnsi="Arial"/>
                <w:sz w:val="10"/>
                <w:szCs w:val="10"/>
                <w:color w:val="008000"/>
                <w:w w:val="86"/>
              </w:rPr>
              <w:t>(2)</w:t>
            </w: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Arial" w:cs="Arial" w:eastAsia="Arial" w:hAnsi="Arial"/>
                <w:sz w:val="16"/>
                <w:szCs w:val="16"/>
                <w:color w:val="0000FF"/>
                <w:w w:val="89"/>
              </w:rPr>
              <w:t>5,000</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26,961</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6,988,450</w:t>
            </w:r>
          </w:p>
        </w:tc>
        <w:tc>
          <w:tcPr>
            <w:tcW w:w="280" w:type="dxa"/>
            <w:vAlign w:val="bottom"/>
          </w:tcPr>
          <w:p>
            <w:pPr>
              <w:spacing w:after="0"/>
              <w:rPr>
                <w:sz w:val="20"/>
                <w:szCs w:val="20"/>
                <w:color w:val="auto"/>
              </w:rPr>
            </w:pPr>
          </w:p>
        </w:tc>
        <w:tc>
          <w:tcPr>
            <w:tcW w:w="640" w:type="dxa"/>
            <w:vAlign w:val="bottom"/>
            <w:vMerge w:val="restart"/>
          </w:tcPr>
          <w:p>
            <w:pPr>
              <w:jc w:val="center"/>
              <w:ind w:right="319"/>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60" w:type="dxa"/>
            <w:vAlign w:val="bottom"/>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560" w:type="dxa"/>
            <w:vAlign w:val="bottom"/>
            <w:gridSpan w:val="13"/>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6"/>
              </w:rPr>
              <w:t>Prefunded</w:t>
            </w:r>
          </w:p>
        </w:tc>
        <w:tc>
          <w:tcPr>
            <w:tcW w:w="760" w:type="dxa"/>
            <w:vAlign w:val="bottom"/>
          </w:tcPr>
          <w:p>
            <w:pPr>
              <w:ind w:left="320"/>
              <w:spacing w:after="0"/>
              <w:rPr>
                <w:sz w:val="20"/>
                <w:szCs w:val="20"/>
                <w:color w:val="auto"/>
              </w:rPr>
            </w:pPr>
            <w:r>
              <w:rPr>
                <w:rFonts w:ascii="Arial" w:cs="Arial" w:eastAsia="Arial" w:hAnsi="Arial"/>
                <w:sz w:val="10"/>
                <w:szCs w:val="10"/>
                <w:color w:val="008000"/>
              </w:rPr>
              <w:t>(6)</w:t>
            </w:r>
          </w:p>
        </w:tc>
        <w:tc>
          <w:tcPr>
            <w:tcW w:w="1100" w:type="dxa"/>
            <w:vAlign w:val="bottom"/>
            <w:gridSpan w:val="2"/>
          </w:tcPr>
          <w:p>
            <w:pPr>
              <w:ind w:left="240"/>
              <w:spacing w:after="0"/>
              <w:rPr>
                <w:sz w:val="20"/>
                <w:szCs w:val="20"/>
                <w:color w:val="auto"/>
              </w:rPr>
            </w:pPr>
            <w:r>
              <w:rPr>
                <w:rFonts w:ascii="Arial" w:cs="Arial" w:eastAsia="Arial" w:hAnsi="Arial"/>
                <w:sz w:val="13"/>
                <w:szCs w:val="13"/>
                <w:color w:val="0000FF"/>
              </w:rPr>
              <w:t>08/11/2023</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color w:val="0000FF"/>
              </w:rPr>
              <w:t>A</w:t>
            </w:r>
          </w:p>
        </w:tc>
        <w:tc>
          <w:tcPr>
            <w:tcW w:w="600" w:type="dxa"/>
            <w:vAlign w:val="bottom"/>
          </w:tcPr>
          <w:p>
            <w:pPr>
              <w:spacing w:after="0"/>
              <w:rPr>
                <w:sz w:val="20"/>
                <w:szCs w:val="20"/>
                <w:color w:val="auto"/>
              </w:rPr>
            </w:pPr>
            <w:r>
              <w:rPr>
                <w:rFonts w:ascii="Arial" w:cs="Arial" w:eastAsia="Arial" w:hAnsi="Arial"/>
                <w:sz w:val="13"/>
                <w:szCs w:val="13"/>
                <w:color w:val="0000FF"/>
              </w:rPr>
              <w:t>2,340,579</w:t>
            </w:r>
          </w:p>
        </w:tc>
        <w:tc>
          <w:tcPr>
            <w:tcW w:w="28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0"/>
                <w:szCs w:val="10"/>
                <w:color w:val="008000"/>
              </w:rPr>
              <w:t>(6)</w:t>
            </w:r>
          </w:p>
        </w:tc>
        <w:tc>
          <w:tcPr>
            <w:tcW w:w="640" w:type="dxa"/>
            <w:vAlign w:val="bottom"/>
          </w:tcPr>
          <w:p>
            <w:pPr>
              <w:ind w:left="220"/>
              <w:spacing w:after="0"/>
              <w:rPr>
                <w:sz w:val="20"/>
                <w:szCs w:val="20"/>
                <w:color w:val="auto"/>
              </w:rPr>
            </w:pPr>
            <w:r>
              <w:rPr>
                <w:rFonts w:ascii="Arial" w:cs="Arial" w:eastAsia="Arial" w:hAnsi="Arial"/>
                <w:sz w:val="10"/>
                <w:szCs w:val="10"/>
                <w:color w:val="008000"/>
              </w:rPr>
              <w:t>(6)</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tcPr>
          <w:p>
            <w:pPr>
              <w:ind w:left="20"/>
              <w:spacing w:after="0"/>
              <w:rPr>
                <w:sz w:val="20"/>
                <w:szCs w:val="20"/>
                <w:color w:val="auto"/>
              </w:rPr>
            </w:pPr>
            <w:r>
              <w:rPr>
                <w:rFonts w:ascii="Arial" w:cs="Arial" w:eastAsia="Arial" w:hAnsi="Arial"/>
                <w:sz w:val="16"/>
                <w:szCs w:val="16"/>
                <w:color w:val="0000FF"/>
                <w:w w:val="95"/>
              </w:rPr>
              <w:t>2,340,579</w:t>
            </w:r>
          </w:p>
        </w:tc>
        <w:tc>
          <w:tcPr>
            <w:tcW w:w="4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5.1499</w:t>
            </w:r>
          </w:p>
        </w:tc>
        <w:tc>
          <w:tcPr>
            <w:tcW w:w="780" w:type="dxa"/>
            <w:vAlign w:val="bottom"/>
            <w:gridSpan w:val="2"/>
          </w:tcPr>
          <w:p>
            <w:pPr>
              <w:ind w:left="140"/>
              <w:spacing w:after="0"/>
              <w:rPr>
                <w:sz w:val="20"/>
                <w:szCs w:val="20"/>
                <w:color w:val="auto"/>
              </w:rPr>
            </w:pPr>
            <w:r>
              <w:rPr>
                <w:rFonts w:ascii="Arial" w:cs="Arial" w:eastAsia="Arial" w:hAnsi="Arial"/>
                <w:sz w:val="13"/>
                <w:szCs w:val="13"/>
                <w:color w:val="0000FF"/>
              </w:rPr>
              <w:t>2,340,579</w:t>
            </w:r>
          </w:p>
        </w:tc>
        <w:tc>
          <w:tcPr>
            <w:tcW w:w="640" w:type="dxa"/>
            <w:vAlign w:val="bottom"/>
          </w:tcPr>
          <w:p>
            <w:pPr>
              <w:ind w:left="320"/>
              <w:spacing w:after="0" w:line="238"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(2)</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Warrant</w:t>
            </w:r>
          </w:p>
        </w:tc>
        <w:tc>
          <w:tcPr>
            <w:tcW w:w="7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line="138" w:lineRule="exact"/>
              <w:rPr>
                <w:sz w:val="20"/>
                <w:szCs w:val="20"/>
                <w:color w:val="auto"/>
              </w:rPr>
            </w:pPr>
            <w:r>
              <w:rPr>
                <w:rFonts w:ascii="Arial" w:cs="Arial" w:eastAsia="Arial" w:hAnsi="Arial"/>
                <w:sz w:val="13"/>
                <w:szCs w:val="13"/>
                <w:color w:val="0000FF"/>
              </w:rPr>
              <w:t>Stock</w:t>
            </w:r>
          </w:p>
        </w:tc>
        <w:tc>
          <w:tcPr>
            <w:tcW w:w="7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Boxer Capital,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00" w:type="dxa"/>
            <w:vAlign w:val="bottom"/>
          </w:tcPr>
          <w:p>
            <w:pPr>
              <w:ind w:left="380"/>
              <w:spacing w:after="0"/>
              <w:rPr>
                <w:sz w:val="20"/>
                <w:szCs w:val="20"/>
                <w:color w:val="auto"/>
              </w:rPr>
            </w:pPr>
            <w:r>
              <w:rPr>
                <w:rFonts w:ascii="Arial" w:cs="Arial" w:eastAsia="Arial" w:hAnsi="Arial"/>
                <w:sz w:val="16"/>
                <w:szCs w:val="16"/>
                <w:color w:val="0000FF"/>
              </w:rPr>
              <w:t>92130</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Borders>
              <w:bottom w:val="single" w:sz="8" w:color="0000EE"/>
            </w:tcBorders>
            <w:gridSpan w:val="4"/>
          </w:tcPr>
          <w:p>
            <w:pPr>
              <w:spacing w:after="0" w:line="208" w:lineRule="exact"/>
              <w:rPr>
                <w:rFonts w:ascii="Arial" w:cs="Arial" w:eastAsia="Arial" w:hAnsi="Arial"/>
                <w:sz w:val="20"/>
                <w:szCs w:val="20"/>
                <w:color w:val="0000EE"/>
                <w:w w:val="89"/>
              </w:rPr>
            </w:pPr>
            <w:hyperlink r:id="rId14">
              <w:r>
                <w:rPr>
                  <w:rFonts w:ascii="Arial" w:cs="Arial" w:eastAsia="Arial" w:hAnsi="Arial"/>
                  <w:sz w:val="20"/>
                  <w:szCs w:val="20"/>
                  <w:color w:val="0000EE"/>
                  <w:w w:val="89"/>
                </w:rPr>
                <w:t>Boxer Asset Management Inc.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00" w:type="dxa"/>
            <w:vAlign w:val="bottom"/>
          </w:tcPr>
          <w:p>
            <w:pPr>
              <w:ind w:left="380"/>
              <w:spacing w:after="0"/>
              <w:rPr>
                <w:sz w:val="20"/>
                <w:szCs w:val="20"/>
                <w:color w:val="auto"/>
              </w:rPr>
            </w:pPr>
            <w:r>
              <w:rPr>
                <w:rFonts w:ascii="Arial" w:cs="Arial" w:eastAsia="Arial" w:hAnsi="Arial"/>
                <w:sz w:val="16"/>
                <w:szCs w:val="16"/>
                <w:color w:val="0000FF"/>
              </w:rPr>
              <w:t>92130</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-4846955</wp:posOffset>
            </wp:positionV>
            <wp:extent cx="28575" cy="1550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550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sz w:val="1"/>
          <w:szCs w:val="1"/>
          <w:color w:val="auto"/>
        </w:rPr>
        <w:drawing>
          <wp:inline distT="0" distB="0" distL="0" distR="0">
            <wp:extent cx="33655" cy="234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3495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0"/>
          <w:szCs w:val="20"/>
          <w:color w:val="auto"/>
          <w:vertAlign w:val="superscript"/>
        </w:rPr>
        <w:t>*</w:t>
      </w:r>
    </w:p>
    <w:p>
      <w:pPr>
        <w:sectPr>
          <w:pgSz w:w="11900" w:h="16910" w:orient="portrait"/>
          <w:cols w:equalWidth="0" w:num="1">
            <w:col w:w="11080"/>
          </w:cols>
          <w:pgMar w:left="460" w:top="218"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LEWIS JOSEPH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-132715</wp:posOffset>
            </wp:positionV>
            <wp:extent cx="2812415" cy="4999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4999990"/>
                    </a:xfrm>
                    <a:prstGeom prst="rect">
                      <a:avLst/>
                    </a:prstGeom>
                    <a:noFill/>
                  </pic:spPr>
                </pic:pic>
              </a:graphicData>
            </a:graphic>
          </wp:anchor>
        </w:drawing>
      </w:r>
    </w:p>
    <w:p>
      <w:pPr>
        <w:spacing w:after="0" w:line="287"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CAY HOUSE</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EP TAYLOR DRIVE N7776, LYFORD CAY</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NEW</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PROVIDENCE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BAHAMAS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4"/>
          </w:tcPr>
          <w:p>
            <w:pPr>
              <w:spacing w:after="0" w:line="208" w:lineRule="exact"/>
              <w:rPr>
                <w:rFonts w:ascii="Arial" w:cs="Arial" w:eastAsia="Arial" w:hAnsi="Arial"/>
                <w:sz w:val="20"/>
                <w:szCs w:val="20"/>
                <w:color w:val="0000EE"/>
              </w:rPr>
            </w:pPr>
            <w:hyperlink r:id="rId19">
              <w:r>
                <w:rPr>
                  <w:rFonts w:ascii="Arial" w:cs="Arial" w:eastAsia="Arial" w:hAnsi="Arial"/>
                  <w:sz w:val="20"/>
                  <w:szCs w:val="20"/>
                  <w:color w:val="0000EE"/>
                </w:rPr>
                <w:t>MVA Investors, LLC</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rPr>
                <w:sz w:val="20"/>
                <w:szCs w:val="20"/>
                <w:color w:val="auto"/>
              </w:rPr>
            </w:pPr>
            <w:r>
              <w:rPr>
                <w:rFonts w:ascii="Arial" w:cs="Arial" w:eastAsia="Arial" w:hAnsi="Arial"/>
                <w:sz w:val="16"/>
                <w:szCs w:val="16"/>
                <w:color w:val="0000FF"/>
              </w:rPr>
              <w:t>12860 EL CAMINO REAL</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SUITE 300</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3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440" w:type="dxa"/>
            <w:vAlign w:val="bottom"/>
            <w:gridSpan w:val="2"/>
          </w:tcPr>
          <w:p>
            <w:pPr>
              <w:ind w:left="120"/>
              <w:spacing w:after="0"/>
              <w:rPr>
                <w:sz w:val="20"/>
                <w:szCs w:val="20"/>
                <w:color w:val="auto"/>
              </w:rPr>
            </w:pPr>
            <w:r>
              <w:rPr>
                <w:rFonts w:ascii="Arial" w:cs="Arial" w:eastAsia="Arial" w:hAnsi="Arial"/>
                <w:sz w:val="16"/>
                <w:szCs w:val="16"/>
                <w:color w:val="0000FF"/>
              </w:rPr>
              <w:t>CA</w:t>
            </w:r>
          </w:p>
        </w:tc>
        <w:tc>
          <w:tcPr>
            <w:tcW w:w="1440" w:type="dxa"/>
            <w:vAlign w:val="bottom"/>
          </w:tcPr>
          <w:p>
            <w:pPr>
              <w:ind w:left="80"/>
              <w:spacing w:after="0"/>
              <w:rPr>
                <w:sz w:val="20"/>
                <w:szCs w:val="20"/>
                <w:color w:val="auto"/>
              </w:rPr>
            </w:pPr>
            <w:r>
              <w:rPr>
                <w:rFonts w:ascii="Arial" w:cs="Arial" w:eastAsia="Arial" w:hAnsi="Arial"/>
                <w:sz w:val="16"/>
                <w:szCs w:val="16"/>
                <w:color w:val="0000FF"/>
              </w:rPr>
              <w:t>92130</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spacing w:after="0" w:line="208" w:lineRule="exact"/>
              <w:rPr>
                <w:rFonts w:ascii="Arial" w:cs="Arial" w:eastAsia="Arial" w:hAnsi="Arial"/>
                <w:sz w:val="20"/>
                <w:szCs w:val="20"/>
                <w:color w:val="0000EE"/>
              </w:rPr>
            </w:pPr>
            <w:hyperlink r:id="rId20">
              <w:r>
                <w:rPr>
                  <w:rFonts w:ascii="Arial" w:cs="Arial" w:eastAsia="Arial" w:hAnsi="Arial"/>
                  <w:sz w:val="20"/>
                  <w:szCs w:val="20"/>
                  <w:color w:val="0000EE"/>
                </w:rPr>
                <w:t>Davis Aaron I.</w:t>
              </w:r>
            </w:hyperlink>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4"/>
          </w:tcPr>
          <w:p>
            <w:pPr>
              <w:spacing w:after="0"/>
              <w:rPr>
                <w:sz w:val="20"/>
                <w:szCs w:val="20"/>
                <w:color w:val="auto"/>
              </w:rPr>
            </w:pPr>
            <w:r>
              <w:rPr>
                <w:rFonts w:ascii="Arial" w:cs="Arial" w:eastAsia="Arial" w:hAnsi="Arial"/>
                <w:sz w:val="16"/>
                <w:szCs w:val="16"/>
                <w:color w:val="0000FF"/>
                <w:w w:val="99"/>
              </w:rPr>
              <w:t>12860 EL CAMINO REAL, SUITE 300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3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0000FF"/>
              </w:rPr>
              <w:t>SAN DIEGO</w:t>
            </w:r>
          </w:p>
        </w:tc>
        <w:tc>
          <w:tcPr>
            <w:tcW w:w="1440" w:type="dxa"/>
            <w:vAlign w:val="bottom"/>
            <w:gridSpan w:val="2"/>
          </w:tcPr>
          <w:p>
            <w:pPr>
              <w:ind w:left="120"/>
              <w:spacing w:after="0"/>
              <w:rPr>
                <w:sz w:val="20"/>
                <w:szCs w:val="20"/>
                <w:color w:val="auto"/>
              </w:rPr>
            </w:pPr>
            <w:r>
              <w:rPr>
                <w:rFonts w:ascii="Arial" w:cs="Arial" w:eastAsia="Arial" w:hAnsi="Arial"/>
                <w:sz w:val="16"/>
                <w:szCs w:val="16"/>
                <w:color w:val="0000FF"/>
              </w:rPr>
              <w:t>CA</w:t>
            </w:r>
          </w:p>
        </w:tc>
        <w:tc>
          <w:tcPr>
            <w:tcW w:w="1440" w:type="dxa"/>
            <w:vAlign w:val="bottom"/>
          </w:tcPr>
          <w:p>
            <w:pPr>
              <w:ind w:left="80"/>
              <w:spacing w:after="0"/>
              <w:rPr>
                <w:sz w:val="20"/>
                <w:szCs w:val="20"/>
                <w:color w:val="auto"/>
              </w:rPr>
            </w:pPr>
            <w:r>
              <w:rPr>
                <w:rFonts w:ascii="Arial" w:cs="Arial" w:eastAsia="Arial" w:hAnsi="Arial"/>
                <w:sz w:val="16"/>
                <w:szCs w:val="16"/>
                <w:color w:val="0000FF"/>
              </w:rPr>
              <w:t>92130</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12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20" w:right="220" w:hanging="2"/>
        <w:spacing w:after="0" w:line="231"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Boxer Capital, LLC ("Boxer Capital"). Boxer Asset Management Inc. is the managing member of Boxer Capital. Joseph Lewis is the sole indirect owner of Boxer Asset Management Inc. Mr. Davis is a member of Boxer Capital. Each reporting person other than Boxer Capital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Mr. Davis. Each reporting person other than Mr. Davis disclaims beneficial ownership of these securities.</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securities are owned directly by Braslyn Ltd. Mr. Lewis is the sole indirect owner of Braslyn Ltd. Each reporting person other than Mr. Lewis disclaims beneficial ownership of these securities.</w:t>
      </w:r>
    </w:p>
    <w:p>
      <w:pPr>
        <w:spacing w:after="0" w:line="61" w:lineRule="exact"/>
        <w:rPr>
          <w:rFonts w:ascii="Arial" w:cs="Arial" w:eastAsia="Arial" w:hAnsi="Arial"/>
          <w:sz w:val="11"/>
          <w:szCs w:val="11"/>
          <w:color w:val="008000"/>
        </w:rPr>
      </w:pPr>
    </w:p>
    <w:p>
      <w:pPr>
        <w:ind w:left="20" w:right="8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BCTG Holdings, LLC ("BCTG"). Boxer Capital is the majority member of BCTG and MVA Investors is a member of BCTG. Mr. Davis is an investment manager of BCTG. Each reporting person disclaims beneficial ownership of these securities except to the extent of such person's pecuniary interest therein, if any.</w:t>
      </w:r>
    </w:p>
    <w:p>
      <w:pPr>
        <w:spacing w:after="0" w:line="31" w:lineRule="exact"/>
        <w:rPr>
          <w:rFonts w:ascii="Arial" w:cs="Arial" w:eastAsia="Arial" w:hAnsi="Arial"/>
          <w:sz w:val="13"/>
          <w:szCs w:val="13"/>
          <w:color w:val="008000"/>
        </w:rPr>
      </w:pPr>
    </w:p>
    <w:p>
      <w:pPr>
        <w:ind w:left="20" w:right="44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prefunded warrants have an exercise price of $0.001 per share of Common Stock and are immediately exercisable and remain exercisable until exercised in full, subject to a 9.99% beneficial ownership limitation which may be increased or decreased by the holder upon 61 days' notice to the Issuer.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0"/>
        <w:spacing w:after="0" w:line="228" w:lineRule="auto"/>
        <w:rPr>
          <w:sz w:val="20"/>
          <w:szCs w:val="20"/>
          <w:color w:val="auto"/>
        </w:rPr>
      </w:pPr>
      <w:r>
        <w:rPr>
          <w:rFonts w:ascii="Arial" w:cs="Arial" w:eastAsia="Arial" w:hAnsi="Arial"/>
          <w:sz w:val="13"/>
          <w:szCs w:val="13"/>
          <w:color w:val="008000"/>
        </w:rPr>
        <w:t>This amended Form 4, which amends and restates in its entirety the original Form 4 filed on August 15, 2023, corrects the transaction codes in the original filing. These acquisitions were made in transactions with the Company under Rule 16b-3, as opposed to open market purchases. The reporting persons may be deemed members of a group that beneficially owns more than 10% of the outstanding shares of common stock, $0.001 par value per share, of Tango Therapeutics, Inc. (the "Issuer"). At the time of the transactions reported herein, Mr. Davis was a director of the Issuer and the other reporting persons were subject to Section 16 as directors of the Issuer on the basis of their relationships to Mr. Davis.</w:t>
      </w:r>
    </w:p>
    <w:p>
      <w:pPr>
        <w:spacing w:after="0" w:line="5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1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Executive Officer, Boxer</w:t>
      </w:r>
      <w:r>
        <w:rPr>
          <w:sz w:val="20"/>
          <w:szCs w:val="20"/>
          <w:color w:val="auto"/>
        </w:rPr>
        <w:tab/>
      </w:r>
      <w:r>
        <w:rPr>
          <w:rFonts w:ascii="Arial" w:cs="Arial" w:eastAsia="Arial" w:hAnsi="Arial"/>
          <w:sz w:val="14"/>
          <w:szCs w:val="14"/>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3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544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14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Executive Officer, MVA</w:t>
      </w:r>
      <w:r>
        <w:rPr>
          <w:sz w:val="20"/>
          <w:szCs w:val="20"/>
          <w:color w:val="auto"/>
        </w:rPr>
        <w:tab/>
      </w:r>
      <w:r>
        <w:rPr>
          <w:rFonts w:ascii="Arial" w:cs="Arial" w:eastAsia="Arial" w:hAnsi="Arial"/>
          <w:sz w:val="14"/>
          <w:szCs w:val="14"/>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3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86372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624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ectPr>
          <w:pgSz w:w="11900" w:h="16838" w:orient="portrait"/>
          <w:cols w:equalWidth="0" w:num="1">
            <w:col w:w="10860"/>
          </w:cols>
          <w:pgMar w:left="480" w:top="120" w:right="559" w:bottom="1440" w:gutter="0" w:footer="0" w:header="0"/>
        </w:sectPr>
      </w:pPr>
    </w:p>
    <w:p>
      <w:pPr>
        <w:spacing w:after="0" w:line="59"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 Paul Higgs, Director,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274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977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802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7340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4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134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6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6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6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1" w:lineRule="exact"/>
        <w:rPr>
          <w:sz w:val="20"/>
          <w:szCs w:val="20"/>
          <w:color w:val="auto"/>
        </w:rPr>
      </w:pPr>
    </w:p>
    <w:p>
      <w:pPr>
        <w:sectPr>
          <w:pgSz w:w="11900" w:h="16838" w:orient="portrait"/>
          <w:cols w:equalWidth="0" w:num="2">
            <w:col w:w="8580" w:space="200"/>
            <w:col w:w="2080"/>
          </w:cols>
          <w:pgMar w:left="480" w:top="120" w:right="559" w:bottom="1440" w:gutter="0" w:footer="0" w:header="0"/>
          <w:type w:val="continuous"/>
        </w:sectPr>
      </w:pPr>
    </w:p>
    <w:p>
      <w:pPr>
        <w:ind w:left="20"/>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836" TargetMode="External"/><Relationship Id="rId17" Type="http://schemas.openxmlformats.org/officeDocument/2006/relationships/hyperlink" Target="http://www.sec.gov/cgi-bin/browse-edgar?action=getcompany&amp;CIK=0001015747" TargetMode="External"/><Relationship Id="rId19" Type="http://schemas.openxmlformats.org/officeDocument/2006/relationships/hyperlink" Target="http://www.sec.gov/cgi-bin/browse-edgar?action=getcompany&amp;CIK=0001468223" TargetMode="External"/><Relationship Id="rId20"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2023-10-11T18:31:12Z</dcterms:created>
  <dcterms:modified xsi:type="dcterms:W3CDTF">2023-10-11T18:31:12Z</dcterms:modified>
</cp:coreProperties>
</file>