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4"/>
          <w:szCs w:val="24"/>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Calibri" w:cs="Calibri" w:eastAsia="Calibri" w:hAnsi="Calibri"/>
          <w:sz w:val="24"/>
          <w:szCs w:val="24"/>
          <w:b w:val="1"/>
          <w:bCs w:val="1"/>
          <w:color w:val="auto"/>
        </w:rPr>
        <w:t>SECURITIES AND EXCHANGE COMMISSION</w:t>
      </w:r>
    </w:p>
    <w:p>
      <w:pPr>
        <w:jc w:val="center"/>
        <w:spacing w:after="0"/>
        <w:rPr>
          <w:sz w:val="20"/>
          <w:szCs w:val="20"/>
          <w:color w:val="auto"/>
        </w:rPr>
      </w:pPr>
      <w:r>
        <w:rPr>
          <w:rFonts w:ascii="Calibri" w:cs="Calibri" w:eastAsia="Calibri" w:hAnsi="Calibri"/>
          <w:sz w:val="20"/>
          <w:szCs w:val="20"/>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SCHEDULE 13D</w:t>
      </w:r>
    </w:p>
    <w:p>
      <w:pPr>
        <w:jc w:val="center"/>
        <w:spacing w:after="0" w:line="235" w:lineRule="auto"/>
        <w:rPr>
          <w:sz w:val="20"/>
          <w:szCs w:val="20"/>
          <w:color w:val="auto"/>
        </w:rPr>
      </w:pPr>
      <w:r>
        <w:rPr>
          <w:rFonts w:ascii="Calibri" w:cs="Calibri" w:eastAsia="Calibri" w:hAnsi="Calibri"/>
          <w:sz w:val="18"/>
          <w:szCs w:val="18"/>
          <w:b w:val="1"/>
          <w:bCs w:val="1"/>
          <w:color w:val="auto"/>
        </w:rPr>
        <w:t>(RULE 13D - 101)</w:t>
      </w:r>
    </w:p>
    <w:p>
      <w:pPr>
        <w:spacing w:after="0" w:line="206"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INFORMATION TO BE INCLUDED IN STATEMENTS FILED PURSUANT TO 13d-1(a) AND</w:t>
      </w:r>
    </w:p>
    <w:p>
      <w:pPr>
        <w:jc w:val="center"/>
        <w:spacing w:after="0" w:line="238" w:lineRule="auto"/>
        <w:rPr>
          <w:sz w:val="20"/>
          <w:szCs w:val="20"/>
          <w:color w:val="auto"/>
        </w:rPr>
      </w:pPr>
      <w:r>
        <w:rPr>
          <w:rFonts w:ascii="Calibri" w:cs="Calibri" w:eastAsia="Calibri" w:hAnsi="Calibri"/>
          <w:sz w:val="20"/>
          <w:szCs w:val="20"/>
          <w:b w:val="1"/>
          <w:bCs w:val="1"/>
          <w:color w:val="auto"/>
        </w:rPr>
        <w:t>AMENDMENTS THERETO FILED PURSUANT TO 13d-2(a)</w:t>
      </w:r>
    </w:p>
    <w:p>
      <w:pPr>
        <w:spacing w:after="0" w:line="209"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(Amendment No. 4)*</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Tango Therapeutcs,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(Name of Issuer)</w:t>
      </w:r>
    </w:p>
    <w:p>
      <w:pPr>
        <w:spacing w:after="0" w:line="212"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Common Stock, $0.001 par value per share</w:t>
      </w:r>
    </w:p>
    <w:p>
      <w:pPr>
        <w:jc w:val="center"/>
        <w:spacing w:after="0" w:line="235" w:lineRule="auto"/>
        <w:rPr>
          <w:sz w:val="20"/>
          <w:szCs w:val="20"/>
          <w:color w:val="auto"/>
        </w:rPr>
      </w:pPr>
      <w:r>
        <w:rPr>
          <w:rFonts w:ascii="Calibri" w:cs="Calibri" w:eastAsia="Calibri" w:hAnsi="Calibri"/>
          <w:sz w:val="18"/>
          <w:szCs w:val="18"/>
          <w:color w:val="auto"/>
        </w:rPr>
        <w:t>(Title of Class of Securites)</w:t>
      </w:r>
    </w:p>
    <w:p>
      <w:pPr>
        <w:spacing w:after="0" w:line="213"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(CUSIP Number)</w:t>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Josh La Grange</w:t>
      </w:r>
    </w:p>
    <w:p>
      <w:pPr>
        <w:jc w:val="center"/>
        <w:spacing w:after="0" w:line="235" w:lineRule="auto"/>
        <w:rPr>
          <w:sz w:val="20"/>
          <w:szCs w:val="20"/>
          <w:color w:val="auto"/>
        </w:rPr>
      </w:pPr>
      <w:r>
        <w:rPr>
          <w:rFonts w:ascii="Calibri" w:cs="Calibri" w:eastAsia="Calibri" w:hAnsi="Calibri"/>
          <w:sz w:val="18"/>
          <w:szCs w:val="18"/>
          <w:color w:val="auto"/>
        </w:rPr>
        <w:t>Fried, Frank, Harris, Shriver &amp; Jacobson LLP</w:t>
      </w:r>
    </w:p>
    <w:p>
      <w:pPr>
        <w:jc w:val="center"/>
        <w:spacing w:after="0" w:line="236" w:lineRule="auto"/>
        <w:rPr>
          <w:sz w:val="20"/>
          <w:szCs w:val="20"/>
          <w:color w:val="auto"/>
        </w:rPr>
      </w:pPr>
      <w:r>
        <w:rPr>
          <w:rFonts w:ascii="Calibri" w:cs="Calibri" w:eastAsia="Calibri" w:hAnsi="Calibri"/>
          <w:sz w:val="18"/>
          <w:szCs w:val="18"/>
          <w:color w:val="auto"/>
        </w:rPr>
        <w:t>801 17th Street, NW, Washington, DC 20006</w:t>
      </w:r>
    </w:p>
    <w:p>
      <w:pPr>
        <w:jc w:val="center"/>
        <w:spacing w:after="0" w:line="236" w:lineRule="auto"/>
        <w:rPr>
          <w:sz w:val="20"/>
          <w:szCs w:val="20"/>
          <w:color w:val="auto"/>
        </w:rPr>
      </w:pPr>
      <w:r>
        <w:rPr>
          <w:rFonts w:ascii="Calibri" w:cs="Calibri" w:eastAsia="Calibri" w:hAnsi="Calibri"/>
          <w:sz w:val="18"/>
          <w:szCs w:val="18"/>
          <w:color w:val="auto"/>
        </w:rPr>
        <w:t>202-639-7497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4"/>
          <w:szCs w:val="24"/>
          <w:color w:val="auto"/>
        </w:rPr>
      </w:pPr>
    </w:p>
    <w:p>
      <w:pPr>
        <w:ind w:left="3860"/>
        <w:spacing w:after="0"/>
        <w:rPr>
          <w:sz w:val="20"/>
          <w:szCs w:val="20"/>
          <w:color w:val="auto"/>
        </w:rPr>
      </w:pPr>
      <w:r>
        <w:rPr>
          <w:rFonts w:ascii="Calibri" w:cs="Calibri" w:eastAsia="Calibri" w:hAnsi="Calibri"/>
          <w:sz w:val="18"/>
          <w:szCs w:val="18"/>
          <w:color w:val="auto"/>
        </w:rPr>
        <w:t>(Name, Address and Telephone Number of Person</w:t>
      </w:r>
    </w:p>
    <w:p>
      <w:pPr>
        <w:spacing w:after="0" w:line="23" w:lineRule="exact"/>
        <w:rPr>
          <w:sz w:val="24"/>
          <w:szCs w:val="24"/>
          <w:color w:val="auto"/>
        </w:rPr>
      </w:pPr>
    </w:p>
    <w:p>
      <w:pPr>
        <w:ind w:left="3760"/>
        <w:spacing w:after="0"/>
        <w:rPr>
          <w:sz w:val="20"/>
          <w:szCs w:val="20"/>
          <w:color w:val="auto"/>
        </w:rPr>
      </w:pPr>
      <w:r>
        <w:rPr>
          <w:rFonts w:ascii="Calibri" w:cs="Calibri" w:eastAsia="Calibri" w:hAnsi="Calibri"/>
          <w:sz w:val="18"/>
          <w:szCs w:val="18"/>
          <w:color w:val="auto"/>
        </w:rPr>
        <w:t>Authorized to Receive Notces and Communicatons)</w:t>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October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color w:val="auto"/>
        </w:rPr>
        <w:t>(Date of Event which Requires Filing of this Statement)</w:t>
      </w:r>
    </w:p>
    <w:p>
      <w:pPr>
        <w:spacing w:after="0" w:line="244" w:lineRule="exact"/>
        <w:rPr>
          <w:sz w:val="24"/>
          <w:szCs w:val="24"/>
          <w:color w:val="auto"/>
        </w:rPr>
      </w:pPr>
    </w:p>
    <w:p>
      <w:pPr>
        <w:spacing w:after="0" w:line="241" w:lineRule="exact"/>
        <w:rPr>
          <w:sz w:val="20"/>
          <w:szCs w:val="20"/>
          <w:color w:val="auto"/>
        </w:rPr>
      </w:pPr>
      <w:r>
        <w:rPr>
          <w:rFonts w:ascii="Calibri" w:cs="Calibri" w:eastAsia="Calibri" w:hAnsi="Calibri"/>
          <w:sz w:val="18"/>
          <w:szCs w:val="18"/>
          <w:color w:val="auto"/>
        </w:rPr>
        <w:t xml:space="preserve">If the fling person has previously fled a statement on Schedule 13G to report the acquisiton that is the subject of this Schedule 13D, and is fling this schedule because of §§240.13d-1(e), 240.13d-1(f) or 240.13d-1(g), check the following box </w:t>
      </w:r>
      <w:r>
        <w:rPr>
          <w:rFonts w:ascii="MS PGothic" w:cs="MS PGothic" w:eastAsia="MS PGothic" w:hAnsi="MS PGothic"/>
          <w:sz w:val="18"/>
          <w:szCs w:val="18"/>
          <w:color w:val="auto"/>
        </w:rPr>
        <w:t>☐</w:t>
      </w:r>
      <w:r>
        <w:rPr>
          <w:rFonts w:ascii="Calibri" w:cs="Calibri" w:eastAsia="Calibri" w:hAnsi="Calibri"/>
          <w:sz w:val="18"/>
          <w:szCs w:val="18"/>
          <w:color w:val="auto"/>
        </w:rPr>
        <w:t>.</w:t>
      </w:r>
    </w:p>
    <w:p>
      <w:pPr>
        <w:spacing w:after="0" w:line="180" w:lineRule="exact"/>
        <w:rPr>
          <w:sz w:val="24"/>
          <w:szCs w:val="24"/>
          <w:color w:val="auto"/>
        </w:rPr>
      </w:pPr>
    </w:p>
    <w:p>
      <w:pPr>
        <w:spacing w:after="0" w:line="235" w:lineRule="auto"/>
        <w:rPr>
          <w:sz w:val="20"/>
          <w:szCs w:val="20"/>
          <w:color w:val="auto"/>
        </w:rPr>
      </w:pPr>
      <w:r>
        <w:rPr>
          <w:rFonts w:ascii="Calibri" w:cs="Calibri" w:eastAsia="Calibri" w:hAnsi="Calibri"/>
          <w:sz w:val="18"/>
          <w:szCs w:val="18"/>
          <w:b w:val="1"/>
          <w:bCs w:val="1"/>
          <w:color w:val="auto"/>
        </w:rPr>
        <w:t>Note</w:t>
      </w:r>
      <w:r>
        <w:rPr>
          <w:rFonts w:ascii="Calibri" w:cs="Calibri" w:eastAsia="Calibri" w:hAnsi="Calibri"/>
          <w:sz w:val="18"/>
          <w:szCs w:val="18"/>
          <w:color w:val="auto"/>
        </w:rPr>
        <w:t>: Schedules fled in paper format shall include a signed original and fve copies of the schedule, including all exhibits. See §240.13d-7 for other partes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whom copies are to be sent.</w:t>
      </w:r>
    </w:p>
    <w:p>
      <w:pPr>
        <w:spacing w:after="0" w:line="218" w:lineRule="exact"/>
        <w:rPr>
          <w:sz w:val="24"/>
          <w:szCs w:val="24"/>
          <w:color w:val="auto"/>
        </w:rPr>
      </w:pPr>
    </w:p>
    <w:p>
      <w:pPr>
        <w:ind w:firstLine="8"/>
        <w:spacing w:after="0" w:line="235" w:lineRule="auto"/>
        <w:tabs>
          <w:tab w:leader="none" w:pos="111" w:val="left"/>
        </w:tabs>
        <w:numPr>
          <w:ilvl w:val="0"/>
          <w:numId w:val="1"/>
        </w:numPr>
        <w:rPr>
          <w:rFonts w:ascii="Calibri" w:cs="Calibri" w:eastAsia="Calibri" w:hAnsi="Calibri"/>
          <w:sz w:val="15"/>
          <w:szCs w:val="15"/>
          <w:color w:val="auto"/>
        </w:rPr>
      </w:pPr>
      <w:r>
        <w:rPr>
          <w:rFonts w:ascii="Calibri" w:cs="Calibri" w:eastAsia="Calibri" w:hAnsi="Calibri"/>
          <w:sz w:val="18"/>
          <w:szCs w:val="18"/>
          <w:color w:val="auto"/>
        </w:rPr>
        <w:t>The remainder of this cover page shall be flled out for a reportng person's inital fling on this form with respect to the subject class of securites, and for any subsequent amendment containing informaton which would alter disclosures provided in a prior cover page.</w:t>
      </w:r>
    </w:p>
    <w:p>
      <w:pPr>
        <w:spacing w:after="0" w:line="218" w:lineRule="exact"/>
        <w:rPr>
          <w:sz w:val="24"/>
          <w:szCs w:val="24"/>
          <w:color w:val="auto"/>
        </w:rPr>
      </w:pPr>
    </w:p>
    <w:p>
      <w:pPr>
        <w:spacing w:after="0" w:line="258" w:lineRule="auto"/>
        <w:rPr>
          <w:sz w:val="20"/>
          <w:szCs w:val="20"/>
          <w:color w:val="auto"/>
        </w:rPr>
      </w:pPr>
      <w:r>
        <w:rPr>
          <w:rFonts w:ascii="Calibri" w:cs="Calibri" w:eastAsia="Calibri" w:hAnsi="Calibri"/>
          <w:sz w:val="17"/>
          <w:szCs w:val="17"/>
          <w:color w:val="auto"/>
        </w:rPr>
        <w:t>The informaton required on the remainder of this cover page shall not be deemed to be "fled" for the purpose of Secton 18 of the Securites Exchange Act of 1934 ("Act") or otherwise subject to the liabilites of that secton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CUSIP No. 87583X109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Calibri" w:cs="Calibri" w:eastAsia="Calibri" w:hAnsi="Calibri"/>
                <w:sz w:val="18"/>
                <w:szCs w:val="18"/>
                <w:color w:val="auto"/>
              </w:rPr>
              <w:t>Boxer Asset Management Inc.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93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Bahamas</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jc w:val="right"/>
              <w:ind w:right="773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jc w:val="right"/>
              <w:ind w:right="773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0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right w:val="single" w:sz="8" w:color="auto"/>
            </w:tcBorders>
            <w:vMerge w:val="continue"/>
          </w:tcPr>
          <w:p>
            <w:pPr>
              <w:spacing w:after="0"/>
              <w:rPr>
                <w:sz w:val="16"/>
                <w:szCs w:val="16"/>
                <w:color w:val="auto"/>
              </w:rPr>
            </w:pPr>
          </w:p>
        </w:tc>
        <w:tc>
          <w:tcPr>
            <w:tcW w:w="8000" w:type="dxa"/>
            <w:vAlign w:val="bottom"/>
          </w:tcPr>
          <w:p>
            <w:pPr>
              <w:jc w:val="right"/>
              <w:ind w:right="773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jc w:val="right"/>
              <w:ind w:right="773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color w:val="auto"/>
        </w:rPr>
        <w:t>CUSIP No. 87583X109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vMerge w:val="restart"/>
          </w:tcPr>
          <w:p>
            <w:pPr>
              <w:ind w:left="40"/>
              <w:spacing w:after="0"/>
              <w:rPr>
                <w:sz w:val="20"/>
                <w:szCs w:val="20"/>
                <w:color w:val="auto"/>
              </w:rPr>
            </w:pPr>
            <w:r>
              <w:rPr>
                <w:rFonts w:ascii="Calibri" w:cs="Calibri" w:eastAsia="Calibri" w:hAnsi="Calibri"/>
                <w:sz w:val="18"/>
                <w:szCs w:val="18"/>
                <w:color w:val="auto"/>
              </w:rPr>
              <w:t>Braslyn Ltd.</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Bahamas</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21"/>
                <w:szCs w:val="21"/>
                <w:color w:val="auto"/>
              </w:rPr>
            </w:pPr>
          </w:p>
        </w:tc>
        <w:tc>
          <w:tcPr>
            <w:tcW w:w="580" w:type="dxa"/>
            <w:vAlign w:val="bottom"/>
            <w:tcBorders>
              <w:right w:val="single" w:sz="8" w:color="auto"/>
            </w:tcBorders>
            <w:vMerge w:val="continue"/>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4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000" w:type="dxa"/>
            <w:vAlign w:val="bottom"/>
          </w:tcPr>
          <w:p>
            <w:pPr>
              <w:ind w:left="40"/>
              <w:spacing w:after="0" w:line="201" w:lineRule="exact"/>
              <w:rPr>
                <w:sz w:val="20"/>
                <w:szCs w:val="20"/>
                <w:color w:val="auto"/>
              </w:rPr>
            </w:pPr>
            <w:r>
              <w:rPr>
                <w:rFonts w:ascii="Calibri" w:cs="Calibri" w:eastAsia="Calibri" w:hAnsi="Calibri"/>
                <w:sz w:val="18"/>
                <w:szCs w:val="18"/>
                <w:color w:val="auto"/>
              </w:rPr>
              <w:t>26,961</w:t>
            </w: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0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1400" w:type="dxa"/>
            <w:vAlign w:val="bottom"/>
            <w:tcBorders>
              <w:left w:val="single" w:sz="8" w:color="auto"/>
            </w:tcBorders>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Calibri" w:cs="Calibri" w:eastAsia="Calibri" w:hAnsi="Calibri"/>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00" w:type="dxa"/>
            <w:vAlign w:val="bottom"/>
            <w:tcBorders>
              <w:lef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8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26,961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Calibri" w:cs="Calibri" w:eastAsia="Calibri" w:hAnsi="Calibri"/>
                <w:sz w:val="18"/>
                <w:szCs w:val="18"/>
                <w:color w:val="auto"/>
              </w:rPr>
              <w:t>26,961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8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Less than 0.1%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b w:val="1"/>
          <w:bCs w:val="1"/>
          <w:color w:val="auto"/>
        </w:rPr>
        <w:t>CUSIP No. 87583X109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Joe Lewis</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vMerge w:val="restart"/>
          </w:tcPr>
          <w:p>
            <w:pPr>
              <w:ind w:left="40"/>
              <w:spacing w:after="0"/>
              <w:rPr>
                <w:sz w:val="20"/>
                <w:szCs w:val="20"/>
                <w:color w:val="auto"/>
              </w:rPr>
            </w:pPr>
            <w:r>
              <w:rPr>
                <w:rFonts w:ascii="Calibri" w:cs="Calibri" w:eastAsia="Calibri" w:hAnsi="Calibri"/>
                <w:sz w:val="18"/>
                <w:szCs w:val="18"/>
                <w:color w:val="auto"/>
              </w:rPr>
              <w:t>United Kingdom</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21"/>
                <w:szCs w:val="21"/>
                <w:color w:val="auto"/>
              </w:rPr>
            </w:pPr>
          </w:p>
        </w:tc>
        <w:tc>
          <w:tcPr>
            <w:tcW w:w="560" w:type="dxa"/>
            <w:vAlign w:val="bottom"/>
            <w:tcBorders>
              <w:right w:val="single" w:sz="8" w:color="auto"/>
            </w:tcBorders>
            <w:vMerge w:val="continue"/>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4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000" w:type="dxa"/>
            <w:vAlign w:val="bottom"/>
          </w:tcPr>
          <w:p>
            <w:pPr>
              <w:ind w:left="40"/>
              <w:spacing w:after="0" w:line="201" w:lineRule="exact"/>
              <w:rPr>
                <w:sz w:val="20"/>
                <w:szCs w:val="20"/>
                <w:color w:val="auto"/>
              </w:rPr>
            </w:pPr>
            <w:r>
              <w:rPr>
                <w:rFonts w:ascii="Calibri" w:cs="Calibri" w:eastAsia="Calibri" w:hAnsi="Calibri"/>
                <w:sz w:val="18"/>
                <w:szCs w:val="18"/>
                <w:color w:val="auto"/>
              </w:rPr>
              <w:t>26,961</w:t>
            </w: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26,961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rPr>
              <w:t>26,961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vMerge w:val="restart"/>
          </w:tcPr>
          <w:p>
            <w:pPr>
              <w:ind w:left="40"/>
              <w:spacing w:after="0"/>
              <w:rPr>
                <w:sz w:val="20"/>
                <w:szCs w:val="20"/>
                <w:color w:val="auto"/>
              </w:rPr>
            </w:pPr>
            <w:r>
              <w:rPr>
                <w:rFonts w:ascii="Calibri" w:cs="Calibri" w:eastAsia="Calibri" w:hAnsi="Calibri"/>
                <w:sz w:val="18"/>
                <w:szCs w:val="18"/>
                <w:color w:val="auto"/>
              </w:rPr>
              <w:t>Less than 0.1%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4" w:name="page5"/>
    <w:bookmarkEnd w:id="4"/>
    <w:p>
      <w:pPr>
        <w:jc w:val="both"/>
        <w:ind w:right="60" w:firstLine="648"/>
        <w:spacing w:after="0" w:line="237" w:lineRule="auto"/>
        <w:rPr>
          <w:sz w:val="20"/>
          <w:szCs w:val="20"/>
          <w:color w:val="auto"/>
        </w:rPr>
      </w:pPr>
      <w:r>
        <w:rPr>
          <w:rFonts w:ascii="Calibri" w:cs="Calibri" w:eastAsia="Calibri" w:hAnsi="Calibri"/>
          <w:sz w:val="18"/>
          <w:szCs w:val="18"/>
          <w:color w:val="auto"/>
        </w:rPr>
        <w:t>With respect to Joe Lewis, Braslyn Ltd. (“</w:t>
      </w:r>
      <w:r>
        <w:rPr>
          <w:rFonts w:ascii="Calibri" w:cs="Calibri" w:eastAsia="Calibri" w:hAnsi="Calibri"/>
          <w:sz w:val="18"/>
          <w:szCs w:val="18"/>
          <w:u w:val="single" w:color="auto"/>
          <w:color w:val="auto"/>
        </w:rPr>
        <w:t>Braslyn</w:t>
      </w:r>
      <w:r>
        <w:rPr>
          <w:rFonts w:ascii="Calibri" w:cs="Calibri" w:eastAsia="Calibri" w:hAnsi="Calibri"/>
          <w:sz w:val="18"/>
          <w:szCs w:val="18"/>
          <w:color w:val="auto"/>
        </w:rPr>
        <w:t>”) and Boxer Asset Management Inc. (“</w:t>
      </w:r>
      <w:r>
        <w:rPr>
          <w:rFonts w:ascii="Calibri" w:cs="Calibri" w:eastAsia="Calibri" w:hAnsi="Calibri"/>
          <w:sz w:val="18"/>
          <w:szCs w:val="18"/>
          <w:u w:val="single" w:color="auto"/>
          <w:color w:val="auto"/>
        </w:rPr>
        <w:t>Boxer Management</w:t>
      </w:r>
      <w:r>
        <w:rPr>
          <w:rFonts w:ascii="Calibri" w:cs="Calibri" w:eastAsia="Calibri" w:hAnsi="Calibri"/>
          <w:sz w:val="18"/>
          <w:szCs w:val="18"/>
          <w:color w:val="auto"/>
        </w:rPr>
        <w:t>,” and together with Mr. Lewis and Braslyn, the “</w:t>
      </w:r>
      <w:r>
        <w:rPr>
          <w:rFonts w:ascii="Calibri" w:cs="Calibri" w:eastAsia="Calibri" w:hAnsi="Calibri"/>
          <w:sz w:val="18"/>
          <w:szCs w:val="18"/>
          <w:u w:val="single" w:color="auto"/>
          <w:color w:val="auto"/>
        </w:rPr>
        <w:t>Reportng Persons</w:t>
      </w:r>
      <w:r>
        <w:rPr>
          <w:rFonts w:ascii="Calibri" w:cs="Calibri" w:eastAsia="Calibri" w:hAnsi="Calibri"/>
          <w:sz w:val="18"/>
          <w:szCs w:val="18"/>
          <w:color w:val="auto"/>
        </w:rPr>
        <w:t>”), this amendment (this “</w:t>
      </w:r>
      <w:r>
        <w:rPr>
          <w:rFonts w:ascii="Calibri" w:cs="Calibri" w:eastAsia="Calibri" w:hAnsi="Calibri"/>
          <w:sz w:val="18"/>
          <w:szCs w:val="18"/>
          <w:u w:val="single" w:color="auto"/>
          <w:color w:val="auto"/>
        </w:rPr>
        <w:t>Amendment No. 4</w:t>
      </w:r>
      <w:r>
        <w:rPr>
          <w:rFonts w:ascii="Calibri" w:cs="Calibri" w:eastAsia="Calibri" w:hAnsi="Calibri"/>
          <w:sz w:val="18"/>
          <w:szCs w:val="18"/>
          <w:color w:val="auto"/>
        </w:rPr>
        <w:t>”) further amends and supplements the statement on Schedule 13D fled on August 20, 2021 (the “</w:t>
      </w:r>
      <w:r>
        <w:rPr>
          <w:rFonts w:ascii="Calibri" w:cs="Calibri" w:eastAsia="Calibri" w:hAnsi="Calibri"/>
          <w:sz w:val="18"/>
          <w:szCs w:val="18"/>
          <w:u w:val="single" w:color="auto"/>
          <w:color w:val="auto"/>
        </w:rPr>
        <w:t>Original Filing</w:t>
      </w:r>
      <w:r>
        <w:rPr>
          <w:rFonts w:ascii="Calibri" w:cs="Calibri" w:eastAsia="Calibri" w:hAnsi="Calibri"/>
          <w:sz w:val="18"/>
          <w:szCs w:val="18"/>
          <w:color w:val="auto"/>
        </w:rPr>
        <w:t>”) by BCTG Holdings, LLC (“</w:t>
      </w:r>
      <w:r>
        <w:rPr>
          <w:rFonts w:ascii="Calibri" w:cs="Calibri" w:eastAsia="Calibri" w:hAnsi="Calibri"/>
          <w:sz w:val="18"/>
          <w:szCs w:val="18"/>
          <w:u w:val="single" w:color="auto"/>
          <w:color w:val="auto"/>
        </w:rPr>
        <w:t>BCTG Holdings</w:t>
      </w:r>
      <w:r>
        <w:rPr>
          <w:rFonts w:ascii="Calibri" w:cs="Calibri" w:eastAsia="Calibri" w:hAnsi="Calibri"/>
          <w:sz w:val="18"/>
          <w:szCs w:val="18"/>
          <w:color w:val="auto"/>
        </w:rPr>
        <w:t>”), Boxer Capital, LLC (“</w:t>
      </w:r>
      <w:r>
        <w:rPr>
          <w:rFonts w:ascii="Calibri" w:cs="Calibri" w:eastAsia="Calibri" w:hAnsi="Calibri"/>
          <w:sz w:val="18"/>
          <w:szCs w:val="18"/>
          <w:u w:val="single" w:color="auto"/>
          <w:color w:val="auto"/>
        </w:rPr>
        <w:t>Boxer Capital</w:t>
      </w:r>
      <w:r>
        <w:rPr>
          <w:rFonts w:ascii="Calibri" w:cs="Calibri" w:eastAsia="Calibri" w:hAnsi="Calibri"/>
          <w:sz w:val="18"/>
          <w:szCs w:val="18"/>
          <w:color w:val="auto"/>
        </w:rPr>
        <w:t>”), Boxer Management, MVA Investors, LLC (“</w:t>
      </w:r>
      <w:r>
        <w:rPr>
          <w:rFonts w:ascii="Calibri" w:cs="Calibri" w:eastAsia="Calibri" w:hAnsi="Calibri"/>
          <w:sz w:val="18"/>
          <w:szCs w:val="18"/>
          <w:u w:val="single" w:color="auto"/>
          <w:color w:val="auto"/>
        </w:rPr>
        <w:t>MVA Investors</w:t>
      </w:r>
      <w:r>
        <w:rPr>
          <w:rFonts w:ascii="Calibri" w:cs="Calibri" w:eastAsia="Calibri" w:hAnsi="Calibri"/>
          <w:sz w:val="18"/>
          <w:szCs w:val="18"/>
          <w:color w:val="auto"/>
        </w:rPr>
        <w:t>”), Aaron I. Davis and Mr. Lewis with respect to the Common Stock, par value $0.001 (the “</w:t>
      </w:r>
      <w:r>
        <w:rPr>
          <w:rFonts w:ascii="Calibri" w:cs="Calibri" w:eastAsia="Calibri" w:hAnsi="Calibri"/>
          <w:sz w:val="18"/>
          <w:szCs w:val="18"/>
          <w:u w:val="single" w:color="auto"/>
          <w:color w:val="auto"/>
        </w:rPr>
        <w:t>Common Stock</w:t>
      </w:r>
      <w:r>
        <w:rPr>
          <w:rFonts w:ascii="Calibri" w:cs="Calibri" w:eastAsia="Calibri" w:hAnsi="Calibri"/>
          <w:sz w:val="18"/>
          <w:szCs w:val="18"/>
          <w:color w:val="auto"/>
        </w:rPr>
        <w:t>”) of Tango Therapeutcs, Inc. (the “</w:t>
      </w:r>
      <w:r>
        <w:rPr>
          <w:rFonts w:ascii="Calibri" w:cs="Calibri" w:eastAsia="Calibri" w:hAnsi="Calibri"/>
          <w:sz w:val="18"/>
          <w:szCs w:val="18"/>
          <w:u w:val="single" w:color="auto"/>
          <w:color w:val="auto"/>
        </w:rPr>
        <w:t>Issuer</w:t>
      </w:r>
      <w:r>
        <w:rPr>
          <w:rFonts w:ascii="Calibri" w:cs="Calibri" w:eastAsia="Calibri" w:hAnsi="Calibri"/>
          <w:sz w:val="18"/>
          <w:szCs w:val="18"/>
          <w:color w:val="auto"/>
        </w:rPr>
        <w:t>”), as previously amended and fled on January 4, 2022 (“</w:t>
      </w:r>
      <w:r>
        <w:rPr>
          <w:rFonts w:ascii="Calibri" w:cs="Calibri" w:eastAsia="Calibri" w:hAnsi="Calibri"/>
          <w:sz w:val="18"/>
          <w:szCs w:val="18"/>
          <w:u w:val="single" w:color="auto"/>
          <w:color w:val="auto"/>
        </w:rPr>
        <w:t>Amendment No. 1</w:t>
      </w:r>
      <w:r>
        <w:rPr>
          <w:rFonts w:ascii="Calibri" w:cs="Calibri" w:eastAsia="Calibri" w:hAnsi="Calibri"/>
          <w:sz w:val="18"/>
          <w:szCs w:val="18"/>
          <w:color w:val="auto"/>
        </w:rPr>
        <w:t>”), August 16, 2023 (“</w:t>
      </w:r>
      <w:r>
        <w:rPr>
          <w:rFonts w:ascii="Calibri" w:cs="Calibri" w:eastAsia="Calibri" w:hAnsi="Calibri"/>
          <w:sz w:val="18"/>
          <w:szCs w:val="18"/>
          <w:u w:val="single" w:color="auto"/>
          <w:color w:val="auto"/>
        </w:rPr>
        <w:t>Amendment No. 2</w:t>
      </w:r>
      <w:r>
        <w:rPr>
          <w:rFonts w:ascii="Calibri" w:cs="Calibri" w:eastAsia="Calibri" w:hAnsi="Calibri"/>
          <w:sz w:val="18"/>
          <w:szCs w:val="18"/>
          <w:color w:val="auto"/>
        </w:rPr>
        <w:t>”) and October 18, 2023 (“</w:t>
      </w:r>
      <w:r>
        <w:rPr>
          <w:rFonts w:ascii="Calibri" w:cs="Calibri" w:eastAsia="Calibri" w:hAnsi="Calibri"/>
          <w:sz w:val="18"/>
          <w:szCs w:val="18"/>
          <w:u w:val="single" w:color="auto"/>
          <w:color w:val="auto"/>
        </w:rPr>
        <w:t>Amendment No. 3</w:t>
      </w:r>
      <w:r>
        <w:rPr>
          <w:rFonts w:ascii="Calibri" w:cs="Calibri" w:eastAsia="Calibri" w:hAnsi="Calibri"/>
          <w:sz w:val="18"/>
          <w:szCs w:val="18"/>
          <w:color w:val="auto"/>
        </w:rPr>
        <w:t>”). Amendment No. 1 was an original fling for Braslyn. On October 10, 2024, Boxer Capital entered into an investment management agreement (the “</w:t>
      </w:r>
      <w:r>
        <w:rPr>
          <w:rFonts w:ascii="Calibri" w:cs="Calibri" w:eastAsia="Calibri" w:hAnsi="Calibri"/>
          <w:sz w:val="18"/>
          <w:szCs w:val="18"/>
          <w:u w:val="single" w:color="auto"/>
          <w:color w:val="auto"/>
        </w:rPr>
        <w:t>IMA</w:t>
      </w:r>
      <w:r>
        <w:rPr>
          <w:rFonts w:ascii="Calibri" w:cs="Calibri" w:eastAsia="Calibri" w:hAnsi="Calibri"/>
          <w:sz w:val="18"/>
          <w:szCs w:val="18"/>
          <w:color w:val="auto"/>
        </w:rPr>
        <w:t>”) with Boxer Capital Management LLC (“</w:t>
      </w:r>
      <w:r>
        <w:rPr>
          <w:rFonts w:ascii="Calibri" w:cs="Calibri" w:eastAsia="Calibri" w:hAnsi="Calibri"/>
          <w:sz w:val="18"/>
          <w:szCs w:val="18"/>
          <w:u w:val="single" w:color="auto"/>
          <w:color w:val="auto"/>
        </w:rPr>
        <w:t>BCM</w:t>
      </w:r>
      <w:r>
        <w:rPr>
          <w:rFonts w:ascii="Calibri" w:cs="Calibri" w:eastAsia="Calibri" w:hAnsi="Calibri"/>
          <w:sz w:val="18"/>
          <w:szCs w:val="18"/>
          <w:color w:val="auto"/>
        </w:rPr>
        <w:t>”), a registered investment advisor controlled by Mr. Davis. Pursuant to the IMA, Boxer Capital has delegated exclusive votng and investment power over its investment portolio to BCM. Consequently, BCM has acquired benefcial ownership of the securites held in Boxer Capital’s investment portolio and, without refectng any change in its economic interest in such securites, Boxer Capital has thereby ceased to benefcially own the securites held in its investment portolio, including shares of Common Stock. Consequently, each of Boxer Management and Mr. Lewis has ceased to benefcially own the securites held in Boxer Capital’s investment portolio. Capitalized terms used herein but not defned herein shall have the respectve meanings defned in the Original Filing, as previously amended. The Original Filing, as previously amended, is further amended hereby only as specifcally set forth herein, provided that with respect to any Item amended herein, if such Item is incorporated by reference into any other Item in the Original Filing, as previously amended, such incorporaton by reference is also amended hereby. The Reportng Persons report herein that they have ceased to benefcially own more than 5% of the outstanding shares of Common Stock. On or about the day of this fling, Boxer Capital, MVA Investors, BCTG Holdings and Mr. Davis are independently amending the Original Filing with respect to themselves, which fling is being joined by BCM; see that fling for any required informaton pertaining to any of them.</w:t>
      </w:r>
    </w:p>
    <w:p>
      <w:pPr>
        <w:spacing w:after="0" w:line="221" w:lineRule="exact"/>
        <w:rPr>
          <w:sz w:val="20"/>
          <w:szCs w:val="20"/>
          <w:color w:val="auto"/>
        </w:rPr>
      </w:pPr>
    </w:p>
    <w:p>
      <w:pPr>
        <w:spacing w:after="0"/>
        <w:tabs>
          <w:tab w:leader="none" w:pos="900" w:val="left"/>
        </w:tabs>
        <w:rPr>
          <w:sz w:val="20"/>
          <w:szCs w:val="20"/>
          <w:color w:val="auto"/>
        </w:rPr>
      </w:pPr>
      <w:r>
        <w:rPr>
          <w:rFonts w:ascii="Calibri" w:cs="Calibri" w:eastAsia="Calibri" w:hAnsi="Calibri"/>
          <w:sz w:val="18"/>
          <w:szCs w:val="18"/>
          <w:b w:val="1"/>
          <w:bCs w:val="1"/>
          <w:color w:val="auto"/>
        </w:rPr>
        <w:t>Item 2.</w:t>
      </w:r>
      <w:r>
        <w:rPr>
          <w:sz w:val="20"/>
          <w:szCs w:val="20"/>
          <w:color w:val="auto"/>
        </w:rPr>
        <w:tab/>
      </w:r>
      <w:r>
        <w:rPr>
          <w:rFonts w:ascii="Calibri" w:cs="Calibri" w:eastAsia="Calibri" w:hAnsi="Calibri"/>
          <w:sz w:val="17"/>
          <w:szCs w:val="17"/>
          <w:b w:val="1"/>
          <w:bCs w:val="1"/>
          <w:color w:val="auto"/>
        </w:rPr>
        <w:t>Identty and Background.</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Item 2 is hereby amended and restated to read as follows:</w:t>
      </w:r>
    </w:p>
    <w:p>
      <w:pPr>
        <w:spacing w:after="0" w:line="212"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This Schedule 13D is jointly fled by Boxer Management, Braslyn and Mr. Lewis.</w:t>
      </w:r>
    </w:p>
    <w:p>
      <w:pPr>
        <w:spacing w:after="0" w:line="217"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Boxer Management, a Bahamian internatonal business company, is the managing member and majority owner of Boxer Capital, a limited liability company organized under the laws of Delaware. Braslyn is a corporaton organized under the laws of the Bahamas. Mr. Lewis is the sole indirect owner of and controls Boxer Management and Braslyn. Each of Boxer Management and Braslyn are primarily engaged in the business of investng in securites. Mr. Lewis is a citzen of the United Kingdom and his present principal occupaton or employment is engaging in business as a private investor including through the investments of Boxer Capital and Braslyn.</w:t>
      </w:r>
    </w:p>
    <w:p>
      <w:pPr>
        <w:spacing w:after="0" w:line="220"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The address of each of Boxer Management, Braslyn and Mr. Lewis for purposes of this fling is: Albany Financial Center, Suite 207, Lewis Drive, N7776, New Providence, Bahamas.</w:t>
      </w:r>
    </w:p>
    <w:p>
      <w:pPr>
        <w:spacing w:after="0" w:line="218"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 xml:space="preserve">Set forth on </w:t>
      </w:r>
      <w:r>
        <w:rPr>
          <w:rFonts w:ascii="Calibri" w:cs="Calibri" w:eastAsia="Calibri" w:hAnsi="Calibri"/>
          <w:sz w:val="18"/>
          <w:szCs w:val="18"/>
          <w:u w:val="single" w:color="auto"/>
          <w:color w:val="auto"/>
        </w:rPr>
        <w:t>Schedule A</w:t>
      </w:r>
      <w:r>
        <w:rPr>
          <w:rFonts w:ascii="Calibri" w:cs="Calibri" w:eastAsia="Calibri" w:hAnsi="Calibri"/>
          <w:sz w:val="18"/>
          <w:szCs w:val="18"/>
          <w:color w:val="auto"/>
        </w:rPr>
        <w:t>, and incorporated herein by reference, is the (a) name, (b) residence or business address, (c) present principal occupaton or employment and (d) citzenship, of each executve ofcer and director of each of Boxer Management and Braslyn, and (e) name of any corporaton or other organizaton in which such occupaton or employment is conducted, together with the principal business and address of any such corporaton or organizaton other than Boxer Management and Braslyn.</w:t>
      </w:r>
    </w:p>
    <w:p>
      <w:pPr>
        <w:spacing w:after="0" w:line="219"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 xml:space="preserve">Except as set forth on </w:t>
      </w:r>
      <w:r>
        <w:rPr>
          <w:rFonts w:ascii="Calibri" w:cs="Calibri" w:eastAsia="Calibri" w:hAnsi="Calibri"/>
          <w:sz w:val="18"/>
          <w:szCs w:val="18"/>
          <w:u w:val="single" w:color="auto"/>
          <w:color w:val="auto"/>
        </w:rPr>
        <w:t>Schedule B</w:t>
      </w:r>
      <w:r>
        <w:rPr>
          <w:rFonts w:ascii="Calibri" w:cs="Calibri" w:eastAsia="Calibri" w:hAnsi="Calibri"/>
          <w:sz w:val="18"/>
          <w:szCs w:val="18"/>
          <w:color w:val="auto"/>
        </w:rPr>
        <w:t xml:space="preserve"> to this Schedule 13D, none of the Reportng Persons nor any of the individuals identfed on </w:t>
      </w:r>
      <w:r>
        <w:rPr>
          <w:rFonts w:ascii="Calibri" w:cs="Calibri" w:eastAsia="Calibri" w:hAnsi="Calibri"/>
          <w:sz w:val="18"/>
          <w:szCs w:val="18"/>
          <w:u w:val="single" w:color="auto"/>
          <w:color w:val="auto"/>
        </w:rPr>
        <w:t>Schedule A</w:t>
      </w:r>
      <w:r>
        <w:rPr>
          <w:rFonts w:ascii="Calibri" w:cs="Calibri" w:eastAsia="Calibri" w:hAnsi="Calibri"/>
          <w:sz w:val="18"/>
          <w:szCs w:val="18"/>
          <w:color w:val="auto"/>
        </w:rPr>
        <w:t xml:space="preserve"> to this Schedule 13D has, during the past fve years, (a) been convicted in a criminal proceeding (excluding trafc violatons or similar misdemeanors), or (b) been a party to a civil proceeding of a judicial or administratve body of competent jurisdicton and as a result of such proceeding was or is subject to a judgment, decree or fnal order enjoining future violatons of, or prohibitng, or mandatng actvites subject to, federal or state securites laws or a fnding of any violaton with respect to such laws.</w:t>
      </w:r>
    </w:p>
    <w:p>
      <w:pPr>
        <w:spacing w:after="0" w:line="215" w:lineRule="exact"/>
        <w:rPr>
          <w:sz w:val="20"/>
          <w:szCs w:val="20"/>
          <w:color w:val="auto"/>
        </w:rPr>
      </w:pPr>
    </w:p>
    <w:p>
      <w:pPr>
        <w:spacing w:after="0"/>
        <w:tabs>
          <w:tab w:leader="none" w:pos="900" w:val="left"/>
        </w:tabs>
        <w:rPr>
          <w:sz w:val="20"/>
          <w:szCs w:val="20"/>
          <w:color w:val="auto"/>
        </w:rPr>
      </w:pPr>
      <w:r>
        <w:rPr>
          <w:rFonts w:ascii="Calibri" w:cs="Calibri" w:eastAsia="Calibri" w:hAnsi="Calibri"/>
          <w:sz w:val="18"/>
          <w:szCs w:val="18"/>
          <w:b w:val="1"/>
          <w:bCs w:val="1"/>
          <w:color w:val="auto"/>
        </w:rPr>
        <w:t>Item 3.</w:t>
      </w:r>
      <w:r>
        <w:rPr>
          <w:sz w:val="20"/>
          <w:szCs w:val="20"/>
          <w:color w:val="auto"/>
        </w:rPr>
        <w:tab/>
      </w:r>
      <w:r>
        <w:rPr>
          <w:rFonts w:ascii="Calibri" w:cs="Calibri" w:eastAsia="Calibri" w:hAnsi="Calibri"/>
          <w:sz w:val="17"/>
          <w:szCs w:val="17"/>
          <w:b w:val="1"/>
          <w:bCs w:val="1"/>
          <w:color w:val="auto"/>
        </w:rPr>
        <w:t>Source and Amount of Funds or Other Consideraton.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Item 3 is hereby amended by the additon of the following:</w:t>
      </w:r>
    </w:p>
    <w:p>
      <w:pPr>
        <w:spacing w:after="0" w:line="212"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disclosure set forth below in Item 4 is hereby incorporated herein.</w:t>
      </w:r>
    </w:p>
    <w:p>
      <w:pPr>
        <w:spacing w:after="0" w:line="212" w:lineRule="exact"/>
        <w:rPr>
          <w:sz w:val="20"/>
          <w:szCs w:val="20"/>
          <w:color w:val="auto"/>
        </w:rPr>
      </w:pPr>
    </w:p>
    <w:p>
      <w:pPr>
        <w:spacing w:after="0"/>
        <w:tabs>
          <w:tab w:leader="none" w:pos="900" w:val="left"/>
        </w:tabs>
        <w:rPr>
          <w:sz w:val="20"/>
          <w:szCs w:val="20"/>
          <w:color w:val="auto"/>
        </w:rPr>
      </w:pPr>
      <w:r>
        <w:rPr>
          <w:rFonts w:ascii="Calibri" w:cs="Calibri" w:eastAsia="Calibri" w:hAnsi="Calibri"/>
          <w:sz w:val="18"/>
          <w:szCs w:val="18"/>
          <w:b w:val="1"/>
          <w:bCs w:val="1"/>
          <w:color w:val="auto"/>
        </w:rPr>
        <w:t>Item 4.</w:t>
      </w:r>
      <w:r>
        <w:rPr>
          <w:sz w:val="20"/>
          <w:szCs w:val="20"/>
          <w:color w:val="auto"/>
        </w:rPr>
        <w:tab/>
      </w:r>
      <w:r>
        <w:rPr>
          <w:rFonts w:ascii="Calibri" w:cs="Calibri" w:eastAsia="Calibri" w:hAnsi="Calibri"/>
          <w:sz w:val="17"/>
          <w:szCs w:val="17"/>
          <w:b w:val="1"/>
          <w:bCs w:val="1"/>
          <w:color w:val="auto"/>
        </w:rPr>
        <w:t>Purpose of Transacton.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Item 4 is hereby amended by the additon of the following:</w:t>
      </w:r>
    </w:p>
    <w:p>
      <w:pPr>
        <w:spacing w:after="0" w:line="217"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On October 10, 2024, Boxer Management, Boxer Capital and BCM entered into the IMA, pursuant to which Boxer Capital has delegated exclusive votng and investment power over its investment portolio to BCM. Consequently, BCM has acquired benefcial ownership of the shares of Common Stock held by Boxer Capital and, without refectng any change in its economic interest in such securites, Boxer Capital has thereby ceased to benefcially own the securites held in its investment portolio, including shares of Common Stock. Consequently, each of Boxer Management and Mr. Lewis has ceased to benefcially own the securites held in Boxer Capital’s investment portolio.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spacing w:after="0"/>
        <w:tabs>
          <w:tab w:leader="none" w:pos="900" w:val="left"/>
        </w:tabs>
        <w:rPr>
          <w:sz w:val="20"/>
          <w:szCs w:val="20"/>
          <w:color w:val="auto"/>
        </w:rPr>
      </w:pPr>
      <w:r>
        <w:rPr>
          <w:rFonts w:ascii="Calibri" w:cs="Calibri" w:eastAsia="Calibri" w:hAnsi="Calibri"/>
          <w:sz w:val="18"/>
          <w:szCs w:val="18"/>
          <w:b w:val="1"/>
          <w:bCs w:val="1"/>
          <w:color w:val="auto"/>
        </w:rPr>
        <w:t>Item 5.</w:t>
      </w:r>
      <w:r>
        <w:rPr>
          <w:sz w:val="20"/>
          <w:szCs w:val="20"/>
          <w:color w:val="auto"/>
        </w:rPr>
        <w:tab/>
      </w:r>
      <w:r>
        <w:rPr>
          <w:rFonts w:ascii="Calibri" w:cs="Calibri" w:eastAsia="Calibri" w:hAnsi="Calibri"/>
          <w:sz w:val="17"/>
          <w:szCs w:val="17"/>
          <w:b w:val="1"/>
          <w:bCs w:val="1"/>
          <w:color w:val="auto"/>
        </w:rPr>
        <w:t>Interest in Securites of the Issuer.</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Item 5 is hereby amended and restated to read as follows:</w:t>
      </w:r>
    </w:p>
    <w:p>
      <w:pPr>
        <w:spacing w:after="0" w:line="217"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All percentages are based on 107,144,465 shares of the Issuer’s Common Stock outstanding as of August 1, 2024 as set forth in the Issuer’s 10-Q fled with the Securites and Exchange Commission on August 7, 2024.</w:t>
      </w:r>
    </w:p>
    <w:p>
      <w:pPr>
        <w:spacing w:after="0" w:line="204" w:lineRule="exact"/>
        <w:rPr>
          <w:sz w:val="20"/>
          <w:szCs w:val="20"/>
          <w:color w:val="auto"/>
        </w:rPr>
      </w:pPr>
    </w:p>
    <w:p>
      <w:pPr>
        <w:ind w:firstLine="656"/>
        <w:spacing w:after="0" w:line="235" w:lineRule="auto"/>
        <w:tabs>
          <w:tab w:leader="none" w:pos="1486"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Reportng Persons may be deemed to benefcially own, in the aggregate, 26,961 shares of Common Stock, representng less than 0.1% of the outstanding shares of Common Stock.</w:t>
      </w:r>
    </w:p>
    <w:p>
      <w:pPr>
        <w:spacing w:after="0" w:line="190" w:lineRule="exact"/>
        <w:rPr>
          <w:rFonts w:ascii="Calibri" w:cs="Calibri" w:eastAsia="Calibri" w:hAnsi="Calibri"/>
          <w:sz w:val="18"/>
          <w:szCs w:val="18"/>
          <w:color w:val="auto"/>
        </w:rPr>
      </w:pPr>
    </w:p>
    <w:p>
      <w:pPr>
        <w:ind w:firstLine="656"/>
        <w:spacing w:after="0" w:line="235" w:lineRule="auto"/>
        <w:tabs>
          <w:tab w:leader="none" w:pos="1494"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With respect to any rights or powers to vote, or to direct the vote of, or to dispose of, or to direct the dispositon of, the Common Stock owned by the Reportng Persons:</w:t>
      </w:r>
    </w:p>
    <w:p>
      <w:pPr>
        <w:spacing w:after="0" w:line="200" w:lineRule="exact"/>
        <w:rPr>
          <w:rFonts w:ascii="Calibri" w:cs="Calibri" w:eastAsia="Calibri" w:hAnsi="Calibri"/>
          <w:sz w:val="18"/>
          <w:szCs w:val="18"/>
          <w:color w:val="auto"/>
        </w:rPr>
      </w:pPr>
    </w:p>
    <w:p>
      <w:pPr>
        <w:spacing w:after="0" w:line="215" w:lineRule="exact"/>
        <w:rPr>
          <w:rFonts w:ascii="Calibri" w:cs="Calibri" w:eastAsia="Calibri" w:hAnsi="Calibri"/>
          <w:sz w:val="18"/>
          <w:szCs w:val="18"/>
          <w:color w:val="auto"/>
        </w:rPr>
      </w:pPr>
    </w:p>
    <w:p>
      <w:pPr>
        <w:ind w:left="2060" w:hanging="554"/>
        <w:spacing w:after="0"/>
        <w:tabs>
          <w:tab w:leader="none" w:pos="2060" w:val="left"/>
        </w:tabs>
        <w:numPr>
          <w:ilvl w:val="1"/>
          <w:numId w:val="2"/>
        </w:numPr>
        <w:rPr>
          <w:rFonts w:ascii="Calibri" w:cs="Calibri" w:eastAsia="Calibri" w:hAnsi="Calibri"/>
          <w:sz w:val="18"/>
          <w:szCs w:val="18"/>
          <w:color w:val="auto"/>
        </w:rPr>
      </w:pPr>
      <w:r>
        <w:rPr>
          <w:rFonts w:ascii="Calibri" w:cs="Calibri" w:eastAsia="Calibri" w:hAnsi="Calibri"/>
          <w:sz w:val="18"/>
          <w:szCs w:val="18"/>
          <w:color w:val="auto"/>
        </w:rPr>
        <w:t>Sole power to vote or to direct the vote:</w:t>
      </w:r>
    </w:p>
    <w:p>
      <w:pPr>
        <w:spacing w:after="0" w:line="212" w:lineRule="exact"/>
        <w:rPr>
          <w:rFonts w:ascii="Calibri" w:cs="Calibri" w:eastAsia="Calibri" w:hAnsi="Calibri"/>
          <w:sz w:val="18"/>
          <w:szCs w:val="18"/>
          <w:color w:val="auto"/>
        </w:rPr>
      </w:pPr>
    </w:p>
    <w:p>
      <w:pPr>
        <w:ind w:left="2060"/>
        <w:spacing w:after="0"/>
        <w:rPr>
          <w:rFonts w:ascii="Calibri" w:cs="Calibri" w:eastAsia="Calibri" w:hAnsi="Calibri"/>
          <w:sz w:val="18"/>
          <w:szCs w:val="18"/>
          <w:color w:val="auto"/>
        </w:rPr>
      </w:pPr>
      <w:r>
        <w:rPr>
          <w:rFonts w:ascii="Calibri" w:cs="Calibri" w:eastAsia="Calibri" w:hAnsi="Calibri"/>
          <w:sz w:val="18"/>
          <w:szCs w:val="18"/>
          <w:color w:val="auto"/>
        </w:rPr>
        <w:t>None of the Reportng Persons has the sole power to vote or to direct the vote of shares of the Common Stock.</w:t>
      </w:r>
    </w:p>
    <w:p>
      <w:pPr>
        <w:spacing w:after="0" w:line="212" w:lineRule="exact"/>
        <w:rPr>
          <w:rFonts w:ascii="Calibri" w:cs="Calibri" w:eastAsia="Calibri" w:hAnsi="Calibri"/>
          <w:sz w:val="18"/>
          <w:szCs w:val="18"/>
          <w:color w:val="auto"/>
        </w:rPr>
      </w:pPr>
    </w:p>
    <w:p>
      <w:pPr>
        <w:ind w:left="2060" w:hanging="554"/>
        <w:spacing w:after="0"/>
        <w:tabs>
          <w:tab w:leader="none" w:pos="2060" w:val="left"/>
        </w:tabs>
        <w:numPr>
          <w:ilvl w:val="1"/>
          <w:numId w:val="2"/>
        </w:numPr>
        <w:rPr>
          <w:rFonts w:ascii="Calibri" w:cs="Calibri" w:eastAsia="Calibri" w:hAnsi="Calibri"/>
          <w:sz w:val="18"/>
          <w:szCs w:val="18"/>
          <w:color w:val="auto"/>
        </w:rPr>
      </w:pPr>
      <w:r>
        <w:rPr>
          <w:rFonts w:ascii="Calibri" w:cs="Calibri" w:eastAsia="Calibri" w:hAnsi="Calibri"/>
          <w:sz w:val="18"/>
          <w:szCs w:val="18"/>
          <w:color w:val="auto"/>
        </w:rPr>
        <w:t>Shared power to vote or to direct the vote:</w:t>
      </w:r>
    </w:p>
    <w:p>
      <w:pPr>
        <w:spacing w:after="0" w:line="212" w:lineRule="exact"/>
        <w:rPr>
          <w:rFonts w:ascii="Calibri" w:cs="Calibri" w:eastAsia="Calibri" w:hAnsi="Calibri"/>
          <w:sz w:val="18"/>
          <w:szCs w:val="18"/>
          <w:color w:val="auto"/>
        </w:rPr>
      </w:pPr>
    </w:p>
    <w:p>
      <w:pPr>
        <w:ind w:left="2060"/>
        <w:spacing w:after="0"/>
        <w:rPr>
          <w:rFonts w:ascii="Calibri" w:cs="Calibri" w:eastAsia="Calibri" w:hAnsi="Calibri"/>
          <w:sz w:val="18"/>
          <w:szCs w:val="18"/>
          <w:color w:val="auto"/>
        </w:rPr>
      </w:pPr>
      <w:r>
        <w:rPr>
          <w:rFonts w:ascii="Calibri" w:cs="Calibri" w:eastAsia="Calibri" w:hAnsi="Calibri"/>
          <w:sz w:val="18"/>
          <w:szCs w:val="18"/>
          <w:color w:val="auto"/>
        </w:rPr>
        <w:t>Braslyn and Mr. Lewis have shared power to vote or to direct the vote of 26,961 shares of Common Stock.</w:t>
      </w:r>
    </w:p>
    <w:p>
      <w:pPr>
        <w:spacing w:after="0" w:line="212" w:lineRule="exact"/>
        <w:rPr>
          <w:rFonts w:ascii="Calibri" w:cs="Calibri" w:eastAsia="Calibri" w:hAnsi="Calibri"/>
          <w:sz w:val="18"/>
          <w:szCs w:val="18"/>
          <w:color w:val="auto"/>
        </w:rPr>
      </w:pPr>
    </w:p>
    <w:p>
      <w:pPr>
        <w:ind w:left="2060" w:hanging="554"/>
        <w:spacing w:after="0"/>
        <w:tabs>
          <w:tab w:leader="none" w:pos="2060" w:val="left"/>
        </w:tabs>
        <w:numPr>
          <w:ilvl w:val="1"/>
          <w:numId w:val="2"/>
        </w:numPr>
        <w:rPr>
          <w:rFonts w:ascii="Calibri" w:cs="Calibri" w:eastAsia="Calibri" w:hAnsi="Calibri"/>
          <w:sz w:val="18"/>
          <w:szCs w:val="18"/>
          <w:color w:val="auto"/>
        </w:rPr>
      </w:pPr>
      <w:r>
        <w:rPr>
          <w:rFonts w:ascii="Calibri" w:cs="Calibri" w:eastAsia="Calibri" w:hAnsi="Calibri"/>
          <w:sz w:val="18"/>
          <w:szCs w:val="18"/>
          <w:color w:val="auto"/>
        </w:rPr>
        <w:t>Sole power to dispose or to direct the dispositon of:</w:t>
      </w:r>
    </w:p>
    <w:p>
      <w:pPr>
        <w:spacing w:after="0" w:line="212" w:lineRule="exact"/>
        <w:rPr>
          <w:rFonts w:ascii="Calibri" w:cs="Calibri" w:eastAsia="Calibri" w:hAnsi="Calibri"/>
          <w:sz w:val="18"/>
          <w:szCs w:val="18"/>
          <w:color w:val="auto"/>
        </w:rPr>
      </w:pPr>
    </w:p>
    <w:p>
      <w:pPr>
        <w:ind w:left="2060"/>
        <w:spacing w:after="0"/>
        <w:rPr>
          <w:rFonts w:ascii="Calibri" w:cs="Calibri" w:eastAsia="Calibri" w:hAnsi="Calibri"/>
          <w:sz w:val="18"/>
          <w:szCs w:val="18"/>
          <w:color w:val="auto"/>
        </w:rPr>
      </w:pPr>
      <w:r>
        <w:rPr>
          <w:rFonts w:ascii="Calibri" w:cs="Calibri" w:eastAsia="Calibri" w:hAnsi="Calibri"/>
          <w:sz w:val="18"/>
          <w:szCs w:val="18"/>
          <w:color w:val="auto"/>
        </w:rPr>
        <w:t>None of the Reportng Persons has the sole power to dispose or direct the dispositon of shares of the Common Stock.</w:t>
      </w:r>
    </w:p>
    <w:p>
      <w:pPr>
        <w:spacing w:after="0" w:line="212" w:lineRule="exact"/>
        <w:rPr>
          <w:rFonts w:ascii="Calibri" w:cs="Calibri" w:eastAsia="Calibri" w:hAnsi="Calibri"/>
          <w:sz w:val="18"/>
          <w:szCs w:val="18"/>
          <w:color w:val="auto"/>
        </w:rPr>
      </w:pPr>
    </w:p>
    <w:p>
      <w:pPr>
        <w:ind w:left="2060" w:hanging="554"/>
        <w:spacing w:after="0"/>
        <w:tabs>
          <w:tab w:leader="none" w:pos="2060" w:val="left"/>
        </w:tabs>
        <w:numPr>
          <w:ilvl w:val="1"/>
          <w:numId w:val="2"/>
        </w:numPr>
        <w:rPr>
          <w:rFonts w:ascii="Calibri" w:cs="Calibri" w:eastAsia="Calibri" w:hAnsi="Calibri"/>
          <w:sz w:val="18"/>
          <w:szCs w:val="18"/>
          <w:color w:val="auto"/>
        </w:rPr>
      </w:pPr>
      <w:r>
        <w:rPr>
          <w:rFonts w:ascii="Calibri" w:cs="Calibri" w:eastAsia="Calibri" w:hAnsi="Calibri"/>
          <w:sz w:val="18"/>
          <w:szCs w:val="18"/>
          <w:color w:val="auto"/>
        </w:rPr>
        <w:t>Shared power to dispose or to direct the dispositon of:</w:t>
      </w:r>
    </w:p>
    <w:p>
      <w:pPr>
        <w:spacing w:after="0" w:line="212" w:lineRule="exact"/>
        <w:rPr>
          <w:rFonts w:ascii="Calibri" w:cs="Calibri" w:eastAsia="Calibri" w:hAnsi="Calibri"/>
          <w:sz w:val="18"/>
          <w:szCs w:val="18"/>
          <w:color w:val="auto"/>
        </w:rPr>
      </w:pPr>
    </w:p>
    <w:p>
      <w:pPr>
        <w:ind w:left="2060"/>
        <w:spacing w:after="0"/>
        <w:rPr>
          <w:rFonts w:ascii="Calibri" w:cs="Calibri" w:eastAsia="Calibri" w:hAnsi="Calibri"/>
          <w:sz w:val="18"/>
          <w:szCs w:val="18"/>
          <w:color w:val="auto"/>
        </w:rPr>
      </w:pPr>
      <w:r>
        <w:rPr>
          <w:rFonts w:ascii="Calibri" w:cs="Calibri" w:eastAsia="Calibri" w:hAnsi="Calibri"/>
          <w:sz w:val="18"/>
          <w:szCs w:val="18"/>
          <w:color w:val="auto"/>
        </w:rPr>
        <w:t>Braslyn and Mr. Lewis have shared power to dispose or direct the dispositon of 26,961 shares of Common Stock.</w:t>
      </w:r>
    </w:p>
    <w:p>
      <w:pPr>
        <w:spacing w:after="0" w:line="203" w:lineRule="exact"/>
        <w:rPr>
          <w:rFonts w:ascii="Calibri" w:cs="Calibri" w:eastAsia="Calibri" w:hAnsi="Calibri"/>
          <w:sz w:val="18"/>
          <w:szCs w:val="18"/>
          <w:color w:val="auto"/>
        </w:rPr>
      </w:pPr>
    </w:p>
    <w:p>
      <w:pPr>
        <w:ind w:firstLine="656"/>
        <w:spacing w:after="0" w:line="235" w:lineRule="auto"/>
        <w:tabs>
          <w:tab w:leader="none" w:pos="1477"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Other than as described herein in Item 4 or transactons previously reported on Form 4, the Reportng Persons have not engaged in any transactons in the Common Stock in the past 60 days.</w:t>
      </w:r>
    </w:p>
    <w:p>
      <w:pPr>
        <w:spacing w:after="0" w:line="185" w:lineRule="exact"/>
        <w:rPr>
          <w:rFonts w:ascii="Calibri" w:cs="Calibri" w:eastAsia="Calibri" w:hAnsi="Calibri"/>
          <w:sz w:val="18"/>
          <w:szCs w:val="18"/>
          <w:color w:val="auto"/>
        </w:rPr>
      </w:pPr>
    </w:p>
    <w:p>
      <w:pPr>
        <w:ind w:left="1500" w:hanging="844"/>
        <w:spacing w:after="0"/>
        <w:tabs>
          <w:tab w:leader="none" w:pos="150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Not applicable.</w:t>
      </w:r>
    </w:p>
    <w:p>
      <w:pPr>
        <w:spacing w:after="0" w:line="203" w:lineRule="exact"/>
        <w:rPr>
          <w:rFonts w:ascii="Calibri" w:cs="Calibri" w:eastAsia="Calibri" w:hAnsi="Calibri"/>
          <w:sz w:val="18"/>
          <w:szCs w:val="18"/>
          <w:color w:val="auto"/>
        </w:rPr>
      </w:pPr>
    </w:p>
    <w:p>
      <w:pPr>
        <w:ind w:firstLine="656"/>
        <w:spacing w:after="0" w:line="235" w:lineRule="auto"/>
        <w:tabs>
          <w:tab w:leader="none" w:pos="149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As described in Item 4, as of October 10, 2024, Boxer Management, Braslyn and Mr. Lewis ceased to benefcially own more than 5% of the outstanding shares of Common Stock.</w:t>
      </w:r>
    </w:p>
    <w:p>
      <w:pPr>
        <w:spacing w:after="0" w:line="199" w:lineRule="exact"/>
        <w:rPr>
          <w:sz w:val="20"/>
          <w:szCs w:val="20"/>
          <w:color w:val="auto"/>
        </w:rPr>
      </w:pPr>
    </w:p>
    <w:p>
      <w:pPr>
        <w:spacing w:after="0"/>
        <w:tabs>
          <w:tab w:leader="none" w:pos="900" w:val="left"/>
        </w:tabs>
        <w:rPr>
          <w:sz w:val="20"/>
          <w:szCs w:val="20"/>
          <w:color w:val="auto"/>
        </w:rPr>
      </w:pPr>
      <w:r>
        <w:rPr>
          <w:rFonts w:ascii="Calibri" w:cs="Calibri" w:eastAsia="Calibri" w:hAnsi="Calibri"/>
          <w:sz w:val="18"/>
          <w:szCs w:val="18"/>
          <w:b w:val="1"/>
          <w:bCs w:val="1"/>
          <w:color w:val="auto"/>
        </w:rPr>
        <w:t>Item 7.</w:t>
      </w:r>
      <w:r>
        <w:rPr>
          <w:sz w:val="20"/>
          <w:szCs w:val="20"/>
          <w:color w:val="auto"/>
        </w:rPr>
        <w:tab/>
      </w:r>
      <w:r>
        <w:rPr>
          <w:rFonts w:ascii="Calibri" w:cs="Calibri" w:eastAsia="Calibri" w:hAnsi="Calibri"/>
          <w:sz w:val="17"/>
          <w:szCs w:val="17"/>
          <w:b w:val="1"/>
          <w:bCs w:val="1"/>
          <w:color w:val="auto"/>
        </w:rPr>
        <w:t>Material to be Filed as Exhibits.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Item 7 is hereby amended by the additon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20"/>
                <w:szCs w:val="20"/>
                <w:color w:val="auto"/>
              </w:rPr>
            </w:pPr>
            <w:r>
              <w:rPr>
                <w:rFonts w:ascii="Calibri" w:cs="Calibri" w:eastAsia="Calibri" w:hAnsi="Calibri"/>
                <w:sz w:val="18"/>
                <w:szCs w:val="18"/>
                <w:color w:val="auto"/>
              </w:rPr>
              <w:t>Exhibit No.</w:t>
            </w:r>
          </w:p>
        </w:tc>
        <w:tc>
          <w:tcPr>
            <w:tcW w:w="10080" w:type="dxa"/>
            <w:vAlign w:val="bottom"/>
          </w:tcPr>
          <w:p>
            <w:pPr>
              <w:ind w:left="380"/>
              <w:spacing w:after="0"/>
              <w:rPr>
                <w:sz w:val="20"/>
                <w:szCs w:val="20"/>
                <w:color w:val="auto"/>
              </w:rPr>
            </w:pPr>
            <w:r>
              <w:rPr>
                <w:rFonts w:ascii="Calibri" w:cs="Calibri" w:eastAsia="Calibri" w:hAnsi="Calibri"/>
                <w:sz w:val="18"/>
                <w:szCs w:val="18"/>
                <w:color w:val="auto"/>
              </w:rPr>
              <w:t>Descripton</w:t>
            </w:r>
          </w:p>
        </w:tc>
      </w:tr>
      <w:tr>
        <w:trPr>
          <w:trHeight w:val="30"/>
        </w:trPr>
        <w:tc>
          <w:tcPr>
            <w:tcW w:w="1160" w:type="dxa"/>
            <w:vAlign w:val="bottom"/>
            <w:tcBorders>
              <w:bottom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r>
      <w:tr>
        <w:trPr>
          <w:trHeight w:val="215"/>
        </w:trPr>
        <w:tc>
          <w:tcPr>
            <w:tcW w:w="1160" w:type="dxa"/>
            <w:vAlign w:val="bottom"/>
          </w:tcPr>
          <w:p>
            <w:pPr>
              <w:spacing w:after="0" w:line="215" w:lineRule="exact"/>
              <w:rPr>
                <w:sz w:val="20"/>
                <w:szCs w:val="20"/>
                <w:color w:val="auto"/>
              </w:rPr>
            </w:pPr>
            <w:r>
              <w:rPr>
                <w:rFonts w:ascii="Calibri" w:cs="Calibri" w:eastAsia="Calibri" w:hAnsi="Calibri"/>
                <w:sz w:val="18"/>
                <w:szCs w:val="18"/>
                <w:color w:val="auto"/>
              </w:rPr>
              <w:t>Exhibit 3</w:t>
            </w:r>
          </w:p>
        </w:tc>
        <w:tc>
          <w:tcPr>
            <w:tcW w:w="10080" w:type="dxa"/>
            <w:vAlign w:val="bottom"/>
          </w:tcPr>
          <w:p>
            <w:pPr>
              <w:ind w:left="380"/>
              <w:spacing w:after="0" w:line="215" w:lineRule="exact"/>
              <w:rPr>
                <w:sz w:val="20"/>
                <w:szCs w:val="20"/>
                <w:color w:val="auto"/>
              </w:rPr>
            </w:pPr>
            <w:r>
              <w:rPr>
                <w:rFonts w:ascii="Calibri" w:cs="Calibri" w:eastAsia="Calibri" w:hAnsi="Calibri"/>
                <w:sz w:val="18"/>
                <w:szCs w:val="18"/>
                <w:color w:val="auto"/>
              </w:rPr>
              <w:t>Joint Filing Agreement, dated October 15, 2024, among Boxer Management, Braslyn and Mr. Lewis.</w:t>
            </w:r>
          </w:p>
        </w:tc>
      </w:tr>
      <w:tr>
        <w:trPr>
          <w:trHeight w:val="1264"/>
        </w:trPr>
        <w:tc>
          <w:tcPr>
            <w:tcW w:w="11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sectPr>
      </w:pPr>
    </w:p>
    <w:bookmarkStart w:id="6" w:name="page7"/>
    <w:bookmarkEnd w:id="6"/>
    <w:p>
      <w:pPr>
        <w:jc w:val="center"/>
        <w:ind w:right="-219"/>
        <w:spacing w:after="0"/>
        <w:rPr>
          <w:sz w:val="20"/>
          <w:szCs w:val="20"/>
          <w:color w:val="auto"/>
        </w:rPr>
      </w:pPr>
      <w:r>
        <w:rPr>
          <w:rFonts w:ascii="Calibri" w:cs="Calibri" w:eastAsia="Calibri" w:hAnsi="Calibri"/>
          <w:sz w:val="18"/>
          <w:szCs w:val="18"/>
          <w:b w:val="1"/>
          <w:bCs w:val="1"/>
          <w:color w:val="auto"/>
        </w:rPr>
        <w:t>SIGNATURES</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17"/>
          <w:szCs w:val="17"/>
          <w:color w:val="auto"/>
        </w:rPr>
        <w:t>Afer reasonable inquiry and to the best of my knowledge and belief, I certfy that the informaton set forth in this statement is true, complete and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correct.</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Dated: October 15, 2024</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BOXER ASSET MANAGEMENT INC.</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Paul Higgs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Director</w:t>
      </w:r>
    </w:p>
    <w:p>
      <w:pPr>
        <w:spacing w:after="0" w:line="200"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BRASLYN LTD.</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Paul Higgs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Director</w:t>
      </w:r>
    </w:p>
    <w:p>
      <w:pPr>
        <w:spacing w:after="0" w:line="213"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JOSEPH C. LEWIS</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/s/ Joseph C. Lewis</w:t>
      </w:r>
    </w:p>
    <w:p>
      <w:pPr>
        <w:spacing w:after="0" w:line="10"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Joseph C. Lewis,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2357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44" w:right="5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auto"/>
        </w:rPr>
        <w:t>JOINT FILING AGREEMENT</w:t>
      </w:r>
    </w:p>
    <w:p>
      <w:pPr>
        <w:jc w:val="center"/>
        <w:spacing w:after="0" w:line="235" w:lineRule="auto"/>
        <w:rPr>
          <w:sz w:val="20"/>
          <w:szCs w:val="20"/>
          <w:color w:val="auto"/>
        </w:rPr>
      </w:pPr>
      <w:r>
        <w:rPr>
          <w:rFonts w:ascii="Calibri" w:cs="Calibri" w:eastAsia="Calibri" w:hAnsi="Calibri"/>
          <w:sz w:val="18"/>
          <w:szCs w:val="18"/>
          <w:b w:val="1"/>
          <w:bCs w:val="1"/>
          <w:color w:val="auto"/>
        </w:rPr>
        <w:t>PURSUANT TO RULE 13d-1(k)</w:t>
      </w:r>
    </w:p>
    <w:p>
      <w:pPr>
        <w:spacing w:after="0" w:line="218" w:lineRule="exact"/>
        <w:rPr>
          <w:sz w:val="20"/>
          <w:szCs w:val="20"/>
          <w:color w:val="auto"/>
        </w:rPr>
      </w:pPr>
    </w:p>
    <w:p>
      <w:pPr>
        <w:jc w:val="both"/>
        <w:ind w:firstLine="696"/>
        <w:spacing w:after="0" w:line="235" w:lineRule="auto"/>
        <w:rPr>
          <w:sz w:val="20"/>
          <w:szCs w:val="20"/>
          <w:color w:val="auto"/>
        </w:rPr>
      </w:pPr>
      <w:r>
        <w:rPr>
          <w:rFonts w:ascii="Calibri" w:cs="Calibri" w:eastAsia="Calibri" w:hAnsi="Calibri"/>
          <w:sz w:val="18"/>
          <w:szCs w:val="18"/>
          <w:color w:val="auto"/>
        </w:rPr>
        <w:t>In accordance with Rule 13d-1(k)(1) under the Securites Exchange Act of 1934, as amended, the persons named below agree to the joint fling on behalf of each of them of a Statement on Schedule 13D and any amendments to it with respect to Common Stock, $0.001 par value per share, of Tango Therapeutcs, Inc. and further agree that this Joint Filing Agreement be included as an Exhibit to those joint flings. Each of the undersigned agrees to be responsible for the tmely fling of the Schedule 13D and any amendments thereto, and for the completeness and accuracy of the informaton concerning itself contained therein. This agreement may be executed in any number of counterparts, all of which taken together shall consttute one and the same instrument.</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auto"/>
        </w:rPr>
        <w:t>Dated: October 15, 2024.</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BOXER ASSET MANAGEMENT INC.</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Paul Higgs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Director</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BRASLYN LTD.</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Paul Higgs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Director</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JOSEPH C. LEWIS</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/s/ Joseph C. Lewis</w:t>
      </w:r>
    </w:p>
    <w:p>
      <w:pPr>
        <w:spacing w:after="0" w:line="10"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Joseph C. Lewis,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2357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7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jc w:val="center"/>
        <w:ind w:right="-19"/>
        <w:spacing w:after="0"/>
        <w:rPr>
          <w:sz w:val="20"/>
          <w:szCs w:val="20"/>
          <w:color w:val="auto"/>
        </w:rPr>
      </w:pPr>
      <w:r>
        <w:rPr>
          <w:rFonts w:ascii="Calibri" w:cs="Calibri" w:eastAsia="Calibri" w:hAnsi="Calibri"/>
          <w:sz w:val="18"/>
          <w:szCs w:val="18"/>
          <w:b w:val="1"/>
          <w:bCs w:val="1"/>
          <w:color w:val="auto"/>
        </w:rPr>
        <w:t>SCHEDULE A</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ADDITIONAL INFORMATION CONCERNING THE REPORTING PERSONS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BOXER ASSET MANAGEMENT INC.</w:t>
      </w:r>
    </w:p>
    <w:p>
      <w:pPr>
        <w:spacing w:after="0" w:line="109" w:lineRule="exact"/>
        <w:rPr>
          <w:sz w:val="20"/>
          <w:szCs w:val="20"/>
          <w:color w:val="auto"/>
        </w:rPr>
      </w:pPr>
    </w:p>
    <w:p>
      <w:pPr>
        <w:jc w:val="both"/>
        <w:ind w:firstLine="441"/>
        <w:spacing w:after="0" w:line="235" w:lineRule="auto"/>
        <w:rPr>
          <w:sz w:val="20"/>
          <w:szCs w:val="20"/>
          <w:color w:val="auto"/>
        </w:rPr>
      </w:pPr>
      <w:r>
        <w:rPr>
          <w:rFonts w:ascii="Calibri" w:cs="Calibri" w:eastAsia="Calibri" w:hAnsi="Calibri"/>
          <w:sz w:val="18"/>
          <w:szCs w:val="18"/>
          <w:color w:val="auto"/>
        </w:rPr>
        <w:t>The executve ofcers and directors of Boxer Asset Management Inc. are set forth below. Each individual’s business address is Albany Financial Center, Suite 207, Lewis Drive, N7776, New Providence, Bahamas. Except as otherwise stated, the present principal occupaton or employment set forth below opposite the name of each person refers to employment with Boxer Asset Management Inc.</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60" w:type="dxa"/>
            <w:vAlign w:val="bottom"/>
          </w:tcPr>
          <w:p>
            <w:pPr>
              <w:spacing w:after="0"/>
              <w:rPr>
                <w:sz w:val="20"/>
                <w:szCs w:val="20"/>
                <w:color w:val="auto"/>
              </w:rPr>
            </w:pPr>
            <w:r>
              <w:rPr>
                <w:rFonts w:ascii="Calibri" w:cs="Calibri" w:eastAsia="Calibri" w:hAnsi="Calibri"/>
                <w:sz w:val="18"/>
                <w:szCs w:val="18"/>
                <w:b w:val="1"/>
                <w:bCs w:val="1"/>
                <w:color w:val="auto"/>
              </w:rPr>
              <w:t>Name</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360" w:type="dxa"/>
            <w:vAlign w:val="bottom"/>
          </w:tcPr>
          <w:p>
            <w:pPr>
              <w:ind w:left="140"/>
              <w:spacing w:after="0"/>
              <w:rPr>
                <w:sz w:val="20"/>
                <w:szCs w:val="20"/>
                <w:color w:val="auto"/>
              </w:rPr>
            </w:pPr>
            <w:r>
              <w:rPr>
                <w:rFonts w:ascii="Calibri" w:cs="Calibri" w:eastAsia="Calibri" w:hAnsi="Calibri"/>
                <w:sz w:val="18"/>
                <w:szCs w:val="18"/>
                <w:b w:val="1"/>
                <w:bCs w:val="1"/>
                <w:color w:val="auto"/>
              </w:rPr>
              <w:t>Present Principal Occupaton or Employment</w:t>
            </w:r>
          </w:p>
        </w:tc>
        <w:tc>
          <w:tcPr>
            <w:tcW w:w="120" w:type="dxa"/>
            <w:vAlign w:val="bottom"/>
          </w:tcPr>
          <w:p>
            <w:pPr>
              <w:spacing w:after="0"/>
              <w:rPr>
                <w:sz w:val="19"/>
                <w:szCs w:val="19"/>
                <w:color w:val="auto"/>
              </w:rPr>
            </w:pPr>
          </w:p>
        </w:tc>
        <w:tc>
          <w:tcPr>
            <w:tcW w:w="1560" w:type="dxa"/>
            <w:vAlign w:val="bottom"/>
          </w:tcPr>
          <w:p>
            <w:pPr>
              <w:ind w:left="380"/>
              <w:spacing w:after="0"/>
              <w:rPr>
                <w:sz w:val="20"/>
                <w:szCs w:val="20"/>
                <w:color w:val="auto"/>
              </w:rPr>
            </w:pPr>
            <w:r>
              <w:rPr>
                <w:rFonts w:ascii="Calibri" w:cs="Calibri" w:eastAsia="Calibri" w:hAnsi="Calibri"/>
                <w:sz w:val="18"/>
                <w:szCs w:val="18"/>
                <w:b w:val="1"/>
                <w:bCs w:val="1"/>
                <w:color w:val="auto"/>
              </w:rPr>
              <w:t>Citzenship</w:t>
            </w:r>
          </w:p>
        </w:tc>
      </w:tr>
      <w:tr>
        <w:trPr>
          <w:trHeight w:val="31"/>
        </w:trPr>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4"/>
        </w:trPr>
        <w:tc>
          <w:tcPr>
            <w:tcW w:w="2260" w:type="dxa"/>
            <w:vAlign w:val="bottom"/>
          </w:tcPr>
          <w:p>
            <w:pPr>
              <w:spacing w:after="0" w:line="194" w:lineRule="exact"/>
              <w:rPr>
                <w:sz w:val="20"/>
                <w:szCs w:val="20"/>
                <w:color w:val="auto"/>
              </w:rPr>
            </w:pPr>
            <w:r>
              <w:rPr>
                <w:rFonts w:ascii="Calibri" w:cs="Calibri" w:eastAsia="Calibri" w:hAnsi="Calibri"/>
                <w:sz w:val="18"/>
                <w:szCs w:val="18"/>
                <w:color w:val="auto"/>
              </w:rPr>
              <w:t>Joe Lewis</w:t>
            </w:r>
          </w:p>
        </w:tc>
        <w:tc>
          <w:tcPr>
            <w:tcW w:w="120" w:type="dxa"/>
            <w:vAlign w:val="bottom"/>
          </w:tcPr>
          <w:p>
            <w:pPr>
              <w:spacing w:after="0"/>
              <w:rPr>
                <w:sz w:val="16"/>
                <w:szCs w:val="16"/>
                <w:color w:val="auto"/>
              </w:rPr>
            </w:pPr>
          </w:p>
        </w:tc>
        <w:tc>
          <w:tcPr>
            <w:tcW w:w="1820" w:type="dxa"/>
            <w:vAlign w:val="bottom"/>
          </w:tcPr>
          <w:p>
            <w:pPr>
              <w:spacing w:after="0" w:line="194" w:lineRule="exact"/>
              <w:rPr>
                <w:sz w:val="20"/>
                <w:szCs w:val="20"/>
                <w:color w:val="auto"/>
              </w:rPr>
            </w:pPr>
            <w:r>
              <w:rPr>
                <w:rFonts w:ascii="Calibri" w:cs="Calibri" w:eastAsia="Calibri" w:hAnsi="Calibri"/>
                <w:sz w:val="18"/>
                <w:szCs w:val="18"/>
                <w:color w:val="auto"/>
              </w:rPr>
              <w:t>Director, President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line="194" w:lineRule="exact"/>
              <w:rPr>
                <w:sz w:val="20"/>
                <w:szCs w:val="20"/>
                <w:color w:val="auto"/>
              </w:rPr>
            </w:pPr>
            <w:r>
              <w:rPr>
                <w:rFonts w:ascii="Calibri" w:cs="Calibri" w:eastAsia="Calibri" w:hAnsi="Calibri"/>
                <w:sz w:val="18"/>
                <w:szCs w:val="18"/>
                <w:color w:val="auto"/>
              </w:rPr>
              <w:t>United Kingdom</w:t>
            </w:r>
          </w:p>
        </w:tc>
      </w:tr>
      <w:tr>
        <w:trPr>
          <w:trHeight w:val="215"/>
        </w:trPr>
        <w:tc>
          <w:tcPr>
            <w:tcW w:w="2260" w:type="dxa"/>
            <w:vAlign w:val="bottom"/>
          </w:tcPr>
          <w:p>
            <w:pPr>
              <w:spacing w:after="0" w:line="215" w:lineRule="exact"/>
              <w:rPr>
                <w:sz w:val="20"/>
                <w:szCs w:val="20"/>
                <w:color w:val="auto"/>
              </w:rPr>
            </w:pPr>
            <w:r>
              <w:rPr>
                <w:rFonts w:ascii="Calibri" w:cs="Calibri" w:eastAsia="Calibri" w:hAnsi="Calibri"/>
                <w:sz w:val="18"/>
                <w:szCs w:val="18"/>
                <w:color w:val="auto"/>
              </w:rPr>
              <w:t>Paul Higgs</w:t>
            </w:r>
          </w:p>
        </w:tc>
        <w:tc>
          <w:tcPr>
            <w:tcW w:w="120" w:type="dxa"/>
            <w:vAlign w:val="bottom"/>
          </w:tcPr>
          <w:p>
            <w:pPr>
              <w:spacing w:after="0"/>
              <w:rPr>
                <w:sz w:val="18"/>
                <w:szCs w:val="18"/>
                <w:color w:val="auto"/>
              </w:rPr>
            </w:pPr>
          </w:p>
        </w:tc>
        <w:tc>
          <w:tcPr>
            <w:tcW w:w="1820" w:type="dxa"/>
            <w:vAlign w:val="bottom"/>
          </w:tcPr>
          <w:p>
            <w:pPr>
              <w:spacing w:after="0" w:line="215" w:lineRule="exact"/>
              <w:rPr>
                <w:sz w:val="20"/>
                <w:szCs w:val="20"/>
                <w:color w:val="auto"/>
              </w:rPr>
            </w:pPr>
            <w:r>
              <w:rPr>
                <w:rFonts w:ascii="Calibri" w:cs="Calibri" w:eastAsia="Calibri" w:hAnsi="Calibri"/>
                <w:sz w:val="18"/>
                <w:szCs w:val="18"/>
                <w:color w:val="auto"/>
              </w:rPr>
              <w:t>Director, Vice President</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line="215" w:lineRule="exact"/>
              <w:rPr>
                <w:sz w:val="20"/>
                <w:szCs w:val="20"/>
                <w:color w:val="auto"/>
              </w:rPr>
            </w:pPr>
            <w:r>
              <w:rPr>
                <w:rFonts w:ascii="Calibri" w:cs="Calibri" w:eastAsia="Calibri" w:hAnsi="Calibri"/>
                <w:sz w:val="18"/>
                <w:szCs w:val="18"/>
                <w:color w:val="auto"/>
              </w:rPr>
              <w:t>United States</w:t>
            </w:r>
          </w:p>
        </w:tc>
      </w:tr>
    </w:tbl>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BRASLYN LTD.</w:t>
      </w:r>
    </w:p>
    <w:p>
      <w:pPr>
        <w:spacing w:after="0" w:line="109" w:lineRule="exact"/>
        <w:rPr>
          <w:sz w:val="20"/>
          <w:szCs w:val="20"/>
          <w:color w:val="auto"/>
        </w:rPr>
      </w:pPr>
    </w:p>
    <w:p>
      <w:pPr>
        <w:jc w:val="both"/>
        <w:ind w:firstLine="441"/>
        <w:spacing w:after="0" w:line="235" w:lineRule="auto"/>
        <w:rPr>
          <w:sz w:val="20"/>
          <w:szCs w:val="20"/>
          <w:color w:val="auto"/>
        </w:rPr>
      </w:pPr>
      <w:r>
        <w:rPr>
          <w:rFonts w:ascii="Calibri" w:cs="Calibri" w:eastAsia="Calibri" w:hAnsi="Calibri"/>
          <w:sz w:val="18"/>
          <w:szCs w:val="18"/>
          <w:color w:val="auto"/>
        </w:rPr>
        <w:t>The executve ofcers and directors of Braslyn Ltd. are set forth below. Except as otherwise stated, the present principal occupaton or employment set forth below opposite the name of each person refers to employment with Braslyn.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Calibri" w:cs="Calibri" w:eastAsia="Calibri" w:hAnsi="Calibri"/>
                <w:sz w:val="18"/>
                <w:szCs w:val="18"/>
                <w:b w:val="1"/>
                <w:bCs w:val="1"/>
                <w:color w:val="auto"/>
                <w:w w:val="99"/>
              </w:rPr>
              <w:t>Present Principal Occupaton</w:t>
            </w:r>
          </w:p>
        </w:tc>
        <w:tc>
          <w:tcPr>
            <w:tcW w:w="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1000" w:type="dxa"/>
            <w:vAlign w:val="bottom"/>
          </w:tcPr>
          <w:p>
            <w:pPr>
              <w:spacing w:after="0" w:line="216" w:lineRule="exact"/>
              <w:rPr>
                <w:sz w:val="20"/>
                <w:szCs w:val="20"/>
                <w:color w:val="auto"/>
              </w:rPr>
            </w:pPr>
            <w:r>
              <w:rPr>
                <w:rFonts w:ascii="Calibri" w:cs="Calibri" w:eastAsia="Calibri" w:hAnsi="Calibri"/>
                <w:sz w:val="18"/>
                <w:szCs w:val="18"/>
                <w:b w:val="1"/>
                <w:bCs w:val="1"/>
                <w:color w:val="auto"/>
              </w:rPr>
              <w:t>Name</w:t>
            </w:r>
          </w:p>
        </w:tc>
        <w:tc>
          <w:tcPr>
            <w:tcW w:w="120" w:type="dxa"/>
            <w:vAlign w:val="bottom"/>
          </w:tcPr>
          <w:p>
            <w:pPr>
              <w:spacing w:after="0"/>
              <w:rPr>
                <w:sz w:val="18"/>
                <w:szCs w:val="18"/>
                <w:color w:val="auto"/>
              </w:rPr>
            </w:pPr>
          </w:p>
        </w:tc>
        <w:tc>
          <w:tcPr>
            <w:tcW w:w="2020" w:type="dxa"/>
            <w:vAlign w:val="bottom"/>
          </w:tcPr>
          <w:p>
            <w:pPr>
              <w:ind w:left="720"/>
              <w:spacing w:after="0" w:line="216" w:lineRule="exact"/>
              <w:rPr>
                <w:sz w:val="20"/>
                <w:szCs w:val="20"/>
                <w:color w:val="auto"/>
              </w:rPr>
            </w:pPr>
            <w:r>
              <w:rPr>
                <w:rFonts w:ascii="Calibri" w:cs="Calibri" w:eastAsia="Calibri" w:hAnsi="Calibri"/>
                <w:sz w:val="18"/>
                <w:szCs w:val="18"/>
                <w:b w:val="1"/>
                <w:bCs w:val="1"/>
                <w:color w:val="auto"/>
              </w:rPr>
              <w:t>Positon</w:t>
            </w:r>
          </w:p>
        </w:tc>
        <w:tc>
          <w:tcPr>
            <w:tcW w:w="100" w:type="dxa"/>
            <w:vAlign w:val="bottom"/>
          </w:tcPr>
          <w:p>
            <w:pPr>
              <w:spacing w:after="0"/>
              <w:rPr>
                <w:sz w:val="18"/>
                <w:szCs w:val="18"/>
                <w:color w:val="auto"/>
              </w:rPr>
            </w:pPr>
          </w:p>
        </w:tc>
        <w:tc>
          <w:tcPr>
            <w:tcW w:w="31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or Employment</w:t>
            </w:r>
          </w:p>
        </w:tc>
        <w:tc>
          <w:tcPr>
            <w:tcW w:w="100" w:type="dxa"/>
            <w:vAlign w:val="bottom"/>
          </w:tcPr>
          <w:p>
            <w:pPr>
              <w:spacing w:after="0"/>
              <w:rPr>
                <w:sz w:val="18"/>
                <w:szCs w:val="18"/>
                <w:color w:val="auto"/>
              </w:rPr>
            </w:pPr>
          </w:p>
        </w:tc>
        <w:tc>
          <w:tcPr>
            <w:tcW w:w="3160" w:type="dxa"/>
            <w:vAlign w:val="bottom"/>
          </w:tcPr>
          <w:p>
            <w:pPr>
              <w:ind w:left="1280"/>
              <w:spacing w:after="0" w:line="216" w:lineRule="exact"/>
              <w:rPr>
                <w:sz w:val="20"/>
                <w:szCs w:val="20"/>
                <w:color w:val="auto"/>
              </w:rPr>
            </w:pPr>
            <w:r>
              <w:rPr>
                <w:rFonts w:ascii="Calibri" w:cs="Calibri" w:eastAsia="Calibri" w:hAnsi="Calibri"/>
                <w:sz w:val="18"/>
                <w:szCs w:val="18"/>
                <w:b w:val="1"/>
                <w:bCs w:val="1"/>
                <w:color w:val="auto"/>
              </w:rPr>
              <w:t>Address</w:t>
            </w:r>
          </w:p>
        </w:tc>
        <w:tc>
          <w:tcPr>
            <w:tcW w:w="100" w:type="dxa"/>
            <w:vAlign w:val="bottom"/>
          </w:tcPr>
          <w:p>
            <w:pPr>
              <w:spacing w:after="0"/>
              <w:rPr>
                <w:sz w:val="18"/>
                <w:szCs w:val="18"/>
                <w:color w:val="auto"/>
              </w:rPr>
            </w:pPr>
          </w:p>
        </w:tc>
        <w:tc>
          <w:tcPr>
            <w:tcW w:w="1480" w:type="dxa"/>
            <w:vAlign w:val="bottom"/>
          </w:tcPr>
          <w:p>
            <w:pPr>
              <w:ind w:left="340"/>
              <w:spacing w:after="0" w:line="216" w:lineRule="exact"/>
              <w:rPr>
                <w:sz w:val="20"/>
                <w:szCs w:val="20"/>
                <w:color w:val="auto"/>
              </w:rPr>
            </w:pPr>
            <w:r>
              <w:rPr>
                <w:rFonts w:ascii="Calibri" w:cs="Calibri" w:eastAsia="Calibri" w:hAnsi="Calibri"/>
                <w:sz w:val="18"/>
                <w:szCs w:val="18"/>
                <w:b w:val="1"/>
                <w:bCs w:val="1"/>
                <w:color w:val="auto"/>
              </w:rPr>
              <w:t>Citzenship</w:t>
            </w:r>
          </w:p>
        </w:tc>
      </w:tr>
      <w:tr>
        <w:trPr>
          <w:trHeight w:val="31"/>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4"/>
        </w:trPr>
        <w:tc>
          <w:tcPr>
            <w:tcW w:w="1000" w:type="dxa"/>
            <w:vAlign w:val="bottom"/>
          </w:tcPr>
          <w:p>
            <w:pPr>
              <w:spacing w:after="0" w:line="194" w:lineRule="exact"/>
              <w:rPr>
                <w:sz w:val="20"/>
                <w:szCs w:val="20"/>
                <w:color w:val="auto"/>
              </w:rPr>
            </w:pPr>
            <w:r>
              <w:rPr>
                <w:rFonts w:ascii="Calibri" w:cs="Calibri" w:eastAsia="Calibri" w:hAnsi="Calibri"/>
                <w:sz w:val="18"/>
                <w:szCs w:val="18"/>
                <w:color w:val="auto"/>
              </w:rPr>
              <w:t>Joe Lewis</w:t>
            </w:r>
          </w:p>
        </w:tc>
        <w:tc>
          <w:tcPr>
            <w:tcW w:w="120" w:type="dxa"/>
            <w:vAlign w:val="bottom"/>
          </w:tcPr>
          <w:p>
            <w:pPr>
              <w:spacing w:after="0"/>
              <w:rPr>
                <w:sz w:val="16"/>
                <w:szCs w:val="16"/>
                <w:color w:val="auto"/>
              </w:rPr>
            </w:pPr>
          </w:p>
        </w:tc>
        <w:tc>
          <w:tcPr>
            <w:tcW w:w="2020" w:type="dxa"/>
            <w:vAlign w:val="bottom"/>
          </w:tcPr>
          <w:p>
            <w:pPr>
              <w:spacing w:after="0" w:line="194" w:lineRule="exact"/>
              <w:rPr>
                <w:sz w:val="20"/>
                <w:szCs w:val="20"/>
                <w:color w:val="auto"/>
              </w:rPr>
            </w:pPr>
            <w:r>
              <w:rPr>
                <w:rFonts w:ascii="Calibri" w:cs="Calibri" w:eastAsia="Calibri" w:hAnsi="Calibri"/>
                <w:sz w:val="18"/>
                <w:szCs w:val="18"/>
                <w:color w:val="auto"/>
              </w:rPr>
              <w:t>Director, President</w:t>
            </w:r>
          </w:p>
        </w:tc>
        <w:tc>
          <w:tcPr>
            <w:tcW w:w="100" w:type="dxa"/>
            <w:vAlign w:val="bottom"/>
          </w:tcPr>
          <w:p>
            <w:pPr>
              <w:spacing w:after="0"/>
              <w:rPr>
                <w:sz w:val="16"/>
                <w:szCs w:val="16"/>
                <w:color w:val="auto"/>
              </w:rPr>
            </w:pPr>
          </w:p>
        </w:tc>
        <w:tc>
          <w:tcPr>
            <w:tcW w:w="3160" w:type="dxa"/>
            <w:vAlign w:val="bottom"/>
          </w:tcPr>
          <w:p>
            <w:pPr>
              <w:spacing w:after="0" w:line="194" w:lineRule="exact"/>
              <w:rPr>
                <w:sz w:val="20"/>
                <w:szCs w:val="20"/>
                <w:color w:val="auto"/>
              </w:rPr>
            </w:pPr>
            <w:r>
              <w:rPr>
                <w:rFonts w:ascii="Calibri" w:cs="Calibri" w:eastAsia="Calibri" w:hAnsi="Calibri"/>
                <w:sz w:val="18"/>
                <w:szCs w:val="18"/>
                <w:color w:val="auto"/>
              </w:rPr>
              <w:t>Private Investor</w:t>
            </w:r>
          </w:p>
        </w:tc>
        <w:tc>
          <w:tcPr>
            <w:tcW w:w="100" w:type="dxa"/>
            <w:vAlign w:val="bottom"/>
          </w:tcPr>
          <w:p>
            <w:pPr>
              <w:spacing w:after="0"/>
              <w:rPr>
                <w:sz w:val="16"/>
                <w:szCs w:val="16"/>
                <w:color w:val="auto"/>
              </w:rPr>
            </w:pPr>
          </w:p>
        </w:tc>
        <w:tc>
          <w:tcPr>
            <w:tcW w:w="3160" w:type="dxa"/>
            <w:vAlign w:val="bottom"/>
          </w:tcPr>
          <w:p>
            <w:pPr>
              <w:spacing w:after="0" w:line="194" w:lineRule="exact"/>
              <w:rPr>
                <w:sz w:val="20"/>
                <w:szCs w:val="20"/>
                <w:color w:val="auto"/>
              </w:rPr>
            </w:pPr>
            <w:r>
              <w:rPr>
                <w:rFonts w:ascii="Calibri" w:cs="Calibri" w:eastAsia="Calibri" w:hAnsi="Calibri"/>
                <w:sz w:val="18"/>
                <w:szCs w:val="18"/>
                <w:color w:val="auto"/>
              </w:rPr>
              <w:t>Albany Financial Center, Suite 207, Lewis</w:t>
            </w:r>
          </w:p>
        </w:tc>
        <w:tc>
          <w:tcPr>
            <w:tcW w:w="100" w:type="dxa"/>
            <w:vAlign w:val="bottom"/>
          </w:tcPr>
          <w:p>
            <w:pPr>
              <w:spacing w:after="0"/>
              <w:rPr>
                <w:sz w:val="16"/>
                <w:szCs w:val="16"/>
                <w:color w:val="auto"/>
              </w:rPr>
            </w:pPr>
          </w:p>
        </w:tc>
        <w:tc>
          <w:tcPr>
            <w:tcW w:w="1480" w:type="dxa"/>
            <w:vAlign w:val="bottom"/>
          </w:tcPr>
          <w:p>
            <w:pPr>
              <w:spacing w:after="0" w:line="194" w:lineRule="exact"/>
              <w:rPr>
                <w:sz w:val="20"/>
                <w:szCs w:val="20"/>
                <w:color w:val="auto"/>
              </w:rPr>
            </w:pPr>
            <w:r>
              <w:rPr>
                <w:rFonts w:ascii="Calibri" w:cs="Calibri" w:eastAsia="Calibri" w:hAnsi="Calibri"/>
                <w:sz w:val="18"/>
                <w:szCs w:val="18"/>
                <w:color w:val="auto"/>
              </w:rPr>
              <w:t>United Kingdom</w:t>
            </w:r>
          </w:p>
        </w:tc>
      </w:tr>
      <w:tr>
        <w:trPr>
          <w:trHeight w:val="215"/>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26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Drive, N7776, New Providence, Bahamas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32"/>
        </w:trPr>
        <w:tc>
          <w:tcPr>
            <w:tcW w:w="1000" w:type="dxa"/>
            <w:vAlign w:val="bottom"/>
          </w:tcPr>
          <w:p>
            <w:pPr>
              <w:spacing w:after="0"/>
              <w:rPr>
                <w:sz w:val="20"/>
                <w:szCs w:val="20"/>
                <w:color w:val="auto"/>
              </w:rPr>
            </w:pPr>
            <w:r>
              <w:rPr>
                <w:rFonts w:ascii="Calibri" w:cs="Calibri" w:eastAsia="Calibri" w:hAnsi="Calibri"/>
                <w:sz w:val="18"/>
                <w:szCs w:val="18"/>
                <w:color w:val="auto"/>
              </w:rPr>
              <w:t>Paul Higgs</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Calibri" w:cs="Calibri" w:eastAsia="Calibri" w:hAnsi="Calibri"/>
                <w:sz w:val="18"/>
                <w:szCs w:val="18"/>
                <w:color w:val="auto"/>
              </w:rPr>
              <w:t>Director, Vice President,</w:t>
            </w:r>
          </w:p>
        </w:tc>
        <w:tc>
          <w:tcPr>
            <w:tcW w:w="10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Calibri" w:cs="Calibri" w:eastAsia="Calibri" w:hAnsi="Calibri"/>
                <w:sz w:val="18"/>
                <w:szCs w:val="18"/>
                <w:color w:val="auto"/>
              </w:rPr>
              <w:t>Accountant</w:t>
            </w:r>
          </w:p>
        </w:tc>
        <w:tc>
          <w:tcPr>
            <w:tcW w:w="3260" w:type="dxa"/>
            <w:vAlign w:val="bottom"/>
            <w:gridSpan w:val="2"/>
          </w:tcPr>
          <w:p>
            <w:pPr>
              <w:ind w:left="100"/>
              <w:spacing w:after="0"/>
              <w:rPr>
                <w:sz w:val="20"/>
                <w:szCs w:val="20"/>
                <w:color w:val="auto"/>
              </w:rPr>
            </w:pPr>
            <w:r>
              <w:rPr>
                <w:rFonts w:ascii="Calibri" w:cs="Calibri" w:eastAsia="Calibri" w:hAnsi="Calibri"/>
                <w:sz w:val="18"/>
                <w:szCs w:val="18"/>
                <w:color w:val="auto"/>
              </w:rPr>
              <w:t>Albany Financial Center, Suite 207, Lewis</w:t>
            </w:r>
          </w:p>
        </w:tc>
        <w:tc>
          <w:tcPr>
            <w:tcW w:w="1580" w:type="dxa"/>
            <w:vAlign w:val="bottom"/>
            <w:gridSpan w:val="2"/>
          </w:tcPr>
          <w:p>
            <w:pPr>
              <w:ind w:left="100"/>
              <w:spacing w:after="0"/>
              <w:rPr>
                <w:sz w:val="20"/>
                <w:szCs w:val="20"/>
                <w:color w:val="auto"/>
              </w:rPr>
            </w:pPr>
            <w:r>
              <w:rPr>
                <w:rFonts w:ascii="Calibri" w:cs="Calibri" w:eastAsia="Calibri" w:hAnsi="Calibri"/>
                <w:sz w:val="18"/>
                <w:szCs w:val="18"/>
                <w:color w:val="auto"/>
              </w:rPr>
              <w:t>Bahamas</w:t>
            </w: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line="216" w:lineRule="exact"/>
              <w:rPr>
                <w:sz w:val="20"/>
                <w:szCs w:val="20"/>
                <w:color w:val="auto"/>
              </w:rPr>
            </w:pPr>
            <w:r>
              <w:rPr>
                <w:rFonts w:ascii="Calibri" w:cs="Calibri" w:eastAsia="Calibri" w:hAnsi="Calibri"/>
                <w:sz w:val="18"/>
                <w:szCs w:val="18"/>
                <w:color w:val="auto"/>
              </w:rPr>
              <w:t>Secretary</w:t>
            </w: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260" w:type="dxa"/>
            <w:vAlign w:val="bottom"/>
            <w:gridSpan w:val="2"/>
          </w:tcPr>
          <w:p>
            <w:pPr>
              <w:ind w:left="100"/>
              <w:spacing w:after="0" w:line="216" w:lineRule="exact"/>
              <w:rPr>
                <w:sz w:val="20"/>
                <w:szCs w:val="20"/>
                <w:color w:val="auto"/>
              </w:rPr>
            </w:pPr>
            <w:r>
              <w:rPr>
                <w:rFonts w:ascii="Calibri" w:cs="Calibri" w:eastAsia="Calibri" w:hAnsi="Calibri"/>
                <w:sz w:val="18"/>
                <w:szCs w:val="18"/>
                <w:color w:val="auto"/>
              </w:rPr>
              <w:t>Drive, N7776, New Providence, Bahamas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070"/>
        </w:trPr>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18"/>
          <w:szCs w:val="18"/>
          <w:b w:val="1"/>
          <w:bCs w:val="1"/>
          <w:color w:val="auto"/>
        </w:rPr>
        <w:t>SCHEDULE B</w:t>
      </w:r>
    </w:p>
    <w:p>
      <w:pPr>
        <w:spacing w:after="0" w:line="200" w:lineRule="exact"/>
        <w:rPr>
          <w:sz w:val="20"/>
          <w:szCs w:val="20"/>
          <w:color w:val="auto"/>
        </w:rPr>
      </w:pP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January 24, 2024, Mr. Lewis pled guilty before the Hon. Jessica G.L. Clarke, in the United States District Court for the Southern District of New York, to one count of conspiracy to commit securites fraud and two counts of securites fraud, in violaton of 18 U.S.C. § 371, 15 U.S.C. § 78(b) and 78f. On April 4, 2024, Judge Clarke sentenced Mr. Lewis to three years of probaton, a fne of $5 million and a special assessment of $300.</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Separately, on April 3, 2024, Mr. Lewis reached an agreement with the U.S. Securites and Exchange Commission to setle a civil lawsuit brought against him by the Commission in the United States District Court for the Southern District of New York alleging insider trading violatons of the federal securites laws. Mr. Lewis agreed to pay a civil penalty of $1,636,645.11 and agreed to be permanently enjoined by the District Court from violatng Secton 10(b) of the Securites and Exchange Act of 1934 and Rule 10b-5 promulgated thereunder.</w:t>
      </w:r>
    </w:p>
    <w:sectPr>
      <w:pgSz w:w="11900" w:h="16838" w:orient="portrait"/>
      <w:cols w:equalWidth="0" w:num="1">
        <w:col w:w="11240"/>
      </w:cols>
      <w:pgMar w:left="320" w:top="5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2024-10-15T18:29:39Z</dcterms:created>
  <dcterms:modified xsi:type="dcterms:W3CDTF">2024-10-15T18:29:39Z</dcterms:modified>
</cp:coreProperties>
</file>