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2190750</wp:posOffset>
            </wp:positionH>
            <wp:positionV relativeFrom="page">
              <wp:posOffset>2057400</wp:posOffset>
            </wp:positionV>
            <wp:extent cx="3380740" cy="163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80740" cy="163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
          <w:szCs w:val="1"/>
          <w:color w:val="auto"/>
        </w:rPr>
        <w:t xml:space="preserve">2025 </w:t>
      </w:r>
      <w:r>
        <w:rPr>
          <w:sz w:val="1"/>
          <w:szCs w:val="1"/>
          <w:color w:val="auto"/>
        </w:rPr>
        <w:drawing>
          <wp:inline distT="0" distB="0" distL="0" distR="0">
            <wp:extent cx="167005" cy="115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005" cy="115570"/>
                    </a:xfrm>
                    <a:prstGeom prst="rect">
                      <a:avLst/>
                    </a:prstGeom>
                    <a:noFill/>
                    <a:ln>
                      <a:noFill/>
                    </a:ln>
                  </pic:spPr>
                </pic:pic>
              </a:graphicData>
            </a:graphic>
          </wp:inline>
        </w:drawing>
        <w:drawing>
          <wp:inline distT="0" distB="0" distL="0" distR="0">
            <wp:extent cx="151130" cy="93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130" cy="93345"/>
                    </a:xfrm>
                    <a:prstGeom prst="rect">
                      <a:avLst/>
                    </a:prstGeom>
                    <a:noFill/>
                    <a:ln>
                      <a:noFill/>
                    </a:ln>
                  </pic:spPr>
                </pic:pic>
              </a:graphicData>
            </a:graphic>
          </wp:inline>
        </w:drawing>
        <w:drawing>
          <wp:inline distT="0" distB="0" distL="0" distR="0">
            <wp:extent cx="108585" cy="121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585" cy="121920"/>
                    </a:xfrm>
                    <a:prstGeom prst="rect">
                      <a:avLst/>
                    </a:prstGeom>
                    <a:noFill/>
                    <a:ln>
                      <a:noFill/>
                    </a:ln>
                  </pic:spPr>
                </pic:pic>
              </a:graphicData>
            </a:graphic>
          </wp:inline>
        </w:drawing>
        <w:drawing>
          <wp:inline distT="0" distB="0" distL="0" distR="0">
            <wp:extent cx="149860" cy="115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860" cy="115570"/>
                    </a:xfrm>
                    <a:prstGeom prst="rect">
                      <a:avLst/>
                    </a:prstGeom>
                    <a:noFill/>
                    <a:ln>
                      <a:noFill/>
                    </a:ln>
                  </pic:spPr>
                </pic:pic>
              </a:graphicData>
            </a:graphic>
          </wp:inline>
        </w:drawing>
        <w:drawing>
          <wp:inline distT="0" distB="0" distL="0" distR="0">
            <wp:extent cx="154305" cy="116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 cy="116840"/>
                    </a:xfrm>
                    <a:prstGeom prst="rect">
                      <a:avLst/>
                    </a:prstGeom>
                    <a:noFill/>
                    <a:ln>
                      <a:noFill/>
                    </a:ln>
                  </pic:spPr>
                </pic:pic>
              </a:graphicData>
            </a:graphic>
          </wp:inline>
        </w:drawing>
        <w:drawing>
          <wp:inline distT="0" distB="0" distL="0" distR="0">
            <wp:extent cx="106045" cy="1085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108585"/>
                    </a:xfrm>
                    <a:prstGeom prst="rect">
                      <a:avLst/>
                    </a:prstGeom>
                    <a:noFill/>
                    <a:ln>
                      <a:noFill/>
                    </a:ln>
                  </pic:spPr>
                </pic:pic>
              </a:graphicData>
            </a:graphic>
          </wp:inline>
        </w:drawing>
        <w:drawing>
          <wp:inline distT="0" distB="0" distL="0" distR="0">
            <wp:extent cx="136525" cy="1085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25" cy="108585"/>
                    </a:xfrm>
                    <a:prstGeom prst="rect">
                      <a:avLst/>
                    </a:prstGeom>
                    <a:noFill/>
                    <a:ln>
                      <a:noFill/>
                    </a:ln>
                  </pic:spPr>
                </pic:pic>
              </a:graphicData>
            </a:graphic>
          </wp:inline>
        </w:drawing>
        <w:drawing>
          <wp:inline distT="0" distB="0" distL="0" distR="0">
            <wp:extent cx="127635" cy="116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47320" cy="933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 cy="93345"/>
                    </a:xfrm>
                    <a:prstGeom prst="rect">
                      <a:avLst/>
                    </a:prstGeom>
                    <a:noFill/>
                    <a:ln>
                      <a:noFill/>
                    </a:ln>
                  </pic:spPr>
                </pic:pic>
              </a:graphicData>
            </a:graphic>
          </wp:inline>
        </w:drawing>
        <w:drawing>
          <wp:inline distT="0" distB="0" distL="0" distR="0">
            <wp:extent cx="142240" cy="1212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240" cy="121285"/>
                    </a:xfrm>
                    <a:prstGeom prst="rect">
                      <a:avLst/>
                    </a:prstGeom>
                    <a:noFill/>
                    <a:ln>
                      <a:noFill/>
                    </a:ln>
                  </pic:spPr>
                </pic:pic>
              </a:graphicData>
            </a:graphic>
          </wp:inline>
        </w:drawing>
        <w:drawing>
          <wp:inline distT="0" distB="0" distL="0" distR="0">
            <wp:extent cx="116205" cy="121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205" cy="121920"/>
                    </a:xfrm>
                    <a:prstGeom prst="rect">
                      <a:avLst/>
                    </a:prstGeom>
                    <a:noFill/>
                    <a:ln>
                      <a:noFill/>
                    </a:ln>
                  </pic:spPr>
                </pic:pic>
              </a:graphicData>
            </a:graphic>
          </wp:inline>
        </w:drawing>
        <w:drawing>
          <wp:inline distT="0" distB="0" distL="0" distR="0">
            <wp:extent cx="154305" cy="1219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 cy="121920"/>
                    </a:xfrm>
                    <a:prstGeom prst="rect">
                      <a:avLst/>
                    </a:prstGeom>
                    <a:noFill/>
                    <a:ln>
                      <a:noFill/>
                    </a:ln>
                  </pic:spPr>
                </pic:pic>
              </a:graphicData>
            </a:graphic>
          </wp:inline>
        </w:drawing>
        <w:drawing>
          <wp:inline distT="0" distB="0" distL="0" distR="0">
            <wp:extent cx="110490" cy="933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490" cy="93345"/>
                    </a:xfrm>
                    <a:prstGeom prst="rect">
                      <a:avLst/>
                    </a:prstGeom>
                    <a:noFill/>
                    <a:ln>
                      <a:noFill/>
                    </a:ln>
                  </pic:spPr>
                </pic:pic>
              </a:graphicData>
            </a:graphic>
          </wp:inline>
        </w:drawing>
      </w:r>
    </w:p>
    <w:p>
      <w:pPr>
        <w:sectPr>
          <w:pgSz w:w="12240" w:h="15840" w:orient="portrait"/>
          <w:cols w:equalWidth="0" w:num="1">
            <w:col w:w="9360"/>
          </w:cols>
          <w:pgMar w:left="1440" w:top="1440" w:right="1440" w:bottom="20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4"/>
          <w:szCs w:val="14"/>
          <w:color w:val="auto"/>
        </w:rPr>
        <w:t>ACTIVE/206234477.2</w:t>
      </w:r>
    </w:p>
    <w:p>
      <w:pPr>
        <w:sectPr>
          <w:pgSz w:w="12240" w:h="15840" w:orient="portrait"/>
          <w:cols w:equalWidth="0" w:num="1">
            <w:col w:w="9360"/>
          </w:cols>
          <w:pgMar w:left="1440" w:top="1440" w:right="1440" w:bottom="2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444500</wp:posOffset>
            </wp:positionH>
            <wp:positionV relativeFrom="page">
              <wp:posOffset>590550</wp:posOffset>
            </wp:positionV>
            <wp:extent cx="6883400" cy="53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3400" cy="53340"/>
                    </a:xfrm>
                    <a:prstGeom prst="rect">
                      <a:avLst/>
                    </a:prstGeom>
                    <a:noFill/>
                  </pic:spPr>
                </pic:pic>
              </a:graphicData>
            </a:graphic>
          </wp:anchor>
        </w:drawing>
        <w:t>UNITED STATES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5535295" cy="3774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5295" cy="377444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27" w:lineRule="exact"/>
        <w:rPr>
          <w:sz w:val="20"/>
          <w:szCs w:val="20"/>
          <w:color w:val="auto"/>
        </w:rPr>
      </w:pPr>
    </w:p>
    <w:p>
      <w:pPr>
        <w:ind w:left="3700" w:right="1560" w:hanging="3253"/>
        <w:spacing w:after="0" w:line="312" w:lineRule="auto"/>
        <w:rPr>
          <w:sz w:val="20"/>
          <w:szCs w:val="20"/>
          <w:color w:val="auto"/>
        </w:rPr>
      </w:pPr>
      <w:r>
        <w:rPr>
          <w:rFonts w:ascii="Arial" w:cs="Arial" w:eastAsia="Arial" w:hAnsi="Arial"/>
          <w:sz w:val="18"/>
          <w:szCs w:val="18"/>
          <w:b w:val="1"/>
          <w:bCs w:val="1"/>
          <w:color w:val="auto"/>
          <w:highlight w:val="white"/>
        </w:rPr>
        <w:t xml:space="preserve">ANNUAL REPORT PURSUANT TO SECTION 13 OR 15(d) OF THE SECURITIES EXCHANGE ACT OF 1934 For the fiscal year ended December 31, </w:t>
      </w:r>
      <w:r>
        <w:rPr>
          <w:rFonts w:ascii="Arial" w:cs="Arial" w:eastAsia="Arial" w:hAnsi="Arial"/>
          <w:sz w:val="18"/>
          <w:szCs w:val="18"/>
          <w:b w:val="1"/>
          <w:bCs w:val="1"/>
          <w:color w:val="auto"/>
        </w:rPr>
        <w:t>2025</w:t>
      </w:r>
    </w:p>
    <w:p>
      <w:pPr>
        <w:jc w:val="center"/>
        <w:spacing w:after="0"/>
        <w:rPr>
          <w:sz w:val="20"/>
          <w:szCs w:val="20"/>
          <w:color w:val="auto"/>
        </w:rPr>
      </w:pPr>
      <w:r>
        <w:rPr>
          <w:rFonts w:ascii="Arial" w:cs="Arial" w:eastAsia="Arial" w:hAnsi="Arial"/>
          <w:sz w:val="18"/>
          <w:szCs w:val="18"/>
          <w:b w:val="1"/>
          <w:bCs w:val="1"/>
          <w:color w:val="auto"/>
        </w:rPr>
        <w:t>OR</w:t>
      </w:r>
    </w:p>
    <w:p>
      <w:pPr>
        <w:spacing w:after="0" w:line="5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highlight w:val="white"/>
        </w:rPr>
        <w:t>TRANSITION REPORT PURSUANT TO SECTION 13 OR 15(d) OF THE SECURITIES EXCHANGE ACT OF 1934 FOR THE</w:t>
      </w:r>
    </w:p>
    <w:p>
      <w:pPr>
        <w:spacing w:after="0" w:line="39" w:lineRule="exact"/>
        <w:rPr>
          <w:sz w:val="20"/>
          <w:szCs w:val="20"/>
          <w:color w:val="auto"/>
        </w:rPr>
      </w:pPr>
    </w:p>
    <w:p>
      <w:pPr>
        <w:ind w:left="440"/>
        <w:spacing w:after="0"/>
        <w:tabs>
          <w:tab w:leader="none" w:pos="39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001-39485</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44"/>
          <w:szCs w:val="44"/>
          <w:b w:val="1"/>
          <w:bCs w:val="1"/>
          <w:color w:val="auto"/>
        </w:rPr>
        <w:t>TANGO THERAPEUTICS, INC.</w:t>
      </w:r>
    </w:p>
    <w:p>
      <w:pPr>
        <w:sectPr>
          <w:pgSz w:w="12240" w:h="15840" w:orient="portrait"/>
          <w:cols w:equalWidth="0" w:num="1">
            <w:col w:w="10800"/>
          </w:cols>
          <w:pgMar w:left="720" w:top="1097" w:right="720" w:bottom="547" w:gutter="0" w:footer="0" w:header="0"/>
        </w:sectPr>
      </w:pP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highlight w:val="white"/>
        </w:rPr>
        <w:t xml:space="preserve">(Exact name of Registrant as specified in its </w:t>
      </w:r>
      <w:r>
        <w:rPr>
          <w:rFonts w:ascii="Arial" w:cs="Arial" w:eastAsia="Arial" w:hAnsi="Arial"/>
          <w:sz w:val="18"/>
          <w:szCs w:val="18"/>
          <w:b w:val="1"/>
          <w:bCs w:val="1"/>
          <w:color w:val="auto"/>
        </w:rPr>
        <w:t>Charter)</w:t>
      </w:r>
    </w:p>
    <w:p>
      <w:pPr>
        <w:spacing w:after="0" w:line="146" w:lineRule="exact"/>
        <w:rPr>
          <w:sz w:val="20"/>
          <w:szCs w:val="20"/>
          <w:color w:val="auto"/>
        </w:rPr>
      </w:pPr>
    </w:p>
    <w:p>
      <w:pPr>
        <w:jc w:val="center"/>
        <w:ind w:right="2060"/>
        <w:spacing w:after="0"/>
        <w:rPr>
          <w:sz w:val="20"/>
          <w:szCs w:val="20"/>
          <w:color w:val="auto"/>
        </w:rPr>
      </w:pPr>
      <w:r>
        <w:rPr>
          <w:rFonts w:ascii="Arial" w:cs="Arial" w:eastAsia="Arial" w:hAnsi="Arial"/>
          <w:sz w:val="20"/>
          <w:szCs w:val="20"/>
          <w:b w:val="1"/>
          <w:bCs w:val="1"/>
          <w:color w:val="auto"/>
        </w:rPr>
        <w:t>Delaware</w:t>
      </w:r>
    </w:p>
    <w:p>
      <w:pPr>
        <w:spacing w:after="0" w:line="2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(State or other </w:t>
      </w:r>
      <w:r>
        <w:rPr>
          <w:rFonts w:ascii="Arial" w:cs="Arial" w:eastAsia="Arial" w:hAnsi="Arial"/>
          <w:sz w:val="14"/>
          <w:szCs w:val="14"/>
          <w:b w:val="1"/>
          <w:bCs w:val="1"/>
          <w:color w:val="auto"/>
          <w:highlight w:val="white"/>
        </w:rPr>
        <w:t>jurisdiction</w:t>
      </w:r>
      <w:r>
        <w:rPr>
          <w:rFonts w:ascii="Arial" w:cs="Arial" w:eastAsia="Arial" w:hAnsi="Arial"/>
          <w:sz w:val="14"/>
          <w:szCs w:val="14"/>
          <w:b w:val="1"/>
          <w:bCs w:val="1"/>
          <w:color w:val="auto"/>
        </w:rPr>
        <w:t xml:space="preserve"> of</w:t>
      </w:r>
    </w:p>
    <w:p>
      <w:pPr>
        <w:ind w:left="1780"/>
        <w:spacing w:after="0"/>
        <w:rPr>
          <w:sz w:val="20"/>
          <w:szCs w:val="20"/>
          <w:color w:val="auto"/>
        </w:rPr>
      </w:pPr>
      <w:r>
        <w:rPr>
          <w:rFonts w:ascii="Arial" w:cs="Arial" w:eastAsia="Arial" w:hAnsi="Arial"/>
          <w:sz w:val="14"/>
          <w:szCs w:val="14"/>
          <w:b w:val="1"/>
          <w:bCs w:val="1"/>
          <w:color w:val="auto"/>
          <w:highlight w:val="white"/>
        </w:rPr>
        <w:t>incorporation or organization)</w:t>
      </w:r>
    </w:p>
    <w:p>
      <w:pPr>
        <w:spacing w:after="0" w:line="10" w:lineRule="exact"/>
        <w:rPr>
          <w:sz w:val="20"/>
          <w:szCs w:val="20"/>
          <w:color w:val="auto"/>
        </w:rPr>
      </w:pPr>
    </w:p>
    <w:p>
      <w:pPr>
        <w:jc w:val="center"/>
        <w:ind w:right="2060"/>
        <w:spacing w:after="0"/>
        <w:rPr>
          <w:sz w:val="20"/>
          <w:szCs w:val="20"/>
          <w:color w:val="auto"/>
        </w:rPr>
      </w:pPr>
      <w:r>
        <w:rPr>
          <w:rFonts w:ascii="Arial" w:cs="Arial" w:eastAsia="Arial" w:hAnsi="Arial"/>
          <w:sz w:val="17"/>
          <w:szCs w:val="17"/>
          <w:b w:val="1"/>
          <w:bCs w:val="1"/>
          <w:color w:val="auto"/>
          <w:highlight w:val="white"/>
        </w:rPr>
        <w:t>201 Brookline Ave., Suite 901</w:t>
      </w:r>
    </w:p>
    <w:p>
      <w:pPr>
        <w:spacing w:after="0" w:line="39" w:lineRule="exact"/>
        <w:rPr>
          <w:sz w:val="20"/>
          <w:szCs w:val="20"/>
          <w:color w:val="auto"/>
        </w:rPr>
      </w:pPr>
    </w:p>
    <w:p>
      <w:pPr>
        <w:jc w:val="center"/>
        <w:ind w:right="2060"/>
        <w:spacing w:after="0"/>
        <w:rPr>
          <w:sz w:val="20"/>
          <w:szCs w:val="20"/>
          <w:color w:val="auto"/>
        </w:rPr>
      </w:pPr>
      <w:r>
        <w:rPr>
          <w:rFonts w:ascii="Arial" w:cs="Arial" w:eastAsia="Arial" w:hAnsi="Arial"/>
          <w:sz w:val="20"/>
          <w:szCs w:val="20"/>
          <w:b w:val="1"/>
          <w:bCs w:val="1"/>
          <w:color w:val="auto"/>
          <w:highlight w:val="white"/>
        </w:rPr>
        <w:t xml:space="preserve">Boston, </w:t>
      </w:r>
      <w:r>
        <w:rPr>
          <w:rFonts w:ascii="Arial" w:cs="Arial" w:eastAsia="Arial" w:hAnsi="Arial"/>
          <w:sz w:val="20"/>
          <w:szCs w:val="20"/>
          <w:b w:val="1"/>
          <w:bCs w:val="1"/>
          <w:color w:val="auto"/>
        </w:rPr>
        <w:t>MA</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85-1195036</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highlight w:val="white"/>
        </w:rPr>
        <w:t>(I.R.S. Employer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highlight w:val="white"/>
        </w:rPr>
        <w:t>Identification No.)</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02215</w:t>
      </w:r>
    </w:p>
    <w:p>
      <w:pPr>
        <w:spacing w:after="0" w:line="30" w:lineRule="exact"/>
        <w:rPr>
          <w:sz w:val="20"/>
          <w:szCs w:val="20"/>
          <w:color w:val="auto"/>
        </w:rPr>
      </w:pPr>
    </w:p>
    <w:p>
      <w:pPr>
        <w:sectPr>
          <w:pgSz w:w="12240" w:h="15840" w:orient="portrait"/>
          <w:cols w:equalWidth="0" w:num="2">
            <w:col w:w="7440" w:space="100"/>
            <w:col w:w="3260"/>
          </w:cols>
          <w:pgMar w:left="720" w:top="1097" w:right="720" w:bottom="547" w:gutter="0" w:footer="0" w:header="0"/>
          <w:type w:val="continuous"/>
        </w:sectPr>
      </w:pPr>
    </w:p>
    <w:p>
      <w:pPr>
        <w:ind w:left="1540"/>
        <w:spacing w:after="0"/>
        <w:tabs>
          <w:tab w:leader="none" w:pos="7740" w:val="left"/>
        </w:tabs>
        <w:rPr>
          <w:sz w:val="20"/>
          <w:szCs w:val="20"/>
          <w:color w:val="auto"/>
        </w:rPr>
      </w:pPr>
      <w:r>
        <w:rPr>
          <w:rFonts w:ascii="Arial" w:cs="Arial" w:eastAsia="Arial" w:hAnsi="Arial"/>
          <w:sz w:val="14"/>
          <w:szCs w:val="14"/>
          <w:b w:val="1"/>
          <w:bCs w:val="1"/>
          <w:color w:val="auto"/>
          <w:highlight w:val="white"/>
        </w:rPr>
        <w:t>(Address of principal executive offices)</w:t>
      </w:r>
      <w:r>
        <w:rPr>
          <w:sz w:val="20"/>
          <w:szCs w:val="20"/>
          <w:color w:val="auto"/>
        </w:rPr>
        <w:tab/>
      </w:r>
      <w:r>
        <w:rPr>
          <w:rFonts w:ascii="Arial" w:cs="Arial" w:eastAsia="Arial" w:hAnsi="Arial"/>
          <w:sz w:val="13"/>
          <w:szCs w:val="13"/>
          <w:b w:val="1"/>
          <w:bCs w:val="1"/>
          <w:color w:val="auto"/>
          <w:highlight w:val="white"/>
        </w:rPr>
        <w:t>(Zip Code)</w:t>
      </w:r>
    </w:p>
    <w:p>
      <w:pPr>
        <w:spacing w:after="0" w:line="3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20"/>
          <w:szCs w:val="20"/>
          <w:b w:val="1"/>
          <w:bCs w:val="1"/>
          <w:color w:val="auto"/>
        </w:rPr>
        <w:t>(857) 320-4900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Securities registered pursuant to Section 12(b) of the </w:t>
      </w:r>
      <w:r>
        <w:rPr>
          <w:rFonts w:ascii="Arial" w:cs="Arial" w:eastAsia="Arial" w:hAnsi="Arial"/>
          <w:sz w:val="17"/>
          <w:szCs w:val="17"/>
          <w:color w:val="auto"/>
          <w:highlight w:val="white"/>
        </w:rPr>
        <w:t>Act: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class</w:t>
            </w:r>
          </w:p>
        </w:tc>
        <w:tc>
          <w:tcPr>
            <w:tcW w:w="640" w:type="dxa"/>
            <w:vAlign w:val="bottom"/>
          </w:tcPr>
          <w:p>
            <w:pPr>
              <w:spacing w:after="0"/>
              <w:rPr>
                <w:sz w:val="17"/>
                <w:szCs w:val="17"/>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5"/>
              </w:rPr>
              <w:t>Trading</w:t>
            </w:r>
          </w:p>
        </w:tc>
        <w:tc>
          <w:tcPr>
            <w:tcW w:w="100" w:type="dxa"/>
            <w:vAlign w:val="bottom"/>
          </w:tcPr>
          <w:p>
            <w:pPr>
              <w:spacing w:after="0"/>
              <w:rPr>
                <w:sz w:val="17"/>
                <w:szCs w:val="17"/>
                <w:color w:val="auto"/>
              </w:rPr>
            </w:pPr>
          </w:p>
        </w:tc>
        <w:tc>
          <w:tcPr>
            <w:tcW w:w="432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6"/>
                <w:szCs w:val="16"/>
                <w:b w:val="1"/>
                <w:bCs w:val="1"/>
                <w:color w:val="auto"/>
                <w:highlight w:val="white"/>
                <w:w w:val="92"/>
              </w:rPr>
              <w:t>Title of each</w:t>
            </w:r>
          </w:p>
        </w:tc>
        <w:tc>
          <w:tcPr>
            <w:tcW w:w="19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highlight w:val="white"/>
                <w:w w:val="87"/>
              </w:rPr>
              <w:t>Symbol(s)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line="200" w:lineRule="exact"/>
              <w:rPr>
                <w:sz w:val="20"/>
                <w:szCs w:val="20"/>
                <w:color w:val="auto"/>
              </w:rPr>
            </w:pPr>
            <w:r>
              <w:rPr>
                <w:rFonts w:ascii="Arial" w:cs="Arial" w:eastAsia="Arial" w:hAnsi="Arial"/>
                <w:sz w:val="20"/>
                <w:szCs w:val="20"/>
                <w:color w:val="auto"/>
                <w:highlight w:val="white"/>
                <w:w w:val="96"/>
              </w:rPr>
              <w:t>Common</w:t>
            </w:r>
          </w:p>
        </w:tc>
        <w:tc>
          <w:tcPr>
            <w:tcW w:w="520" w:type="dxa"/>
            <w:vAlign w:val="bottom"/>
          </w:tcPr>
          <w:p>
            <w:pPr>
              <w:spacing w:after="0" w:line="200" w:lineRule="exact"/>
              <w:rPr>
                <w:sz w:val="20"/>
                <w:szCs w:val="20"/>
                <w:color w:val="auto"/>
              </w:rPr>
            </w:pPr>
            <w:r>
              <w:rPr>
                <w:rFonts w:ascii="Arial" w:cs="Arial" w:eastAsia="Arial" w:hAnsi="Arial"/>
                <w:sz w:val="20"/>
                <w:szCs w:val="20"/>
                <w:color w:val="auto"/>
                <w:highlight w:val="white"/>
                <w:w w:val="95"/>
              </w:rPr>
              <w:t>stock,</w:t>
            </w:r>
          </w:p>
        </w:tc>
        <w:tc>
          <w:tcPr>
            <w:tcW w:w="240" w:type="dxa"/>
            <w:vAlign w:val="bottom"/>
          </w:tcPr>
          <w:p>
            <w:pPr>
              <w:spacing w:after="0" w:line="200" w:lineRule="exact"/>
              <w:rPr>
                <w:sz w:val="20"/>
                <w:szCs w:val="20"/>
                <w:color w:val="auto"/>
              </w:rPr>
            </w:pPr>
            <w:r>
              <w:rPr>
                <w:rFonts w:ascii="Arial" w:cs="Arial" w:eastAsia="Arial" w:hAnsi="Arial"/>
                <w:sz w:val="20"/>
                <w:szCs w:val="20"/>
                <w:color w:val="auto"/>
                <w:highlight w:val="white"/>
                <w:w w:val="75"/>
              </w:rPr>
              <w:t>par</w:t>
            </w:r>
          </w:p>
        </w:tc>
        <w:tc>
          <w:tcPr>
            <w:tcW w:w="1460" w:type="dxa"/>
            <w:vAlign w:val="bottom"/>
            <w:gridSpan w:val="2"/>
          </w:tcPr>
          <w:p>
            <w:pPr>
              <w:ind w:left="60"/>
              <w:spacing w:after="0" w:line="200" w:lineRule="exact"/>
              <w:rPr>
                <w:sz w:val="20"/>
                <w:szCs w:val="20"/>
                <w:color w:val="auto"/>
              </w:rPr>
            </w:pPr>
            <w:r>
              <w:rPr>
                <w:rFonts w:ascii="Arial" w:cs="Arial" w:eastAsia="Arial" w:hAnsi="Arial"/>
                <w:sz w:val="20"/>
                <w:szCs w:val="20"/>
                <w:color w:val="auto"/>
                <w:highlight w:val="white"/>
                <w:w w:val="92"/>
              </w:rPr>
              <w:t>value $0.001 per</w:t>
            </w:r>
          </w:p>
        </w:tc>
        <w:tc>
          <w:tcPr>
            <w:tcW w:w="1400" w:type="dxa"/>
            <w:vAlign w:val="bottom"/>
          </w:tcPr>
          <w:p>
            <w:pPr>
              <w:spacing w:after="0" w:line="200" w:lineRule="exact"/>
              <w:rPr>
                <w:sz w:val="20"/>
                <w:szCs w:val="20"/>
                <w:color w:val="auto"/>
              </w:rPr>
            </w:pPr>
            <w:r>
              <w:rPr>
                <w:rFonts w:ascii="Arial" w:cs="Arial" w:eastAsia="Arial" w:hAnsi="Arial"/>
                <w:sz w:val="20"/>
                <w:szCs w:val="20"/>
                <w:color w:val="auto"/>
              </w:rPr>
              <w:t>share</w:t>
            </w:r>
          </w:p>
        </w:tc>
        <w:tc>
          <w:tcPr>
            <w:tcW w:w="6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640"/>
              <w:spacing w:after="0" w:line="200" w:lineRule="exact"/>
              <w:rPr>
                <w:sz w:val="20"/>
                <w:szCs w:val="20"/>
                <w:color w:val="auto"/>
              </w:rPr>
            </w:pPr>
            <w:r>
              <w:rPr>
                <w:rFonts w:ascii="Arial" w:cs="Arial" w:eastAsia="Arial" w:hAnsi="Arial"/>
                <w:sz w:val="20"/>
                <w:szCs w:val="20"/>
                <w:color w:val="auto"/>
              </w:rPr>
              <w:t>TNGX</w:t>
            </w: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highlight w:val="white"/>
                <w:w w:val="91"/>
              </w:rPr>
              <w:t>Nasdaq Global Market</w:t>
            </w: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sz w:val="1"/>
          <w:szCs w:val="1"/>
          <w:color w:val="auto"/>
        </w:rPr>
        <w:drawing>
          <wp:inline distT="0" distB="0" distL="0" distR="0">
            <wp:extent cx="82550" cy="82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82550" cy="82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sz w:val="1"/>
          <w:szCs w:val="1"/>
          <w:color w:val="auto"/>
        </w:rPr>
        <w:drawing>
          <wp:inline distT="0" distB="0" distL="0" distR="0">
            <wp:extent cx="82550" cy="82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82550" cy="825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months (or for such shorter period that the Registrant was required to file such reports), and (2) has been subject to such filing requirements for the past 90 days. YES </w:t>
      </w:r>
      <w:r>
        <w:rPr>
          <w:sz w:val="1"/>
          <w:szCs w:val="1"/>
          <w:color w:val="auto"/>
        </w:rPr>
        <w:drawing>
          <wp:inline distT="0" distB="0" distL="0" distR="0">
            <wp:extent cx="82550" cy="82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82550" cy="825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this chapter) during the preceding 12 months (or for such shorter period that the Registrant was required to submit such files). YES </w:t>
      </w:r>
      <w:r>
        <w:rPr>
          <w:sz w:val="1"/>
          <w:szCs w:val="1"/>
          <w:color w:val="auto"/>
        </w:rPr>
        <w:drawing>
          <wp:inline distT="0" distB="0" distL="0" distR="0">
            <wp:extent cx="82550" cy="825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82550" cy="82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Large accelerated filer           </w:t>
      </w:r>
      <w:r>
        <w:rPr>
          <w:sz w:val="1"/>
          <w:szCs w:val="1"/>
          <w:color w:val="auto"/>
        </w:rPr>
        <w:drawing>
          <wp:inline distT="0" distB="0" distL="0" distR="0">
            <wp:extent cx="82550" cy="82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-71120</wp:posOffset>
            </wp:positionV>
            <wp:extent cx="82550" cy="82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0" cy="8255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Non-accelerated filer            </w:t>
      </w:r>
      <w:r>
        <w:rPr>
          <w:sz w:val="1"/>
          <w:szCs w:val="1"/>
          <w:color w:val="auto"/>
        </w:rPr>
        <w:drawing>
          <wp:inline distT="0" distB="0" distL="0" distR="0">
            <wp:extent cx="82550" cy="82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-71120</wp:posOffset>
            </wp:positionV>
            <wp:extent cx="82550" cy="82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0" cy="82550"/>
                    </a:xfrm>
                    <a:prstGeom prst="rect">
                      <a:avLst/>
                    </a:prstGeom>
                    <a:noFill/>
                  </pic:spPr>
                </pic:pic>
              </a:graphicData>
            </a:graphic>
          </wp:anchor>
        </w:drawing>
      </w:r>
    </w:p>
    <w:p>
      <w:pPr>
        <w:spacing w:after="0" w:line="207" w:lineRule="exact"/>
        <w:rPr>
          <w:sz w:val="20"/>
          <w:szCs w:val="20"/>
          <w:color w:val="auto"/>
        </w:rPr>
      </w:pPr>
    </w:p>
    <w:p>
      <w:pPr>
        <w:ind w:left="8280"/>
        <w:spacing w:after="0"/>
        <w:rPr>
          <w:sz w:val="20"/>
          <w:szCs w:val="20"/>
          <w:color w:val="auto"/>
        </w:rPr>
      </w:pPr>
      <w:r>
        <w:rPr>
          <w:rFonts w:ascii="Arial" w:cs="Arial" w:eastAsia="Arial" w:hAnsi="Arial"/>
          <w:sz w:val="15"/>
          <w:szCs w:val="15"/>
          <w:color w:val="auto"/>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-71120</wp:posOffset>
            </wp:positionV>
            <wp:extent cx="82550" cy="82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0" cy="8255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-89535</wp:posOffset>
            </wp:positionV>
            <wp:extent cx="82550" cy="82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0" cy="825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reporting under Section 404(b) of the Sarbanes-Oxley Act (15 U.S.C. 7262(b)) by the registered public accounting firm that prepared or issued its audit report. YES </w:t>
      </w:r>
      <w:r>
        <w:rPr>
          <w:sz w:val="1"/>
          <w:szCs w:val="1"/>
          <w:color w:val="auto"/>
        </w:rPr>
        <w:drawing>
          <wp:inline distT="0" distB="0" distL="0" distR="0">
            <wp:extent cx="82550" cy="82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82550" cy="82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an error to previously issued financial statements. YES </w:t>
      </w:r>
      <w:r>
        <w:rPr>
          <w:sz w:val="1"/>
          <w:szCs w:val="1"/>
          <w:color w:val="auto"/>
        </w:rPr>
        <w:drawing>
          <wp:inline distT="0" distB="0" distL="0" distR="0">
            <wp:extent cx="82550" cy="825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82550" cy="825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registrant’s executive officers during the relevant recovery period pursuant to §240.10D-1(b). YES </w:t>
      </w:r>
      <w:r>
        <w:rPr>
          <w:sz w:val="1"/>
          <w:szCs w:val="1"/>
          <w:color w:val="auto"/>
        </w:rPr>
        <w:drawing>
          <wp:inline distT="0" distB="0" distL="0" distR="0">
            <wp:extent cx="82550" cy="825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82550" cy="825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sz w:val="1"/>
          <w:szCs w:val="1"/>
          <w:color w:val="auto"/>
        </w:rPr>
        <w:drawing>
          <wp:inline distT="0" distB="0" distL="0" distR="0">
            <wp:extent cx="82550" cy="825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82550" cy="82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0" cy="82550"/>
                    </a:xfrm>
                    <a:prstGeom prst="rect">
                      <a:avLst/>
                    </a:prstGeom>
                    <a:noFill/>
                    <a:ln>
                      <a:noFill/>
                    </a:ln>
                  </pic:spPr>
                </pic:pic>
              </a:graphicData>
            </a:graphic>
          </wp:inline>
        </w:drawing>
      </w:r>
    </w:p>
    <w:p>
      <w:pPr>
        <w:spacing w:after="0" w:line="65" w:lineRule="exact"/>
        <w:rPr>
          <w:sz w:val="20"/>
          <w:szCs w:val="20"/>
          <w:color w:val="auto"/>
        </w:rPr>
      </w:pPr>
    </w:p>
    <w:p>
      <w:pPr>
        <w:ind w:right="240"/>
        <w:spacing w:after="0" w:line="259" w:lineRule="auto"/>
        <w:rPr>
          <w:sz w:val="20"/>
          <w:szCs w:val="20"/>
          <w:color w:val="auto"/>
        </w:rPr>
      </w:pPr>
      <w:r>
        <w:rPr>
          <w:rFonts w:ascii="Arial" w:cs="Arial" w:eastAsia="Arial" w:hAnsi="Arial"/>
          <w:sz w:val="15"/>
          <w:szCs w:val="15"/>
          <w:color w:val="auto"/>
        </w:rPr>
        <w:t>As of June 30, 2025,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30, 2025, was approximately $528.4 million.</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26, 2026, the registrant had 142,688,851 shares of common stock, $0.001 par value per share, outstanding.</w:t>
      </w:r>
    </w:p>
    <w:p>
      <w:pPr>
        <w:sectPr>
          <w:pgSz w:w="12240" w:h="15840" w:orient="portrait"/>
          <w:cols w:equalWidth="0" w:num="1">
            <w:col w:w="10800"/>
          </w:cols>
          <w:pgMar w:left="720" w:top="1097" w:right="720" w:bottom="547"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registrant's definitive proxy statement relating to the annual meeting of shareholders will be filed with the Securities and Exchange Commission within 120 days after the close of the registrant's fiscal year ended December 31, 2025 and is incorporated by reference in Part III to the extent described herein.</w:t>
      </w:r>
    </w:p>
    <w:p>
      <w:pPr>
        <w:sectPr>
          <w:pgSz w:w="12240" w:h="15840" w:orient="portrait"/>
          <w:cols w:equalWidth="0" w:num="1">
            <w:col w:w="10780"/>
          </w:cols>
          <w:pgMar w:left="720" w:top="931" w:right="7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0" w:type="dxa"/>
            <w:vAlign w:val="bottom"/>
          </w:tcPr>
          <w:p>
            <w:pPr>
              <w:ind w:left="3300"/>
              <w:spacing w:after="0"/>
              <w:rPr>
                <w:sz w:val="20"/>
                <w:szCs w:val="20"/>
                <w:color w:val="auto"/>
              </w:rPr>
            </w:pPr>
            <w:r>
              <w:rPr>
                <w:rFonts w:ascii="Arial" w:cs="Arial" w:eastAsia="Arial" w:hAnsi="Arial"/>
                <w:sz w:val="20"/>
                <w:szCs w:val="20"/>
                <w:b w:val="1"/>
                <w:bCs w:val="1"/>
                <w:color w:val="auto"/>
              </w:rPr>
              <w:t>Table of Contents</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980" w:type="dxa"/>
            <w:vAlign w:val="bottom"/>
            <w:gridSpan w:val="5"/>
            <w:vMerge w:val="restart"/>
          </w:tcPr>
          <w:p>
            <w:pPr>
              <w:spacing w:after="0"/>
              <w:rPr>
                <w:sz w:val="20"/>
                <w:szCs w:val="20"/>
                <w:color w:val="auto"/>
              </w:rPr>
            </w:pPr>
            <w:r>
              <w:rPr>
                <w:rFonts w:ascii="Arial" w:cs="Arial" w:eastAsia="Arial" w:hAnsi="Arial"/>
                <w:sz w:val="20"/>
                <w:szCs w:val="20"/>
                <w:b w:val="1"/>
                <w:bCs w:val="1"/>
                <w:color w:val="0000FF"/>
                <w:highlight w:val="white"/>
              </w:rPr>
              <w:t xml:space="preserve">PART </w:t>
            </w:r>
            <w:r>
              <w:rPr>
                <w:rFonts w:ascii="Arial" w:cs="Arial" w:eastAsia="Arial" w:hAnsi="Arial"/>
                <w:sz w:val="20"/>
                <w:szCs w:val="20"/>
                <w:b w:val="1"/>
                <w:bCs w:val="1"/>
                <w:color w:val="0000FF"/>
              </w:rPr>
              <w:t>I</w:t>
            </w:r>
          </w:p>
        </w:tc>
        <w:tc>
          <w:tcPr>
            <w:tcW w:w="8400" w:type="dxa"/>
            <w:vAlign w:val="bottom"/>
          </w:tcPr>
          <w:p>
            <w:pPr>
              <w:spacing w:after="0"/>
              <w:rPr>
                <w:sz w:val="24"/>
                <w:szCs w:val="24"/>
                <w:color w:val="auto"/>
              </w:rPr>
            </w:pP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8"/>
        </w:trPr>
        <w:tc>
          <w:tcPr>
            <w:tcW w:w="980" w:type="dxa"/>
            <w:vAlign w:val="bottom"/>
            <w:gridSpan w:val="5"/>
            <w:vMerge w:val="continue"/>
          </w:tcPr>
          <w:p>
            <w:pPr>
              <w:spacing w:after="0"/>
              <w:rPr>
                <w:sz w:val="18"/>
                <w:szCs w:val="18"/>
                <w:color w:val="auto"/>
              </w:rPr>
            </w:pPr>
          </w:p>
        </w:tc>
        <w:tc>
          <w:tcPr>
            <w:tcW w:w="8400" w:type="dxa"/>
            <w:vAlign w:val="bottom"/>
            <w:vMerge w:val="restart"/>
          </w:tcPr>
          <w:p>
            <w:pPr>
              <w:ind w:left="120"/>
              <w:spacing w:after="0"/>
              <w:rPr>
                <w:sz w:val="20"/>
                <w:szCs w:val="20"/>
                <w:color w:val="auto"/>
              </w:rPr>
            </w:pPr>
            <w:r>
              <w:rPr>
                <w:rFonts w:ascii="Arial" w:cs="Arial" w:eastAsia="Arial" w:hAnsi="Arial"/>
                <w:sz w:val="20"/>
                <w:szCs w:val="20"/>
                <w:color w:val="0000FF"/>
              </w:rPr>
              <w:t>Business</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3"/>
        </w:trPr>
        <w:tc>
          <w:tcPr>
            <w:tcW w:w="680" w:type="dxa"/>
            <w:vAlign w:val="bottom"/>
            <w:tcBorders>
              <w:top w:val="single" w:sz="8" w:color="0000FF"/>
            </w:tcBorders>
          </w:tcPr>
          <w:p>
            <w:pPr>
              <w:ind w:left="140"/>
              <w:spacing w:after="0"/>
              <w:rPr>
                <w:sz w:val="20"/>
                <w:szCs w:val="20"/>
                <w:color w:val="auto"/>
              </w:rPr>
            </w:pPr>
            <w:r>
              <w:rPr>
                <w:rFonts w:ascii="Arial" w:cs="Arial" w:eastAsia="Arial" w:hAnsi="Arial"/>
                <w:sz w:val="20"/>
                <w:szCs w:val="20"/>
                <w:color w:val="auto"/>
                <w:highlight w:val="white"/>
                <w:w w:val="84"/>
              </w:rPr>
              <w:t xml:space="preserve">Item </w:t>
            </w:r>
            <w:r>
              <w:rPr>
                <w:rFonts w:ascii="Arial" w:cs="Arial" w:eastAsia="Arial" w:hAnsi="Arial"/>
                <w:sz w:val="20"/>
                <w:szCs w:val="20"/>
                <w:color w:val="auto"/>
                <w:w w:val="84"/>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1A.</w:t>
            </w:r>
          </w:p>
        </w:tc>
        <w:tc>
          <w:tcPr>
            <w:tcW w:w="8400" w:type="dxa"/>
            <w:vAlign w:val="bottom"/>
          </w:tcPr>
          <w:p>
            <w:pPr>
              <w:ind w:left="120"/>
              <w:spacing w:after="0"/>
              <w:rPr>
                <w:sz w:val="20"/>
                <w:szCs w:val="20"/>
                <w:color w:val="auto"/>
              </w:rPr>
            </w:pPr>
            <w:r>
              <w:rPr>
                <w:rFonts w:ascii="Arial" w:cs="Arial" w:eastAsia="Arial" w:hAnsi="Arial"/>
                <w:sz w:val="20"/>
                <w:szCs w:val="20"/>
                <w:color w:val="0000FF"/>
              </w:rPr>
              <w:t>Risk Factors</w:t>
            </w:r>
          </w:p>
        </w:tc>
        <w:tc>
          <w:tcPr>
            <w:tcW w:w="7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46"/>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1B.</w:t>
            </w:r>
          </w:p>
        </w:tc>
        <w:tc>
          <w:tcPr>
            <w:tcW w:w="8400" w:type="dxa"/>
            <w:vAlign w:val="bottom"/>
          </w:tcPr>
          <w:p>
            <w:pPr>
              <w:ind w:left="120"/>
              <w:spacing w:after="0"/>
              <w:rPr>
                <w:sz w:val="20"/>
                <w:szCs w:val="20"/>
                <w:color w:val="auto"/>
              </w:rPr>
            </w:pPr>
            <w:r>
              <w:rPr>
                <w:rFonts w:ascii="Arial" w:cs="Arial" w:eastAsia="Arial" w:hAnsi="Arial"/>
                <w:sz w:val="20"/>
                <w:szCs w:val="20"/>
                <w:color w:val="0000FF"/>
                <w:highlight w:val="white"/>
              </w:rPr>
              <w:t xml:space="preserve">Unresolved Staff </w:t>
            </w:r>
            <w:r>
              <w:rPr>
                <w:rFonts w:ascii="Arial" w:cs="Arial" w:eastAsia="Arial" w:hAnsi="Arial"/>
                <w:sz w:val="20"/>
                <w:szCs w:val="20"/>
                <w:color w:val="0000FF"/>
              </w:rPr>
              <w:t>Comments</w:t>
            </w:r>
          </w:p>
        </w:tc>
        <w:tc>
          <w:tcPr>
            <w:tcW w:w="70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1C</w:t>
            </w:r>
          </w:p>
        </w:tc>
        <w:tc>
          <w:tcPr>
            <w:tcW w:w="8400" w:type="dxa"/>
            <w:vAlign w:val="bottom"/>
          </w:tcPr>
          <w:p>
            <w:pPr>
              <w:ind w:left="120"/>
              <w:spacing w:after="0"/>
              <w:rPr>
                <w:sz w:val="20"/>
                <w:szCs w:val="20"/>
                <w:color w:val="auto"/>
              </w:rPr>
            </w:pPr>
            <w:r>
              <w:rPr>
                <w:rFonts w:ascii="Arial" w:cs="Arial" w:eastAsia="Arial" w:hAnsi="Arial"/>
                <w:sz w:val="20"/>
                <w:szCs w:val="20"/>
                <w:color w:val="0000FF"/>
              </w:rPr>
              <w:t>Cybersecurity</w:t>
            </w:r>
          </w:p>
        </w:tc>
        <w:tc>
          <w:tcPr>
            <w:tcW w:w="70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2.</w:t>
            </w:r>
          </w:p>
        </w:tc>
        <w:tc>
          <w:tcPr>
            <w:tcW w:w="8400" w:type="dxa"/>
            <w:vAlign w:val="bottom"/>
          </w:tcPr>
          <w:p>
            <w:pPr>
              <w:ind w:left="120"/>
              <w:spacing w:after="0"/>
              <w:rPr>
                <w:sz w:val="20"/>
                <w:szCs w:val="20"/>
                <w:color w:val="auto"/>
              </w:rPr>
            </w:pPr>
            <w:r>
              <w:rPr>
                <w:rFonts w:ascii="Arial" w:cs="Arial" w:eastAsia="Arial" w:hAnsi="Arial"/>
                <w:sz w:val="20"/>
                <w:szCs w:val="20"/>
                <w:color w:val="0000FF"/>
              </w:rPr>
              <w:t>Properties</w:t>
            </w:r>
          </w:p>
        </w:tc>
        <w:tc>
          <w:tcPr>
            <w:tcW w:w="70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3.</w:t>
            </w:r>
          </w:p>
        </w:tc>
        <w:tc>
          <w:tcPr>
            <w:tcW w:w="8400" w:type="dxa"/>
            <w:vAlign w:val="bottom"/>
          </w:tcPr>
          <w:p>
            <w:pPr>
              <w:ind w:left="120"/>
              <w:spacing w:after="0"/>
              <w:rPr>
                <w:sz w:val="20"/>
                <w:szCs w:val="20"/>
                <w:color w:val="auto"/>
              </w:rPr>
            </w:pPr>
            <w:r>
              <w:rPr>
                <w:rFonts w:ascii="Arial" w:cs="Arial" w:eastAsia="Arial" w:hAnsi="Arial"/>
                <w:sz w:val="20"/>
                <w:szCs w:val="20"/>
                <w:color w:val="0000FF"/>
              </w:rPr>
              <w:t>Legal Proceedings</w:t>
            </w:r>
          </w:p>
        </w:tc>
        <w:tc>
          <w:tcPr>
            <w:tcW w:w="70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67"/>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4.</w:t>
            </w:r>
          </w:p>
        </w:tc>
        <w:tc>
          <w:tcPr>
            <w:tcW w:w="8400" w:type="dxa"/>
            <w:vAlign w:val="bottom"/>
          </w:tcPr>
          <w:p>
            <w:pPr>
              <w:ind w:left="120"/>
              <w:spacing w:after="0"/>
              <w:rPr>
                <w:sz w:val="20"/>
                <w:szCs w:val="20"/>
                <w:color w:val="auto"/>
              </w:rPr>
            </w:pPr>
            <w:r>
              <w:rPr>
                <w:rFonts w:ascii="Arial" w:cs="Arial" w:eastAsia="Arial" w:hAnsi="Arial"/>
                <w:sz w:val="20"/>
                <w:szCs w:val="20"/>
                <w:color w:val="0000FF"/>
              </w:rPr>
              <w:t>Mine Safety Disclosures</w:t>
            </w:r>
          </w:p>
        </w:tc>
        <w:tc>
          <w:tcPr>
            <w:tcW w:w="70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460"/>
        </w:trPr>
        <w:tc>
          <w:tcPr>
            <w:tcW w:w="980" w:type="dxa"/>
            <w:vAlign w:val="bottom"/>
            <w:gridSpan w:val="5"/>
          </w:tcPr>
          <w:p>
            <w:pPr>
              <w:spacing w:after="0"/>
              <w:rPr>
                <w:sz w:val="20"/>
                <w:szCs w:val="20"/>
                <w:color w:val="auto"/>
              </w:rPr>
            </w:pPr>
            <w:r>
              <w:rPr>
                <w:rFonts w:ascii="Arial" w:cs="Arial" w:eastAsia="Arial" w:hAnsi="Arial"/>
                <w:sz w:val="20"/>
                <w:szCs w:val="20"/>
                <w:b w:val="1"/>
                <w:bCs w:val="1"/>
                <w:color w:val="0000FF"/>
              </w:rPr>
              <w:t>PART II</w:t>
            </w:r>
          </w:p>
        </w:tc>
        <w:tc>
          <w:tcPr>
            <w:tcW w:w="8400" w:type="dxa"/>
            <w:vAlign w:val="bottom"/>
            <w:vMerge w:val="restart"/>
          </w:tcPr>
          <w:p>
            <w:pPr>
              <w:ind w:left="120"/>
              <w:spacing w:after="0"/>
              <w:rPr>
                <w:sz w:val="20"/>
                <w:szCs w:val="20"/>
                <w:color w:val="auto"/>
              </w:rPr>
            </w:pPr>
            <w:r>
              <w:rPr>
                <w:rFonts w:ascii="Arial" w:cs="Arial" w:eastAsia="Arial" w:hAnsi="Arial"/>
                <w:sz w:val="20"/>
                <w:szCs w:val="20"/>
                <w:color w:val="0000FF"/>
                <w:w w:val="92"/>
              </w:rPr>
              <w:t>Market for Registrant’s Common Equity, Related Stockholder Matters and Issuer Purchases of Equity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 w:type="dxa"/>
            <w:vAlign w:val="bottom"/>
            <w:tcBorders>
              <w:top w:val="single" w:sz="8" w:color="0000FF"/>
            </w:tcBorders>
            <w:gridSpan w:val="2"/>
          </w:tcPr>
          <w:p>
            <w:pPr>
              <w:ind w:left="140"/>
              <w:spacing w:after="0" w:line="219" w:lineRule="exact"/>
              <w:rPr>
                <w:sz w:val="20"/>
                <w:szCs w:val="20"/>
                <w:color w:val="auto"/>
              </w:rPr>
            </w:pPr>
            <w:r>
              <w:rPr>
                <w:rFonts w:ascii="Arial" w:cs="Arial" w:eastAsia="Arial" w:hAnsi="Arial"/>
                <w:sz w:val="20"/>
                <w:szCs w:val="20"/>
                <w:color w:val="auto"/>
                <w:w w:val="98"/>
              </w:rPr>
              <w:t>Item 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0" w:type="dxa"/>
            <w:vAlign w:val="bottom"/>
          </w:tcPr>
          <w:p>
            <w:pPr>
              <w:ind w:left="120"/>
              <w:spacing w:after="0"/>
              <w:rPr>
                <w:sz w:val="20"/>
                <w:szCs w:val="20"/>
                <w:color w:val="auto"/>
              </w:rPr>
            </w:pPr>
            <w:r>
              <w:rPr>
                <w:rFonts w:ascii="Arial" w:cs="Arial" w:eastAsia="Arial" w:hAnsi="Arial"/>
                <w:sz w:val="20"/>
                <w:szCs w:val="20"/>
                <w:color w:val="0000FF"/>
              </w:rPr>
              <w:t>Securities</w:t>
            </w:r>
          </w:p>
        </w:tc>
        <w:tc>
          <w:tcPr>
            <w:tcW w:w="70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6.</w:t>
            </w:r>
          </w:p>
        </w:tc>
        <w:tc>
          <w:tcPr>
            <w:tcW w:w="8400" w:type="dxa"/>
            <w:vAlign w:val="bottom"/>
          </w:tcPr>
          <w:p>
            <w:pPr>
              <w:ind w:left="120"/>
              <w:spacing w:after="0"/>
              <w:rPr>
                <w:sz w:val="20"/>
                <w:szCs w:val="20"/>
                <w:color w:val="auto"/>
              </w:rPr>
            </w:pPr>
            <w:r>
              <w:rPr>
                <w:rFonts w:ascii="Arial" w:cs="Arial" w:eastAsia="Arial" w:hAnsi="Arial"/>
                <w:sz w:val="20"/>
                <w:szCs w:val="20"/>
                <w:color w:val="0000FF"/>
              </w:rPr>
              <w:t>[Reserved]</w:t>
            </w:r>
          </w:p>
        </w:tc>
        <w:tc>
          <w:tcPr>
            <w:tcW w:w="70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46"/>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7.</w:t>
            </w:r>
          </w:p>
        </w:tc>
        <w:tc>
          <w:tcPr>
            <w:tcW w:w="8400" w:type="dxa"/>
            <w:vAlign w:val="bottom"/>
          </w:tcPr>
          <w:p>
            <w:pPr>
              <w:ind w:left="120"/>
              <w:spacing w:after="0"/>
              <w:rPr>
                <w:sz w:val="20"/>
                <w:szCs w:val="20"/>
                <w:color w:val="auto"/>
              </w:rPr>
            </w:pPr>
            <w:r>
              <w:rPr>
                <w:rFonts w:ascii="Arial" w:cs="Arial" w:eastAsia="Arial" w:hAnsi="Arial"/>
                <w:sz w:val="20"/>
                <w:szCs w:val="20"/>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7A.</w:t>
            </w:r>
          </w:p>
        </w:tc>
        <w:tc>
          <w:tcPr>
            <w:tcW w:w="8400" w:type="dxa"/>
            <w:vAlign w:val="bottom"/>
          </w:tcPr>
          <w:p>
            <w:pPr>
              <w:ind w:left="120"/>
              <w:spacing w:after="0"/>
              <w:rPr>
                <w:sz w:val="20"/>
                <w:szCs w:val="20"/>
                <w:color w:val="auto"/>
              </w:rPr>
            </w:pPr>
            <w:r>
              <w:rPr>
                <w:rFonts w:ascii="Arial" w:cs="Arial" w:eastAsia="Arial" w:hAnsi="Arial"/>
                <w:sz w:val="20"/>
                <w:szCs w:val="20"/>
                <w:color w:val="0000FF"/>
              </w:rPr>
              <w:t>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8.</w:t>
            </w:r>
          </w:p>
        </w:tc>
        <w:tc>
          <w:tcPr>
            <w:tcW w:w="8400" w:type="dxa"/>
            <w:vAlign w:val="bottom"/>
          </w:tcPr>
          <w:p>
            <w:pPr>
              <w:ind w:left="120"/>
              <w:spacing w:after="0"/>
              <w:rPr>
                <w:sz w:val="20"/>
                <w:szCs w:val="20"/>
                <w:color w:val="auto"/>
              </w:rPr>
            </w:pPr>
            <w:r>
              <w:rPr>
                <w:rFonts w:ascii="Arial" w:cs="Arial" w:eastAsia="Arial" w:hAnsi="Arial"/>
                <w:sz w:val="20"/>
                <w:szCs w:val="20"/>
                <w:color w:val="0000FF"/>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9.</w:t>
            </w:r>
          </w:p>
        </w:tc>
        <w:tc>
          <w:tcPr>
            <w:tcW w:w="8400" w:type="dxa"/>
            <w:vAlign w:val="bottom"/>
          </w:tcPr>
          <w:p>
            <w:pPr>
              <w:ind w:left="120"/>
              <w:spacing w:after="0"/>
              <w:rPr>
                <w:sz w:val="20"/>
                <w:szCs w:val="20"/>
                <w:color w:val="auto"/>
              </w:rPr>
            </w:pPr>
            <w:r>
              <w:rPr>
                <w:rFonts w:ascii="Arial" w:cs="Arial" w:eastAsia="Arial" w:hAnsi="Arial"/>
                <w:sz w:val="20"/>
                <w:szCs w:val="20"/>
                <w:color w:val="0000FF"/>
              </w:rPr>
              <w:t>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9A.</w:t>
            </w:r>
          </w:p>
        </w:tc>
        <w:tc>
          <w:tcPr>
            <w:tcW w:w="8400" w:type="dxa"/>
            <w:vAlign w:val="bottom"/>
          </w:tcPr>
          <w:p>
            <w:pPr>
              <w:ind w:left="120"/>
              <w:spacing w:after="0"/>
              <w:rPr>
                <w:sz w:val="20"/>
                <w:szCs w:val="20"/>
                <w:color w:val="auto"/>
              </w:rPr>
            </w:pPr>
            <w:r>
              <w:rPr>
                <w:rFonts w:ascii="Arial" w:cs="Arial" w:eastAsia="Arial" w:hAnsi="Arial"/>
                <w:sz w:val="20"/>
                <w:szCs w:val="20"/>
                <w:color w:val="0000FF"/>
              </w:rPr>
              <w:t>Controls and Procedures</w:t>
            </w:r>
          </w:p>
        </w:tc>
        <w:tc>
          <w:tcPr>
            <w:tcW w:w="70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9B.</w:t>
            </w:r>
          </w:p>
        </w:tc>
        <w:tc>
          <w:tcPr>
            <w:tcW w:w="8400" w:type="dxa"/>
            <w:vAlign w:val="bottom"/>
          </w:tcPr>
          <w:p>
            <w:pPr>
              <w:ind w:left="120"/>
              <w:spacing w:after="0"/>
              <w:rPr>
                <w:sz w:val="20"/>
                <w:szCs w:val="20"/>
                <w:color w:val="auto"/>
              </w:rPr>
            </w:pPr>
            <w:r>
              <w:rPr>
                <w:rFonts w:ascii="Arial" w:cs="Arial" w:eastAsia="Arial" w:hAnsi="Arial"/>
                <w:sz w:val="20"/>
                <w:szCs w:val="20"/>
                <w:color w:val="0000FF"/>
              </w:rPr>
              <w:t>Other Information</w:t>
            </w:r>
          </w:p>
        </w:tc>
        <w:tc>
          <w:tcPr>
            <w:tcW w:w="70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67"/>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9C.</w:t>
            </w:r>
          </w:p>
        </w:tc>
        <w:tc>
          <w:tcPr>
            <w:tcW w:w="8400" w:type="dxa"/>
            <w:vAlign w:val="bottom"/>
          </w:tcPr>
          <w:p>
            <w:pPr>
              <w:ind w:left="120"/>
              <w:spacing w:after="0"/>
              <w:rPr>
                <w:sz w:val="20"/>
                <w:szCs w:val="20"/>
                <w:color w:val="auto"/>
              </w:rPr>
            </w:pPr>
            <w:r>
              <w:rPr>
                <w:rFonts w:ascii="Arial" w:cs="Arial" w:eastAsia="Arial" w:hAnsi="Arial"/>
                <w:sz w:val="20"/>
                <w:szCs w:val="20"/>
                <w:color w:val="0000FF"/>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461"/>
        </w:trPr>
        <w:tc>
          <w:tcPr>
            <w:tcW w:w="980" w:type="dxa"/>
            <w:vAlign w:val="bottom"/>
            <w:gridSpan w:val="5"/>
          </w:tcPr>
          <w:p>
            <w:pPr>
              <w:spacing w:after="0"/>
              <w:rPr>
                <w:sz w:val="20"/>
                <w:szCs w:val="20"/>
                <w:color w:val="auto"/>
              </w:rPr>
            </w:pPr>
            <w:r>
              <w:rPr>
                <w:rFonts w:ascii="Arial" w:cs="Arial" w:eastAsia="Arial" w:hAnsi="Arial"/>
                <w:sz w:val="20"/>
                <w:szCs w:val="20"/>
                <w:b w:val="1"/>
                <w:bCs w:val="1"/>
                <w:color w:val="0000FF"/>
              </w:rPr>
              <w:t>PART III</w:t>
            </w:r>
          </w:p>
        </w:tc>
        <w:tc>
          <w:tcPr>
            <w:tcW w:w="8400" w:type="dxa"/>
            <w:vAlign w:val="bottom"/>
            <w:vMerge w:val="restart"/>
          </w:tcPr>
          <w:p>
            <w:pPr>
              <w:ind w:left="120"/>
              <w:spacing w:after="0"/>
              <w:rPr>
                <w:sz w:val="20"/>
                <w:szCs w:val="20"/>
                <w:color w:val="auto"/>
              </w:rPr>
            </w:pPr>
            <w:r>
              <w:rPr>
                <w:rFonts w:ascii="Arial" w:cs="Arial" w:eastAsia="Arial" w:hAnsi="Arial"/>
                <w:sz w:val="20"/>
                <w:szCs w:val="20"/>
                <w:color w:val="0000FF"/>
              </w:rPr>
              <w:t>Directors, Executive Officers and Corporate Governance</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3"/>
        </w:trPr>
        <w:tc>
          <w:tcPr>
            <w:tcW w:w="840" w:type="dxa"/>
            <w:vAlign w:val="bottom"/>
            <w:tcBorders>
              <w:top w:val="single" w:sz="8" w:color="0000FF"/>
            </w:tcBorders>
            <w:gridSpan w:val="4"/>
          </w:tcPr>
          <w:p>
            <w:pPr>
              <w:ind w:left="140"/>
              <w:spacing w:after="0"/>
              <w:rPr>
                <w:sz w:val="20"/>
                <w:szCs w:val="20"/>
                <w:color w:val="auto"/>
              </w:rPr>
            </w:pPr>
            <w:r>
              <w:rPr>
                <w:rFonts w:ascii="Arial" w:cs="Arial" w:eastAsia="Arial" w:hAnsi="Arial"/>
                <w:sz w:val="20"/>
                <w:szCs w:val="20"/>
                <w:color w:val="auto"/>
                <w:w w:val="94"/>
              </w:rPr>
              <w:t>Item 10.</w:t>
            </w:r>
          </w:p>
        </w:tc>
        <w:tc>
          <w:tcPr>
            <w:tcW w:w="140" w:type="dxa"/>
            <w:vAlign w:val="bottom"/>
          </w:tcPr>
          <w:p>
            <w:pPr>
              <w:spacing w:after="0"/>
              <w:rPr>
                <w:sz w:val="20"/>
                <w:szCs w:val="20"/>
                <w:color w:val="auto"/>
              </w:rPr>
            </w:pPr>
          </w:p>
        </w:tc>
        <w:tc>
          <w:tcPr>
            <w:tcW w:w="84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11.</w:t>
            </w:r>
          </w:p>
        </w:tc>
        <w:tc>
          <w:tcPr>
            <w:tcW w:w="8400" w:type="dxa"/>
            <w:vAlign w:val="bottom"/>
          </w:tcPr>
          <w:p>
            <w:pPr>
              <w:ind w:left="120"/>
              <w:spacing w:after="0"/>
              <w:rPr>
                <w:sz w:val="20"/>
                <w:szCs w:val="20"/>
                <w:color w:val="auto"/>
              </w:rPr>
            </w:pPr>
            <w:r>
              <w:rPr>
                <w:rFonts w:ascii="Arial" w:cs="Arial" w:eastAsia="Arial" w:hAnsi="Arial"/>
                <w:sz w:val="20"/>
                <w:szCs w:val="20"/>
                <w:color w:val="0000FF"/>
              </w:rPr>
              <w:t>Executive Compensation</w:t>
            </w:r>
          </w:p>
        </w:tc>
        <w:tc>
          <w:tcPr>
            <w:tcW w:w="7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12.</w:t>
            </w:r>
          </w:p>
        </w:tc>
        <w:tc>
          <w:tcPr>
            <w:tcW w:w="8400" w:type="dxa"/>
            <w:vAlign w:val="bottom"/>
          </w:tcPr>
          <w:p>
            <w:pPr>
              <w:ind w:left="120"/>
              <w:spacing w:after="0"/>
              <w:rPr>
                <w:sz w:val="20"/>
                <w:szCs w:val="20"/>
                <w:color w:val="auto"/>
              </w:rPr>
            </w:pPr>
            <w:r>
              <w:rPr>
                <w:rFonts w:ascii="Arial" w:cs="Arial" w:eastAsia="Arial" w:hAnsi="Arial"/>
                <w:sz w:val="20"/>
                <w:szCs w:val="20"/>
                <w:color w:val="0000FF"/>
                <w:w w:val="92"/>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45"/>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13.</w:t>
            </w:r>
          </w:p>
        </w:tc>
        <w:tc>
          <w:tcPr>
            <w:tcW w:w="8400" w:type="dxa"/>
            <w:vAlign w:val="bottom"/>
          </w:tcPr>
          <w:p>
            <w:pPr>
              <w:ind w:left="120"/>
              <w:spacing w:after="0"/>
              <w:rPr>
                <w:sz w:val="20"/>
                <w:szCs w:val="20"/>
                <w:color w:val="auto"/>
              </w:rPr>
            </w:pPr>
            <w:r>
              <w:rPr>
                <w:rFonts w:ascii="Arial" w:cs="Arial" w:eastAsia="Arial" w:hAnsi="Arial"/>
                <w:sz w:val="20"/>
                <w:szCs w:val="20"/>
                <w:color w:val="0000FF"/>
              </w:rPr>
              <w:t>Certain Relationships and Related Transactions, and Director Independence</w:t>
            </w:r>
          </w:p>
        </w:tc>
        <w:tc>
          <w:tcPr>
            <w:tcW w:w="7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7"/>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14.</w:t>
            </w:r>
          </w:p>
        </w:tc>
        <w:tc>
          <w:tcPr>
            <w:tcW w:w="8400" w:type="dxa"/>
            <w:vAlign w:val="bottom"/>
          </w:tcPr>
          <w:p>
            <w:pPr>
              <w:ind w:left="120"/>
              <w:spacing w:after="0"/>
              <w:rPr>
                <w:sz w:val="20"/>
                <w:szCs w:val="20"/>
                <w:color w:val="auto"/>
              </w:rPr>
            </w:pPr>
            <w:r>
              <w:rPr>
                <w:rFonts w:ascii="Arial" w:cs="Arial" w:eastAsia="Arial" w:hAnsi="Arial"/>
                <w:sz w:val="20"/>
                <w:szCs w:val="20"/>
                <w:color w:val="0000FF"/>
              </w:rPr>
              <w:t>Principal Accountant Fees and Services</w:t>
            </w:r>
          </w:p>
        </w:tc>
        <w:tc>
          <w:tcPr>
            <w:tcW w:w="7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462"/>
        </w:trPr>
        <w:tc>
          <w:tcPr>
            <w:tcW w:w="980" w:type="dxa"/>
            <w:vAlign w:val="bottom"/>
            <w:gridSpan w:val="5"/>
          </w:tcPr>
          <w:p>
            <w:pPr>
              <w:spacing w:after="0"/>
              <w:rPr>
                <w:sz w:val="20"/>
                <w:szCs w:val="20"/>
                <w:color w:val="auto"/>
              </w:rPr>
            </w:pPr>
            <w:r>
              <w:rPr>
                <w:rFonts w:ascii="Arial" w:cs="Arial" w:eastAsia="Arial" w:hAnsi="Arial"/>
                <w:sz w:val="20"/>
                <w:szCs w:val="20"/>
                <w:b w:val="1"/>
                <w:bCs w:val="1"/>
                <w:color w:val="0000FF"/>
              </w:rPr>
              <w:t>PART IV</w:t>
            </w:r>
          </w:p>
        </w:tc>
        <w:tc>
          <w:tcPr>
            <w:tcW w:w="8400" w:type="dxa"/>
            <w:vAlign w:val="bottom"/>
            <w:vMerge w:val="restart"/>
          </w:tcPr>
          <w:p>
            <w:pPr>
              <w:ind w:left="120"/>
              <w:spacing w:after="0"/>
              <w:rPr>
                <w:sz w:val="20"/>
                <w:szCs w:val="20"/>
                <w:color w:val="auto"/>
              </w:rPr>
            </w:pPr>
            <w:r>
              <w:rPr>
                <w:rFonts w:ascii="Arial" w:cs="Arial" w:eastAsia="Arial" w:hAnsi="Arial"/>
                <w:sz w:val="20"/>
                <w:szCs w:val="20"/>
                <w:color w:val="0000FF"/>
              </w:rPr>
              <w:t>Exhibits and Financial Statement Schedules</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32"/>
        </w:trPr>
        <w:tc>
          <w:tcPr>
            <w:tcW w:w="820" w:type="dxa"/>
            <w:vAlign w:val="bottom"/>
            <w:tcBorders>
              <w:top w:val="single" w:sz="8" w:color="0000FF"/>
            </w:tcBorders>
            <w:gridSpan w:val="3"/>
          </w:tcPr>
          <w:p>
            <w:pPr>
              <w:ind w:left="140"/>
              <w:spacing w:after="0"/>
              <w:rPr>
                <w:sz w:val="20"/>
                <w:szCs w:val="20"/>
                <w:color w:val="auto"/>
              </w:rPr>
            </w:pPr>
            <w:r>
              <w:rPr>
                <w:rFonts w:ascii="Arial" w:cs="Arial" w:eastAsia="Arial" w:hAnsi="Arial"/>
                <w:sz w:val="20"/>
                <w:szCs w:val="20"/>
                <w:color w:val="auto"/>
                <w:w w:val="91"/>
              </w:rPr>
              <w:t>Item 15.</w:t>
            </w:r>
          </w:p>
        </w:tc>
        <w:tc>
          <w:tcPr>
            <w:tcW w:w="160" w:type="dxa"/>
            <w:vAlign w:val="bottom"/>
            <w:gridSpan w:val="2"/>
          </w:tcPr>
          <w:p>
            <w:pPr>
              <w:spacing w:after="0"/>
              <w:rPr>
                <w:sz w:val="20"/>
                <w:szCs w:val="20"/>
                <w:color w:val="auto"/>
              </w:rPr>
            </w:pPr>
          </w:p>
        </w:tc>
        <w:tc>
          <w:tcPr>
            <w:tcW w:w="84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980" w:type="dxa"/>
            <w:vAlign w:val="bottom"/>
            <w:gridSpan w:val="5"/>
          </w:tcPr>
          <w:p>
            <w:pPr>
              <w:ind w:left="140"/>
              <w:spacing w:after="0"/>
              <w:rPr>
                <w:sz w:val="20"/>
                <w:szCs w:val="20"/>
                <w:color w:val="auto"/>
              </w:rPr>
            </w:pPr>
            <w:r>
              <w:rPr>
                <w:rFonts w:ascii="Arial" w:cs="Arial" w:eastAsia="Arial" w:hAnsi="Arial"/>
                <w:sz w:val="20"/>
                <w:szCs w:val="20"/>
                <w:color w:val="auto"/>
              </w:rPr>
              <w:t>Item 16.</w:t>
            </w:r>
          </w:p>
        </w:tc>
        <w:tc>
          <w:tcPr>
            <w:tcW w:w="8400" w:type="dxa"/>
            <w:vAlign w:val="bottom"/>
          </w:tcPr>
          <w:p>
            <w:pPr>
              <w:ind w:left="120"/>
              <w:spacing w:after="0"/>
              <w:rPr>
                <w:sz w:val="20"/>
                <w:szCs w:val="20"/>
                <w:color w:val="auto"/>
              </w:rPr>
            </w:pPr>
            <w:r>
              <w:rPr>
                <w:rFonts w:ascii="Arial" w:cs="Arial" w:eastAsia="Arial" w:hAnsi="Arial"/>
                <w:sz w:val="20"/>
                <w:szCs w:val="20"/>
                <w:color w:val="0000FF"/>
              </w:rPr>
              <w:t>Form 10-K Summary</w:t>
            </w:r>
          </w:p>
        </w:tc>
        <w:tc>
          <w:tcPr>
            <w:tcW w:w="70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-5265420</wp:posOffset>
            </wp:positionV>
            <wp:extent cx="6423660" cy="1692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23660" cy="169227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-3133090</wp:posOffset>
            </wp:positionV>
            <wp:extent cx="5200015" cy="1416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00015" cy="141668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-1274445</wp:posOffset>
            </wp:positionV>
            <wp:extent cx="5163820" cy="647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3820" cy="647700"/>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-185420</wp:posOffset>
            </wp:positionV>
            <wp:extent cx="224790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47900" cy="180340"/>
                    </a:xfrm>
                    <a:prstGeom prst="rect">
                      <a:avLst/>
                    </a:prstGeom>
                    <a:noFill/>
                  </pic:spPr>
                </pic:pic>
              </a:graphicData>
            </a:graphic>
          </wp:anchor>
        </w:drawing>
      </w:r>
    </w:p>
    <w:p>
      <w:pPr>
        <w:sectPr>
          <w:pgSz w:w="12240" w:h="15840" w:orient="portrait"/>
          <w:cols w:equalWidth="0" w:num="1">
            <w:col w:w="10080"/>
          </w:cols>
          <w:pgMar w:left="1080" w:top="1056" w:right="108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0"/>
          <w:szCs w:val="20"/>
          <w:b w:val="1"/>
          <w:bCs w:val="1"/>
          <w:color w:val="auto"/>
        </w:rPr>
        <w:t>Summary of Material Risks Associated with Our Business</w:t>
      </w:r>
    </w:p>
    <w:p>
      <w:pPr>
        <w:spacing w:after="0" w:line="243" w:lineRule="exact"/>
        <w:rPr>
          <w:sz w:val="20"/>
          <w:szCs w:val="20"/>
          <w:color w:val="auto"/>
        </w:rPr>
      </w:pPr>
    </w:p>
    <w:p>
      <w:pPr>
        <w:ind w:right="120" w:firstLine="563"/>
        <w:spacing w:after="0" w:line="252" w:lineRule="auto"/>
        <w:rPr>
          <w:sz w:val="20"/>
          <w:szCs w:val="20"/>
          <w:color w:val="auto"/>
        </w:rPr>
      </w:pPr>
      <w:r>
        <w:rPr>
          <w:rFonts w:ascii="Arial" w:cs="Arial" w:eastAsia="Arial" w:hAnsi="Arial"/>
          <w:sz w:val="20"/>
          <w:szCs w:val="20"/>
          <w:color w:val="auto"/>
        </w:rPr>
        <w:t>Our business is subject to numerous material and other risks that you should be aware of before making an investment decision with respect to our securities. These risks are described more fully in Part I, Item 1A of this Annual Report on Form 10-K entitled “Risk Factors.” These risks include, among others, the following (which is not an exhaustive list of all such risks):</w:t>
      </w:r>
    </w:p>
    <w:p>
      <w:pPr>
        <w:spacing w:after="0" w:line="198" w:lineRule="exact"/>
        <w:rPr>
          <w:sz w:val="20"/>
          <w:szCs w:val="20"/>
          <w:color w:val="auto"/>
        </w:rPr>
      </w:pPr>
    </w:p>
    <w:p>
      <w:pPr>
        <w:ind w:left="720" w:right="80" w:hanging="302"/>
        <w:spacing w:after="0" w:line="252" w:lineRule="auto"/>
        <w:tabs>
          <w:tab w:leader="none" w:pos="719"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98" w:lineRule="exact"/>
        <w:rPr>
          <w:rFonts w:ascii="Arial" w:cs="Arial" w:eastAsia="Arial" w:hAnsi="Arial"/>
          <w:sz w:val="20"/>
          <w:szCs w:val="20"/>
          <w:color w:val="auto"/>
        </w:rPr>
      </w:pPr>
    </w:p>
    <w:p>
      <w:pPr>
        <w:ind w:left="720" w:right="40" w:hanging="302"/>
        <w:spacing w:after="0" w:line="336" w:lineRule="auto"/>
        <w:tabs>
          <w:tab w:leader="none" w:pos="719"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24" w:lineRule="exact"/>
        <w:rPr>
          <w:rFonts w:ascii="Arial" w:cs="Arial" w:eastAsia="Arial" w:hAnsi="Arial"/>
          <w:sz w:val="18"/>
          <w:szCs w:val="18"/>
          <w:color w:val="auto"/>
        </w:rPr>
      </w:pPr>
    </w:p>
    <w:p>
      <w:pPr>
        <w:ind w:left="720" w:hanging="302"/>
        <w:spacing w:after="0" w:line="270" w:lineRule="auto"/>
        <w:tabs>
          <w:tab w:leader="none" w:pos="719"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80" w:lineRule="exact"/>
        <w:rPr>
          <w:rFonts w:ascii="Arial" w:cs="Arial" w:eastAsia="Arial" w:hAnsi="Arial"/>
          <w:sz w:val="19"/>
          <w:szCs w:val="19"/>
          <w:color w:val="auto"/>
        </w:rPr>
      </w:pPr>
    </w:p>
    <w:p>
      <w:pPr>
        <w:ind w:left="720" w:right="200" w:hanging="302"/>
        <w:spacing w:after="0" w:line="258" w:lineRule="auto"/>
        <w:tabs>
          <w:tab w:leader="none" w:pos="719"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91" w:lineRule="exact"/>
        <w:rPr>
          <w:rFonts w:ascii="Arial" w:cs="Arial" w:eastAsia="Arial" w:hAnsi="Arial"/>
          <w:sz w:val="20"/>
          <w:szCs w:val="20"/>
          <w:color w:val="auto"/>
        </w:rPr>
      </w:pPr>
    </w:p>
    <w:p>
      <w:pPr>
        <w:ind w:left="720" w:right="340" w:hanging="302"/>
        <w:spacing w:after="0" w:line="279" w:lineRule="auto"/>
        <w:tabs>
          <w:tab w:leader="none" w:pos="719" w:val="left"/>
        </w:tabs>
        <w:numPr>
          <w:ilvl w:val="0"/>
          <w:numId w:val="1"/>
        </w:numPr>
        <w:rPr>
          <w:rFonts w:ascii="Arial" w:cs="Arial" w:eastAsia="Arial" w:hAnsi="Arial"/>
          <w:sz w:val="19"/>
          <w:szCs w:val="19"/>
          <w:color w:val="auto"/>
        </w:rPr>
      </w:pPr>
      <w:r>
        <w:rPr>
          <w:rFonts w:ascii="Arial" w:cs="Arial" w:eastAsia="Arial" w:hAnsi="Arial"/>
          <w:sz w:val="19"/>
          <w:szCs w:val="19"/>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72" w:lineRule="exact"/>
        <w:rPr>
          <w:rFonts w:ascii="Arial" w:cs="Arial" w:eastAsia="Arial" w:hAnsi="Arial"/>
          <w:sz w:val="19"/>
          <w:szCs w:val="19"/>
          <w:color w:val="auto"/>
        </w:rPr>
      </w:pPr>
    </w:p>
    <w:p>
      <w:pPr>
        <w:ind w:left="740" w:right="100" w:hanging="318"/>
        <w:spacing w:after="0" w:line="249" w:lineRule="auto"/>
        <w:tabs>
          <w:tab w:leader="none" w:pos="739" w:val="left"/>
        </w:tabs>
        <w:numPr>
          <w:ilvl w:val="0"/>
          <w:numId w:val="1"/>
        </w:numPr>
        <w:rPr>
          <w:rFonts w:ascii="Arial" w:cs="Arial" w:eastAsia="Arial" w:hAnsi="Arial"/>
          <w:sz w:val="20"/>
          <w:szCs w:val="20"/>
          <w:color w:val="auto"/>
        </w:rPr>
      </w:pPr>
      <w:r>
        <w:rPr>
          <w:rFonts w:ascii="Arial" w:cs="Arial" w:eastAsia="Arial" w:hAnsi="Arial"/>
          <w:sz w:val="20"/>
          <w:szCs w:val="20"/>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200" w:lineRule="exact"/>
        <w:rPr>
          <w:rFonts w:ascii="Arial" w:cs="Arial" w:eastAsia="Arial" w:hAnsi="Arial"/>
          <w:sz w:val="20"/>
          <w:szCs w:val="20"/>
          <w:color w:val="auto"/>
        </w:rPr>
      </w:pPr>
    </w:p>
    <w:p>
      <w:pPr>
        <w:ind w:left="740" w:right="360" w:hanging="318"/>
        <w:spacing w:after="0" w:line="278" w:lineRule="auto"/>
        <w:tabs>
          <w:tab w:leader="none" w:pos="739" w:val="left"/>
        </w:tabs>
        <w:numPr>
          <w:ilvl w:val="0"/>
          <w:numId w:val="1"/>
        </w:numPr>
        <w:rPr>
          <w:rFonts w:ascii="Arial" w:cs="Arial" w:eastAsia="Arial" w:hAnsi="Arial"/>
          <w:sz w:val="20"/>
          <w:szCs w:val="20"/>
          <w:color w:val="auto"/>
        </w:rPr>
      </w:pPr>
      <w:r>
        <w:rPr>
          <w:rFonts w:ascii="Arial" w:cs="Arial" w:eastAsia="Arial" w:hAnsi="Arial"/>
          <w:sz w:val="20"/>
          <w:szCs w:val="20"/>
          <w:color w:val="auto"/>
        </w:rPr>
        <w:t>Clinical product development involves a lengthy and expensive process, with an uncertain outcome. Further, our current and potential future collaborations may not realize the anticipated benefits.</w:t>
      </w:r>
    </w:p>
    <w:p>
      <w:pPr>
        <w:spacing w:after="0" w:line="171" w:lineRule="exact"/>
        <w:rPr>
          <w:rFonts w:ascii="Arial" w:cs="Arial" w:eastAsia="Arial" w:hAnsi="Arial"/>
          <w:sz w:val="20"/>
          <w:szCs w:val="20"/>
          <w:color w:val="auto"/>
        </w:rPr>
      </w:pPr>
    </w:p>
    <w:p>
      <w:pPr>
        <w:ind w:left="740" w:right="40" w:hanging="318"/>
        <w:spacing w:after="0" w:line="258" w:lineRule="auto"/>
        <w:tabs>
          <w:tab w:leader="none" w:pos="739"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91" w:lineRule="exact"/>
        <w:rPr>
          <w:rFonts w:ascii="Arial" w:cs="Arial" w:eastAsia="Arial" w:hAnsi="Arial"/>
          <w:sz w:val="20"/>
          <w:szCs w:val="20"/>
          <w:color w:val="auto"/>
        </w:rPr>
      </w:pPr>
    </w:p>
    <w:p>
      <w:pPr>
        <w:ind w:left="720" w:right="140" w:hanging="302"/>
        <w:spacing w:after="0" w:line="249" w:lineRule="auto"/>
        <w:tabs>
          <w:tab w:leader="none" w:pos="719" w:val="left"/>
        </w:tabs>
        <w:numPr>
          <w:ilvl w:val="0"/>
          <w:numId w:val="1"/>
        </w:numPr>
        <w:rPr>
          <w:rFonts w:ascii="Arial" w:cs="Arial" w:eastAsia="Arial" w:hAnsi="Arial"/>
          <w:sz w:val="20"/>
          <w:szCs w:val="20"/>
          <w:color w:val="auto"/>
        </w:rPr>
      </w:pPr>
      <w:r>
        <w:rPr>
          <w:rFonts w:ascii="Arial" w:cs="Arial" w:eastAsia="Arial" w:hAnsi="Arial"/>
          <w:sz w:val="20"/>
          <w:szCs w:val="20"/>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01" w:lineRule="exact"/>
        <w:rPr>
          <w:rFonts w:ascii="Arial" w:cs="Arial" w:eastAsia="Arial" w:hAnsi="Arial"/>
          <w:sz w:val="20"/>
          <w:szCs w:val="20"/>
          <w:color w:val="auto"/>
        </w:rPr>
      </w:pPr>
    </w:p>
    <w:p>
      <w:pPr>
        <w:ind w:left="720" w:right="200" w:hanging="302"/>
        <w:spacing w:after="0" w:line="258" w:lineRule="auto"/>
        <w:tabs>
          <w:tab w:leader="none" w:pos="719" w:val="left"/>
        </w:tabs>
        <w:numPr>
          <w:ilvl w:val="0"/>
          <w:numId w:val="1"/>
        </w:numPr>
        <w:rPr>
          <w:rFonts w:ascii="Arial" w:cs="Arial" w:eastAsia="Arial" w:hAnsi="Arial"/>
          <w:sz w:val="20"/>
          <w:szCs w:val="20"/>
          <w:color w:val="auto"/>
        </w:rPr>
      </w:pPr>
      <w:r>
        <w:rPr>
          <w:rFonts w:ascii="Arial" w:cs="Arial" w:eastAsia="Arial" w:hAnsi="Arial"/>
          <w:sz w:val="20"/>
          <w:szCs w:val="20"/>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91" w:lineRule="exact"/>
        <w:rPr>
          <w:rFonts w:ascii="Arial" w:cs="Arial" w:eastAsia="Arial" w:hAnsi="Arial"/>
          <w:sz w:val="20"/>
          <w:szCs w:val="20"/>
          <w:color w:val="auto"/>
        </w:rPr>
      </w:pPr>
    </w:p>
    <w:p>
      <w:pPr>
        <w:ind w:left="740" w:right="60" w:hanging="318"/>
        <w:spacing w:after="0" w:line="259" w:lineRule="auto"/>
        <w:tabs>
          <w:tab w:leader="none" w:pos="739"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90" w:lineRule="exact"/>
        <w:rPr>
          <w:rFonts w:ascii="Arial" w:cs="Arial" w:eastAsia="Arial" w:hAnsi="Arial"/>
          <w:sz w:val="20"/>
          <w:szCs w:val="20"/>
          <w:color w:val="auto"/>
        </w:rPr>
      </w:pPr>
    </w:p>
    <w:p>
      <w:pPr>
        <w:ind w:left="720" w:right="20" w:hanging="302"/>
        <w:spacing w:after="0" w:line="300" w:lineRule="auto"/>
        <w:tabs>
          <w:tab w:leader="none" w:pos="719" w:val="left"/>
        </w:tabs>
        <w:numPr>
          <w:ilvl w:val="0"/>
          <w:numId w:val="1"/>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ectPr>
          <w:pgSz w:w="12240" w:h="15840" w:orient="portrait"/>
          <w:cols w:equalWidth="0" w:num="1">
            <w:col w:w="10140"/>
          </w:cols>
          <w:pgMar w:left="1000" w:top="1056" w:right="1100" w:bottom="611" w:gutter="0" w:footer="0" w:header="0"/>
        </w:sectPr>
      </w:pPr>
    </w:p>
    <w:bookmarkStart w:id="5" w:name="page6"/>
    <w:bookmarkEnd w:id="5"/>
    <w:p>
      <w:pPr>
        <w:ind w:left="322" w:right="80" w:hanging="318"/>
        <w:spacing w:after="0" w:line="258" w:lineRule="auto"/>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91" w:lineRule="exact"/>
        <w:rPr>
          <w:rFonts w:ascii="Arial" w:cs="Arial" w:eastAsia="Arial" w:hAnsi="Arial"/>
          <w:sz w:val="20"/>
          <w:szCs w:val="20"/>
          <w:color w:val="auto"/>
        </w:rPr>
      </w:pPr>
    </w:p>
    <w:p>
      <w:pPr>
        <w:ind w:left="302" w:right="460" w:hanging="302"/>
        <w:spacing w:after="0" w:line="336"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24" w:lineRule="exact"/>
        <w:rPr>
          <w:rFonts w:ascii="Arial" w:cs="Arial" w:eastAsia="Arial" w:hAnsi="Arial"/>
          <w:sz w:val="18"/>
          <w:szCs w:val="18"/>
          <w:color w:val="auto"/>
        </w:rPr>
      </w:pPr>
    </w:p>
    <w:p>
      <w:pPr>
        <w:ind w:left="322" w:right="20" w:hanging="318"/>
        <w:spacing w:after="0" w:line="249" w:lineRule="auto"/>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01" w:lineRule="exact"/>
        <w:rPr>
          <w:rFonts w:ascii="Arial" w:cs="Arial" w:eastAsia="Arial" w:hAnsi="Arial"/>
          <w:sz w:val="20"/>
          <w:szCs w:val="20"/>
          <w:color w:val="auto"/>
        </w:rPr>
      </w:pPr>
    </w:p>
    <w:p>
      <w:pPr>
        <w:ind w:left="302" w:right="20" w:hanging="302"/>
        <w:spacing w:after="0" w:line="249" w:lineRule="auto"/>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00" w:lineRule="exact"/>
        <w:rPr>
          <w:rFonts w:ascii="Arial" w:cs="Arial" w:eastAsia="Arial" w:hAnsi="Arial"/>
          <w:sz w:val="20"/>
          <w:szCs w:val="20"/>
          <w:color w:val="auto"/>
        </w:rPr>
      </w:pPr>
    </w:p>
    <w:p>
      <w:pPr>
        <w:ind w:left="302" w:right="60" w:hanging="302"/>
        <w:spacing w:after="0" w:line="247" w:lineRule="auto"/>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204" w:lineRule="exact"/>
        <w:rPr>
          <w:rFonts w:ascii="Arial" w:cs="Arial" w:eastAsia="Arial" w:hAnsi="Arial"/>
          <w:sz w:val="20"/>
          <w:szCs w:val="20"/>
          <w:color w:val="auto"/>
        </w:rPr>
      </w:pPr>
    </w:p>
    <w:p>
      <w:pPr>
        <w:ind w:left="302" w:right="180" w:hanging="302"/>
        <w:spacing w:after="0" w:line="334"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27" w:lineRule="exact"/>
        <w:rPr>
          <w:rFonts w:ascii="Arial" w:cs="Arial" w:eastAsia="Arial" w:hAnsi="Arial"/>
          <w:sz w:val="18"/>
          <w:szCs w:val="18"/>
          <w:color w:val="auto"/>
        </w:rPr>
      </w:pPr>
    </w:p>
    <w:p>
      <w:pPr>
        <w:ind w:left="302" w:right="180" w:hanging="302"/>
        <w:spacing w:after="0" w:line="252" w:lineRule="auto"/>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98" w:lineRule="exact"/>
        <w:rPr>
          <w:rFonts w:ascii="Arial" w:cs="Arial" w:eastAsia="Arial" w:hAnsi="Arial"/>
          <w:sz w:val="20"/>
          <w:szCs w:val="20"/>
          <w:color w:val="auto"/>
        </w:rPr>
      </w:pPr>
    </w:p>
    <w:p>
      <w:pPr>
        <w:ind w:left="302" w:hanging="302"/>
        <w:spacing w:after="0" w:line="278" w:lineRule="auto"/>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Development of combination therapies may present more or different challenges than development of single agent therapies.</w:t>
      </w:r>
    </w:p>
    <w:p>
      <w:pPr>
        <w:spacing w:after="0" w:line="171" w:lineRule="exact"/>
        <w:rPr>
          <w:rFonts w:ascii="Arial" w:cs="Arial" w:eastAsia="Arial" w:hAnsi="Arial"/>
          <w:sz w:val="20"/>
          <w:szCs w:val="20"/>
          <w:color w:val="auto"/>
        </w:rPr>
      </w:pPr>
    </w:p>
    <w:p>
      <w:pPr>
        <w:jc w:val="both"/>
        <w:ind w:left="302" w:hanging="302"/>
        <w:spacing w:after="0" w:line="247" w:lineRule="auto"/>
        <w:tabs>
          <w:tab w:leader="none" w:pos="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p>
      <w:pPr>
        <w:sectPr>
          <w:pgSz w:w="12240" w:h="15840" w:orient="portrait"/>
          <w:cols w:equalWidth="0" w:num="1">
            <w:col w:w="9722"/>
          </w:cols>
          <w:pgMar w:left="1418" w:top="1304"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78"/>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9722"/>
          </w:cols>
          <w:pgMar w:left="1418" w:top="1304" w:right="1100" w:bottom="21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20"/>
          <w:szCs w:val="20"/>
          <w:b w:val="1"/>
          <w:bCs w:val="1"/>
          <w:color w:val="auto"/>
        </w:rPr>
        <w:t>Note Regarding Forward-Looking Statements</w:t>
      </w:r>
    </w:p>
    <w:p>
      <w:pPr>
        <w:spacing w:after="0" w:line="243" w:lineRule="exact"/>
        <w:rPr>
          <w:sz w:val="20"/>
          <w:szCs w:val="20"/>
          <w:color w:val="auto"/>
        </w:rPr>
      </w:pPr>
    </w:p>
    <w:p>
      <w:pPr>
        <w:ind w:firstLine="563"/>
        <w:spacing w:after="0" w:line="258" w:lineRule="auto"/>
        <w:rPr>
          <w:sz w:val="20"/>
          <w:szCs w:val="20"/>
          <w:color w:val="auto"/>
        </w:rPr>
      </w:pPr>
      <w:r>
        <w:rPr>
          <w:rFonts w:ascii="Arial" w:cs="Arial" w:eastAsia="Arial" w:hAnsi="Arial"/>
          <w:sz w:val="19"/>
          <w:szCs w:val="19"/>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4" w:lineRule="exact"/>
        <w:rPr>
          <w:sz w:val="20"/>
          <w:szCs w:val="20"/>
          <w:color w:val="auto"/>
        </w:rPr>
      </w:pPr>
    </w:p>
    <w:p>
      <w:pPr>
        <w:ind w:left="720" w:right="20" w:hanging="302"/>
        <w:spacing w:after="0" w:line="258" w:lineRule="auto"/>
        <w:tabs>
          <w:tab w:leader="none" w:pos="719"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plans and progress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 and the initial clinical data from our combination clinical trial evaluating vopimetostat with the RAS(ON) multi-selective inhibitor, daraxonrasib, and RAS(ON) G12D-selective inhibitor, zoldonrasib (Revolution Medicines), anticipated in 2026);</w:t>
      </w:r>
    </w:p>
    <w:p>
      <w:pPr>
        <w:spacing w:after="0" w:line="191" w:lineRule="exact"/>
        <w:rPr>
          <w:rFonts w:ascii="Arial" w:cs="Arial" w:eastAsia="Arial" w:hAnsi="Arial"/>
          <w:sz w:val="19"/>
          <w:szCs w:val="19"/>
          <w:color w:val="auto"/>
        </w:rPr>
      </w:pPr>
    </w:p>
    <w:p>
      <w:pPr>
        <w:ind w:left="720" w:right="100" w:hanging="302"/>
        <w:spacing w:after="0" w:line="258" w:lineRule="auto"/>
        <w:tabs>
          <w:tab w:leader="none" w:pos="719"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91" w:lineRule="exact"/>
        <w:rPr>
          <w:rFonts w:ascii="Arial" w:cs="Arial" w:eastAsia="Arial" w:hAnsi="Arial"/>
          <w:sz w:val="20"/>
          <w:szCs w:val="20"/>
          <w:color w:val="auto"/>
        </w:rPr>
      </w:pPr>
    </w:p>
    <w:p>
      <w:pPr>
        <w:ind w:left="720" w:right="280" w:hanging="302"/>
        <w:spacing w:after="0" w:line="336" w:lineRule="auto"/>
        <w:tabs>
          <w:tab w:leader="none" w:pos="71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24" w:lineRule="exact"/>
        <w:rPr>
          <w:rFonts w:ascii="Arial" w:cs="Arial" w:eastAsia="Arial" w:hAnsi="Arial"/>
          <w:sz w:val="18"/>
          <w:szCs w:val="18"/>
          <w:color w:val="auto"/>
        </w:rPr>
      </w:pPr>
    </w:p>
    <w:p>
      <w:pPr>
        <w:ind w:left="720" w:right="200" w:hanging="302"/>
        <w:spacing w:after="0" w:line="278" w:lineRule="auto"/>
        <w:tabs>
          <w:tab w:leader="none" w:pos="719"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ability and willingness of our third-party strategic collaborators to continue research and development activities relating to our development candidates and product candidates;</w:t>
      </w:r>
    </w:p>
    <w:p>
      <w:pPr>
        <w:spacing w:after="0" w:line="171" w:lineRule="exact"/>
        <w:rPr>
          <w:rFonts w:ascii="Arial" w:cs="Arial" w:eastAsia="Arial" w:hAnsi="Arial"/>
          <w:sz w:val="20"/>
          <w:szCs w:val="20"/>
          <w:color w:val="auto"/>
        </w:rPr>
      </w:pPr>
    </w:p>
    <w:p>
      <w:pPr>
        <w:ind w:left="720" w:right="140" w:hanging="302"/>
        <w:spacing w:after="0" w:line="258" w:lineRule="auto"/>
        <w:tabs>
          <w:tab w:leader="none" w:pos="719"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191" w:lineRule="exact"/>
        <w:rPr>
          <w:rFonts w:ascii="Arial" w:cs="Arial" w:eastAsia="Arial" w:hAnsi="Arial"/>
          <w:sz w:val="20"/>
          <w:szCs w:val="20"/>
          <w:color w:val="auto"/>
        </w:rPr>
      </w:pPr>
    </w:p>
    <w:p>
      <w:pPr>
        <w:ind w:left="720" w:right="120" w:hanging="302"/>
        <w:spacing w:after="0" w:line="252" w:lineRule="auto"/>
        <w:tabs>
          <w:tab w:leader="none" w:pos="719"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vopimetostatas a monotherapy or in combination in MTAP-deleted pancreatic and lung cancer;</w:t>
      </w:r>
    </w:p>
    <w:p>
      <w:pPr>
        <w:spacing w:after="0" w:line="198" w:lineRule="exact"/>
        <w:rPr>
          <w:rFonts w:ascii="Arial" w:cs="Arial" w:eastAsia="Arial" w:hAnsi="Arial"/>
          <w:sz w:val="20"/>
          <w:szCs w:val="20"/>
          <w:color w:val="auto"/>
        </w:rPr>
      </w:pPr>
    </w:p>
    <w:p>
      <w:pPr>
        <w:ind w:left="720" w:hanging="302"/>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commercialize our products, if approved;</w:t>
      </w:r>
    </w:p>
    <w:p>
      <w:pPr>
        <w:spacing w:after="0" w:line="244" w:lineRule="exact"/>
        <w:rPr>
          <w:rFonts w:ascii="Arial" w:cs="Arial" w:eastAsia="Arial" w:hAnsi="Arial"/>
          <w:sz w:val="20"/>
          <w:szCs w:val="20"/>
          <w:color w:val="auto"/>
        </w:rPr>
      </w:pPr>
    </w:p>
    <w:p>
      <w:pPr>
        <w:ind w:left="720" w:hanging="302"/>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pricing and reimbursement of our product candidates, if approved;</w:t>
      </w:r>
    </w:p>
    <w:p>
      <w:pPr>
        <w:spacing w:after="0" w:line="244" w:lineRule="exact"/>
        <w:rPr>
          <w:rFonts w:ascii="Arial" w:cs="Arial" w:eastAsia="Arial" w:hAnsi="Arial"/>
          <w:sz w:val="20"/>
          <w:szCs w:val="20"/>
          <w:color w:val="auto"/>
        </w:rPr>
      </w:pPr>
    </w:p>
    <w:p>
      <w:pPr>
        <w:ind w:left="720" w:hanging="302"/>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implementation of our business model, and strategic plans for our business and product candidates;</w:t>
      </w:r>
    </w:p>
    <w:p>
      <w:pPr>
        <w:spacing w:after="0" w:line="244" w:lineRule="exact"/>
        <w:rPr>
          <w:rFonts w:ascii="Arial" w:cs="Arial" w:eastAsia="Arial" w:hAnsi="Arial"/>
          <w:sz w:val="20"/>
          <w:szCs w:val="20"/>
          <w:color w:val="auto"/>
        </w:rPr>
      </w:pPr>
    </w:p>
    <w:p>
      <w:pPr>
        <w:ind w:left="720" w:right="420" w:hanging="302"/>
        <w:spacing w:after="0" w:line="278" w:lineRule="auto"/>
        <w:tabs>
          <w:tab w:leader="none" w:pos="719"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scope of protection we are able to establish and maintain for intellectual property rights covering our product candidates and our ability to enforce our intellectual property rights;</w:t>
      </w:r>
    </w:p>
    <w:p>
      <w:pPr>
        <w:spacing w:after="0" w:line="171" w:lineRule="exact"/>
        <w:rPr>
          <w:rFonts w:ascii="Arial" w:cs="Arial" w:eastAsia="Arial" w:hAnsi="Arial"/>
          <w:sz w:val="20"/>
          <w:szCs w:val="20"/>
          <w:color w:val="auto"/>
        </w:rPr>
      </w:pPr>
    </w:p>
    <w:p>
      <w:pPr>
        <w:ind w:left="720" w:hanging="302"/>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estimates of our future expenses, capital requirements, and our need for additional financing;</w:t>
      </w:r>
    </w:p>
    <w:p>
      <w:pPr>
        <w:spacing w:after="0" w:line="244" w:lineRule="exact"/>
        <w:rPr>
          <w:rFonts w:ascii="Arial" w:cs="Arial" w:eastAsia="Arial" w:hAnsi="Arial"/>
          <w:sz w:val="20"/>
          <w:szCs w:val="20"/>
          <w:color w:val="auto"/>
        </w:rPr>
      </w:pPr>
    </w:p>
    <w:p>
      <w:pPr>
        <w:jc w:val="both"/>
        <w:ind w:left="720" w:right="260" w:hanging="302"/>
        <w:spacing w:after="0" w:line="300" w:lineRule="auto"/>
        <w:tabs>
          <w:tab w:leader="none" w:pos="71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(including our clinical trial and supply agreements with Revolution Medicines, Inc. and Erasca, Inc.), our ability to enter into strategic collaborations or arrangements, and our ability to attract collaborators with development, regulatory and commercialization expertise;</w:t>
      </w:r>
    </w:p>
    <w:p>
      <w:pPr>
        <w:sectPr>
          <w:pgSz w:w="12240" w:h="15840" w:orient="portrait"/>
          <w:cols w:equalWidth="0" w:num="1">
            <w:col w:w="10140"/>
          </w:cols>
          <w:pgMar w:left="1000" w:top="1056" w:right="1100" w:bottom="210" w:gutter="0" w:footer="0" w:header="0"/>
        </w:sect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0140"/>
          </w:cols>
          <w:pgMar w:left="1000" w:top="1056" w:right="1100" w:bottom="210" w:gutter="0" w:footer="0" w:header="0"/>
          <w:type w:val="continuous"/>
        </w:sectPr>
      </w:pPr>
    </w:p>
    <w:bookmarkStart w:id="7" w:name="page8"/>
    <w:bookmarkEnd w:id="7"/>
    <w:p>
      <w:pPr>
        <w:ind w:left="720" w:right="300" w:hanging="302"/>
        <w:spacing w:after="0" w:line="278"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future agreements with third parties in connection with the commercialization of product candidates (if approved) and any other approved products;</w:t>
      </w:r>
    </w:p>
    <w:p>
      <w:pPr>
        <w:spacing w:after="0" w:line="170"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size and growth potential of the markets for our product candidates, and our ability to serve those markets;</w:t>
      </w:r>
    </w:p>
    <w:p>
      <w:pPr>
        <w:spacing w:after="0" w:line="256" w:lineRule="exact"/>
        <w:rPr>
          <w:rFonts w:ascii="Arial" w:cs="Arial" w:eastAsia="Arial" w:hAnsi="Arial"/>
          <w:sz w:val="19"/>
          <w:szCs w:val="19"/>
          <w:color w:val="auto"/>
        </w:rPr>
      </w:pPr>
    </w:p>
    <w:p>
      <w:pPr>
        <w:ind w:left="720" w:hanging="302"/>
        <w:spacing w:after="0" w:line="277"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financial performance, including the expectation that we will continue to incur operating losses and negative cash flow;</w:t>
      </w:r>
    </w:p>
    <w:p>
      <w:pPr>
        <w:spacing w:after="0" w:line="172"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rate and degree of market acceptance of our product candidates, if approved;</w:t>
      </w:r>
    </w:p>
    <w:p>
      <w:pPr>
        <w:spacing w:after="0" w:line="244" w:lineRule="exact"/>
        <w:rPr>
          <w:rFonts w:ascii="Arial" w:cs="Arial" w:eastAsia="Arial" w:hAnsi="Arial"/>
          <w:sz w:val="20"/>
          <w:szCs w:val="20"/>
          <w:color w:val="auto"/>
        </w:rPr>
      </w:pPr>
    </w:p>
    <w:p>
      <w:pPr>
        <w:ind w:left="720" w:right="360" w:hanging="302"/>
        <w:spacing w:after="0" w:line="259"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89"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contract with third-party suppliers and manufacturers and their ability to perform adequately;</w:t>
      </w:r>
    </w:p>
    <w:p>
      <w:pPr>
        <w:spacing w:after="0" w:line="245" w:lineRule="exact"/>
        <w:rPr>
          <w:rFonts w:ascii="Arial" w:cs="Arial" w:eastAsia="Arial" w:hAnsi="Arial"/>
          <w:sz w:val="20"/>
          <w:szCs w:val="20"/>
          <w:color w:val="auto"/>
        </w:rPr>
      </w:pPr>
    </w:p>
    <w:p>
      <w:pPr>
        <w:ind w:left="720" w:right="80" w:hanging="302"/>
        <w:spacing w:after="0" w:line="277"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(or the ability of third parties with whom we contract) to produce our products or product candidates with advantages in turnaround times or manufacturing cost;</w:t>
      </w:r>
    </w:p>
    <w:p>
      <w:pPr>
        <w:spacing w:after="0" w:line="172" w:lineRule="exact"/>
        <w:rPr>
          <w:rFonts w:ascii="Arial" w:cs="Arial" w:eastAsia="Arial" w:hAnsi="Arial"/>
          <w:sz w:val="20"/>
          <w:szCs w:val="20"/>
          <w:color w:val="auto"/>
        </w:rPr>
      </w:pPr>
    </w:p>
    <w:p>
      <w:pPr>
        <w:jc w:val="both"/>
        <w:ind w:left="720" w:right="20" w:hanging="302"/>
        <w:spacing w:after="0" w:line="259"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are or may become available;</w:t>
      </w:r>
    </w:p>
    <w:p>
      <w:pPr>
        <w:spacing w:after="0" w:line="190"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attract and retain key scientific or management personnel;</w:t>
      </w:r>
    </w:p>
    <w:p>
      <w:pPr>
        <w:spacing w:after="0" w:line="244"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impact of laws and regulations;</w:t>
      </w:r>
    </w:p>
    <w:p>
      <w:pPr>
        <w:spacing w:after="0" w:line="244"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developments relating to our competitors and industry;</w:t>
      </w:r>
    </w:p>
    <w:p>
      <w:pPr>
        <w:spacing w:after="0" w:line="244" w:lineRule="exact"/>
        <w:rPr>
          <w:rFonts w:ascii="Arial" w:cs="Arial" w:eastAsia="Arial" w:hAnsi="Arial"/>
          <w:sz w:val="20"/>
          <w:szCs w:val="20"/>
          <w:color w:val="auto"/>
        </w:rPr>
      </w:pPr>
    </w:p>
    <w:p>
      <w:pPr>
        <w:jc w:val="both"/>
        <w:ind w:left="720" w:right="160" w:hanging="302"/>
        <w:spacing w:after="0" w:line="258"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191" w:lineRule="exact"/>
        <w:rPr>
          <w:rFonts w:ascii="Arial" w:cs="Arial" w:eastAsia="Arial" w:hAnsi="Arial"/>
          <w:sz w:val="20"/>
          <w:szCs w:val="20"/>
          <w:color w:val="auto"/>
        </w:rPr>
      </w:pPr>
    </w:p>
    <w:p>
      <w:pPr>
        <w:ind w:left="720" w:right="220" w:hanging="302"/>
        <w:spacing w:after="0" w:line="278"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 of public health crises on our business operations, including but not limited to our preclinical studies and clinical trials and any future studies or trials;</w:t>
      </w:r>
    </w:p>
    <w:p>
      <w:pPr>
        <w:spacing w:after="0" w:line="171" w:lineRule="exact"/>
        <w:rPr>
          <w:rFonts w:ascii="Arial" w:cs="Arial" w:eastAsia="Arial" w:hAnsi="Arial"/>
          <w:sz w:val="20"/>
          <w:szCs w:val="20"/>
          <w:color w:val="auto"/>
        </w:rPr>
      </w:pPr>
    </w:p>
    <w:p>
      <w:pPr>
        <w:ind w:left="720" w:hanging="302"/>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expected benefit of our drugs in patients as single agents and/or in combination;</w:t>
      </w:r>
    </w:p>
    <w:p>
      <w:pPr>
        <w:spacing w:after="0" w:line="229" w:lineRule="exact"/>
        <w:rPr>
          <w:rFonts w:ascii="Arial" w:cs="Arial" w:eastAsia="Arial" w:hAnsi="Arial"/>
          <w:sz w:val="20"/>
          <w:szCs w:val="20"/>
          <w:color w:val="auto"/>
        </w:rPr>
      </w:pPr>
    </w:p>
    <w:p>
      <w:pPr>
        <w:ind w:left="720" w:hanging="302"/>
        <w:spacing w:after="0" w:line="249"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potential of preclinical data to support clinical trial results, including (i) our belief that robust preclinical data for vopimetostat and RAS(ON) inhibitors support a potential strong combination effect in clinical trials of vopimetostat in combination with RAS inhibitors and (ii) our belief that strong preclinical data showing significant in vivo combination benefit could support potential clinical combinations of our PRMT5 inhibitors with CDK4/6 or MAT2A inhibitors, as well as other oncogene-targeted therapies;</w:t>
      </w:r>
    </w:p>
    <w:p>
      <w:pPr>
        <w:spacing w:after="0" w:line="201" w:lineRule="exact"/>
        <w:rPr>
          <w:rFonts w:ascii="Arial" w:cs="Arial" w:eastAsia="Arial" w:hAnsi="Arial"/>
          <w:sz w:val="20"/>
          <w:szCs w:val="20"/>
          <w:color w:val="auto"/>
        </w:rPr>
      </w:pPr>
    </w:p>
    <w:p>
      <w:pPr>
        <w:ind w:left="720" w:right="20" w:hanging="302"/>
        <w:spacing w:after="0" w:line="252"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potential benefits and development paths of our drugs in combination with RAS inhibitors, including our belief that the ongoing Phase 1/2 combination study of vopimetostat and RAS(ON) inhibitors from Revolution Medicines, Inc. has the potential to support a chemotherapy-free first line pancreatic cancer pivotal study and potentially second-line therapies in MTAP-deleted/RAS mutated patients; and</w:t>
      </w:r>
    </w:p>
    <w:p>
      <w:pPr>
        <w:spacing w:after="0" w:line="198" w:lineRule="exact"/>
        <w:rPr>
          <w:rFonts w:ascii="Arial" w:cs="Arial" w:eastAsia="Arial" w:hAnsi="Arial"/>
          <w:sz w:val="20"/>
          <w:szCs w:val="20"/>
          <w:color w:val="auto"/>
        </w:rPr>
      </w:pPr>
    </w:p>
    <w:p>
      <w:pPr>
        <w:ind w:left="720" w:right="100" w:hanging="302"/>
        <w:spacing w:after="0" w:line="277" w:lineRule="auto"/>
        <w:tabs>
          <w:tab w:leader="none" w:pos="719"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risks and uncertainties, including those listed in Part I, Item 1A of this Annual Report on Form 10-K under the section titled “Risk Factors.”</w:t>
      </w:r>
    </w:p>
    <w:p>
      <w:pPr>
        <w:spacing w:after="0" w:line="169" w:lineRule="exact"/>
        <w:rPr>
          <w:sz w:val="20"/>
          <w:szCs w:val="20"/>
          <w:color w:val="auto"/>
        </w:rPr>
      </w:pPr>
    </w:p>
    <w:p>
      <w:pPr>
        <w:ind w:right="60" w:firstLine="563"/>
        <w:spacing w:after="0" w:line="284" w:lineRule="auto"/>
        <w:rPr>
          <w:sz w:val="20"/>
          <w:szCs w:val="20"/>
          <w:color w:val="auto"/>
        </w:rPr>
      </w:pPr>
      <w:r>
        <w:rPr>
          <w:rFonts w:ascii="Arial" w:cs="Arial" w:eastAsia="Arial" w:hAnsi="Arial"/>
          <w:sz w:val="18"/>
          <w:szCs w:val="18"/>
          <w:color w:val="auto"/>
        </w:rPr>
        <w:t>The forward-looking statements contained in Part I, Item 1A of this Annual Report on Form 10-K are based on current expectations and beliefs concerning future developments and their potential effects on us. There can be no assurance that future developments affecting us will be those that we have anticipated. These forward- looking statements involve a number of risks, uncertainties (some of which are beyond our control) or other assumptions that may cause actual results or performance to be materially different from those expressed or implied by these forward-looking statements. These risks and</w:t>
      </w:r>
    </w:p>
    <w:p>
      <w:pPr>
        <w:sectPr>
          <w:pgSz w:w="12240" w:h="15840" w:orient="portrait"/>
          <w:cols w:equalWidth="0" w:num="1">
            <w:col w:w="10120"/>
          </w:cols>
          <w:pgMar w:left="1000" w:top="1304" w:right="1120" w:bottom="210"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0120"/>
          </w:cols>
          <w:pgMar w:left="1000" w:top="1304" w:right="1120" w:bottom="210" w:gutter="0" w:footer="0" w:header="0"/>
          <w:type w:val="continuous"/>
        </w:sectPr>
      </w:pPr>
    </w:p>
    <w:bookmarkStart w:id="8" w:name="page9"/>
    <w:bookmarkEnd w:id="8"/>
    <w:p>
      <w:pPr>
        <w:ind w:right="40"/>
        <w:spacing w:after="0" w:line="280" w:lineRule="auto"/>
        <w:rPr>
          <w:sz w:val="20"/>
          <w:szCs w:val="20"/>
          <w:color w:val="auto"/>
        </w:rPr>
      </w:pPr>
      <w:r>
        <w:rPr>
          <w:rFonts w:ascii="Arial" w:cs="Arial" w:eastAsia="Arial" w:hAnsi="Arial"/>
          <w:sz w:val="18"/>
          <w:szCs w:val="18"/>
          <w:color w:val="auto"/>
        </w:rPr>
        <w:t>uncertainties include, but are not limited to, those factors described under the heading “Risk Factors” in Part I, Item 1A of this Annual Report on Form 10-K. Should one or more of these risks or uncertainties materialize, or should any of our assumptions prove incorrect, actual results may vary in material respects from those projected in these forward- 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Corporate Information</w:t>
      </w:r>
    </w:p>
    <w:p>
      <w:pPr>
        <w:spacing w:after="0" w:line="243" w:lineRule="exact"/>
        <w:rPr>
          <w:sz w:val="20"/>
          <w:szCs w:val="20"/>
          <w:color w:val="auto"/>
        </w:rPr>
      </w:pPr>
    </w:p>
    <w:p>
      <w:pPr>
        <w:ind w:right="40" w:firstLine="563"/>
        <w:spacing w:after="0" w:line="284" w:lineRule="auto"/>
        <w:rPr>
          <w:sz w:val="20"/>
          <w:szCs w:val="20"/>
          <w:color w:val="auto"/>
        </w:rPr>
      </w:pPr>
      <w:r>
        <w:rPr>
          <w:rFonts w:ascii="Arial" w:cs="Arial" w:eastAsia="Arial" w:hAnsi="Arial"/>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6" w:lineRule="exact"/>
        <w:rPr>
          <w:sz w:val="20"/>
          <w:szCs w:val="20"/>
          <w:color w:val="auto"/>
        </w:rPr>
      </w:pPr>
    </w:p>
    <w:p>
      <w:pPr>
        <w:ind w:firstLine="563"/>
        <w:spacing w:after="0" w:line="273"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or SEC. </w:t>
      </w:r>
      <w:r>
        <w:rPr>
          <w:rFonts w:ascii="Arial" w:cs="Arial" w:eastAsia="Arial" w:hAnsi="Arial"/>
          <w:sz w:val="19"/>
          <w:szCs w:val="19"/>
          <w:color w:val="auto"/>
        </w:rPr>
        <w:t>W</w:t>
      </w:r>
      <w:r>
        <w:rPr>
          <w:rFonts w:ascii="Arial" w:cs="Arial" w:eastAsia="Arial" w:hAnsi="Arial"/>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Arial" w:cs="Arial" w:eastAsia="Arial" w:hAnsi="Arial"/>
          <w:sz w:val="19"/>
          <w:szCs w:val="19"/>
          <w:color w:val="auto"/>
        </w:rPr>
        <w:t>f</w:t>
      </w:r>
      <w:r>
        <w:rPr>
          <w:rFonts w:ascii="Arial" w:cs="Arial" w:eastAsia="Arial" w:hAnsi="Arial"/>
          <w:sz w:val="18"/>
          <w:szCs w:val="18"/>
          <w:color w:val="auto"/>
        </w:rPr>
        <w:t>ter copies of those filings are provided to us by those persons</w:t>
      </w:r>
      <w:r>
        <w:rPr>
          <w:rFonts w:ascii="Arial" w:cs="Arial" w:eastAsia="Arial" w:hAnsi="Arial"/>
          <w:sz w:val="19"/>
          <w:szCs w:val="19"/>
          <w:color w:val="auto"/>
        </w:rPr>
        <w:t>. A</w:t>
      </w:r>
      <w:r>
        <w:rPr>
          <w:rFonts w:ascii="Arial" w:cs="Arial" w:eastAsia="Arial" w:hAnsi="Arial"/>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Annual Report on Form 10- 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78" w:lineRule="exact"/>
        <w:rPr>
          <w:sz w:val="20"/>
          <w:szCs w:val="20"/>
          <w:color w:val="auto"/>
        </w:rPr>
      </w:pPr>
    </w:p>
    <w:p>
      <w:pPr>
        <w:ind w:right="20" w:firstLine="563"/>
        <w:spacing w:after="0" w:line="247" w:lineRule="auto"/>
        <w:rPr>
          <w:sz w:val="20"/>
          <w:szCs w:val="20"/>
          <w:color w:val="auto"/>
        </w:rPr>
      </w:pPr>
      <w:r>
        <w:rPr>
          <w:rFonts w:ascii="Arial" w:cs="Arial" w:eastAsia="Arial" w:hAnsi="Arial"/>
          <w:sz w:val="20"/>
          <w:szCs w:val="20"/>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Annual Report on Form 10-K.</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Our principal executive office is located at 201 Brookline Avenue, Suite 901, Boston, Massachusetts 02215.</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0140"/>
          </w:cols>
          <w:pgMar w:left="1000" w:top="1060" w:right="1100" w:bottom="21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20"/>
          <w:szCs w:val="20"/>
          <w:b w:val="1"/>
          <w:bCs w:val="1"/>
          <w:color w:val="auto"/>
        </w:rPr>
        <w:t>USE OF DEFINED TERMS IN THIS ANNUAL REPORT ON FORM 10-K</w:t>
      </w:r>
    </w:p>
    <w:p>
      <w:pPr>
        <w:spacing w:after="0" w:line="273" w:lineRule="exact"/>
        <w:rPr>
          <w:sz w:val="20"/>
          <w:szCs w:val="20"/>
          <w:color w:val="auto"/>
        </w:rPr>
      </w:pPr>
    </w:p>
    <w:p>
      <w:pPr>
        <w:ind w:right="180" w:firstLine="563"/>
        <w:spacing w:after="0" w:line="278" w:lineRule="auto"/>
        <w:rPr>
          <w:sz w:val="20"/>
          <w:szCs w:val="20"/>
          <w:color w:val="auto"/>
        </w:rPr>
      </w:pPr>
      <w:r>
        <w:rPr>
          <w:rFonts w:ascii="Arial" w:cs="Arial" w:eastAsia="Arial" w:hAnsi="Arial"/>
          <w:sz w:val="20"/>
          <w:szCs w:val="20"/>
          <w:color w:val="auto"/>
        </w:rPr>
        <w:t>Unless the context otherwise requires in this Annual Report on Form 10-K for the year ended December 31, 2025 we use the following defined terms:</w:t>
      </w:r>
    </w:p>
    <w:p>
      <w:pPr>
        <w:spacing w:after="0" w:line="168" w:lineRule="exact"/>
        <w:rPr>
          <w:sz w:val="20"/>
          <w:szCs w:val="20"/>
          <w:color w:val="auto"/>
        </w:rPr>
      </w:pPr>
    </w:p>
    <w:p>
      <w:pPr>
        <w:ind w:left="980" w:hanging="5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“2025 Annual Report” means this Annual Report on Form 10-K for the year ended December 31, 2025;</w:t>
      </w:r>
    </w:p>
    <w:p>
      <w:pPr>
        <w:spacing w:after="0" w:line="239" w:lineRule="exact"/>
        <w:rPr>
          <w:rFonts w:ascii="Arial" w:cs="Arial" w:eastAsia="Arial" w:hAnsi="Arial"/>
          <w:sz w:val="20"/>
          <w:szCs w:val="20"/>
          <w:color w:val="auto"/>
        </w:rPr>
      </w:pPr>
    </w:p>
    <w:p>
      <w:pPr>
        <w:ind w:left="980" w:hanging="643"/>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“we", “our” and “us” mean Tango Therapeutics, Inc. and its wholly-owned subsidiaries;</w:t>
      </w:r>
    </w:p>
    <w:p>
      <w:pPr>
        <w:spacing w:after="0" w:line="240" w:lineRule="exact"/>
        <w:rPr>
          <w:rFonts w:ascii="Arial" w:cs="Arial" w:eastAsia="Arial" w:hAnsi="Arial"/>
          <w:sz w:val="20"/>
          <w:szCs w:val="20"/>
          <w:color w:val="auto"/>
        </w:rPr>
      </w:pPr>
    </w:p>
    <w:p>
      <w:pPr>
        <w:ind w:left="980" w:hanging="700"/>
        <w:spacing w:after="0" w:line="252" w:lineRule="auto"/>
        <w:tabs>
          <w:tab w:leader="none" w:pos="979" w:val="left"/>
        </w:tabs>
        <w:numPr>
          <w:ilvl w:val="0"/>
          <w:numId w:val="5"/>
        </w:numPr>
        <w:rPr>
          <w:rFonts w:ascii="Arial" w:cs="Arial" w:eastAsia="Arial" w:hAnsi="Arial"/>
          <w:sz w:val="20"/>
          <w:szCs w:val="20"/>
          <w:color w:val="auto"/>
        </w:rPr>
      </w:pPr>
      <w:r>
        <w:rPr>
          <w:rFonts w:ascii="Arial" w:cs="Arial" w:eastAsia="Arial" w:hAnsi="Arial"/>
          <w:sz w:val="20"/>
          <w:szCs w:val="20"/>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194" w:lineRule="exact"/>
        <w:rPr>
          <w:rFonts w:ascii="Arial" w:cs="Arial" w:eastAsia="Arial" w:hAnsi="Arial"/>
          <w:sz w:val="20"/>
          <w:szCs w:val="20"/>
          <w:color w:val="auto"/>
        </w:rPr>
      </w:pPr>
    </w:p>
    <w:p>
      <w:pPr>
        <w:ind w:left="980" w:hanging="6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“CNS” means central nervous system.</w:t>
      </w:r>
    </w:p>
    <w:p>
      <w:pPr>
        <w:spacing w:after="0" w:line="239" w:lineRule="exact"/>
        <w:rPr>
          <w:rFonts w:ascii="Arial" w:cs="Arial" w:eastAsia="Arial" w:hAnsi="Arial"/>
          <w:sz w:val="20"/>
          <w:szCs w:val="20"/>
          <w:color w:val="auto"/>
        </w:rPr>
      </w:pPr>
    </w:p>
    <w:p>
      <w:pPr>
        <w:ind w:left="980" w:hanging="632"/>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“CoREST” means Co-repressor of Repressor Element-1 Silencing Transcription;</w:t>
      </w:r>
    </w:p>
    <w:p>
      <w:pPr>
        <w:spacing w:after="0" w:line="240" w:lineRule="exact"/>
        <w:rPr>
          <w:rFonts w:ascii="Arial" w:cs="Arial" w:eastAsia="Arial" w:hAnsi="Arial"/>
          <w:sz w:val="20"/>
          <w:szCs w:val="20"/>
          <w:color w:val="auto"/>
        </w:rPr>
      </w:pPr>
    </w:p>
    <w:p>
      <w:pPr>
        <w:ind w:left="980" w:hanging="6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“CSF” means cerebrospinal fluid;</w:t>
      </w:r>
    </w:p>
    <w:p>
      <w:pPr>
        <w:spacing w:after="0" w:line="239" w:lineRule="exact"/>
        <w:rPr>
          <w:rFonts w:ascii="Arial" w:cs="Arial" w:eastAsia="Arial" w:hAnsi="Arial"/>
          <w:sz w:val="20"/>
          <w:szCs w:val="20"/>
          <w:color w:val="auto"/>
        </w:rPr>
      </w:pPr>
    </w:p>
    <w:p>
      <w:pPr>
        <w:ind w:left="980" w:hanging="744"/>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“FDA” means U.S. Food and Drug Administration</w:t>
      </w:r>
    </w:p>
    <w:p>
      <w:pPr>
        <w:spacing w:after="0" w:line="240" w:lineRule="exact"/>
        <w:rPr>
          <w:rFonts w:ascii="Arial" w:cs="Arial" w:eastAsia="Arial" w:hAnsi="Arial"/>
          <w:sz w:val="20"/>
          <w:szCs w:val="20"/>
          <w:color w:val="auto"/>
        </w:rPr>
      </w:pPr>
    </w:p>
    <w:p>
      <w:pPr>
        <w:ind w:left="980" w:hanging="799"/>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"FOCAD" means focadhesin;</w:t>
      </w:r>
    </w:p>
    <w:p>
      <w:pPr>
        <w:spacing w:after="0" w:line="240" w:lineRule="exact"/>
        <w:rPr>
          <w:rFonts w:ascii="Arial" w:cs="Arial" w:eastAsia="Arial" w:hAnsi="Arial"/>
          <w:sz w:val="20"/>
          <w:szCs w:val="20"/>
          <w:color w:val="auto"/>
        </w:rPr>
      </w:pPr>
    </w:p>
    <w:p>
      <w:pPr>
        <w:ind w:left="980" w:hanging="6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“Gilead” means Gilead Sciences, Inc.;</w:t>
      </w:r>
    </w:p>
    <w:p>
      <w:pPr>
        <w:spacing w:after="0" w:line="239" w:lineRule="exact"/>
        <w:rPr>
          <w:rFonts w:ascii="Arial" w:cs="Arial" w:eastAsia="Arial" w:hAnsi="Arial"/>
          <w:sz w:val="20"/>
          <w:szCs w:val="20"/>
          <w:color w:val="auto"/>
        </w:rPr>
      </w:pPr>
    </w:p>
    <w:p>
      <w:pPr>
        <w:ind w:left="980" w:hanging="632"/>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“GBM” means glioblastoma;</w:t>
      </w:r>
    </w:p>
    <w:p>
      <w:pPr>
        <w:spacing w:after="0" w:line="240" w:lineRule="exact"/>
        <w:rPr>
          <w:rFonts w:ascii="Arial" w:cs="Arial" w:eastAsia="Arial" w:hAnsi="Arial"/>
          <w:sz w:val="20"/>
          <w:szCs w:val="20"/>
          <w:color w:val="auto"/>
        </w:rPr>
      </w:pPr>
    </w:p>
    <w:p>
      <w:pPr>
        <w:ind w:left="980" w:hanging="6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“IND” means Investigational New Drug application</w:t>
      </w:r>
    </w:p>
    <w:p>
      <w:pPr>
        <w:spacing w:after="0" w:line="240" w:lineRule="exact"/>
        <w:rPr>
          <w:rFonts w:ascii="Arial" w:cs="Arial" w:eastAsia="Arial" w:hAnsi="Arial"/>
          <w:sz w:val="20"/>
          <w:szCs w:val="20"/>
          <w:color w:val="auto"/>
        </w:rPr>
      </w:pPr>
    </w:p>
    <w:p>
      <w:pPr>
        <w:ind w:left="980" w:hanging="744"/>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“MTA” means methylthioadenosine;</w:t>
      </w:r>
    </w:p>
    <w:p>
      <w:pPr>
        <w:spacing w:after="0" w:line="239" w:lineRule="exact"/>
        <w:rPr>
          <w:rFonts w:ascii="Arial" w:cs="Arial" w:eastAsia="Arial" w:hAnsi="Arial"/>
          <w:sz w:val="20"/>
          <w:szCs w:val="20"/>
          <w:color w:val="auto"/>
        </w:rPr>
      </w:pPr>
    </w:p>
    <w:p>
      <w:pPr>
        <w:ind w:left="980" w:hanging="799"/>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“MTAP” means methylthioadenosine phosphorylase;</w:t>
      </w:r>
    </w:p>
    <w:p>
      <w:pPr>
        <w:spacing w:after="0" w:line="240" w:lineRule="exact"/>
        <w:rPr>
          <w:rFonts w:ascii="Arial" w:cs="Arial" w:eastAsia="Arial" w:hAnsi="Arial"/>
          <w:sz w:val="20"/>
          <w:szCs w:val="20"/>
          <w:color w:val="auto"/>
        </w:rPr>
      </w:pPr>
    </w:p>
    <w:p>
      <w:pPr>
        <w:ind w:left="980" w:hanging="7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“NSCLC” means non-small cell lung cancer;</w:t>
      </w:r>
    </w:p>
    <w:p>
      <w:pPr>
        <w:spacing w:after="0" w:line="240" w:lineRule="exact"/>
        <w:rPr>
          <w:rFonts w:ascii="Arial" w:cs="Arial" w:eastAsia="Arial" w:hAnsi="Arial"/>
          <w:sz w:val="20"/>
          <w:szCs w:val="20"/>
          <w:color w:val="auto"/>
        </w:rPr>
      </w:pPr>
    </w:p>
    <w:p>
      <w:pPr>
        <w:ind w:left="980" w:hanging="732"/>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“PRMT5” means protein arginine methyltransferase 5;</w:t>
      </w:r>
    </w:p>
    <w:p>
      <w:pPr>
        <w:spacing w:after="0" w:line="239" w:lineRule="exact"/>
        <w:rPr>
          <w:rFonts w:ascii="Arial" w:cs="Arial" w:eastAsia="Arial" w:hAnsi="Arial"/>
          <w:sz w:val="20"/>
          <w:szCs w:val="20"/>
          <w:color w:val="auto"/>
        </w:rPr>
      </w:pPr>
    </w:p>
    <w:p>
      <w:pPr>
        <w:ind w:left="980" w:hanging="7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“RAS” means rat sarcoma;</w:t>
      </w:r>
    </w:p>
    <w:p>
      <w:pPr>
        <w:spacing w:after="0" w:line="240" w:lineRule="exact"/>
        <w:rPr>
          <w:rFonts w:ascii="Arial" w:cs="Arial" w:eastAsia="Arial" w:hAnsi="Arial"/>
          <w:sz w:val="20"/>
          <w:szCs w:val="20"/>
          <w:color w:val="auto"/>
        </w:rPr>
      </w:pPr>
    </w:p>
    <w:p>
      <w:pPr>
        <w:ind w:left="980" w:hanging="844"/>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“SAM” means S-adenosyl-L-methionine;</w:t>
      </w:r>
    </w:p>
    <w:p>
      <w:pPr>
        <w:spacing w:after="0" w:line="240" w:lineRule="exact"/>
        <w:rPr>
          <w:rFonts w:ascii="Arial" w:cs="Arial" w:eastAsia="Arial" w:hAnsi="Arial"/>
          <w:sz w:val="20"/>
          <w:szCs w:val="20"/>
          <w:color w:val="auto"/>
        </w:rPr>
      </w:pPr>
    </w:p>
    <w:p>
      <w:pPr>
        <w:ind w:left="980" w:hanging="899"/>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“STK11” means serine-threonine kinase 11; and</w:t>
      </w:r>
    </w:p>
    <w:p>
      <w:pPr>
        <w:spacing w:after="0" w:line="239" w:lineRule="exact"/>
        <w:rPr>
          <w:rFonts w:ascii="Arial" w:cs="Arial" w:eastAsia="Arial" w:hAnsi="Arial"/>
          <w:sz w:val="20"/>
          <w:szCs w:val="20"/>
          <w:color w:val="auto"/>
        </w:rPr>
      </w:pPr>
    </w:p>
    <w:p>
      <w:pPr>
        <w:ind w:left="980" w:hanging="788"/>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“HBS1L” means HBS1-like translational GTPase</w:t>
      </w:r>
    </w:p>
    <w:p>
      <w:pPr>
        <w:sectPr>
          <w:pgSz w:w="12240" w:h="15840" w:orient="portrait"/>
          <w:cols w:equalWidth="0" w:num="1">
            <w:col w:w="10120"/>
          </w:cols>
          <w:pgMar w:left="1000" w:top="1056" w:right="11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0120"/>
          </w:cols>
          <w:pgMar w:left="1000" w:top="1056" w:right="1120" w:bottom="21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3" w:lineRule="exact"/>
        <w:rPr>
          <w:sz w:val="20"/>
          <w:szCs w:val="20"/>
          <w:color w:val="auto"/>
        </w:rPr>
      </w:pPr>
    </w:p>
    <w:p>
      <w:pPr>
        <w:ind w:right="20" w:firstLine="721"/>
        <w:spacing w:after="0" w:line="280" w:lineRule="auto"/>
        <w:rPr>
          <w:sz w:val="20"/>
          <w:szCs w:val="20"/>
          <w:color w:val="auto"/>
        </w:rPr>
      </w:pPr>
      <w:r>
        <w:rPr>
          <w:rFonts w:ascii="Arial" w:cs="Arial" w:eastAsia="Arial" w:hAnsi="Arial"/>
          <w:sz w:val="18"/>
          <w:szCs w:val="18"/>
          <w:color w:val="auto"/>
        </w:rPr>
        <w:t>Tango Therapeutics was founded with a clear mission: to discover the next wave of targeted therapies in oncology by addressing the specific genetic alterations that drive cancer. We leverage our state- 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71" w:lineRule="exact"/>
        <w:rPr>
          <w:sz w:val="20"/>
          <w:szCs w:val="20"/>
          <w:color w:val="auto"/>
        </w:rPr>
      </w:pPr>
    </w:p>
    <w:p>
      <w:pPr>
        <w:ind w:right="220" w:firstLine="721"/>
        <w:spacing w:after="0" w:line="279" w:lineRule="auto"/>
        <w:rPr>
          <w:sz w:val="20"/>
          <w:szCs w:val="20"/>
          <w:color w:val="auto"/>
        </w:rPr>
      </w:pPr>
      <w:r>
        <w:rPr>
          <w:rFonts w:ascii="Arial" w:cs="Arial" w:eastAsia="Arial" w:hAnsi="Arial"/>
          <w:sz w:val="19"/>
          <w:szCs w:val="19"/>
          <w:color w:val="auto"/>
        </w:rPr>
        <w:t>We are currently focused on clinical development of two MTAP-deleted selective PRMT5 inhibitors: vopimetostat (TNG462) for non-CNS cancers, both as a monotherapy and in combination with RAS inhibitors, and TNG456, our next-generation, brain-penetrant PRMT5 inhibitor, for CNS cancers, including glioblastoma (GBM).</w:t>
      </w:r>
    </w:p>
    <w:p>
      <w:pPr>
        <w:spacing w:after="0" w:line="168" w:lineRule="exact"/>
        <w:rPr>
          <w:sz w:val="20"/>
          <w:szCs w:val="20"/>
          <w:color w:val="auto"/>
        </w:rPr>
      </w:pPr>
    </w:p>
    <w:p>
      <w:pPr>
        <w:ind w:firstLine="721"/>
        <w:spacing w:after="0" w:line="244" w:lineRule="auto"/>
        <w:rPr>
          <w:sz w:val="20"/>
          <w:szCs w:val="20"/>
          <w:color w:val="auto"/>
        </w:rPr>
      </w:pPr>
      <w:r>
        <w:rPr>
          <w:rFonts w:ascii="Arial" w:cs="Arial" w:eastAsia="Arial" w:hAnsi="Arial"/>
          <w:sz w:val="20"/>
          <w:szCs w:val="20"/>
          <w:color w:val="auto"/>
        </w:rPr>
        <w:t>In October 2025, we reported positive data from the ongoing Phase 1/2 clinical trial of vopimetostat monotherapy in patients with MTAP-deleted selective cancers, illustrating clinical activity across multiple cancer types with a favorable safety and tolerability profile. Specifically, the data in second-line MTAP-deleted pancreatic cancer demonstrated a median progression free survival (mPFS) of 7.2 months and 25% objective response rate (ORR), supporting the planned initiation of a 2L pivotal trial in this patient population in 2026. The histology selective cohort, which excludes sarcoma, pancreatic and lung cancer patients, also showed positive data, with a mPFS of 9.1 months and 49% ORR. We are evaluating the development path for the histology selective cohort, as well as for selected indications as stand-alone development opportunities. Lastly, emerging data from the lung cancer cohort are consistent with expectations, and we anticipate providing a safety and efficacy update in 2026.</w:t>
      </w:r>
    </w:p>
    <w:p>
      <w:pPr>
        <w:spacing w:after="0" w:line="206" w:lineRule="exact"/>
        <w:rPr>
          <w:sz w:val="20"/>
          <w:szCs w:val="20"/>
          <w:color w:val="auto"/>
        </w:rPr>
      </w:pPr>
    </w:p>
    <w:p>
      <w:pPr>
        <w:ind w:right="80" w:firstLine="721"/>
        <w:spacing w:after="0" w:line="257" w:lineRule="auto"/>
        <w:rPr>
          <w:sz w:val="20"/>
          <w:szCs w:val="20"/>
          <w:color w:val="auto"/>
        </w:rPr>
      </w:pPr>
      <w:r>
        <w:rPr>
          <w:rFonts w:ascii="Arial" w:cs="Arial" w:eastAsia="Arial" w:hAnsi="Arial"/>
          <w:sz w:val="19"/>
          <w:szCs w:val="19"/>
          <w:color w:val="auto"/>
        </w:rPr>
        <w:t>We are focused on evaluating the combination of vopimetostat with RAS inhibitors, given the overlap in patient populations, robust preclinical data supporting potential strong combination effect in clinical trials, and favorable clinical efficacy, durability, and safety profiles observed with each drug individually. We believe this approach may enable a development path for chemotherapy-free first-line and potentially second-line therapies for MTAP-deleted/RAS-mutated patients with pancreatic and lung cancer. In June 2025, we treated the first patient in our combination clinical trial evaluating vopimetostat with the RAS(ON) multi-selective inhibitor, daraxonrasib, and RAS(ON) G12D-selective inhibitor, zoldonrasib (Revolution Medicines), which enrolled 30 patients as of December 24, 2025. Both combinations have been well-tolerated to date with exposures in the active range for all compounds with encouraging early efficacy data. We anticipate providing a safety and efficacy update from this trial in 2026. Given the differentiated profile of vopimetostat enabling the potential for efficacious and tolerable RAS inhibitor combinations, in March 2026, we entered into a clinical trial collaboration and supply agreement (CTCSA) with Erasca, Inc., or Erasca, to evaluate vopimetostat in combination with Erasca’s pan-RAS molecular glue, ERAS-0015. Under the terms of the agreement, Tango is the sponsor of the trial and Erasca is supplying ERAS-0015 at no cost.</w:t>
      </w:r>
    </w:p>
    <w:p>
      <w:pPr>
        <w:spacing w:after="0" w:line="189" w:lineRule="exact"/>
        <w:rPr>
          <w:sz w:val="20"/>
          <w:szCs w:val="20"/>
          <w:color w:val="auto"/>
        </w:rPr>
      </w:pPr>
    </w:p>
    <w:p>
      <w:pPr>
        <w:ind w:right="140" w:firstLine="721"/>
        <w:spacing w:after="0" w:line="270" w:lineRule="auto"/>
        <w:rPr>
          <w:sz w:val="20"/>
          <w:szCs w:val="20"/>
          <w:color w:val="auto"/>
        </w:rPr>
      </w:pPr>
      <w:r>
        <w:rPr>
          <w:rFonts w:ascii="Arial" w:cs="Arial" w:eastAsia="Arial" w:hAnsi="Arial"/>
          <w:sz w:val="19"/>
          <w:szCs w:val="19"/>
          <w:color w:val="auto"/>
        </w:rPr>
        <w:t>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a safety and efficacy update from this trial in 2026.</w:t>
      </w:r>
    </w:p>
    <w:p>
      <w:pPr>
        <w:spacing w:after="0" w:line="177" w:lineRule="exact"/>
        <w:rPr>
          <w:sz w:val="20"/>
          <w:szCs w:val="20"/>
          <w:color w:val="auto"/>
        </w:rPr>
      </w:pPr>
    </w:p>
    <w:p>
      <w:pPr>
        <w:ind w:right="20" w:firstLine="721"/>
        <w:spacing w:after="0" w:line="247" w:lineRule="auto"/>
        <w:rPr>
          <w:sz w:val="20"/>
          <w:szCs w:val="20"/>
          <w:color w:val="auto"/>
        </w:rPr>
      </w:pPr>
      <w:r>
        <w:rPr>
          <w:rFonts w:ascii="Arial" w:cs="Arial" w:eastAsia="Arial" w:hAnsi="Arial"/>
          <w:sz w:val="20"/>
          <w:szCs w:val="20"/>
          <w:color w:val="auto"/>
        </w:rPr>
        <w:t>TNG961 is a novel, potent and selective molecular glue development candidate targeting HBS1L for degradation in solid tumors in FOCAD-deleted/MTAP-deleted cancers. FOCAD deletion occurs in 20-40% of all MTAP-deleted cancers due to the collateral loss with the tumor suppressor gene CDKN2A/B on chromosome 9p21. Cancers with FOCAD loss are dependent on HBS1L for mRNA processing, thus protein synthesis. By degrading HBS1L and disrupting the HBS1L/PELO complex, TNG961 causes tumor regression in FOCAD-deleted preclinical models of multiple histologies. TNG961 is in the IND-enabling phase of development.</w:t>
      </w:r>
    </w:p>
    <w:p>
      <w:pPr>
        <w:spacing w:after="0" w:line="200" w:lineRule="exact"/>
        <w:rPr>
          <w:sz w:val="20"/>
          <w:szCs w:val="20"/>
          <w:color w:val="auto"/>
        </w:rPr>
      </w:pPr>
    </w:p>
    <w:p>
      <w:pPr>
        <w:ind w:right="60" w:firstLine="721"/>
        <w:spacing w:after="0" w:line="252" w:lineRule="auto"/>
        <w:rPr>
          <w:sz w:val="20"/>
          <w:szCs w:val="20"/>
          <w:color w:val="auto"/>
        </w:rPr>
      </w:pPr>
      <w:r>
        <w:rPr>
          <w:rFonts w:ascii="Arial" w:cs="Arial" w:eastAsia="Arial" w:hAnsi="Arial"/>
          <w:sz w:val="20"/>
          <w:szCs w:val="20"/>
          <w:color w:val="auto"/>
        </w:rPr>
        <w:t>TNG260 is a first-in-class CoREST inhibitor. In November 2025, we announced that patients with checkpoint inhibitor resistant STK11 mutant/KRAS wild-type NSCLC receiving clinically active doses of TNG260 plus pembrolizumab had a mPFS of 29 weeks (n=5), more than double the standard of care PFS of ~10 weeks. 80 mg QD of TNG260 was selected for dose expansion, which is ongoing for patients.</w:t>
      </w:r>
    </w:p>
    <w:p>
      <w:pPr>
        <w:sectPr>
          <w:pgSz w:w="12240" w:h="15840" w:orient="portrait"/>
          <w:cols w:equalWidth="0" w:num="1">
            <w:col w:w="10140"/>
          </w:cols>
          <w:pgMar w:left="1000" w:top="1285" w:right="1100" w:bottom="21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0140"/>
          </w:cols>
          <w:pgMar w:left="1000" w:top="1285" w:right="1100" w:bottom="21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Our Pipeline</w:t>
      </w:r>
    </w:p>
    <w:p>
      <w:pPr>
        <w:spacing w:after="0" w:line="234" w:lineRule="exact"/>
        <w:rPr>
          <w:sz w:val="20"/>
          <w:szCs w:val="20"/>
          <w:color w:val="auto"/>
        </w:rPr>
      </w:pPr>
    </w:p>
    <w:p>
      <w:pPr>
        <w:jc w:val="both"/>
        <w:ind w:right="20" w:firstLine="721"/>
        <w:spacing w:after="0" w:line="258" w:lineRule="auto"/>
        <w:rPr>
          <w:sz w:val="20"/>
          <w:szCs w:val="20"/>
          <w:color w:val="auto"/>
        </w:rPr>
      </w:pPr>
      <w:r>
        <w:rPr>
          <w:rFonts w:ascii="Arial" w:cs="Arial" w:eastAsia="Arial" w:hAnsi="Arial"/>
          <w:sz w:val="20"/>
          <w:szCs w:val="20"/>
          <w:color w:val="auto"/>
        </w:rPr>
        <w:t>We are leveraging the power and productivity of our discovery engine to discover and validate multiple novel targets each year. Our growing pipeline consists of discovery programs for multiple cancer types that currently have limited treatment options, as summarized in Figure 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Figure 1. Tango Therapeutics'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6440170" cy="2678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40170" cy="267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34" w:lineRule="exact"/>
        <w:rPr>
          <w:sz w:val="20"/>
          <w:szCs w:val="20"/>
          <w:color w:val="auto"/>
        </w:rPr>
      </w:pPr>
    </w:p>
    <w:p>
      <w:pPr>
        <w:jc w:val="both"/>
        <w:ind w:firstLine="721"/>
        <w:spacing w:after="0" w:line="336" w:lineRule="auto"/>
        <w:rPr>
          <w:sz w:val="20"/>
          <w:szCs w:val="20"/>
          <w:color w:val="auto"/>
        </w:rPr>
      </w:pPr>
      <w:r>
        <w:rPr>
          <w:rFonts w:ascii="Arial" w:cs="Arial" w:eastAsia="Arial" w:hAnsi="Arial"/>
          <w:sz w:val="18"/>
          <w:szCs w:val="18"/>
          <w:color w:val="auto"/>
        </w:rPr>
        <w:t>We are pioneering novel approaches to the discovery and development of innovative targeted oncology therapies. We leverage the following core strategic components, enabling the pursuit of transformative therapies for patients with cancer:</w:t>
      </w:r>
    </w:p>
    <w:p>
      <w:pPr>
        <w:spacing w:after="0" w:line="14" w:lineRule="exact"/>
        <w:rPr>
          <w:sz w:val="20"/>
          <w:szCs w:val="20"/>
          <w:color w:val="auto"/>
        </w:rPr>
      </w:pPr>
    </w:p>
    <w:p>
      <w:pPr>
        <w:ind w:left="980" w:right="80" w:hanging="482"/>
        <w:spacing w:after="0" w:line="259"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Advance the clinical development of vopimetostat as a monotherapy and in combination with other therapies, including RAS inhibitors, in clinical trials to enable multiple registration paths for markets with large addressable patient populations and high unmet need</w:t>
      </w:r>
    </w:p>
    <w:p>
      <w:pPr>
        <w:spacing w:after="0" w:line="79" w:lineRule="exact"/>
        <w:rPr>
          <w:rFonts w:ascii="Arial" w:cs="Arial" w:eastAsia="Arial" w:hAnsi="Arial"/>
          <w:sz w:val="20"/>
          <w:szCs w:val="20"/>
          <w:color w:val="auto"/>
        </w:rPr>
      </w:pPr>
    </w:p>
    <w:p>
      <w:pPr>
        <w:ind w:left="980" w:hanging="48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Advance the clinical development of TNG456 in the ongoing Phase 1/2 clinical trial, focused on GBM</w:t>
      </w:r>
    </w:p>
    <w:p>
      <w:pPr>
        <w:spacing w:after="0" w:line="134" w:lineRule="exact"/>
        <w:rPr>
          <w:rFonts w:ascii="Arial" w:cs="Arial" w:eastAsia="Arial" w:hAnsi="Arial"/>
          <w:sz w:val="20"/>
          <w:szCs w:val="20"/>
          <w:color w:val="auto"/>
        </w:rPr>
      </w:pPr>
    </w:p>
    <w:p>
      <w:pPr>
        <w:ind w:left="980" w:hanging="482"/>
        <w:spacing w:after="0"/>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Develop the next generation of precision oncology targets to continue to grow our pipeline</w:t>
      </w:r>
    </w:p>
    <w:p>
      <w:pPr>
        <w:spacing w:after="0" w:line="134" w:lineRule="exact"/>
        <w:rPr>
          <w:rFonts w:ascii="Arial" w:cs="Arial" w:eastAsia="Arial" w:hAnsi="Arial"/>
          <w:sz w:val="20"/>
          <w:szCs w:val="20"/>
          <w:color w:val="auto"/>
        </w:rPr>
      </w:pPr>
    </w:p>
    <w:p>
      <w:pPr>
        <w:ind w:left="980" w:right="300" w:hanging="482"/>
        <w:spacing w:after="0" w:line="258" w:lineRule="auto"/>
        <w:tabs>
          <w:tab w:leader="none" w:pos="980" w:val="left"/>
        </w:tabs>
        <w:numPr>
          <w:ilvl w:val="0"/>
          <w:numId w:val="6"/>
        </w:numPr>
        <w:rPr>
          <w:rFonts w:ascii="Arial" w:cs="Arial" w:eastAsia="Arial" w:hAnsi="Arial"/>
          <w:sz w:val="20"/>
          <w:szCs w:val="20"/>
          <w:color w:val="auto"/>
        </w:rPr>
      </w:pPr>
      <w:r>
        <w:rPr>
          <w:rFonts w:ascii="Arial" w:cs="Arial" w:eastAsia="Arial" w:hAnsi="Arial"/>
          <w:sz w:val="20"/>
          <w:szCs w:val="20"/>
          <w:color w:val="auto"/>
        </w:rPr>
        <w:t>Opportunistically evaluate our pipeline assets and maximize the value through strategic collaborations and licensing deals to bring more medicines to patients, accelerate development timelines and explore combination therapy approaches for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Unmet need in precision oncology</w:t>
      </w:r>
    </w:p>
    <w:p>
      <w:pPr>
        <w:spacing w:after="0" w:line="234" w:lineRule="exact"/>
        <w:rPr>
          <w:sz w:val="20"/>
          <w:szCs w:val="20"/>
          <w:color w:val="auto"/>
        </w:rPr>
      </w:pPr>
    </w:p>
    <w:p>
      <w:pPr>
        <w:ind w:right="20" w:firstLine="721"/>
        <w:spacing w:after="0" w:line="247" w:lineRule="auto"/>
        <w:rPr>
          <w:sz w:val="20"/>
          <w:szCs w:val="20"/>
          <w:color w:val="auto"/>
        </w:rPr>
      </w:pPr>
      <w:r>
        <w:rPr>
          <w:rFonts w:ascii="Arial" w:cs="Arial" w:eastAsia="Arial" w:hAnsi="Arial"/>
          <w:sz w:val="20"/>
          <w:szCs w:val="20"/>
          <w:color w:val="auto"/>
        </w:rPr>
        <w:t>Many genetic drivers of cancer are well-characterized but remain difficult to target directly, either because their molecular structure resists conventional inhibition (“undruggable” targets) or because the alteration results in loss of the gene’s normal function. As a result, a substantial portion of oncogenic biology remains a largely unaddressed target space. We are applying precision-oncology strategies, including the concept of synthetic lethality, to address the unmet medical need of large patient groups defined by actionable molecular alterations (e.g., specific mutation, deletions, copy-number changes, or immune contextures).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Synthetic lethality as a precision oncology strategy</w:t>
      </w:r>
    </w:p>
    <w:p>
      <w:pPr>
        <w:spacing w:after="0" w:line="244" w:lineRule="exact"/>
        <w:rPr>
          <w:sz w:val="20"/>
          <w:szCs w:val="20"/>
          <w:color w:val="auto"/>
        </w:rPr>
      </w:pPr>
    </w:p>
    <w:p>
      <w:pPr>
        <w:ind w:right="240" w:firstLine="721"/>
        <w:spacing w:after="0" w:line="336" w:lineRule="auto"/>
        <w:rPr>
          <w:sz w:val="20"/>
          <w:szCs w:val="20"/>
          <w:color w:val="auto"/>
        </w:rPr>
      </w:pPr>
      <w:r>
        <w:rPr>
          <w:rFonts w:ascii="Arial" w:cs="Arial" w:eastAsia="Arial" w:hAnsi="Arial"/>
          <w:sz w:val="18"/>
          <w:szCs w:val="18"/>
          <w:color w:val="auto"/>
        </w:rPr>
        <w:t>Synthetic lethal cancer therapies exploit pairs of genes or pathways in which one is inactivated by a tumor-specific alteration and the other is inhibited pharmacologically. While genetic alterations drive the development of cancer, they also</w:t>
      </w:r>
    </w:p>
    <w:p>
      <w:pPr>
        <w:sectPr>
          <w:pgSz w:w="12240" w:h="15840" w:orient="portrait"/>
          <w:cols w:equalWidth="0" w:num="1">
            <w:col w:w="10140"/>
          </w:cols>
          <w:pgMar w:left="1000" w:top="1056" w:right="1100" w:bottom="21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10140"/>
          </w:cols>
          <w:pgMar w:left="1000" w:top="1056" w:right="1100" w:bottom="210" w:gutter="0" w:footer="0" w:header="0"/>
          <w:type w:val="continuous"/>
        </w:sectPr>
      </w:pPr>
    </w:p>
    <w:bookmarkStart w:id="12" w:name="page13"/>
    <w:bookmarkEnd w:id="12"/>
    <w:p>
      <w:pPr>
        <w:ind w:right="20"/>
        <w:spacing w:after="0" w:line="246" w:lineRule="auto"/>
        <w:rPr>
          <w:sz w:val="20"/>
          <w:szCs w:val="20"/>
          <w:color w:val="auto"/>
        </w:rPr>
      </w:pPr>
      <w:r>
        <w:rPr>
          <w:rFonts w:ascii="Arial" w:cs="Arial" w:eastAsia="Arial" w:hAnsi="Arial"/>
          <w:sz w:val="20"/>
          <w:szCs w:val="20"/>
          <w:color w:val="auto"/>
        </w:rPr>
        <w:t>create unique vulnerabilities that can be targeted therapeutically. Biologically, these vulnerabilities may include an inability of cancer cells to respond to a specific signal, such as DNA damage or cell-cycle arrest, or the inability to remodel chromatin or to maintain cellular homeostasis. A key advantage of the synthetic lethal approach is selectivity: normal cells are not dependent on the same compensatory pathway and are therefore largely unaffected at drug-dose levels that selectively kill alteration-bearing cancer cells, as noted in Figure 2 below. The success of PARP inhibitors in BRCA-mutant breast, ovarian and prostate cancers is the first clinical example of using synthetic lethality to target tumors deficient in DNA-repair mechanism.</w:t>
      </w:r>
    </w:p>
    <w:p>
      <w:pPr>
        <w:spacing w:after="0" w:line="201" w:lineRule="exact"/>
        <w:rPr>
          <w:sz w:val="20"/>
          <w:szCs w:val="20"/>
          <w:color w:val="auto"/>
        </w:rPr>
      </w:pPr>
    </w:p>
    <w:p>
      <w:pPr>
        <w:jc w:val="both"/>
        <w:ind w:right="340"/>
        <w:spacing w:after="0" w:line="300" w:lineRule="auto"/>
        <w:rPr>
          <w:sz w:val="20"/>
          <w:szCs w:val="20"/>
          <w:color w:val="auto"/>
        </w:rPr>
      </w:pPr>
      <w:r>
        <w:rPr>
          <w:rFonts w:ascii="Arial" w:cs="Arial" w:eastAsia="Arial" w:hAnsi="Arial"/>
          <w:sz w:val="18"/>
          <w:szCs w:val="18"/>
          <w:i w:val="1"/>
          <w:iCs w:val="1"/>
          <w:color w:val="auto"/>
        </w:rPr>
        <w:t>Figure 2. In cancer cells, specific molecular alterations create a dependency that allows an inhibitor to target a synthetic-lethal partner gene, causing tumor-cell death. This selective killing only occurs in tumors harboring the defined alteration (e.g. tumor suppressor gene), thereby largely sparing normal tissues offering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102870</wp:posOffset>
            </wp:positionV>
            <wp:extent cx="4955540" cy="2020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5540" cy="202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Biomarker driven patient selection</w:t>
      </w:r>
    </w:p>
    <w:p>
      <w:pPr>
        <w:spacing w:after="0" w:line="244" w:lineRule="exact"/>
        <w:rPr>
          <w:sz w:val="20"/>
          <w:szCs w:val="20"/>
          <w:color w:val="auto"/>
        </w:rPr>
      </w:pPr>
    </w:p>
    <w:p>
      <w:pPr>
        <w:jc w:val="both"/>
        <w:ind w:right="180" w:firstLine="721"/>
        <w:spacing w:after="0" w:line="300" w:lineRule="auto"/>
        <w:rPr>
          <w:sz w:val="20"/>
          <w:szCs w:val="20"/>
          <w:color w:val="auto"/>
        </w:rPr>
      </w:pPr>
      <w:r>
        <w:rPr>
          <w:rFonts w:ascii="Arial" w:cs="Arial" w:eastAsia="Arial" w:hAnsi="Arial"/>
          <w:sz w:val="18"/>
          <w:szCs w:val="18"/>
          <w:color w:val="auto"/>
        </w:rPr>
        <w:t>Across our clinical programs, we use molecular biomarkers as the basis for patient selection to enroll those patients most likely to benefit from each new drug candidate. This patient-centric, molecular approach is designed to enable efficient clinical development, increase the probability of success, and deliver the greatest clinical benefit to patients.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CLINICAL STAGE PROGRAMS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PRMT5 inhibitors</w:t>
      </w:r>
    </w:p>
    <w:p>
      <w:pPr>
        <w:spacing w:after="0" w:line="235" w:lineRule="exact"/>
        <w:rPr>
          <w:sz w:val="20"/>
          <w:szCs w:val="20"/>
          <w:color w:val="auto"/>
        </w:rPr>
      </w:pPr>
    </w:p>
    <w:p>
      <w:pPr>
        <w:ind w:firstLine="721"/>
        <w:spacing w:after="0" w:line="259" w:lineRule="auto"/>
        <w:rPr>
          <w:sz w:val="20"/>
          <w:szCs w:val="20"/>
          <w:color w:val="auto"/>
        </w:rPr>
      </w:pPr>
      <w:r>
        <w:rPr>
          <w:rFonts w:ascii="Arial" w:cs="Arial" w:eastAsia="Arial" w:hAnsi="Arial"/>
          <w:sz w:val="19"/>
          <w:szCs w:val="19"/>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 The first generation of PRMT5 inhibitors did not advance in clinical development because they were either SAM-cooperative or SAM-competitive (and not MTA-cooperative), and as a result, they killed rapidly growing normal cells, particularly bone marrow, as effectively as cancer cells. Therefore, on-target, dose-limiting bone marrow toxicity prevented adequate target inhibition in cancer cells. To address this problem, we designed vopimetostat and TNG456 to be MTA-cooperative and thus selectively active (synthetic lethal) in cancer cells that have a homozygous deletion of MTAP, which is not deleted in normal cells.</w:t>
      </w:r>
    </w:p>
    <w:p>
      <w:pPr>
        <w:spacing w:after="0" w:line="177" w:lineRule="exact"/>
        <w:rPr>
          <w:sz w:val="20"/>
          <w:szCs w:val="20"/>
          <w:color w:val="auto"/>
        </w:rPr>
      </w:pPr>
    </w:p>
    <w:p>
      <w:pPr>
        <w:ind w:right="40" w:firstLine="721"/>
        <w:spacing w:after="0" w:line="259" w:lineRule="auto"/>
        <w:rPr>
          <w:sz w:val="20"/>
          <w:szCs w:val="20"/>
          <w:color w:val="auto"/>
        </w:rPr>
      </w:pPr>
      <w:r>
        <w:rPr>
          <w:rFonts w:ascii="Arial" w:cs="Arial" w:eastAsia="Arial" w:hAnsi="Arial"/>
          <w:sz w:val="19"/>
          <w:szCs w:val="19"/>
          <w:color w:val="auto"/>
        </w:rPr>
        <w:t>This synthetic lethal interaction occurs when MTAP is co-deleted as a “passenger” with the frequently-deleted tumor suppressor gene CDKN2A. Synthetic lethality occurs because MTAP-deleted cells accumulate the PRMT5 inhibitory factor MTA. As a result, PRMT5 is partially inhibited in MTAP- deleted cells, making those cells more sensitive than normal cells to further inhibition of PRMT5 activity. Taking advantage of this unique interaction between PRMT5 inhibition and MTAP deletion requires that the inhibitors have a specific binding mechanism called MTA cooperativity. Vopimetostat and TNG456 bind cooperatively with MTA to inhibit PRMT5 function by blocking access to the PRMT5 active site for both protein substrates and the activating PRMT5 co-factor SAM, specifically in tumor cells which are MTAP deleted. This MTA-cooperative binding mechanism allows selective inhibition of PRMT5 in tumor cells that have lost MTAP while being relatively inert in normal cells without MTAP deletion.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auto"/>
        </w:rPr>
        <w:t>MTAP-deletion frequency in multiple solid tumor types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0140"/>
          </w:cols>
          <w:pgMar w:left="1000" w:top="1060" w:right="1100" w:bottom="210" w:gutter="0" w:footer="0" w:header="0"/>
          <w:type w:val="continuous"/>
        </w:sectPr>
      </w:pPr>
    </w:p>
    <w:bookmarkStart w:id="13" w:name="page14"/>
    <w:bookmarkEnd w:id="13"/>
    <w:p>
      <w:pPr>
        <w:ind w:firstLine="721"/>
        <w:spacing w:after="0" w:line="259" w:lineRule="auto"/>
        <w:rPr>
          <w:sz w:val="20"/>
          <w:szCs w:val="20"/>
          <w:color w:val="auto"/>
        </w:rPr>
      </w:pPr>
      <w:r>
        <w:rPr>
          <w:rFonts w:ascii="Arial" w:cs="Arial" w:eastAsia="Arial" w:hAnsi="Arial"/>
          <w:sz w:val="19"/>
          <w:szCs w:val="19"/>
          <w:color w:val="auto"/>
        </w:rPr>
        <w:t>A partial deletion of chromosome 9p21, driven by loss of the tumor suppressor gene CDKN2A, is the most common homozygous deletion in human cancer. MTAP is adjacent to CDKN2A and is lost along with it in 80-90% of CDKN2A-deleted tumors, thus MTAP is one of the most commonly deleted genes across all cancer types. Based on The Cancer Genome Atlas, SEER, Kantar and other sources, there are at least 15 cancer types where MTAP loss occurs in more than 10% of patients, including approximately 15% of NSCLC, 25% of bladder cancers, 40% of pancreatic cancers, and 45% of GBM. Our development program for vopimetostat is focusing on patients with pancreatic cancer, lung cancer, and histology selective cancers, and we estimate that the annual addressable patient population in the U.S. for these indications totals approximately 60,000 patients. Our development program for TNG456 will focus primarily on patients with GBM, which has an annual addressable U.S. patient population of approximately 7,000 patients.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Strong preclinical data demonstrated with our MTA-cooperative PRMT5 inhibitors in MTAP-deleted cancers</w:t>
      </w:r>
    </w:p>
    <w:p>
      <w:pPr>
        <w:spacing w:after="0" w:line="245" w:lineRule="exact"/>
        <w:rPr>
          <w:sz w:val="20"/>
          <w:szCs w:val="20"/>
          <w:color w:val="auto"/>
        </w:rPr>
      </w:pPr>
    </w:p>
    <w:p>
      <w:pPr>
        <w:ind w:right="100" w:firstLine="721"/>
        <w:spacing w:after="0" w:line="278" w:lineRule="auto"/>
        <w:rPr>
          <w:sz w:val="20"/>
          <w:szCs w:val="20"/>
          <w:color w:val="auto"/>
        </w:rPr>
      </w:pPr>
      <w:r>
        <w:rPr>
          <w:rFonts w:ascii="Arial" w:cs="Arial" w:eastAsia="Arial" w:hAnsi="Arial"/>
          <w:sz w:val="20"/>
          <w:szCs w:val="20"/>
          <w:color w:val="auto"/>
        </w:rPr>
        <w:t>Since PRMT5 is an essential enzyme for all cell types, we designed our PRMT5 inhibitors to be selectively active in cancer cells that have a homozygous deletion of MTAP, which is not deleted in normal cells.</w:t>
      </w:r>
    </w:p>
    <w:p>
      <w:pPr>
        <w:spacing w:after="0" w:line="157" w:lineRule="exact"/>
        <w:rPr>
          <w:sz w:val="20"/>
          <w:szCs w:val="20"/>
          <w:color w:val="auto"/>
        </w:rPr>
      </w:pPr>
    </w:p>
    <w:p>
      <w:pPr>
        <w:ind w:right="60" w:firstLine="721"/>
        <w:spacing w:after="0" w:line="284" w:lineRule="auto"/>
        <w:rPr>
          <w:sz w:val="20"/>
          <w:szCs w:val="20"/>
          <w:color w:val="auto"/>
        </w:rPr>
      </w:pPr>
      <w:r>
        <w:rPr>
          <w:rFonts w:ascii="Arial" w:cs="Arial" w:eastAsia="Arial" w:hAnsi="Arial"/>
          <w:sz w:val="18"/>
          <w:szCs w:val="18"/>
          <w:color w:val="auto"/>
        </w:rPr>
        <w:t>In normal cells with MTAP, MTA is rapidly degraded by MTAP and therefore does not inhibit PRMT5. When MTAP is deleted in cancer cells, intracellular MTA is markedly elevated compared to normal cells (Figures 3 and 4 below) and partially inhibits PRMT5. Our inhibitors preferentially bind PRMT5 in the presence of MTA and “lock” the enzyme into the inactive state which further inhibits PRMT5 and prevents it from methylating target proteins critical for cell survival. As a result, our inhibitors selectively kill MTAP-deleted tumor cells with elevated MTA levels while sparing normal cells.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Figure 3.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6440170" cy="2725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40170" cy="272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80"/>
        <w:spacing w:after="0" w:line="276" w:lineRule="auto"/>
        <w:rPr>
          <w:sz w:val="20"/>
          <w:szCs w:val="20"/>
          <w:color w:val="auto"/>
        </w:rPr>
      </w:pPr>
      <w:r>
        <w:rPr>
          <w:rFonts w:ascii="Arial" w:cs="Arial" w:eastAsia="Arial" w:hAnsi="Arial"/>
          <w:sz w:val="20"/>
          <w:szCs w:val="20"/>
          <w:i w:val="1"/>
          <w:iCs w:val="1"/>
          <w:color w:val="auto"/>
        </w:rPr>
        <w:t>Figure 4. Vopimetostat and TNG456 have an MTA-cooperative mechanism of action that is selective for MTAP-deleted cancer cells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0140"/>
          </w:cols>
          <w:pgMar w:left="1000" w:top="1060" w:right="1100" w:bottom="21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1208405</wp:posOffset>
            </wp:positionH>
            <wp:positionV relativeFrom="page">
              <wp:posOffset>693420</wp:posOffset>
            </wp:positionV>
            <wp:extent cx="5269230" cy="2192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269230"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721"/>
        <w:spacing w:after="0" w:line="252" w:lineRule="auto"/>
        <w:rPr>
          <w:sz w:val="20"/>
          <w:szCs w:val="20"/>
          <w:color w:val="auto"/>
        </w:rPr>
      </w:pPr>
      <w:r>
        <w:rPr>
          <w:rFonts w:ascii="Arial" w:cs="Arial" w:eastAsia="Arial" w:hAnsi="Arial"/>
          <w:sz w:val="20"/>
          <w:szCs w:val="20"/>
          <w:color w:val="auto"/>
        </w:rPr>
        <w:t>In preclinical studies, our PRMT5 inhibitors drive dose-dependent, on-target, anti-tumor activity including deep and durable regressions in MTAP-null xenograft models regardless of histology. These preclinical results are driven by vopimetostat has 4nM potency and 45X selectivity for MTAP-deleted cancer cells versus normal cells. Additionally, TNG456 demonstrated 20nM potency and 55X MTAP deletion selectivity.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Preclinical and clinical combination data</w:t>
      </w:r>
    </w:p>
    <w:p>
      <w:pPr>
        <w:spacing w:after="0" w:line="231" w:lineRule="exact"/>
        <w:rPr>
          <w:sz w:val="20"/>
          <w:szCs w:val="20"/>
          <w:color w:val="auto"/>
        </w:rPr>
      </w:pPr>
    </w:p>
    <w:p>
      <w:pPr>
        <w:ind w:right="140" w:firstLine="721"/>
        <w:spacing w:after="0" w:line="252" w:lineRule="auto"/>
        <w:rPr>
          <w:sz w:val="20"/>
          <w:szCs w:val="20"/>
          <w:color w:val="auto"/>
        </w:rPr>
      </w:pPr>
      <w:r>
        <w:rPr>
          <w:rFonts w:ascii="Arial" w:cs="Arial" w:eastAsia="Arial" w:hAnsi="Arial"/>
          <w:sz w:val="20"/>
          <w:szCs w:val="20"/>
          <w:color w:val="auto"/>
        </w:rPr>
        <w:t>We plan to develop vopimetostat and TNG456 as monotherapy agents and in combination with other agents. Based on strong preclinical data showing significant in vivo combination benefit, clinical combinations that are currently being executed, planned or are of potential interest for the future with our PRMT5 inhibitors include RAS, CDK4/6, and MAT2A inhibitors and potentially other oncogene-targeted therapies.</w:t>
      </w:r>
    </w:p>
    <w:p>
      <w:pPr>
        <w:spacing w:after="0" w:line="184" w:lineRule="exact"/>
        <w:rPr>
          <w:sz w:val="20"/>
          <w:szCs w:val="20"/>
          <w:color w:val="auto"/>
        </w:rPr>
      </w:pPr>
    </w:p>
    <w:p>
      <w:pPr>
        <w:ind w:right="60" w:firstLine="721"/>
        <w:spacing w:after="0" w:line="244" w:lineRule="auto"/>
        <w:rPr>
          <w:sz w:val="20"/>
          <w:szCs w:val="20"/>
          <w:color w:val="auto"/>
        </w:rPr>
      </w:pPr>
      <w:r>
        <w:rPr>
          <w:rFonts w:ascii="Arial" w:cs="Arial" w:eastAsia="Arial" w:hAnsi="Arial"/>
          <w:sz w:val="20"/>
          <w:szCs w:val="20"/>
          <w:color w:val="auto"/>
        </w:rPr>
        <w:t>The RAS combinations are a key focus due to the overlap in patient populations with MTAP deletion in pancreatic and lung cancer as well as the anticipated postitive safety profile of both therapies. More than 90% of MTAP-deleted pancreatic adenocarcinomas are RAS-mutant and approximately 40% of RAS mutations are G12D. Additionally, approximately 30% of MTAP-deleted lung adenocarcinomas are also RAS-mutant. Additionally, preclinical in vivo studies showed their combination leads to significant tumor reductions, supporting further clinical testing. We have an ongoing clinical collaboration with Revolution Medicines, Inc., or RevMed, and are currently combining vopimetostat with daraxonrasib, a RAS(ON) multi-selective inhibitor, and separately with zoldonrasib, a RAS(ON) G12D-selective inhibitor, in MTAP-deleted, RAS-mutant pancreatic and lung cancer in a Phase 1/2 clinical trial. We anticipate providing a safety and efficacy update from that study in 2026.</w:t>
      </w:r>
    </w:p>
    <w:p>
      <w:pPr>
        <w:spacing w:after="0" w:line="206" w:lineRule="exact"/>
        <w:rPr>
          <w:sz w:val="20"/>
          <w:szCs w:val="20"/>
          <w:color w:val="auto"/>
        </w:rPr>
      </w:pPr>
    </w:p>
    <w:p>
      <w:pPr>
        <w:ind w:right="140" w:firstLine="721"/>
        <w:spacing w:after="0" w:line="252" w:lineRule="auto"/>
        <w:rPr>
          <w:sz w:val="20"/>
          <w:szCs w:val="20"/>
          <w:color w:val="auto"/>
        </w:rPr>
      </w:pPr>
      <w:r>
        <w:rPr>
          <w:rFonts w:ascii="Arial" w:cs="Arial" w:eastAsia="Arial" w:hAnsi="Arial"/>
          <w:sz w:val="20"/>
          <w:szCs w:val="20"/>
          <w:color w:val="auto"/>
        </w:rPr>
        <w:t>Given the our belief that the differentiated profile of vopimetostat could enable the potential for efficacious and tolerable RAS inhibitor combinations, we have entered into a CTCSA with Erasca to evaluate vopimetostat in combination with Erasca’s pan-RAS molecular glue, ERAS-0015. Under the terms of the agreement, Tango is the sponsor of the trial and Erasca is supplying ERAS-0015 at no cost.</w:t>
      </w:r>
    </w:p>
    <w:p>
      <w:pPr>
        <w:spacing w:after="0" w:line="194" w:lineRule="exact"/>
        <w:rPr>
          <w:sz w:val="20"/>
          <w:szCs w:val="20"/>
          <w:color w:val="auto"/>
        </w:rPr>
      </w:pPr>
    </w:p>
    <w:p>
      <w:pPr>
        <w:ind w:right="80" w:firstLine="491"/>
        <w:spacing w:after="0" w:line="268" w:lineRule="auto"/>
        <w:rPr>
          <w:sz w:val="20"/>
          <w:szCs w:val="20"/>
          <w:color w:val="auto"/>
        </w:rPr>
      </w:pPr>
      <w:r>
        <w:rPr>
          <w:rFonts w:ascii="Arial" w:cs="Arial" w:eastAsia="Arial" w:hAnsi="Arial"/>
          <w:sz w:val="18"/>
          <w:szCs w:val="18"/>
          <w:color w:val="auto"/>
        </w:rPr>
        <w:t>Essentially all MTAP-deleted tumors also harbor a CDKN2A deletion, which may sensitize cancers to CDK4/6 inhibition. We have observed the expected efficacy of this combination in preclinical in vivo studies. We have a clinical collaboration agreement with Eli Lilly and Company, or Lilly, that will supply Verzenio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(abemaciclib), a CDK4/6 inhibitor, for use in combination with TNG456 in our ongoing Phase 1/2 clinical trial focused on MTAP-deleted GBM. We anticipate treating patients with that combination upon confirmation of single-agent TNG456 activity in patients with GBM.</w:t>
      </w:r>
    </w:p>
    <w:p>
      <w:pPr>
        <w:spacing w:after="0" w:line="183" w:lineRule="exact"/>
        <w:rPr>
          <w:sz w:val="20"/>
          <w:szCs w:val="20"/>
          <w:color w:val="auto"/>
        </w:rPr>
      </w:pPr>
    </w:p>
    <w:p>
      <w:pPr>
        <w:ind w:right="40" w:firstLine="491"/>
        <w:spacing w:after="0" w:line="336" w:lineRule="auto"/>
        <w:rPr>
          <w:sz w:val="20"/>
          <w:szCs w:val="20"/>
          <w:color w:val="auto"/>
        </w:rPr>
      </w:pPr>
      <w:r>
        <w:rPr>
          <w:rFonts w:ascii="Arial" w:cs="Arial" w:eastAsia="Arial" w:hAnsi="Arial"/>
          <w:sz w:val="18"/>
          <w:szCs w:val="18"/>
          <w:color w:val="auto"/>
        </w:rPr>
        <w:t>Strong synergy has been demonstrated preclinically with sub-therapeutic doses of vopimetostat and MAT2A inhibition, suggesting the combination of vopimetostat with MAT2A inhibitors may be clinically beneficial in MTAP-deleted tumors.</w:t>
      </w:r>
    </w:p>
    <w:p>
      <w:pPr>
        <w:spacing w:after="0" w:line="120" w:lineRule="exact"/>
        <w:rPr>
          <w:sz w:val="20"/>
          <w:szCs w:val="20"/>
          <w:color w:val="auto"/>
        </w:rPr>
      </w:pPr>
    </w:p>
    <w:p>
      <w:pPr>
        <w:ind w:firstLine="491"/>
        <w:spacing w:after="0" w:line="336" w:lineRule="auto"/>
        <w:rPr>
          <w:sz w:val="20"/>
          <w:szCs w:val="20"/>
          <w:color w:val="auto"/>
        </w:rPr>
      </w:pPr>
      <w:r>
        <w:rPr>
          <w:rFonts w:ascii="Arial" w:cs="Arial" w:eastAsia="Arial" w:hAnsi="Arial"/>
          <w:sz w:val="18"/>
          <w:szCs w:val="18"/>
          <w:color w:val="auto"/>
        </w:rPr>
        <w:t>In preparation for potential first-line pivotal studies and to inform future clinical development opportunities, we are also conducting combination studies to assess tolerability with various agents, including pembrolizumab and chemotherapy.</w:t>
      </w:r>
    </w:p>
    <w:p>
      <w:pPr>
        <w:sectPr>
          <w:pgSz w:w="12240" w:h="15840" w:orient="portrait"/>
          <w:cols w:equalWidth="0" w:num="1">
            <w:col w:w="10100"/>
          </w:cols>
          <w:pgMar w:left="1000" w:top="1440" w:right="114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0100"/>
          </w:cols>
          <w:pgMar w:left="1000" w:top="1440" w:right="1140" w:bottom="21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Clinical trials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Vopimetostat Phase 1/2 monotherapy</w:t>
      </w:r>
    </w:p>
    <w:p>
      <w:pPr>
        <w:spacing w:after="0" w:line="240" w:lineRule="exact"/>
        <w:rPr>
          <w:sz w:val="20"/>
          <w:szCs w:val="20"/>
          <w:color w:val="auto"/>
        </w:rPr>
      </w:pPr>
    </w:p>
    <w:p>
      <w:pPr>
        <w:jc w:val="both"/>
        <w:ind w:right="300" w:firstLine="721"/>
        <w:spacing w:after="0" w:line="258" w:lineRule="auto"/>
        <w:rPr>
          <w:sz w:val="20"/>
          <w:szCs w:val="20"/>
          <w:color w:val="auto"/>
        </w:rPr>
      </w:pPr>
      <w:r>
        <w:rPr>
          <w:rFonts w:ascii="Arial" w:cs="Arial" w:eastAsia="Arial" w:hAnsi="Arial"/>
          <w:sz w:val="20"/>
          <w:szCs w:val="20"/>
          <w:color w:val="auto"/>
        </w:rPr>
        <w:t>The vopimetostat Phase 1/2 clinical trial is evaluating the safety and efficacy of vopimetostat as a monotherapy in patients with MTAP-deleted solid tumors and is focused on pancreatic and lung cancer. The first patient was dosed in July 2023 and we are currently enrolling patients at 250 mg QD.</w:t>
      </w:r>
    </w:p>
    <w:p>
      <w:pPr>
        <w:spacing w:after="0" w:line="188" w:lineRule="exact"/>
        <w:rPr>
          <w:sz w:val="20"/>
          <w:szCs w:val="20"/>
          <w:color w:val="auto"/>
        </w:rPr>
      </w:pPr>
    </w:p>
    <w:p>
      <w:pPr>
        <w:ind w:firstLine="721"/>
        <w:spacing w:after="0" w:line="258" w:lineRule="auto"/>
        <w:rPr>
          <w:sz w:val="20"/>
          <w:szCs w:val="20"/>
          <w:color w:val="auto"/>
        </w:rPr>
      </w:pPr>
      <w:r>
        <w:rPr>
          <w:rFonts w:ascii="Arial" w:cs="Arial" w:eastAsia="Arial" w:hAnsi="Arial"/>
          <w:sz w:val="19"/>
          <w:szCs w:val="19"/>
          <w:color w:val="auto"/>
        </w:rPr>
        <w:t>In October 2025, we reported positive data from the ongoing Phase 1/2 clinical trial of vopimetostat in patients with MTAP-deleted cancers, demonstrating clinical activity across multiple cancer types with a favorable safety and tolerability profile to date. The cutoff date for the analysis was September 1, 2025 and included all evaluable patients at active doses (200 mg QD and above). Based on our observations of other PRMT5 inhibitors, we believe that the objective response rate, or ORR, improves over time in PRMT5 inhibitors. When all evaluable patients as of September 1, 2025, regardless of duration of follow-up, were assessed for response, the ORR was 20%. At greater than 6 months of follow-up as of September 1, 2025, the ORR increased to 27%. The ORR analyses presented were thus derived from patients enrolled more than 6 months before the data cutoff regardless of outcome, to avoid under-reporting response rates. Therefore, the ORRs were calculated in all tumor-evaluable patients enrolled more than 6 months prior to the efficacy analysis. mPFS was calculated in all patients who received a first scan (~8 weeks).</w:t>
      </w:r>
    </w:p>
    <w:p>
      <w:pPr>
        <w:spacing w:after="0" w:line="190" w:lineRule="exact"/>
        <w:rPr>
          <w:sz w:val="20"/>
          <w:szCs w:val="20"/>
          <w:color w:val="auto"/>
        </w:rPr>
      </w:pPr>
    </w:p>
    <w:p>
      <w:pPr>
        <w:ind w:right="20" w:firstLine="721"/>
        <w:spacing w:after="0" w:line="278" w:lineRule="auto"/>
        <w:rPr>
          <w:sz w:val="20"/>
          <w:szCs w:val="20"/>
          <w:color w:val="auto"/>
        </w:rPr>
      </w:pPr>
      <w:r>
        <w:rPr>
          <w:rFonts w:ascii="Arial" w:cs="Arial" w:eastAsia="Arial" w:hAnsi="Arial"/>
          <w:sz w:val="20"/>
          <w:szCs w:val="20"/>
          <w:color w:val="auto"/>
        </w:rPr>
        <w:t>Across all MTAP-deleted tumor types, there were 94 tumor evaluable patients. We observed an ORR 27% and mPFS of 6.4 months in these patients.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Figure 5: Vopimetostat 27% ORR across cancer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6440170" cy="2315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40170" cy="231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Figure 6: Durable disease control with vopimetostat across cancer types</w:t>
      </w:r>
    </w:p>
    <w:p>
      <w:pPr>
        <w:sectPr>
          <w:pgSz w:w="12240" w:h="15840" w:orient="portrait"/>
          <w:cols w:equalWidth="0" w:num="1">
            <w:col w:w="10140"/>
          </w:cols>
          <w:pgMar w:left="1000" w:top="1285"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0140"/>
          </w:cols>
          <w:pgMar w:left="1000" w:top="1285" w:right="1100" w:bottom="21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639445</wp:posOffset>
            </wp:positionH>
            <wp:positionV relativeFrom="page">
              <wp:posOffset>685165</wp:posOffset>
            </wp:positionV>
            <wp:extent cx="6440170" cy="2545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40170"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721"/>
        <w:spacing w:after="0" w:line="300" w:lineRule="auto"/>
        <w:rPr>
          <w:sz w:val="20"/>
          <w:szCs w:val="20"/>
          <w:color w:val="auto"/>
        </w:rPr>
      </w:pPr>
      <w:r>
        <w:rPr>
          <w:rFonts w:ascii="Arial" w:cs="Arial" w:eastAsia="Arial" w:hAnsi="Arial"/>
          <w:sz w:val="18"/>
          <w:szCs w:val="18"/>
          <w:color w:val="auto"/>
        </w:rPr>
        <w:t>In the 29 patients with second line (2L) MTAP-deleted pancreatic cancer, mPFS was 7.2 months. In patients with 2L pancreatic cancer who were tumor evaluable (n=8), the ORR was 25%, more than double that observed in historical chemotherapy studies (~10%), supporting the planned initiation of a 2L pivotal trial in this patient population in 2026.</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Figure 7: Vopimetostat mPFS is 7.2 months in 2L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6440170" cy="2619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4017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40" w:firstLine="721"/>
        <w:spacing w:after="0" w:line="284" w:lineRule="auto"/>
        <w:rPr>
          <w:sz w:val="20"/>
          <w:szCs w:val="20"/>
          <w:color w:val="auto"/>
        </w:rPr>
      </w:pPr>
      <w:r>
        <w:rPr>
          <w:rFonts w:ascii="Arial" w:cs="Arial" w:eastAsia="Arial" w:hAnsi="Arial"/>
          <w:sz w:val="18"/>
          <w:szCs w:val="18"/>
          <w:color w:val="auto"/>
        </w:rPr>
        <w:t>In the histology selective cohort with 37 evaluable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We are evaluating the development path for the histology selective cohort, as well as for selected indications as stand-alone development opportunities.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Figure 8: Vopimetostat 49% ORR in histology selective cohort and mPFS of 9.1 months</w:t>
      </w:r>
    </w:p>
    <w:p>
      <w:pPr>
        <w:sectPr>
          <w:pgSz w:w="12240" w:h="15840" w:orient="portrait"/>
          <w:cols w:equalWidth="0" w:num="1">
            <w:col w:w="10060"/>
          </w:cols>
          <w:pgMar w:left="1000" w:top="1440" w:right="11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0060"/>
          </w:cols>
          <w:pgMar w:left="1000" w:top="1440" w:right="1180" w:bottom="21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639445</wp:posOffset>
            </wp:positionH>
            <wp:positionV relativeFrom="page">
              <wp:posOffset>685165</wp:posOffset>
            </wp:positionV>
            <wp:extent cx="6440170" cy="2716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440170" cy="271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721"/>
        <w:spacing w:after="0" w:line="258" w:lineRule="auto"/>
        <w:rPr>
          <w:sz w:val="20"/>
          <w:szCs w:val="20"/>
          <w:color w:val="auto"/>
        </w:rPr>
      </w:pPr>
      <w:r>
        <w:rPr>
          <w:rFonts w:ascii="Arial" w:cs="Arial" w:eastAsia="Arial" w:hAnsi="Arial"/>
          <w:sz w:val="20"/>
          <w:szCs w:val="20"/>
          <w:color w:val="auto"/>
        </w:rPr>
        <w:t>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Figure 9: Vopimetostat 250mg QD has a potentially best-in-class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440170" cy="2592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40170" cy="259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721"/>
        <w:spacing w:after="0" w:line="270" w:lineRule="auto"/>
        <w:rPr>
          <w:sz w:val="20"/>
          <w:szCs w:val="20"/>
          <w:color w:val="auto"/>
        </w:rPr>
      </w:pPr>
      <w:r>
        <w:rPr>
          <w:rFonts w:ascii="Arial" w:cs="Arial" w:eastAsia="Arial" w:hAnsi="Arial"/>
          <w:sz w:val="19"/>
          <w:szCs w:val="19"/>
          <w:color w:val="auto"/>
        </w:rPr>
        <w:t>Vopimetostat demonstrated a favorable safety and tolerability profile with no drug-related dose discontinuations and ~8% dose reduction in patients dosed at 250 mg QD as of the data cutoff date of September 1, 2025. These data support our view that vopimetostat has the potential to be a best-in-class molecule and we believe support the initiation of a registrational trial in 2026 to evaluate 2L MTAP-deleted pancreatic cancer as a single agent.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Vopimetostat Phase 1/2 combination with RAS(ON) inhibitors</w:t>
      </w:r>
    </w:p>
    <w:p>
      <w:pPr>
        <w:spacing w:after="0" w:line="230" w:lineRule="exact"/>
        <w:rPr>
          <w:sz w:val="20"/>
          <w:szCs w:val="20"/>
          <w:color w:val="auto"/>
        </w:rPr>
      </w:pPr>
    </w:p>
    <w:p>
      <w:pPr>
        <w:ind w:right="160" w:firstLine="721"/>
        <w:spacing w:after="0" w:line="284" w:lineRule="auto"/>
        <w:rPr>
          <w:sz w:val="20"/>
          <w:szCs w:val="20"/>
          <w:color w:val="auto"/>
        </w:rPr>
      </w:pPr>
      <w:r>
        <w:rPr>
          <w:rFonts w:ascii="Arial" w:cs="Arial" w:eastAsia="Arial" w:hAnsi="Arial"/>
          <w:sz w:val="18"/>
          <w:szCs w:val="18"/>
          <w:color w:val="auto"/>
        </w:rPr>
        <w:t>We are focused on evaluating the combination of vopimetostat with RAS inhibitors, given the overlap in patient populations, robust preclinical data supporting potential strong combination effect in clinical trials, and favorable clinical efficacy, durability, and safety profiles observed with each drug individually. This approach may enable a development path for chemotheraphy- free first-line and potentially second-line therapies for MTAP-deleted/RAS-mutated patients with pancreatic and lung cancer. We have a collaboration with RevMed to support the ongoing Phase 1/2 combination trial.</w:t>
      </w:r>
    </w:p>
    <w:p>
      <w:pPr>
        <w:spacing w:after="0" w:line="155" w:lineRule="exact"/>
        <w:rPr>
          <w:sz w:val="20"/>
          <w:szCs w:val="20"/>
          <w:color w:val="auto"/>
        </w:rPr>
      </w:pPr>
    </w:p>
    <w:p>
      <w:pPr>
        <w:ind w:firstLine="721"/>
        <w:spacing w:after="0" w:line="301" w:lineRule="auto"/>
        <w:rPr>
          <w:sz w:val="20"/>
          <w:szCs w:val="20"/>
          <w:color w:val="auto"/>
        </w:rPr>
      </w:pPr>
      <w:r>
        <w:rPr>
          <w:rFonts w:ascii="Arial" w:cs="Arial" w:eastAsia="Arial" w:hAnsi="Arial"/>
          <w:sz w:val="18"/>
          <w:szCs w:val="18"/>
          <w:color w:val="auto"/>
        </w:rPr>
        <w:t>In June 2025, the first patient was treated in the combination clinical trial that is evaluating vopimetostat with the RAS(ON) multi-selective inhibitor, daraxonrasib, and RAS(ON) G12D-selective inhibitor, zoldonrasib (RevMed). As of December 24, 2025, we had enrolled 30 patients in the trial, and both combinations were well-tolerated to date with exposures</w:t>
      </w:r>
    </w:p>
    <w:p>
      <w:pPr>
        <w:sectPr>
          <w:pgSz w:w="12240" w:h="15840" w:orient="portrait"/>
          <w:cols w:equalWidth="0" w:num="1">
            <w:col w:w="10100"/>
          </w:cols>
          <w:pgMar w:left="1000" w:top="1440" w:right="1140" w:bottom="210" w:gutter="0" w:footer="0" w:header="0"/>
        </w:sectPr>
      </w:pP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0100"/>
          </w:cols>
          <w:pgMar w:left="1000" w:top="1440" w:right="1140" w:bottom="210" w:gutter="0" w:footer="0" w:header="0"/>
          <w:type w:val="continuous"/>
        </w:sectPr>
      </w:pPr>
    </w:p>
    <w:bookmarkStart w:id="18" w:name="page19"/>
    <w:bookmarkEnd w:id="18"/>
    <w:p>
      <w:pPr>
        <w:ind w:right="500"/>
        <w:spacing w:after="0" w:line="277" w:lineRule="auto"/>
        <w:rPr>
          <w:sz w:val="20"/>
          <w:szCs w:val="20"/>
          <w:color w:val="auto"/>
        </w:rPr>
      </w:pPr>
      <w:r>
        <w:rPr>
          <w:rFonts w:ascii="Arial" w:cs="Arial" w:eastAsia="Arial" w:hAnsi="Arial"/>
          <w:sz w:val="20"/>
          <w:szCs w:val="20"/>
          <w:color w:val="auto"/>
        </w:rPr>
        <w:t>in the active range for all compounds. Early efficacy data are encouraging. We anticipate providing a safety and efficacy update from this trial in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TNG456 Phase 1/2</w:t>
      </w:r>
    </w:p>
    <w:p>
      <w:pPr>
        <w:spacing w:after="0" w:line="240" w:lineRule="exact"/>
        <w:rPr>
          <w:sz w:val="20"/>
          <w:szCs w:val="20"/>
          <w:color w:val="auto"/>
        </w:rPr>
      </w:pPr>
    </w:p>
    <w:p>
      <w:pPr>
        <w:ind w:right="180" w:firstLine="721"/>
        <w:spacing w:after="0" w:line="283" w:lineRule="auto"/>
        <w:rPr>
          <w:sz w:val="20"/>
          <w:szCs w:val="20"/>
          <w:color w:val="auto"/>
        </w:rPr>
      </w:pPr>
      <w:r>
        <w:rPr>
          <w:rFonts w:ascii="Arial" w:cs="Arial" w:eastAsia="Arial" w:hAnsi="Arial"/>
          <w:sz w:val="18"/>
          <w:szCs w:val="18"/>
          <w:color w:val="auto"/>
        </w:rPr>
        <w:t>TNG456 is a brain-penetrant PRMT5 inhibitor being evaluated in an ongoing Phase 1/2 trial enrolling patients with MTAP-deleted solid tumors, with a focus on GBM. In May 2025, we began enrolling patients in the TNG456 Phase 1/2 clinical trial, in which we plan to evaluate patients with TNG456 monotherapy as well as in combination with abemaciclib. The trial is currently in dose escalation and we anticipate providing a safety and efficacy update from this trial in 2026. We plan to initiate the combination with abemaciclib with evidence of single agenda TNG456 activity in GBM.</w:t>
      </w:r>
    </w:p>
    <w:p>
      <w:pPr>
        <w:spacing w:after="0" w:line="160" w:lineRule="exact"/>
        <w:rPr>
          <w:sz w:val="20"/>
          <w:szCs w:val="20"/>
          <w:color w:val="auto"/>
        </w:rPr>
      </w:pPr>
    </w:p>
    <w:p>
      <w:pPr>
        <w:ind w:firstLine="721"/>
        <w:spacing w:after="0" w:line="252" w:lineRule="auto"/>
        <w:rPr>
          <w:sz w:val="20"/>
          <w:szCs w:val="20"/>
          <w:color w:val="auto"/>
        </w:rPr>
      </w:pPr>
      <w:r>
        <w:rPr>
          <w:rFonts w:ascii="Arial" w:cs="Arial" w:eastAsia="Arial" w:hAnsi="Arial"/>
          <w:sz w:val="20"/>
          <w:szCs w:val="20"/>
          <w:color w:val="auto"/>
        </w:rPr>
        <w:t>We believe that the initial pharmacokinetics from the clinical trial support our hypothesis that TNG456 will reach efficacious exposures in the CNS at well-tolerated doses (Fig 10). In contrast, the results of the TNG908 Phase1/2 clinical trial determined that the TNG908 exposure in the brain of was subtherapeutic. TNG908 was discontinued in November 2024 due to insufficient brain exposure for clinical activity in GBM.</w:t>
      </w:r>
    </w:p>
    <w:p>
      <w:pPr>
        <w:spacing w:after="0" w:line="186" w:lineRule="exact"/>
        <w:rPr>
          <w:sz w:val="20"/>
          <w:szCs w:val="20"/>
          <w:color w:val="auto"/>
        </w:rPr>
      </w:pPr>
    </w:p>
    <w:p>
      <w:pPr>
        <w:ind w:right="320"/>
        <w:spacing w:after="0" w:line="276" w:lineRule="auto"/>
        <w:rPr>
          <w:sz w:val="20"/>
          <w:szCs w:val="20"/>
          <w:color w:val="auto"/>
        </w:rPr>
      </w:pPr>
      <w:r>
        <w:rPr>
          <w:rFonts w:ascii="Arial" w:cs="Arial" w:eastAsia="Arial" w:hAnsi="Arial"/>
          <w:sz w:val="20"/>
          <w:szCs w:val="20"/>
          <w:i w:val="1"/>
          <w:iCs w:val="1"/>
          <w:color w:val="auto"/>
        </w:rPr>
        <w:t>Figure 10. TNG908 (actual) and TNG456 (predicted based on clinical PK at 100mg BID) steady-state clinical exposure in plasma and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440170" cy="258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40170" cy="258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CoREST inhibition to reserve immune evasion</w:t>
      </w:r>
    </w:p>
    <w:p>
      <w:pPr>
        <w:spacing w:after="0" w:line="244" w:lineRule="exact"/>
        <w:rPr>
          <w:sz w:val="20"/>
          <w:szCs w:val="20"/>
          <w:color w:val="auto"/>
        </w:rPr>
      </w:pPr>
    </w:p>
    <w:p>
      <w:pPr>
        <w:ind w:right="140" w:firstLine="721"/>
        <w:spacing w:after="0" w:line="263" w:lineRule="auto"/>
        <w:rPr>
          <w:sz w:val="20"/>
          <w:szCs w:val="20"/>
          <w:color w:val="auto"/>
        </w:rPr>
      </w:pPr>
      <w:r>
        <w:rPr>
          <w:rFonts w:ascii="Arial" w:cs="Arial" w:eastAsia="Arial" w:hAnsi="Arial"/>
          <w:sz w:val="19"/>
          <w:szCs w:val="19"/>
          <w:color w:val="auto"/>
        </w:rPr>
        <w:t>TNG260 is a first-in-class CoREST inhibitor targeting STK11 mutant/KRAS wild type NSCLC, representing ~10% of lung adenocarcinoma annually in the US (~10,000 patients). STK11 loss-of-function mutations suppress the immune microenvironment of lung cancers. As a result, immune checkpoint inhibitors, like anti-PD-1, are not sufficient to overcome the immune evasive environment of STK11-mutant tumors, leading to poor clinical responses in these patients. Inhibition of the CoREST complex by TNG260 has been shown in preclinical studies to lead to changes in expression of immune-related genes that favor a more active immune environment.</w:t>
      </w:r>
    </w:p>
    <w:p>
      <w:pPr>
        <w:spacing w:after="0" w:line="173" w:lineRule="exact"/>
        <w:rPr>
          <w:sz w:val="20"/>
          <w:szCs w:val="20"/>
          <w:color w:val="auto"/>
        </w:rPr>
      </w:pPr>
    </w:p>
    <w:p>
      <w:pPr>
        <w:ind w:right="40" w:firstLine="721"/>
        <w:spacing w:after="0" w:line="246" w:lineRule="auto"/>
        <w:rPr>
          <w:sz w:val="20"/>
          <w:szCs w:val="20"/>
          <w:color w:val="auto"/>
        </w:rPr>
      </w:pPr>
      <w:r>
        <w:rPr>
          <w:rFonts w:ascii="Arial" w:cs="Arial" w:eastAsia="Arial" w:hAnsi="Arial"/>
          <w:sz w:val="20"/>
          <w:szCs w:val="20"/>
          <w:color w:val="auto"/>
        </w:rPr>
        <w:t>In a syngeneic mouse tumor model where STK11 loss drives resistance to immune checkpoint blockade, CoREST inhibition by TNG260 in combination with an anti-PD-1 antibody resulted in complete tumor regressions in five out of eight treated mice. Treatment was stopped on Day 48 and the five of eight mice that were completely tumor-free at that time remained tumor-free for 21 days with no further treatment. Furthermore, when tumor cells were re-implanted in these mice on day 69, they were rejected, compared to a treatment-naïve group of animals where tumors grew as expected. This demonstrated the induction of immune memory in the animals with complete responses to TNG260 with anti-PD-1 antibody (Figure 11).</w:t>
      </w:r>
    </w:p>
    <w:p>
      <w:pPr>
        <w:spacing w:after="0" w:line="202" w:lineRule="exact"/>
        <w:rPr>
          <w:sz w:val="20"/>
          <w:szCs w:val="20"/>
          <w:color w:val="auto"/>
        </w:rPr>
      </w:pPr>
    </w:p>
    <w:p>
      <w:pPr>
        <w:ind w:right="300"/>
        <w:spacing w:after="0" w:line="276" w:lineRule="auto"/>
        <w:rPr>
          <w:sz w:val="20"/>
          <w:szCs w:val="20"/>
          <w:color w:val="auto"/>
        </w:rPr>
      </w:pPr>
      <w:r>
        <w:rPr>
          <w:rFonts w:ascii="Arial" w:cs="Arial" w:eastAsia="Arial" w:hAnsi="Arial"/>
          <w:sz w:val="20"/>
          <w:szCs w:val="20"/>
          <w:i w:val="1"/>
          <w:iCs w:val="1"/>
          <w:color w:val="auto"/>
        </w:rPr>
        <w:t>Figure 11: Pharmacologic proof-of-concept for CoREST inhibition in STK11 mutant MC38 mouse tumors with TNG260 in combination with an anti-PD-1 antibody</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0140"/>
          </w:cols>
          <w:pgMar w:left="1000" w:top="1060" w:right="1100" w:bottom="21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1628140</wp:posOffset>
            </wp:positionH>
            <wp:positionV relativeFrom="page">
              <wp:posOffset>831215</wp:posOffset>
            </wp:positionV>
            <wp:extent cx="4468495" cy="2744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46849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TNG260 Phase 1/2</w:t>
      </w:r>
    </w:p>
    <w:p>
      <w:pPr>
        <w:spacing w:after="0" w:line="230" w:lineRule="exact"/>
        <w:rPr>
          <w:sz w:val="20"/>
          <w:szCs w:val="20"/>
          <w:color w:val="auto"/>
        </w:rPr>
      </w:pPr>
    </w:p>
    <w:p>
      <w:pPr>
        <w:ind w:right="20" w:firstLine="721"/>
        <w:spacing w:after="0" w:line="247" w:lineRule="auto"/>
        <w:rPr>
          <w:sz w:val="20"/>
          <w:szCs w:val="20"/>
          <w:color w:val="auto"/>
        </w:rPr>
      </w:pPr>
      <w:r>
        <w:rPr>
          <w:rFonts w:ascii="Arial" w:cs="Arial" w:eastAsia="Arial" w:hAnsi="Arial"/>
          <w:sz w:val="20"/>
          <w:szCs w:val="20"/>
          <w:color w:val="auto"/>
        </w:rPr>
        <w:t>In the first quarter of 2023, the FDA cleared the TNG260 IND and we announced the first patient in the Phase 1/2 clinical trial was dosed in July 2023. Data from the dose escalation portion of this study provided early clinical proof-of-concept in a pre-specified subgroup of patients with checkpoint inhibitor resistant STK11 mut/KRAS WT lung cancer. In this group (n=5), the mPFS was 29 weeks, more than double the standard of care PFS of ~10 weeks. There was no evidence of activity in STK11 mutant /KRAS mutant lung cancers or other cancer types. The trial is ongoing in the STK11mut/KRAS WT lung cancer cohort.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44" w:lineRule="exact"/>
        <w:rPr>
          <w:sz w:val="20"/>
          <w:szCs w:val="20"/>
          <w:color w:val="auto"/>
        </w:rPr>
      </w:pPr>
    </w:p>
    <w:p>
      <w:pPr>
        <w:ind w:firstLine="563"/>
        <w:spacing w:after="0" w:line="270" w:lineRule="auto"/>
        <w:rPr>
          <w:sz w:val="20"/>
          <w:szCs w:val="20"/>
          <w:color w:val="auto"/>
        </w:rPr>
      </w:pPr>
      <w:r>
        <w:rPr>
          <w:rFonts w:ascii="Arial" w:cs="Arial" w:eastAsia="Arial" w:hAnsi="Arial"/>
          <w:sz w:val="18"/>
          <w:szCs w:val="18"/>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 distribution of our investigational products for preclinical and clinical testing, as well as for commercial manufacturing if any of our investigational products obtain marketing approval. A team of internal experts oversee activities at our contracted CDMOs with the goal of ensuring our investigational products are being manufactured under current good manufacturing practices, or cGMP. Currently, all manufacturing of the drug substance for our product candidates to be used in our clinical trials is conducted by one manufacturer and manufacturing of the drug product to be used in our clinical trials is conducted by two manufacturers. We believe that the contracted CDMOs have the capacity to support our potential registrational clinical studies, in addition to the first-in-human studies of our product candidates. The operations of one of these CDMOs are located outside the U.S. and the other CDMO conducts its operations for us in a single location in the United States. In addition to the risks related to having only two CDMOs (and only one manufacturer of drug substance), we may also encounter challenges related to supply chain, climate issues, pandemic and geopolitical risks. We plan to further expand and diversify our supply chain by identifying and contracting other CDMOs (beyond the two CDMOs that are currently conducting operations for us) with the capacity and expertise to support the drug substance and drug product for our product candidates and other investigational products in our pipeline and to manufacture commercial supply of our drugs (if those therapies obtain regulatory approval). For additional information and details on the risk related to manufacturing, see “Item 1A. Risk Factors —</w:t>
      </w:r>
      <w:r>
        <w:rPr>
          <w:rFonts w:ascii="Arial" w:cs="Arial" w:eastAsia="Arial" w:hAnsi="Arial"/>
          <w:sz w:val="18"/>
          <w:szCs w:val="18"/>
          <w:i w:val="1"/>
          <w:iCs w:val="1"/>
          <w:color w:val="auto"/>
        </w:rPr>
        <w:t>The third parties upon whom we rely for the supply of the active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pharmaceutical ingredients and drug product to be used in our product candidates are our sole sources of supply, and the loss of any of these suppliers could significantly harm our business. </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44" w:lineRule="exact"/>
        <w:rPr>
          <w:sz w:val="20"/>
          <w:szCs w:val="20"/>
          <w:color w:val="auto"/>
        </w:rPr>
      </w:pPr>
    </w:p>
    <w:p>
      <w:pPr>
        <w:ind w:right="120" w:firstLine="563"/>
        <w:spacing w:after="0" w:line="289" w:lineRule="auto"/>
        <w:rPr>
          <w:sz w:val="20"/>
          <w:szCs w:val="20"/>
          <w:color w:val="auto"/>
        </w:rPr>
      </w:pPr>
      <w:r>
        <w:rPr>
          <w:rFonts w:ascii="Arial" w:cs="Arial" w:eastAsia="Arial" w:hAnsi="Arial"/>
          <w:sz w:val="18"/>
          <w:szCs w:val="18"/>
          <w:color w:val="auto"/>
        </w:rPr>
        <w:t>We strive to protect and enhance the proprietary technology, inventions and improvements that we believe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w:t>
      </w:r>
    </w:p>
    <w:p>
      <w:pPr>
        <w:sectPr>
          <w:pgSz w:w="12240" w:h="15840" w:orient="portrait"/>
          <w:cols w:equalWidth="0" w:num="1">
            <w:col w:w="10140"/>
          </w:cols>
          <w:pgMar w:left="1000" w:top="1440" w:right="1100" w:bottom="21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0140"/>
          </w:cols>
          <w:pgMar w:left="1000" w:top="1440" w:right="1100" w:bottom="210" w:gutter="0" w:footer="0" w:header="0"/>
          <w:type w:val="continuous"/>
        </w:sectPr>
      </w:pPr>
    </w:p>
    <w:bookmarkStart w:id="20" w:name="page21"/>
    <w:bookmarkEnd w:id="20"/>
    <w:p>
      <w:pPr>
        <w:ind w:right="40"/>
        <w:spacing w:after="0" w:line="283" w:lineRule="auto"/>
        <w:rPr>
          <w:sz w:val="20"/>
          <w:szCs w:val="20"/>
          <w:color w:val="auto"/>
        </w:rPr>
      </w:pPr>
      <w:r>
        <w:rPr>
          <w:rFonts w:ascii="Arial" w:cs="Arial" w:eastAsia="Arial" w:hAnsi="Arial"/>
          <w:sz w:val="18"/>
          <w:szCs w:val="18"/>
          <w:color w:val="auto"/>
        </w:rPr>
        <w:t>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69" w:lineRule="exact"/>
        <w:rPr>
          <w:sz w:val="20"/>
          <w:szCs w:val="20"/>
          <w:color w:val="auto"/>
        </w:rPr>
      </w:pPr>
    </w:p>
    <w:p>
      <w:pPr>
        <w:ind w:right="40" w:firstLine="563"/>
        <w:spacing w:after="0" w:line="272" w:lineRule="auto"/>
        <w:rPr>
          <w:sz w:val="20"/>
          <w:szCs w:val="20"/>
          <w:color w:val="auto"/>
        </w:rPr>
      </w:pPr>
      <w:r>
        <w:rPr>
          <w:rFonts w:ascii="Arial" w:cs="Arial" w:eastAsia="Arial" w:hAnsi="Arial"/>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81" w:lineRule="exact"/>
        <w:rPr>
          <w:sz w:val="20"/>
          <w:szCs w:val="20"/>
          <w:color w:val="auto"/>
        </w:rPr>
      </w:pPr>
    </w:p>
    <w:p>
      <w:pPr>
        <w:ind w:right="40" w:firstLine="563"/>
        <w:spacing w:after="0" w:line="246" w:lineRule="auto"/>
        <w:rPr>
          <w:sz w:val="20"/>
          <w:szCs w:val="20"/>
          <w:color w:val="auto"/>
        </w:rPr>
      </w:pPr>
      <w:r>
        <w:rPr>
          <w:rFonts w:ascii="Arial" w:cs="Arial" w:eastAsia="Arial" w:hAnsi="Arial"/>
          <w:sz w:val="20"/>
          <w:szCs w:val="20"/>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PRMT5 inhibitors</w:t>
      </w:r>
    </w:p>
    <w:p>
      <w:pPr>
        <w:spacing w:after="0" w:line="238" w:lineRule="exact"/>
        <w:rPr>
          <w:sz w:val="20"/>
          <w:szCs w:val="20"/>
          <w:color w:val="auto"/>
        </w:rPr>
      </w:pPr>
    </w:p>
    <w:p>
      <w:pPr>
        <w:ind w:right="480" w:firstLine="563"/>
        <w:spacing w:after="0" w:line="336" w:lineRule="auto"/>
        <w:rPr>
          <w:sz w:val="20"/>
          <w:szCs w:val="20"/>
          <w:color w:val="auto"/>
        </w:rPr>
      </w:pPr>
      <w:r>
        <w:rPr>
          <w:rFonts w:ascii="Arial" w:cs="Arial" w:eastAsia="Arial" w:hAnsi="Arial"/>
          <w:sz w:val="18"/>
          <w:szCs w:val="18"/>
          <w:color w:val="auto"/>
        </w:rPr>
        <w:t>We exclusively own eleven patent families covering the composition of matter, methods of use, manufacture, crystalline forms and formulations for TNG908, vopimetostat, TNG456 and other structurally related PRMT5 inhibitors.</w:t>
      </w:r>
    </w:p>
    <w:p>
      <w:pPr>
        <w:spacing w:after="0" w:line="13" w:lineRule="exact"/>
        <w:rPr>
          <w:sz w:val="20"/>
          <w:szCs w:val="20"/>
          <w:color w:val="auto"/>
        </w:rPr>
      </w:pPr>
    </w:p>
    <w:p>
      <w:pPr>
        <w:jc w:val="both"/>
        <w:ind w:left="980" w:right="120" w:hanging="482"/>
        <w:spacing w:after="0" w:line="252"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For the first family, four US patents have been granted, and patent applications are pending in the United States, Argentina, Pakistan, Taiwan, Australia, Brazil, Canada, China, Eurasia, Europe, Hong Kong, Israel, India, Japan, Korea, Mexico, Malaysia, New Zealand, Singapore, Thailand, Ukraine and South Africa. Any patents granted in this family would be expected to expire no earlier than 2041.</w:t>
      </w:r>
    </w:p>
    <w:p>
      <w:pPr>
        <w:spacing w:after="0" w:line="90" w:lineRule="exact"/>
        <w:rPr>
          <w:rFonts w:ascii="Arial" w:cs="Arial" w:eastAsia="Arial" w:hAnsi="Arial"/>
          <w:sz w:val="20"/>
          <w:szCs w:val="20"/>
          <w:color w:val="auto"/>
        </w:rPr>
      </w:pPr>
    </w:p>
    <w:p>
      <w:pPr>
        <w:ind w:left="980" w:right="160" w:hanging="482"/>
        <w:spacing w:after="0" w:line="30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second family, patent applications are pending in the United States, Australia, Brazil, Canada, China, Eurasia, Europe, Israel, India, Japan, Korea, Mexico, Malaysia, New Zealand, Singapore, Thailand, Ukraine and South Africa. Any patents granted in this family would be expected to expire no earlier than 2042.</w:t>
      </w:r>
    </w:p>
    <w:p>
      <w:pPr>
        <w:spacing w:after="0" w:line="48" w:lineRule="exact"/>
        <w:rPr>
          <w:rFonts w:ascii="Arial" w:cs="Arial" w:eastAsia="Arial" w:hAnsi="Arial"/>
          <w:sz w:val="18"/>
          <w:szCs w:val="18"/>
          <w:color w:val="auto"/>
        </w:rPr>
      </w:pPr>
    </w:p>
    <w:p>
      <w:pPr>
        <w:ind w:left="980" w:hanging="482"/>
        <w:spacing w:after="0" w:line="30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third family, patent application are pending in the United States, Taiwan, Australia, Brazil, Canada, China, Eurasia, Europe, Israel, India, Japan, Korea, Mexico, Malaysia, New Zealand, Singapore, Thailand, Ukraine and South Africa. Any patents granted in this family would be expected to expire no earlier than 2043.</w:t>
      </w:r>
    </w:p>
    <w:p>
      <w:pPr>
        <w:spacing w:after="0" w:line="48" w:lineRule="exact"/>
        <w:rPr>
          <w:rFonts w:ascii="Arial" w:cs="Arial" w:eastAsia="Arial" w:hAnsi="Arial"/>
          <w:sz w:val="18"/>
          <w:szCs w:val="18"/>
          <w:color w:val="auto"/>
        </w:rPr>
      </w:pPr>
    </w:p>
    <w:p>
      <w:pPr>
        <w:ind w:left="980" w:right="360" w:hanging="482"/>
        <w:spacing w:after="0" w:line="258"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For the fourth family, patent applications are pending in the United States, Australia, Canada, China, Europe, Israel, Japan, Korea, New Zealand, and South Africa. Any patents granted in this family would be expected to expire no earlier than 2043.</w:t>
      </w:r>
    </w:p>
    <w:p>
      <w:pPr>
        <w:spacing w:after="0" w:line="82" w:lineRule="exact"/>
        <w:rPr>
          <w:rFonts w:ascii="Arial" w:cs="Arial" w:eastAsia="Arial" w:hAnsi="Arial"/>
          <w:sz w:val="20"/>
          <w:szCs w:val="20"/>
          <w:color w:val="auto"/>
        </w:rPr>
      </w:pPr>
    </w:p>
    <w:p>
      <w:pPr>
        <w:ind w:left="980" w:right="20" w:hanging="482"/>
        <w:spacing w:after="0" w:line="258" w:lineRule="auto"/>
        <w:tabs>
          <w:tab w:leader="none" w:pos="9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Patent Cooperation Treaty applications are pending in each of the fifth, sixth, seventh, eighth, and ninth patent families. A provisional application is pending in each of the tenth and eleventh family. Any patents granted in any of these families would be expected to expire no earlier than 2045.</w:t>
      </w:r>
    </w:p>
    <w:p>
      <w:pPr>
        <w:spacing w:after="0" w:line="188" w:lineRule="exact"/>
        <w:rPr>
          <w:sz w:val="20"/>
          <w:szCs w:val="20"/>
          <w:color w:val="auto"/>
        </w:rPr>
      </w:pPr>
    </w:p>
    <w:p>
      <w:pPr>
        <w:jc w:val="both"/>
        <w:ind w:right="40" w:firstLine="563"/>
        <w:spacing w:after="0" w:line="289" w:lineRule="auto"/>
        <w:rPr>
          <w:sz w:val="20"/>
          <w:szCs w:val="20"/>
          <w:color w:val="auto"/>
        </w:rPr>
      </w:pPr>
      <w:r>
        <w:rPr>
          <w:rFonts w:ascii="Arial" w:cs="Arial" w:eastAsia="Arial" w:hAnsi="Arial"/>
          <w:sz w:val="18"/>
          <w:szCs w:val="18"/>
          <w:color w:val="auto"/>
        </w:rPr>
        <w:t>Additionally, we exclusively own five patent families covering other PRMT5 inhibitors and their methods of use with expiration dates ranging from 2039 to 2043. Two US patents have been granted in the first family. A US patent application is pending in the second family. Patent applications are pending in United States, Taiwan, Europe and Japan for the third family. Patent applications are pending in the United States, Taiwan, Europe and Japan for the remaining two families.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0140"/>
          </w:cols>
          <w:pgMar w:left="1000" w:top="1060" w:right="1100" w:bottom="21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i w:val="1"/>
          <w:iCs w:val="1"/>
          <w:color w:val="auto"/>
        </w:rPr>
        <w:t>CoREST inhibitors</w:t>
      </w:r>
    </w:p>
    <w:p>
      <w:pPr>
        <w:spacing w:after="0" w:line="228" w:lineRule="exact"/>
        <w:rPr>
          <w:sz w:val="20"/>
          <w:szCs w:val="20"/>
          <w:color w:val="auto"/>
        </w:rPr>
      </w:pPr>
    </w:p>
    <w:p>
      <w:pPr>
        <w:ind w:right="80" w:firstLine="721"/>
        <w:spacing w:after="0" w:line="275" w:lineRule="auto"/>
        <w:rPr>
          <w:sz w:val="20"/>
          <w:szCs w:val="20"/>
          <w:color w:val="auto"/>
        </w:rPr>
      </w:pPr>
      <w:r>
        <w:rPr>
          <w:rFonts w:ascii="Arial" w:cs="Arial" w:eastAsia="Arial" w:hAnsi="Arial"/>
          <w:sz w:val="18"/>
          <w:szCs w:val="18"/>
          <w:color w:val="auto"/>
        </w:rPr>
        <w:t>We exclusively own four patent families covering the composition of matter, methods of use, solid forms and methods of manufacturing for our clinical compound TNG260 and other structurally related CoREST inhibitors. For the first family, a United States patent is granted and patent applications are pending in the United States, Taiwan, Australia, Brazil, Canada, China, Eurasia, Europe, Hong Kong, Israel, India, Japan, Korea, Mexico, Malaysia, New Zealand, Singapore, Thailand, Ukraine and South Africa. Any patents granted in this family would be expected to expire no earlier than 2042. For the second family, patent applications are pending in the United States, Brazil, Canada, China, Eurasia, Europe, Hong Kong, Israel, Japan, Korea, Mexico, Malaysia, New Zealand, Singapore, Thailand, Ukraine and South Africa. Any patents in this family, if granted, are expected to expire no earlier than 2043. Patent Cooperation Treaty applications are pending in the third and fourth families and any patents in these families, if granted, are expected to expire no earlier than 2046.</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HBS1L degraders</w:t>
      </w:r>
    </w:p>
    <w:p>
      <w:pPr>
        <w:spacing w:after="0" w:line="238" w:lineRule="exact"/>
        <w:rPr>
          <w:sz w:val="20"/>
          <w:szCs w:val="20"/>
          <w:color w:val="auto"/>
        </w:rPr>
      </w:pPr>
    </w:p>
    <w:p>
      <w:pPr>
        <w:ind w:right="540" w:firstLine="721"/>
        <w:spacing w:after="0" w:line="278" w:lineRule="auto"/>
        <w:rPr>
          <w:sz w:val="20"/>
          <w:szCs w:val="20"/>
          <w:color w:val="auto"/>
        </w:rPr>
      </w:pPr>
      <w:r>
        <w:rPr>
          <w:rFonts w:ascii="Arial" w:cs="Arial" w:eastAsia="Arial" w:hAnsi="Arial"/>
          <w:sz w:val="19"/>
          <w:szCs w:val="19"/>
          <w:color w:val="auto"/>
        </w:rPr>
        <w:t>We exclusively own six patent families covering the composition of matter and methods of use for our product candidate TNG961 and other HBS1L inhibitors. Patent Cooperation Treaty applications are pending in each of the six families. Any patents in these families, if granted, are expected to expire no earlier than 2045.</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43" w:lineRule="exact"/>
        <w:rPr>
          <w:sz w:val="20"/>
          <w:szCs w:val="20"/>
          <w:color w:val="auto"/>
        </w:rPr>
      </w:pPr>
    </w:p>
    <w:p>
      <w:pPr>
        <w:ind w:right="140" w:firstLine="563"/>
        <w:spacing w:after="0" w:line="27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 approval reporting of drugs. We, along with our vendors, contract research organizations, or CROs, clinical investigators and contract development and manufacturing organizations, or CDMOs, will be required to navigate the various preclinical, clinical, manufacturing and approval requirements of the governing regulatory authorities of the countries in which we wish to conduct studies or seek approval of our product candidates. The process of obtaining regulatory approvals for drugs and ensuring subsequent compliance with appropriate federal, state, local and foreign statutes and regulations requires the expenditure of substantial time and financial resources.</w:t>
      </w:r>
    </w:p>
    <w:p>
      <w:pPr>
        <w:spacing w:after="0" w:line="175" w:lineRule="exact"/>
        <w:rPr>
          <w:sz w:val="20"/>
          <w:szCs w:val="20"/>
          <w:color w:val="auto"/>
        </w:rPr>
      </w:pPr>
    </w:p>
    <w:p>
      <w:pPr>
        <w:ind w:right="40" w:firstLine="563"/>
        <w:spacing w:after="0" w:line="274" w:lineRule="auto"/>
        <w:rPr>
          <w:sz w:val="20"/>
          <w:szCs w:val="20"/>
          <w:color w:val="auto"/>
        </w:rPr>
      </w:pPr>
      <w:r>
        <w:rPr>
          <w:rFonts w:ascii="Arial" w:cs="Arial" w:eastAsia="Arial" w:hAnsi="Arial"/>
          <w:sz w:val="18"/>
          <w:szCs w:val="18"/>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or future applications, issuance of clinical holds for ongoing studies or study termination, suspension or revocation of approved applications, FDA Form 483s, warning or untitled letters, product withdrawals or recalls, product seizures, total or partial suspensions of manufacturing or distribution, injunctions, fines, civil penalties or criminal prosecution.</w:t>
      </w:r>
    </w:p>
    <w:p>
      <w:pPr>
        <w:spacing w:after="0" w:line="177" w:lineRule="exact"/>
        <w:rPr>
          <w:sz w:val="20"/>
          <w:szCs w:val="20"/>
          <w:color w:val="auto"/>
        </w:rPr>
      </w:pPr>
    </w:p>
    <w:p>
      <w:pPr>
        <w:jc w:val="both"/>
        <w:ind w:right="200" w:firstLine="563"/>
        <w:spacing w:after="0" w:line="258" w:lineRule="auto"/>
        <w:rPr>
          <w:sz w:val="20"/>
          <w:szCs w:val="20"/>
          <w:color w:val="auto"/>
        </w:rPr>
      </w:pPr>
      <w:r>
        <w:rPr>
          <w:rFonts w:ascii="Arial" w:cs="Arial" w:eastAsia="Arial" w:hAnsi="Arial"/>
          <w:sz w:val="20"/>
          <w:szCs w:val="20"/>
          <w:color w:val="auto"/>
        </w:rPr>
        <w:t>Our product candidates must be approved for therapeutic indications by the FDA before they may be marketed in the United States. For drug product candidates regulated under the FD&amp;C Act, the FDA must approve a New Drug Application, or NDA. The process generally involves the following:</w:t>
      </w:r>
    </w:p>
    <w:p>
      <w:pPr>
        <w:spacing w:after="0" w:line="83" w:lineRule="exact"/>
        <w:rPr>
          <w:sz w:val="20"/>
          <w:szCs w:val="20"/>
          <w:color w:val="auto"/>
        </w:rPr>
      </w:pPr>
    </w:p>
    <w:p>
      <w:pPr>
        <w:ind w:left="980" w:right="40" w:hanging="482"/>
        <w:spacing w:after="0" w:line="278"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completion of extensive preclinical studies in accordance with applicable regulations, including studies conducted in accordance with good laboratory practice, or GLP, requirements;</w:t>
      </w:r>
    </w:p>
    <w:p>
      <w:pPr>
        <w:spacing w:after="0" w:line="61" w:lineRule="exact"/>
        <w:rPr>
          <w:rFonts w:ascii="Arial" w:cs="Arial" w:eastAsia="Arial" w:hAnsi="Arial"/>
          <w:sz w:val="20"/>
          <w:szCs w:val="20"/>
          <w:color w:val="auto"/>
        </w:rPr>
      </w:pPr>
    </w:p>
    <w:p>
      <w:pPr>
        <w:ind w:left="980" w:right="320" w:hanging="482"/>
        <w:spacing w:after="0" w:line="33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in compliance with current Good Manufacturing Practices, or cGMP, of the drug substance and drug product to be used in human clinical trials along with required analytical and stability testing;</w:t>
      </w:r>
    </w:p>
    <w:p>
      <w:pPr>
        <w:spacing w:after="0" w:line="15" w:lineRule="exact"/>
        <w:rPr>
          <w:rFonts w:ascii="Arial" w:cs="Arial" w:eastAsia="Arial" w:hAnsi="Arial"/>
          <w:sz w:val="18"/>
          <w:szCs w:val="18"/>
          <w:color w:val="auto"/>
        </w:rPr>
      </w:pPr>
    </w:p>
    <w:p>
      <w:pPr>
        <w:ind w:left="980" w:right="440" w:hanging="482"/>
        <w:spacing w:after="0" w:line="277"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submission to the FDA of an IND, which must become effective before clinical trials may begin and must be updated when certain changes are made;</w:t>
      </w:r>
    </w:p>
    <w:p>
      <w:pPr>
        <w:spacing w:after="0" w:line="63" w:lineRule="exact"/>
        <w:rPr>
          <w:rFonts w:ascii="Arial" w:cs="Arial" w:eastAsia="Arial" w:hAnsi="Arial"/>
          <w:sz w:val="20"/>
          <w:szCs w:val="20"/>
          <w:color w:val="auto"/>
        </w:rPr>
      </w:pPr>
    </w:p>
    <w:p>
      <w:pPr>
        <w:ind w:left="980" w:hanging="482"/>
        <w:spacing w:after="0" w:line="278"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approval by an institutional review board, or IRB, or independent ethics committee at each clinical trial site before a clinical trial may be initiated at that site;</w:t>
      </w:r>
    </w:p>
    <w:p>
      <w:pPr>
        <w:spacing w:after="0" w:line="61" w:lineRule="exact"/>
        <w:rPr>
          <w:rFonts w:ascii="Arial" w:cs="Arial" w:eastAsia="Arial" w:hAnsi="Arial"/>
          <w:sz w:val="20"/>
          <w:szCs w:val="20"/>
          <w:color w:val="auto"/>
        </w:rPr>
      </w:pPr>
    </w:p>
    <w:p>
      <w:pPr>
        <w:ind w:left="980" w:right="160" w:hanging="482"/>
        <w:spacing w:after="0" w:line="259" w:lineRule="auto"/>
        <w:tabs>
          <w:tab w:leader="none" w:pos="98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ectPr>
          <w:pgSz w:w="12240" w:h="15840" w:orient="portrait"/>
          <w:cols w:equalWidth="0" w:num="1">
            <w:col w:w="10140"/>
          </w:cols>
          <w:pgMar w:left="1000" w:top="1062" w:right="1100" w:bottom="21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0140"/>
          </w:cols>
          <w:pgMar w:left="1000" w:top="1062" w:right="1100" w:bottom="210" w:gutter="0" w:footer="0" w:header="0"/>
          <w:type w:val="continuous"/>
        </w:sectPr>
      </w:pPr>
    </w:p>
    <w:bookmarkStart w:id="22" w:name="page23"/>
    <w:bookmarkEnd w:id="22"/>
    <w:p>
      <w:pPr>
        <w:ind w:left="980" w:hanging="482"/>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preparation and submission of an NDA to the FDA;</w:t>
      </w:r>
    </w:p>
    <w:p>
      <w:pPr>
        <w:spacing w:after="0" w:line="133" w:lineRule="exact"/>
        <w:rPr>
          <w:rFonts w:ascii="Arial" w:cs="Arial" w:eastAsia="Arial" w:hAnsi="Arial"/>
          <w:sz w:val="20"/>
          <w:szCs w:val="20"/>
          <w:color w:val="auto"/>
        </w:rPr>
      </w:pPr>
    </w:p>
    <w:p>
      <w:pPr>
        <w:ind w:left="980" w:hanging="482"/>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determination by the FDA within 60 days of its receipt of an NDA to file the application for review;</w:t>
      </w:r>
    </w:p>
    <w:p>
      <w:pPr>
        <w:spacing w:after="0" w:line="134" w:lineRule="exact"/>
        <w:rPr>
          <w:rFonts w:ascii="Arial" w:cs="Arial" w:eastAsia="Arial" w:hAnsi="Arial"/>
          <w:sz w:val="20"/>
          <w:szCs w:val="20"/>
          <w:color w:val="auto"/>
        </w:rPr>
      </w:pPr>
    </w:p>
    <w:p>
      <w:pPr>
        <w:ind w:left="980" w:right="60" w:hanging="482"/>
        <w:spacing w:after="0" w:line="278" w:lineRule="auto"/>
        <w:tabs>
          <w:tab w:leader="none" w:pos="980" w:val="left"/>
        </w:tabs>
        <w:numPr>
          <w:ilvl w:val="0"/>
          <w:numId w:val="9"/>
        </w:numPr>
        <w:rPr>
          <w:rFonts w:ascii="Arial" w:cs="Arial" w:eastAsia="Arial" w:hAnsi="Arial"/>
          <w:sz w:val="19"/>
          <w:szCs w:val="19"/>
          <w:color w:val="auto"/>
        </w:rPr>
      </w:pPr>
      <w:r>
        <w:rPr>
          <w:rFonts w:ascii="Arial" w:cs="Arial" w:eastAsia="Arial" w:hAnsi="Arial"/>
          <w:sz w:val="19"/>
          <w:szCs w:val="19"/>
          <w:color w:val="auto"/>
        </w:rPr>
        <w:t>satisfactory completion of one or more FDA pre-approval inspections of the manufacturing facility or facilities where the drug will be produced to assess compliance with cGMP requirements to confirm the facilities, methods and controls are adequate to assure the drug’s identity, strength, quality and purity;</w:t>
      </w:r>
    </w:p>
    <w:p>
      <w:pPr>
        <w:spacing w:after="0" w:line="65" w:lineRule="exact"/>
        <w:rPr>
          <w:rFonts w:ascii="Arial" w:cs="Arial" w:eastAsia="Arial" w:hAnsi="Arial"/>
          <w:sz w:val="19"/>
          <w:szCs w:val="19"/>
          <w:color w:val="auto"/>
        </w:rPr>
      </w:pPr>
    </w:p>
    <w:p>
      <w:pPr>
        <w:ind w:left="980" w:hanging="482"/>
        <w:spacing w:after="0"/>
        <w:tabs>
          <w:tab w:leader="none" w:pos="980" w:val="left"/>
        </w:tabs>
        <w:numPr>
          <w:ilvl w:val="0"/>
          <w:numId w:val="9"/>
        </w:numPr>
        <w:rPr>
          <w:rFonts w:ascii="Arial" w:cs="Arial" w:eastAsia="Arial" w:hAnsi="Arial"/>
          <w:sz w:val="19"/>
          <w:szCs w:val="19"/>
          <w:color w:val="auto"/>
        </w:rPr>
      </w:pPr>
      <w:r>
        <w:rPr>
          <w:rFonts w:ascii="Arial" w:cs="Arial" w:eastAsia="Arial" w:hAnsi="Arial"/>
          <w:sz w:val="19"/>
          <w:szCs w:val="19"/>
          <w:color w:val="auto"/>
        </w:rPr>
        <w:t>satisfactory completion of an FDA audit of clinical trial sites that generated the data in support of the NDA;</w:t>
      </w:r>
    </w:p>
    <w:p>
      <w:pPr>
        <w:spacing w:after="0" w:line="146" w:lineRule="exact"/>
        <w:rPr>
          <w:rFonts w:ascii="Arial" w:cs="Arial" w:eastAsia="Arial" w:hAnsi="Arial"/>
          <w:sz w:val="19"/>
          <w:szCs w:val="19"/>
          <w:color w:val="auto"/>
        </w:rPr>
      </w:pPr>
    </w:p>
    <w:p>
      <w:pPr>
        <w:ind w:left="980" w:hanging="482"/>
        <w:spacing w:after="0"/>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payment of an application fee, as applicable, for FDA review of the NDA; and</w:t>
      </w:r>
    </w:p>
    <w:p>
      <w:pPr>
        <w:spacing w:after="0" w:line="133" w:lineRule="exact"/>
        <w:rPr>
          <w:rFonts w:ascii="Arial" w:cs="Arial" w:eastAsia="Arial" w:hAnsi="Arial"/>
          <w:sz w:val="20"/>
          <w:szCs w:val="20"/>
          <w:color w:val="auto"/>
        </w:rPr>
      </w:pPr>
    </w:p>
    <w:p>
      <w:pPr>
        <w:ind w:left="980" w:right="280" w:hanging="482"/>
        <w:spacing w:after="0" w:line="259" w:lineRule="auto"/>
        <w:tabs>
          <w:tab w:leader="none" w:pos="980" w:val="left"/>
        </w:tabs>
        <w:numPr>
          <w:ilvl w:val="0"/>
          <w:numId w:val="9"/>
        </w:numPr>
        <w:rPr>
          <w:rFonts w:ascii="Arial" w:cs="Arial" w:eastAsia="Arial" w:hAnsi="Arial"/>
          <w:sz w:val="20"/>
          <w:szCs w:val="20"/>
          <w:color w:val="auto"/>
        </w:rPr>
      </w:pPr>
      <w:r>
        <w:rPr>
          <w:rFonts w:ascii="Arial" w:cs="Arial" w:eastAsia="Arial" w:hAnsi="Arial"/>
          <w:sz w:val="20"/>
          <w:szCs w:val="20"/>
          <w:color w:val="auto"/>
        </w:rPr>
        <w:t>FDA review of the NDA, including, where applicable, consideration of the views of any FDA advisory committee, and FDA approval of the NDA prior to any commercial marketing or sale of the drug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Preclinical studies and clinical trials for drugs</w:t>
      </w:r>
    </w:p>
    <w:p>
      <w:pPr>
        <w:spacing w:after="0" w:line="242" w:lineRule="exact"/>
        <w:rPr>
          <w:sz w:val="20"/>
          <w:szCs w:val="20"/>
          <w:color w:val="auto"/>
        </w:rPr>
      </w:pPr>
    </w:p>
    <w:p>
      <w:pPr>
        <w:ind w:right="80" w:firstLine="563"/>
        <w:spacing w:after="0" w:line="247" w:lineRule="auto"/>
        <w:rPr>
          <w:sz w:val="20"/>
          <w:szCs w:val="20"/>
          <w:color w:val="auto"/>
        </w:rPr>
      </w:pPr>
      <w:r>
        <w:rPr>
          <w:rFonts w:ascii="Arial" w:cs="Arial" w:eastAsia="Arial" w:hAnsi="Arial"/>
          <w:sz w:val="20"/>
          <w:szCs w:val="20"/>
          <w:color w:val="auto"/>
        </w:rPr>
        <w:t>Before testing any drug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certain safety/toxicology studies. The results of the preclinical studies, together with manufacturing information and analytical data, must be submitted to the FDA as part of an IND.</w:t>
      </w:r>
    </w:p>
    <w:p>
      <w:pPr>
        <w:spacing w:after="0" w:line="200" w:lineRule="exact"/>
        <w:rPr>
          <w:sz w:val="20"/>
          <w:szCs w:val="20"/>
          <w:color w:val="auto"/>
        </w:rPr>
      </w:pPr>
    </w:p>
    <w:p>
      <w:pPr>
        <w:ind w:right="280" w:firstLine="563"/>
        <w:spacing w:after="0" w:line="275" w:lineRule="auto"/>
        <w:rPr>
          <w:sz w:val="20"/>
          <w:szCs w:val="20"/>
          <w:color w:val="auto"/>
        </w:rPr>
      </w:pPr>
      <w:r>
        <w:rPr>
          <w:rFonts w:ascii="Arial" w:cs="Arial" w:eastAsia="Arial" w:hAnsi="Arial"/>
          <w:sz w:val="18"/>
          <w:szCs w:val="18"/>
          <w:color w:val="auto"/>
        </w:rPr>
        <w:t>An IND is a request for authorization from the FDA to administer an investigational product to humans and must become effective before clinical trials may begin. An IND includes the general investigational plan and the protocol(s) for clinical studies,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Additional preclinical testing may and often does continue after the IND is submitted. The IND automatically becomes effective 30 days after receipt by the FDA, unless the FDA raises concerns or questions within the 30-day time period,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75" w:lineRule="exact"/>
        <w:rPr>
          <w:sz w:val="20"/>
          <w:szCs w:val="20"/>
          <w:color w:val="auto"/>
        </w:rPr>
      </w:pPr>
    </w:p>
    <w:p>
      <w:pPr>
        <w:ind w:firstLine="563"/>
        <w:spacing w:after="0" w:line="272"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 that all research subjects provide their informed consent for their participation in a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oversee the clinical trial until its completion. The FDA, the IRB, or the sponsor may suspend or discontinue a clinical trial at any time on various grounds, including a finding that the subjects are being exposed to an unacceptable health risk.</w:t>
      </w:r>
    </w:p>
    <w:p>
      <w:pPr>
        <w:spacing w:after="0" w:line="185" w:lineRule="exact"/>
        <w:rPr>
          <w:sz w:val="20"/>
          <w:szCs w:val="20"/>
          <w:color w:val="auto"/>
        </w:rPr>
      </w:pPr>
    </w:p>
    <w:p>
      <w:pPr>
        <w:ind w:right="20" w:firstLine="563"/>
        <w:spacing w:after="0" w:line="260" w:lineRule="auto"/>
        <w:rPr>
          <w:sz w:val="20"/>
          <w:szCs w:val="20"/>
          <w:color w:val="auto"/>
        </w:rPr>
      </w:pPr>
      <w:r>
        <w:rPr>
          <w:rFonts w:ascii="Arial" w:cs="Arial" w:eastAsia="Arial" w:hAnsi="Arial"/>
          <w:sz w:val="19"/>
          <w:szCs w:val="19"/>
          <w:color w:val="auto"/>
        </w:rPr>
        <w:t xml:space="preserve">There also are requirements governing the registration and reporting of ongoing and completed clinical trials to public registries. For example, information about certain clinical trials must be submitted within specific timeframes for publication on </w:t>
      </w:r>
      <w:r>
        <w:rPr>
          <w:rFonts w:ascii="Arial" w:cs="Arial" w:eastAsia="Arial" w:hAnsi="Arial"/>
          <w:sz w:val="19"/>
          <w:szCs w:val="19"/>
          <w:i w:val="1"/>
          <w:iCs w:val="1"/>
          <w:color w:val="auto"/>
        </w:rPr>
        <w:t>www.ClinicalTrials.gov</w:t>
      </w:r>
      <w:r>
        <w:rPr>
          <w:rFonts w:ascii="Arial" w:cs="Arial" w:eastAsia="Arial" w:hAnsi="Arial"/>
          <w:sz w:val="19"/>
          <w:szCs w:val="19"/>
          <w:color w:val="auto"/>
        </w:rPr>
        <w:t>, a clinical trials database maintained by the National Institutes of Health. Sponsors are also obligated to disclose the results of their clinical trials after completion. Disclosure of the results of these trials can be delayed until the new product or new indication being studied has been approved. Competitors and patients may use this publicly available information to gain knowledge regarding the progress of development programs. Failure to timely register a covered clinical study or to submit study results as provided for in the law can give rise to consequences such as public notifications of noncompliance and civil monetary penalties.</w:t>
      </w:r>
    </w:p>
    <w:p>
      <w:pPr>
        <w:spacing w:after="0" w:line="186" w:lineRule="exact"/>
        <w:rPr>
          <w:sz w:val="20"/>
          <w:szCs w:val="20"/>
          <w:color w:val="auto"/>
        </w:rPr>
      </w:pPr>
    </w:p>
    <w:p>
      <w:pPr>
        <w:ind w:right="20" w:firstLine="563"/>
        <w:spacing w:after="0" w:line="301" w:lineRule="auto"/>
        <w:rPr>
          <w:sz w:val="20"/>
          <w:szCs w:val="20"/>
          <w:color w:val="auto"/>
        </w:rPr>
      </w:pPr>
      <w:r>
        <w:rPr>
          <w:rFonts w:ascii="Arial" w:cs="Arial" w:eastAsia="Arial" w:hAnsi="Arial"/>
          <w:sz w:val="18"/>
          <w:szCs w:val="18"/>
          <w:color w:val="auto"/>
        </w:rPr>
        <w:t>A sponsor that wishes to conduct a clinical trial outside of the United States may, but need not, obtain FDA authorization to conduct the clinical trial under an IND. If a foreign clinical trial is not conducted under an IND, the FDA may nevertheless accept the results of the study in support of an NDA if the study was conducted in accordance with GCP</w:t>
      </w:r>
    </w:p>
    <w:p>
      <w:pPr>
        <w:sectPr>
          <w:pgSz w:w="12240" w:h="15840" w:orient="portrait"/>
          <w:cols w:equalWidth="0" w:num="1">
            <w:col w:w="10120"/>
          </w:cols>
          <w:pgMar w:left="1000" w:top="1075" w:right="1120" w:bottom="210" w:gutter="0" w:footer="0" w:header="0"/>
        </w:sect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0120"/>
          </w:cols>
          <w:pgMar w:left="1000" w:top="1075" w:right="1120" w:bottom="210" w:gutter="0" w:footer="0" w:header="0"/>
          <w:type w:val="continuous"/>
        </w:sectPr>
      </w:pPr>
    </w:p>
    <w:bookmarkStart w:id="23" w:name="page24"/>
    <w:bookmarkEnd w:id="23"/>
    <w:p>
      <w:pPr>
        <w:ind w:right="620"/>
        <w:spacing w:after="0" w:line="277" w:lineRule="auto"/>
        <w:rPr>
          <w:sz w:val="20"/>
          <w:szCs w:val="20"/>
          <w:color w:val="auto"/>
        </w:rPr>
      </w:pPr>
      <w:r>
        <w:rPr>
          <w:rFonts w:ascii="Arial" w:cs="Arial" w:eastAsia="Arial" w:hAnsi="Arial"/>
          <w:sz w:val="20"/>
          <w:szCs w:val="20"/>
          <w:color w:val="auto"/>
        </w:rPr>
        <w:t>requirements, and the FDA is able to validate the data through independent analysis and an onsite inspection if deemed necessary.</w:t>
      </w:r>
    </w:p>
    <w:p>
      <w:pPr>
        <w:spacing w:after="0" w:line="169" w:lineRule="exact"/>
        <w:rPr>
          <w:sz w:val="20"/>
          <w:szCs w:val="20"/>
          <w:color w:val="auto"/>
        </w:rPr>
      </w:pPr>
    </w:p>
    <w:p>
      <w:pPr>
        <w:ind w:right="280" w:firstLine="563"/>
        <w:spacing w:after="0" w:line="278" w:lineRule="auto"/>
        <w:rPr>
          <w:sz w:val="20"/>
          <w:szCs w:val="20"/>
          <w:color w:val="auto"/>
        </w:rPr>
      </w:pPr>
      <w:r>
        <w:rPr>
          <w:rFonts w:ascii="Arial" w:cs="Arial" w:eastAsia="Arial" w:hAnsi="Arial"/>
          <w:sz w:val="20"/>
          <w:szCs w:val="20"/>
          <w:color w:val="auto"/>
        </w:rPr>
        <w:t>Clinical trials to evaluate therapeutic indications to support NDAs for marketing approval are typically conducted in three sequential phases, which may overlap or be combined.</w:t>
      </w:r>
    </w:p>
    <w:p>
      <w:pPr>
        <w:spacing w:after="0" w:line="61" w:lineRule="exact"/>
        <w:rPr>
          <w:sz w:val="20"/>
          <w:szCs w:val="20"/>
          <w:color w:val="auto"/>
        </w:rPr>
      </w:pPr>
    </w:p>
    <w:p>
      <w:pPr>
        <w:ind w:left="980" w:right="60" w:hanging="482"/>
        <w:spacing w:after="0" w:line="270" w:lineRule="auto"/>
        <w:tabs>
          <w:tab w:leader="none" w:pos="980"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Phase 1 </w:t>
      </w:r>
      <w:r>
        <w:rPr>
          <w:rFonts w:ascii="Arial" w:cs="Arial" w:eastAsia="Arial" w:hAnsi="Arial"/>
          <w:sz w:val="19"/>
          <w:szCs w:val="19"/>
          <w:color w:val="auto"/>
        </w:rPr>
        <w:t>— Phase 1 clinical trials involve initial introduction of the investigational product in a limited population</w:t>
      </w:r>
      <w:r>
        <w:rPr>
          <w:rFonts w:ascii="Arial" w:cs="Arial" w:eastAsia="Arial" w:hAnsi="Arial"/>
          <w:sz w:val="19"/>
          <w:szCs w:val="19"/>
          <w:i w:val="1"/>
          <w:iCs w:val="1"/>
          <w:color w:val="auto"/>
        </w:rPr>
        <w:t xml:space="preserve"> </w:t>
      </w:r>
      <w:r>
        <w:rPr>
          <w:rFonts w:ascii="Arial" w:cs="Arial" w:eastAsia="Arial" w:hAnsi="Arial"/>
          <w:sz w:val="19"/>
          <w:szCs w:val="19"/>
          <w:color w:val="auto"/>
        </w:rPr>
        <w:t>of healthy human volunteers or patients with the target disease or condition. These studies are typically designed to test the safety, dosage tolerance, absorption, metabolism, distribution, and excretion of the investigational product in humans, and, if possible, to gain early evidence of effectiveness.</w:t>
      </w:r>
    </w:p>
    <w:p>
      <w:pPr>
        <w:spacing w:after="0" w:line="71" w:lineRule="exact"/>
        <w:rPr>
          <w:rFonts w:ascii="Arial" w:cs="Arial" w:eastAsia="Arial" w:hAnsi="Arial"/>
          <w:sz w:val="19"/>
          <w:szCs w:val="19"/>
          <w:color w:val="auto"/>
        </w:rPr>
      </w:pPr>
    </w:p>
    <w:p>
      <w:pPr>
        <w:ind w:left="980" w:right="120" w:hanging="482"/>
        <w:spacing w:after="0" w:line="30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patient population with a specified disease or condition to evaluate the drug’s potential efficacy, to determine the optimal dosages and dosing schedule and to identify possible adverse side effects and safety risks.</w:t>
      </w:r>
    </w:p>
    <w:p>
      <w:pPr>
        <w:spacing w:after="0" w:line="48" w:lineRule="exact"/>
        <w:rPr>
          <w:rFonts w:ascii="Arial" w:cs="Arial" w:eastAsia="Arial" w:hAnsi="Arial"/>
          <w:sz w:val="18"/>
          <w:szCs w:val="18"/>
          <w:color w:val="auto"/>
        </w:rPr>
      </w:pPr>
    </w:p>
    <w:p>
      <w:pPr>
        <w:ind w:left="980" w:right="20" w:hanging="482"/>
        <w:spacing w:after="0" w:line="247" w:lineRule="auto"/>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 xml:space="preserve">Phase 3 </w:t>
      </w:r>
      <w:r>
        <w:rPr>
          <w:rFonts w:ascii="Arial" w:cs="Arial" w:eastAsia="Arial" w:hAnsi="Arial"/>
          <w:sz w:val="20"/>
          <w:szCs w:val="20"/>
          <w:color w:val="auto"/>
        </w:rPr>
        <w:t>— Phase 3 clinical trials typically involve administration of the investigational product to an expanded</w:t>
      </w:r>
      <w:r>
        <w:rPr>
          <w:rFonts w:ascii="Arial" w:cs="Arial" w:eastAsia="Arial" w:hAnsi="Arial"/>
          <w:sz w:val="20"/>
          <w:szCs w:val="20"/>
          <w:i w:val="1"/>
          <w:iCs w:val="1"/>
          <w:color w:val="auto"/>
        </w:rPr>
        <w:t xml:space="preserve"> </w:t>
      </w:r>
      <w:r>
        <w:rPr>
          <w:rFonts w:ascii="Arial" w:cs="Arial" w:eastAsia="Arial" w:hAnsi="Arial"/>
          <w:sz w:val="20"/>
          <w:szCs w:val="20"/>
          <w:color w:val="auto"/>
        </w:rPr>
        <w:t>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profile of the investigational product and to provide an adequate basis for product approval and physician labeling. Generally, two adequate and well-controlled Phase 3 trials are required by the FDA for approval of an NDA.</w:t>
      </w:r>
    </w:p>
    <w:p>
      <w:pPr>
        <w:spacing w:after="0" w:line="200" w:lineRule="exact"/>
        <w:rPr>
          <w:sz w:val="20"/>
          <w:szCs w:val="20"/>
          <w:color w:val="auto"/>
        </w:rPr>
      </w:pPr>
    </w:p>
    <w:p>
      <w:pPr>
        <w:ind w:right="100" w:firstLine="563"/>
        <w:spacing w:after="0" w:line="258" w:lineRule="auto"/>
        <w:rPr>
          <w:sz w:val="20"/>
          <w:szCs w:val="20"/>
          <w:color w:val="auto"/>
        </w:rPr>
      </w:pPr>
      <w:r>
        <w:rPr>
          <w:rFonts w:ascii="Arial" w:cs="Arial" w:eastAsia="Arial" w:hAnsi="Arial"/>
          <w:sz w:val="20"/>
          <w:szCs w:val="20"/>
          <w:color w:val="auto"/>
        </w:rPr>
        <w:t>In 2023, we received FDA clearances of our IND applications for vopimetostat and TNG260 to initiate Phase 1/2 clinical trials for each product candidate. In 2025, we received clearance of our IND application for TNG456 to initiate Phase 1/2 clinical trials for this product candidate.</w:t>
      </w:r>
    </w:p>
    <w:p>
      <w:pPr>
        <w:spacing w:after="0" w:line="188" w:lineRule="exact"/>
        <w:rPr>
          <w:sz w:val="20"/>
          <w:szCs w:val="20"/>
          <w:color w:val="auto"/>
        </w:rPr>
      </w:pPr>
    </w:p>
    <w:p>
      <w:pPr>
        <w:ind w:right="120" w:firstLine="563"/>
        <w:spacing w:after="0" w:line="280" w:lineRule="auto"/>
        <w:rPr>
          <w:sz w:val="20"/>
          <w:szCs w:val="20"/>
          <w:color w:val="auto"/>
        </w:rPr>
      </w:pPr>
      <w:r>
        <w:rPr>
          <w:rFonts w:ascii="Arial" w:cs="Arial" w:eastAsia="Arial" w:hAnsi="Arial"/>
          <w:sz w:val="18"/>
          <w:szCs w:val="18"/>
          <w:color w:val="auto"/>
        </w:rPr>
        <w:t>In March 2022, the FDA released final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w:t>
      </w:r>
      <w:r>
        <w:rPr>
          <w:rFonts w:ascii="Arial" w:cs="Arial" w:eastAsia="Arial" w:hAnsi="Arial"/>
          <w:sz w:val="18"/>
          <w:szCs w:val="18"/>
          <w:i w:val="1"/>
          <w:iCs w:val="1"/>
          <w:color w:val="auto"/>
        </w:rPr>
        <w:t>i.e.</w:t>
      </w:r>
      <w:r>
        <w:rPr>
          <w:rFonts w:ascii="Arial" w:cs="Arial" w:eastAsia="Arial" w:hAnsi="Arial"/>
          <w:sz w:val="18"/>
          <w:szCs w:val="18"/>
          <w:color w:val="auto"/>
        </w:rPr>
        <w:t>,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p>
    <w:p>
      <w:pPr>
        <w:spacing w:after="0" w:line="171" w:lineRule="exact"/>
        <w:rPr>
          <w:sz w:val="20"/>
          <w:szCs w:val="20"/>
          <w:color w:val="auto"/>
        </w:rPr>
      </w:pPr>
    </w:p>
    <w:p>
      <w:pPr>
        <w:ind w:right="140" w:firstLine="563"/>
        <w:spacing w:after="0" w:line="289" w:lineRule="auto"/>
        <w:rPr>
          <w:sz w:val="20"/>
          <w:szCs w:val="20"/>
          <w:color w:val="auto"/>
        </w:rPr>
      </w:pPr>
      <w:r>
        <w:rPr>
          <w:rFonts w:ascii="Arial" w:cs="Arial" w:eastAsia="Arial" w:hAnsi="Arial"/>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63" w:lineRule="exact"/>
        <w:rPr>
          <w:sz w:val="20"/>
          <w:szCs w:val="20"/>
          <w:color w:val="auto"/>
        </w:rPr>
      </w:pPr>
    </w:p>
    <w:p>
      <w:pPr>
        <w:ind w:firstLine="563"/>
        <w:spacing w:after="0" w:line="261" w:lineRule="auto"/>
        <w:rPr>
          <w:sz w:val="20"/>
          <w:szCs w:val="20"/>
          <w:color w:val="auto"/>
        </w:rPr>
      </w:pPr>
      <w:r>
        <w:rPr>
          <w:rFonts w:ascii="Arial" w:cs="Arial" w:eastAsia="Arial" w:hAnsi="Arial"/>
          <w:sz w:val="19"/>
          <w:szCs w:val="19"/>
          <w:color w:val="auto"/>
        </w:rPr>
        <w:t>Progress reports detailing the results of clinical trials, among other information related to development under an IND, must be submitted at least annually to the FDA. Written IND safety reports must be submitted to the FDA and investigators within 15 days to report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6" w:lineRule="exact"/>
        <w:rPr>
          <w:sz w:val="20"/>
          <w:szCs w:val="20"/>
          <w:color w:val="auto"/>
        </w:rPr>
      </w:pPr>
    </w:p>
    <w:p>
      <w:pPr>
        <w:ind w:right="60" w:firstLine="563"/>
        <w:spacing w:after="0" w:line="261" w:lineRule="auto"/>
        <w:rPr>
          <w:sz w:val="20"/>
          <w:szCs w:val="20"/>
          <w:color w:val="auto"/>
        </w:rPr>
      </w:pPr>
      <w:r>
        <w:rPr>
          <w:rFonts w:ascii="Arial" w:cs="Arial" w:eastAsia="Arial" w:hAnsi="Arial"/>
          <w:sz w:val="19"/>
          <w:szCs w:val="19"/>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marketing approval for drugs</w:t>
      </w:r>
    </w:p>
    <w:p>
      <w:pPr>
        <w:spacing w:after="0" w:line="240" w:lineRule="exact"/>
        <w:rPr>
          <w:sz w:val="20"/>
          <w:szCs w:val="20"/>
          <w:color w:val="auto"/>
        </w:rPr>
      </w:pPr>
    </w:p>
    <w:p>
      <w:pPr>
        <w:ind w:firstLine="563"/>
        <w:spacing w:after="0" w:line="289"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manufacturing, and controls and proposed labeling, among other things, are submitted to the FDA as part of an NDA package requesting approval to market the product for one or more indications. An NDA must contain data supporting the drug’s safety and efficacy for the requested indications and must</w:t>
      </w:r>
    </w:p>
    <w:p>
      <w:pPr>
        <w:sectPr>
          <w:pgSz w:w="12240" w:h="15840" w:orient="portrait"/>
          <w:cols w:equalWidth="0" w:num="1">
            <w:col w:w="10140"/>
          </w:cols>
          <w:pgMar w:left="1000" w:top="1060" w:right="1100" w:bottom="21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0140"/>
          </w:cols>
          <w:pgMar w:left="1000" w:top="1060" w:right="1100" w:bottom="210" w:gutter="0" w:footer="0" w:header="0"/>
          <w:type w:val="continuous"/>
        </w:sectPr>
      </w:pPr>
    </w:p>
    <w:bookmarkStart w:id="24" w:name="page25"/>
    <w:bookmarkEnd w:id="24"/>
    <w:p>
      <w:pPr>
        <w:ind w:right="140"/>
        <w:spacing w:after="0" w:line="265" w:lineRule="auto"/>
        <w:rPr>
          <w:sz w:val="20"/>
          <w:szCs w:val="20"/>
          <w:color w:val="auto"/>
        </w:rPr>
      </w:pPr>
      <w:r>
        <w:rPr>
          <w:rFonts w:ascii="Arial" w:cs="Arial" w:eastAsia="Arial" w:hAnsi="Arial"/>
          <w:sz w:val="19"/>
          <w:szCs w:val="19"/>
          <w:color w:val="auto"/>
        </w:rPr>
        <w:t>include both negative and ambiguous results of preclinical studies and clinical trials, as well as positive findings. Data may come from company-sponsored clinical trials intended to test the safety and efficacy of the product candidate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83" w:lineRule="exact"/>
        <w:rPr>
          <w:sz w:val="20"/>
          <w:szCs w:val="20"/>
          <w:color w:val="auto"/>
        </w:rPr>
      </w:pPr>
    </w:p>
    <w:p>
      <w:pPr>
        <w:ind w:right="60" w:firstLine="563"/>
        <w:spacing w:after="0" w:line="272" w:lineRule="auto"/>
        <w:rPr>
          <w:sz w:val="20"/>
          <w:szCs w:val="20"/>
          <w:color w:val="auto"/>
        </w:rPr>
      </w:pPr>
      <w:r>
        <w:rPr>
          <w:rFonts w:ascii="Arial" w:cs="Arial" w:eastAsia="Arial" w:hAnsi="Arial"/>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application fee.</w:t>
      </w:r>
    </w:p>
    <w:p>
      <w:pPr>
        <w:spacing w:after="0" w:line="185" w:lineRule="exact"/>
        <w:rPr>
          <w:sz w:val="20"/>
          <w:szCs w:val="20"/>
          <w:color w:val="auto"/>
        </w:rPr>
      </w:pPr>
    </w:p>
    <w:p>
      <w:pPr>
        <w:ind w:right="100" w:firstLine="563"/>
        <w:spacing w:after="0" w:line="289" w:lineRule="auto"/>
        <w:rPr>
          <w:sz w:val="20"/>
          <w:szCs w:val="20"/>
          <w:color w:val="auto"/>
        </w:rPr>
      </w:pPr>
      <w:r>
        <w:rPr>
          <w:rFonts w:ascii="Arial" w:cs="Arial" w:eastAsia="Arial" w:hAnsi="Arial"/>
          <w:sz w:val="18"/>
          <w:szCs w:val="18"/>
          <w:color w:val="auto"/>
        </w:rPr>
        <w:t>The FDA also may require submission of a Risk Evaluation and Mitigation Strategy, or REMS, if it believes such a strategy is necessary to ensure that the benefits of the drug outweigh its risks. A REMS can include use of risk evaluation and mitigation strategies such as medication guides, physician communication plans, assessment plans, and/or elements to assure safe use, such as restricted distribution methods, patient registries, special monitoring or other risk-minimization tools.</w:t>
      </w:r>
    </w:p>
    <w:p>
      <w:pPr>
        <w:spacing w:after="0" w:line="163" w:lineRule="exact"/>
        <w:rPr>
          <w:sz w:val="20"/>
          <w:szCs w:val="20"/>
          <w:color w:val="auto"/>
        </w:rPr>
      </w:pPr>
    </w:p>
    <w:p>
      <w:pPr>
        <w:ind w:right="80" w:firstLine="563"/>
        <w:spacing w:after="0" w:line="249" w:lineRule="auto"/>
        <w:rPr>
          <w:sz w:val="20"/>
          <w:szCs w:val="20"/>
          <w:color w:val="auto"/>
        </w:rPr>
      </w:pPr>
      <w:r>
        <w:rPr>
          <w:rFonts w:ascii="Arial" w:cs="Arial" w:eastAsia="Arial" w:hAnsi="Arial"/>
          <w:sz w:val="20"/>
          <w:szCs w:val="20"/>
          <w:color w:val="auto"/>
        </w:rPr>
        <w:t>The FDA may refer an application for a novel drug to an advisory committee. An advisory committee is a panel of independent experts, including clinicians and other scientific experts, which reviews, evaluates and provides advice requested by the FDA, including in some cases a recommendation as to whether the application should be approved and under what conditions. The FDA is not bound by the recommendations of an advisory committee, but it considers such recommendations carefully when making decisions.</w:t>
      </w:r>
    </w:p>
    <w:p>
      <w:pPr>
        <w:spacing w:after="0" w:line="197" w:lineRule="exact"/>
        <w:rPr>
          <w:sz w:val="20"/>
          <w:szCs w:val="20"/>
          <w:color w:val="auto"/>
        </w:rPr>
      </w:pPr>
    </w:p>
    <w:p>
      <w:pPr>
        <w:ind w:right="180" w:firstLine="563"/>
        <w:spacing w:after="0" w:line="249" w:lineRule="auto"/>
        <w:rPr>
          <w:sz w:val="20"/>
          <w:szCs w:val="20"/>
          <w:color w:val="auto"/>
        </w:rPr>
      </w:pPr>
      <w:r>
        <w:rPr>
          <w:rFonts w:ascii="Arial" w:cs="Arial" w:eastAsia="Arial" w:hAnsi="Arial"/>
          <w:sz w:val="20"/>
          <w:szCs w:val="20"/>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the integrity of the clinical data submitted to the FDA.</w:t>
      </w:r>
    </w:p>
    <w:p>
      <w:pPr>
        <w:spacing w:after="0" w:line="197" w:lineRule="exact"/>
        <w:rPr>
          <w:sz w:val="20"/>
          <w:szCs w:val="20"/>
          <w:color w:val="auto"/>
        </w:rPr>
      </w:pPr>
    </w:p>
    <w:p>
      <w:pPr>
        <w:ind w:right="100" w:firstLine="563"/>
        <w:spacing w:after="0" w:line="274" w:lineRule="auto"/>
        <w:rPr>
          <w:sz w:val="20"/>
          <w:szCs w:val="20"/>
          <w:color w:val="auto"/>
        </w:rPr>
      </w:pPr>
      <w:r>
        <w:rPr>
          <w:rFonts w:ascii="Arial" w:cs="Arial" w:eastAsia="Arial" w:hAnsi="Arial"/>
          <w:sz w:val="18"/>
          <w:szCs w:val="18"/>
          <w:color w:val="auto"/>
        </w:rPr>
        <w:t>After evaluating the NDA and all related information, including an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states specific conditions that must be met in order to secure final approval of the NDA. The FDA may require additional clinical or preclinical testing or recommend other actions, such as requests for additional information or clarification, that the applicant might take in order to resubmit the NDA for FDA reconsideration. Even with a submission that includes this additional information, the FDA ultimately may decide that the application does not satisfy the regulatory criteria for approval. If and when those criteria have been met to the FDA’s satisfaction, the FDA will typically issue an approval letter. An approval letter authorizes commercial marketing of the product with specific prescribing information for one or more indications.</w:t>
      </w:r>
    </w:p>
    <w:p>
      <w:pPr>
        <w:spacing w:after="0" w:line="177" w:lineRule="exact"/>
        <w:rPr>
          <w:sz w:val="20"/>
          <w:szCs w:val="20"/>
          <w:color w:val="auto"/>
        </w:rPr>
      </w:pPr>
    </w:p>
    <w:p>
      <w:pPr>
        <w:ind w:firstLine="563"/>
        <w:spacing w:after="0" w:line="244" w:lineRule="auto"/>
        <w:rPr>
          <w:sz w:val="20"/>
          <w:szCs w:val="20"/>
          <w:color w:val="auto"/>
        </w:rPr>
      </w:pPr>
      <w:r>
        <w:rPr>
          <w:rFonts w:ascii="Arial" w:cs="Arial" w:eastAsia="Arial" w:hAnsi="Arial"/>
          <w:sz w:val="20"/>
          <w:szCs w:val="20"/>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post-approval studies or surveillance programs. Some types of changes to the approved product, such as adding new indications, certain manufacturing changes, and additional labeling claims, are subject to further testing requirements and FDA review and approval of a supplemental application.</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0140"/>
          </w:cols>
          <w:pgMar w:left="1000" w:top="1060" w:right="1100" w:bottom="21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239" w:lineRule="exact"/>
        <w:rPr>
          <w:sz w:val="20"/>
          <w:szCs w:val="20"/>
          <w:color w:val="auto"/>
        </w:rPr>
      </w:pPr>
    </w:p>
    <w:p>
      <w:pPr>
        <w:ind w:right="20" w:firstLine="563"/>
        <w:spacing w:after="0" w:line="259" w:lineRule="auto"/>
        <w:rPr>
          <w:sz w:val="20"/>
          <w:szCs w:val="20"/>
          <w:color w:val="auto"/>
        </w:rPr>
      </w:pPr>
      <w:r>
        <w:rPr>
          <w:rFonts w:ascii="Arial" w:cs="Arial" w:eastAsia="Arial" w:hAnsi="Arial"/>
          <w:sz w:val="19"/>
          <w:szCs w:val="19"/>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188" w:lineRule="exact"/>
        <w:rPr>
          <w:sz w:val="20"/>
          <w:szCs w:val="20"/>
          <w:color w:val="auto"/>
        </w:rPr>
      </w:pPr>
    </w:p>
    <w:p>
      <w:pPr>
        <w:ind w:right="100" w:firstLine="563"/>
        <w:spacing w:after="0" w:line="243" w:lineRule="auto"/>
        <w:rPr>
          <w:sz w:val="20"/>
          <w:szCs w:val="20"/>
          <w:color w:val="auto"/>
        </w:rPr>
      </w:pPr>
      <w:r>
        <w:rPr>
          <w:rFonts w:ascii="Arial" w:cs="Arial" w:eastAsia="Arial" w:hAnsi="Arial"/>
          <w:sz w:val="20"/>
          <w:szCs w:val="20"/>
          <w:color w:val="auto"/>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drug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drugs for the indication for which the orphan product has exclusivity or obtain approval for the same drug for a different indication than that for which the orphan product has exclusivity. Orphan drug exclusivity could block the approval of one of our product candidates for seven years if a competitor obtains approval for the same drug for the same indication before we do, unless we are able to demonstrate that our product candidate is clinically superior. If an orphan designated product receives marketing approval for an indication broader than its designation, it may not be entitled to orphan exclusivity.</w:t>
      </w:r>
    </w:p>
    <w:p>
      <w:pPr>
        <w:spacing w:after="0" w:line="209" w:lineRule="exact"/>
        <w:rPr>
          <w:sz w:val="20"/>
          <w:szCs w:val="20"/>
          <w:color w:val="auto"/>
        </w:rPr>
      </w:pPr>
    </w:p>
    <w:p>
      <w:pPr>
        <w:ind w:right="480" w:firstLine="563"/>
        <w:spacing w:after="0" w:line="277" w:lineRule="auto"/>
        <w:rPr>
          <w:sz w:val="20"/>
          <w:szCs w:val="20"/>
          <w:color w:val="auto"/>
        </w:rPr>
      </w:pPr>
      <w:r>
        <w:rPr>
          <w:rFonts w:ascii="Arial" w:cs="Arial" w:eastAsia="Arial" w:hAnsi="Arial"/>
          <w:sz w:val="20"/>
          <w:szCs w:val="20"/>
          <w:color w:val="auto"/>
        </w:rPr>
        <w:t>The FDA has granted orphan drug designation to vopimetostat for the treatment of soft tissue sarcoma and for the treatment of pancreatic cancer, and to TNG456 for the treatment of malignant glioma.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Expedited development and review programs for drugs</w:t>
      </w:r>
    </w:p>
    <w:p>
      <w:pPr>
        <w:spacing w:after="0" w:line="240" w:lineRule="exact"/>
        <w:rPr>
          <w:sz w:val="20"/>
          <w:szCs w:val="20"/>
          <w:color w:val="auto"/>
        </w:rPr>
      </w:pPr>
    </w:p>
    <w:p>
      <w:pPr>
        <w:ind w:right="100" w:firstLine="563"/>
        <w:spacing w:after="0" w:line="289" w:lineRule="auto"/>
        <w:rPr>
          <w:sz w:val="20"/>
          <w:szCs w:val="20"/>
          <w:color w:val="auto"/>
        </w:rPr>
      </w:pPr>
      <w:r>
        <w:rPr>
          <w:rFonts w:ascii="Arial" w:cs="Arial" w:eastAsia="Arial" w:hAnsi="Arial"/>
          <w:sz w:val="18"/>
          <w:szCs w:val="18"/>
          <w:color w:val="auto"/>
        </w:rPr>
        <w:t>The FDA has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the purpose of these programs is to get important new drugs to patients more quickly than standard FDA review timelines typically permit.</w:t>
      </w:r>
    </w:p>
    <w:p>
      <w:pPr>
        <w:spacing w:after="0" w:line="162" w:lineRule="exact"/>
        <w:rPr>
          <w:sz w:val="20"/>
          <w:szCs w:val="20"/>
          <w:color w:val="auto"/>
        </w:rPr>
      </w:pPr>
    </w:p>
    <w:p>
      <w:pPr>
        <w:ind w:firstLine="563"/>
        <w:spacing w:after="0" w:line="257" w:lineRule="auto"/>
        <w:rPr>
          <w:sz w:val="20"/>
          <w:szCs w:val="20"/>
          <w:color w:val="auto"/>
        </w:rPr>
      </w:pPr>
      <w:r>
        <w:rPr>
          <w:rFonts w:ascii="Arial" w:cs="Arial" w:eastAsia="Arial" w:hAnsi="Arial"/>
          <w:sz w:val="19"/>
          <w:szCs w:val="19"/>
          <w:color w:val="auto"/>
        </w:rPr>
        <w:t xml:space="preserve">A product candidate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2023, the FDA granted Fast Track designation to vopimetostat for previously treated, locally advanced, and unresectable or metastatic MTAP-deleted solid tumors, and to </w:t>
      </w:r>
      <w:r>
        <w:rPr>
          <w:rFonts w:ascii="Arial" w:cs="Arial" w:eastAsia="Arial" w:hAnsi="Arial"/>
          <w:sz w:val="18"/>
          <w:szCs w:val="18"/>
          <w:color w:val="auto"/>
        </w:rPr>
        <w:t>TNG260 in combination with an anti-PD-1 antibody for the treatment of patients with</w:t>
      </w:r>
      <w:r>
        <w:rPr>
          <w:rFonts w:ascii="Arial" w:cs="Arial" w:eastAsia="Arial" w:hAnsi="Arial"/>
          <w:sz w:val="19"/>
          <w:szCs w:val="19"/>
          <w:color w:val="auto"/>
        </w:rPr>
        <w:t xml:space="preserve"> </w:t>
      </w:r>
      <w:r>
        <w:rPr>
          <w:rFonts w:ascii="Arial" w:cs="Arial" w:eastAsia="Arial" w:hAnsi="Arial"/>
          <w:sz w:val="18"/>
          <w:szCs w:val="18"/>
          <w:color w:val="auto"/>
        </w:rPr>
        <w:t xml:space="preserve">previously treated, advanced (metastatic or locally advanced and not amenable to curative intent therapy) NSCLC with STK-11 mutations. In February 2025, </w:t>
      </w:r>
      <w:r>
        <w:rPr>
          <w:rFonts w:ascii="Arial" w:cs="Arial" w:eastAsia="Arial" w:hAnsi="Arial"/>
          <w:sz w:val="19"/>
          <w:szCs w:val="19"/>
          <w:color w:val="auto"/>
        </w:rPr>
        <w:t>the FDA granted Fast Track designation to TNG456 as a single agent, for the treatment of</w:t>
      </w:r>
      <w:r>
        <w:rPr>
          <w:rFonts w:ascii="Arial" w:cs="Arial" w:eastAsia="Arial" w:hAnsi="Arial"/>
          <w:sz w:val="18"/>
          <w:szCs w:val="18"/>
          <w:color w:val="auto"/>
        </w:rPr>
        <w:t xml:space="preserve"> </w:t>
      </w:r>
      <w:r>
        <w:rPr>
          <w:rFonts w:ascii="Arial" w:cs="Arial" w:eastAsia="Arial" w:hAnsi="Arial"/>
          <w:sz w:val="19"/>
          <w:szCs w:val="19"/>
          <w:color w:val="auto"/>
        </w:rPr>
        <w:t>patients with locally advanced or metastatic solid tumors with MTAP loss, and in combination with abemaciclib, for the treatment of patients with locally advanced or metastatic NSCLC with MTAP loss.</w:t>
      </w:r>
    </w:p>
    <w:p>
      <w:pPr>
        <w:spacing w:after="0" w:line="192" w:lineRule="exact"/>
        <w:rPr>
          <w:sz w:val="20"/>
          <w:szCs w:val="20"/>
          <w:color w:val="auto"/>
        </w:rPr>
      </w:pPr>
    </w:p>
    <w:p>
      <w:pPr>
        <w:ind w:right="20" w:firstLine="563"/>
        <w:spacing w:after="0" w:line="283" w:lineRule="auto"/>
        <w:rPr>
          <w:sz w:val="20"/>
          <w:szCs w:val="20"/>
          <w:color w:val="auto"/>
        </w:rPr>
      </w:pPr>
      <w:r>
        <w:rPr>
          <w:rFonts w:ascii="Arial" w:cs="Arial" w:eastAsia="Arial" w:hAnsi="Arial"/>
          <w:sz w:val="18"/>
          <w:szCs w:val="18"/>
          <w:color w:val="auto"/>
        </w:rPr>
        <w:t>In addition, a product candidate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as well as more intensive FDA interaction and guidance.</w:t>
      </w:r>
    </w:p>
    <w:p>
      <w:pPr>
        <w:spacing w:after="0" w:line="169" w:lineRule="exact"/>
        <w:rPr>
          <w:sz w:val="20"/>
          <w:szCs w:val="20"/>
          <w:color w:val="auto"/>
        </w:rPr>
      </w:pPr>
    </w:p>
    <w:p>
      <w:pPr>
        <w:ind w:right="80" w:firstLine="563"/>
        <w:spacing w:after="0" w:line="280" w:lineRule="auto"/>
        <w:rPr>
          <w:sz w:val="20"/>
          <w:szCs w:val="20"/>
          <w:color w:val="auto"/>
        </w:rPr>
      </w:pPr>
      <w:r>
        <w:rPr>
          <w:rFonts w:ascii="Arial" w:cs="Arial" w:eastAsia="Arial" w:hAnsi="Arial"/>
          <w:sz w:val="18"/>
          <w:szCs w:val="18"/>
          <w:color w:val="auto"/>
        </w:rPr>
        <w:t>Products with Fast Track or Breakthrough Therapy designation may also be eligible for additional FDA programs intended to expedite the review and approval process, including priority review and accelerated approval. Any product submitted to the FDA for approval that has the potential to provide a significant improvement in safety or effectiveness in the treatment, diagnosis or prevention of a serious disease or condition may be eligible for priority review. Under priority review, the FDA’s PDUFA goal date to take action on an NDA is six months from filing, compared to ten months from filing for a standard review. Products are eligible for accelerated approval if they can be shown to have an effect on a surrogate endpoint</w:t>
      </w:r>
    </w:p>
    <w:p>
      <w:pPr>
        <w:sectPr>
          <w:pgSz w:w="12240" w:h="15840" w:orient="portrait"/>
          <w:cols w:equalWidth="0" w:num="1">
            <w:col w:w="10140"/>
          </w:cols>
          <w:pgMar w:left="1000" w:top="1060" w:right="1100" w:bottom="21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10140"/>
          </w:cols>
          <w:pgMar w:left="1000" w:top="1060" w:right="1100" w:bottom="210" w:gutter="0" w:footer="0" w:header="0"/>
          <w:type w:val="continuous"/>
        </w:sectPr>
      </w:pPr>
    </w:p>
    <w:bookmarkStart w:id="26" w:name="page27"/>
    <w:bookmarkEnd w:id="26"/>
    <w:p>
      <w:pPr>
        <w:ind w:right="40"/>
        <w:spacing w:after="0" w:line="252" w:lineRule="auto"/>
        <w:rPr>
          <w:sz w:val="20"/>
          <w:szCs w:val="20"/>
          <w:color w:val="auto"/>
        </w:rPr>
      </w:pPr>
      <w:r>
        <w:rPr>
          <w:rFonts w:ascii="Arial" w:cs="Arial" w:eastAsia="Arial" w:hAnsi="Arial"/>
          <w:sz w:val="20"/>
          <w:szCs w:val="20"/>
          <w:color w:val="auto"/>
        </w:rPr>
        <w:t>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2" w:lineRule="exact"/>
        <w:rPr>
          <w:sz w:val="20"/>
          <w:szCs w:val="20"/>
          <w:color w:val="auto"/>
        </w:rPr>
      </w:pPr>
    </w:p>
    <w:p>
      <w:pPr>
        <w:ind w:right="140" w:firstLine="563"/>
        <w:spacing w:after="0" w:line="248" w:lineRule="auto"/>
        <w:rPr>
          <w:sz w:val="20"/>
          <w:szCs w:val="20"/>
          <w:color w:val="auto"/>
        </w:rPr>
      </w:pPr>
      <w:r>
        <w:rPr>
          <w:rFonts w:ascii="Arial" w:cs="Arial" w:eastAsia="Arial" w:hAnsi="Arial"/>
          <w:sz w:val="20"/>
          <w:szCs w:val="20"/>
          <w:color w:val="auto"/>
        </w:rPr>
        <w:t>Accelerated approval is generally contingent on a sponsor’s agreement to conduct, in a diligent manner, adequate and well-controlled post-approval confirmatory studies to verify and describe the product’s clinical benefit and, under the Food and Drug Omnibus Reform Act of 2022, or FDORA, the FDA may require, as appropriate, that such trials be underway prior to approval. Under FDORA, the FDA has increased authority for expedited procedures to withdraw approval of a drug or an indication approved under accelerated approval if, for example, the confirmatory trial fails to verify the predicted clinical benefit of the product.</w:t>
      </w:r>
    </w:p>
    <w:p>
      <w:pPr>
        <w:spacing w:after="0" w:line="195" w:lineRule="exact"/>
        <w:rPr>
          <w:sz w:val="20"/>
          <w:szCs w:val="20"/>
          <w:color w:val="auto"/>
        </w:rPr>
      </w:pPr>
    </w:p>
    <w:p>
      <w:pPr>
        <w:ind w:firstLine="563"/>
        <w:spacing w:after="0" w:line="252" w:lineRule="auto"/>
        <w:rPr>
          <w:sz w:val="20"/>
          <w:szCs w:val="20"/>
          <w:color w:val="auto"/>
        </w:rPr>
      </w:pPr>
      <w:r>
        <w:rPr>
          <w:rFonts w:ascii="Arial" w:cs="Arial" w:eastAsia="Arial" w:hAnsi="Arial"/>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Pediatric information and pediatric exclusivity</w:t>
      </w:r>
    </w:p>
    <w:p>
      <w:pPr>
        <w:spacing w:after="0" w:line="240" w:lineRule="exact"/>
        <w:rPr>
          <w:sz w:val="20"/>
          <w:szCs w:val="20"/>
          <w:color w:val="auto"/>
        </w:rPr>
      </w:pPr>
    </w:p>
    <w:p>
      <w:pPr>
        <w:ind w:firstLine="563"/>
        <w:spacing w:after="0" w:line="271" w:lineRule="auto"/>
        <w:rPr>
          <w:sz w:val="20"/>
          <w:szCs w:val="20"/>
          <w:color w:val="auto"/>
        </w:rPr>
      </w:pPr>
      <w:r>
        <w:rPr>
          <w:rFonts w:ascii="Arial" w:cs="Arial" w:eastAsia="Arial" w:hAnsi="Arial"/>
          <w:sz w:val="18"/>
          <w:szCs w:val="18"/>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PREA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84" w:lineRule="exact"/>
        <w:rPr>
          <w:sz w:val="20"/>
          <w:szCs w:val="20"/>
          <w:color w:val="auto"/>
        </w:rPr>
      </w:pPr>
    </w:p>
    <w:p>
      <w:pPr>
        <w:ind w:right="160" w:firstLine="563"/>
        <w:spacing w:after="0" w:line="300" w:lineRule="auto"/>
        <w:rPr>
          <w:sz w:val="20"/>
          <w:szCs w:val="20"/>
          <w:color w:val="auto"/>
        </w:rPr>
      </w:pPr>
      <w:r>
        <w:rPr>
          <w:rFonts w:ascii="Arial" w:cs="Arial" w:eastAsia="Arial" w:hAnsi="Arial"/>
          <w:sz w:val="18"/>
          <w:szCs w:val="18"/>
          <w:color w:val="auto"/>
        </w:rPr>
        <w:t>A drug may also obtain pediatric exclusivity in the United States. Pediatric exclusivity, if granted, adds six months to existing regulatory exclusivity periods and, for a drug, to patent terms. This six-month exclusivity may be granted based on the voluntary completion of a pediatric study that adequately responds to an FDA-issued “Written Request” for such a study.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post-approval requirements for drugs</w:t>
      </w:r>
    </w:p>
    <w:p>
      <w:pPr>
        <w:spacing w:after="0" w:line="239" w:lineRule="exact"/>
        <w:rPr>
          <w:sz w:val="20"/>
          <w:szCs w:val="20"/>
          <w:color w:val="auto"/>
        </w:rPr>
      </w:pPr>
    </w:p>
    <w:p>
      <w:pPr>
        <w:ind w:right="80" w:firstLine="563"/>
        <w:spacing w:after="0" w:line="271" w:lineRule="auto"/>
        <w:rPr>
          <w:sz w:val="20"/>
          <w:szCs w:val="20"/>
          <w:color w:val="auto"/>
        </w:rPr>
      </w:pPr>
      <w:r>
        <w:rPr>
          <w:rFonts w:ascii="Arial" w:cs="Arial" w:eastAsia="Arial" w:hAnsi="Arial"/>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enforce the laws and regulations prohibiting the promotion of off-label uses,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reimbursed under federal health care programs. Promotional materials for approved drugs must be submitted to the FDA in conjunction with their first use or first publication. Further, for certain modifications to the drug, including changes in indications, labeling or manufacturing processes or facilities, the applicant may be required to submit and obtain prior FDA approval of an NDA supplement, which may require the development of additional data or preclinical studies and clinical trials.</w:t>
      </w:r>
    </w:p>
    <w:p>
      <w:pPr>
        <w:spacing w:after="0" w:line="184" w:lineRule="exact"/>
        <w:rPr>
          <w:sz w:val="20"/>
          <w:szCs w:val="20"/>
          <w:color w:val="auto"/>
        </w:rPr>
      </w:pPr>
    </w:p>
    <w:p>
      <w:pPr>
        <w:ind w:right="20" w:firstLine="563"/>
        <w:spacing w:after="0" w:line="336"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 testing, including Phase 4 clinical trials, and surveillance to further assess and monitor the</w:t>
      </w:r>
    </w:p>
    <w:p>
      <w:pPr>
        <w:sectPr>
          <w:pgSz w:w="12240" w:h="15840" w:orient="portrait"/>
          <w:cols w:equalWidth="0" w:num="1">
            <w:col w:w="10140"/>
          </w:cols>
          <w:pgMar w:left="1000" w:top="1060" w:right="1100" w:bottom="210" w:gutter="0" w:footer="0" w:header="0"/>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0140"/>
          </w:cols>
          <w:pgMar w:left="1000" w:top="1060" w:right="1100" w:bottom="210" w:gutter="0" w:footer="0" w:header="0"/>
          <w:type w:val="continuous"/>
        </w:sectPr>
      </w:pPr>
    </w:p>
    <w:bookmarkStart w:id="27" w:name="page28"/>
    <w:bookmarkEnd w:id="27"/>
    <w:p>
      <w:pPr>
        <w:ind w:right="160"/>
        <w:spacing w:after="0" w:line="259" w:lineRule="auto"/>
        <w:rPr>
          <w:sz w:val="20"/>
          <w:szCs w:val="20"/>
          <w:color w:val="auto"/>
        </w:rPr>
      </w:pPr>
      <w:r>
        <w:rPr>
          <w:rFonts w:ascii="Arial" w:cs="Arial" w:eastAsia="Arial" w:hAnsi="Arial"/>
          <w:sz w:val="19"/>
          <w:szCs w:val="19"/>
          <w:color w:val="auto"/>
        </w:rPr>
        <w:t>product’s safety and effectiveness after commercialization, as well as the manufacturing process for making the drug to confirm continued compliance with cGMP. Manufacturers and certain subcontractors must register their establishments with the FDA and applicable state agencies and are subject to periodic unannounced inspections for compliance with regulatory requirements. Changes to the manufacturing process are strictly regulated and, depending on the nature of the change, may require prior FDA approval before implementation. In addition, manufacturers and other parties involved in the drug supply chain must comply with product tracking and tracing requirements and notify the FDA of counterfeit, diverted, stolen and intentionally adulterated products or products that are otherwise unfit for distribution. Accordingly, manufacturers must continue to expend time, money and effort in the area of production and quality control to maintain compliance with cGMP and other regulatory requirements.</w:t>
      </w:r>
    </w:p>
    <w:p>
      <w:pPr>
        <w:spacing w:after="0" w:line="188" w:lineRule="exact"/>
        <w:rPr>
          <w:sz w:val="20"/>
          <w:szCs w:val="20"/>
          <w:color w:val="auto"/>
        </w:rPr>
      </w:pPr>
    </w:p>
    <w:p>
      <w:pPr>
        <w:ind w:right="40" w:firstLine="563"/>
        <w:spacing w:after="0" w:line="263" w:lineRule="auto"/>
        <w:rPr>
          <w:sz w:val="20"/>
          <w:szCs w:val="20"/>
          <w:color w:val="auto"/>
        </w:rPr>
      </w:pPr>
      <w:r>
        <w:rPr>
          <w:rFonts w:ascii="Arial" w:cs="Arial" w:eastAsia="Arial" w:hAnsi="Arial"/>
          <w:sz w:val="19"/>
          <w:szCs w:val="19"/>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8" w:lineRule="exact"/>
        <w:rPr>
          <w:sz w:val="20"/>
          <w:szCs w:val="20"/>
          <w:color w:val="auto"/>
        </w:rPr>
      </w:pPr>
    </w:p>
    <w:p>
      <w:pPr>
        <w:ind w:left="980" w:right="560" w:hanging="482"/>
        <w:spacing w:after="0" w:line="277"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63" w:lineRule="exact"/>
        <w:rPr>
          <w:rFonts w:ascii="Arial" w:cs="Arial" w:eastAsia="Arial" w:hAnsi="Arial"/>
          <w:sz w:val="20"/>
          <w:szCs w:val="20"/>
          <w:color w:val="auto"/>
        </w:rPr>
      </w:pPr>
    </w:p>
    <w:p>
      <w:pPr>
        <w:ind w:left="980" w:right="420" w:hanging="482"/>
        <w:spacing w:after="0" w:line="278"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issuance of safety alerts, Dear Healthcare Provider letters, press releases or other communications containing warnings or other safety information about the product;</w:t>
      </w:r>
    </w:p>
    <w:p>
      <w:pPr>
        <w:spacing w:after="0" w:line="61" w:lineRule="exact"/>
        <w:rPr>
          <w:rFonts w:ascii="Arial" w:cs="Arial" w:eastAsia="Arial" w:hAnsi="Arial"/>
          <w:sz w:val="20"/>
          <w:szCs w:val="20"/>
          <w:color w:val="auto"/>
        </w:rPr>
      </w:pPr>
    </w:p>
    <w:p>
      <w:pPr>
        <w:ind w:left="980" w:right="120" w:hanging="482"/>
        <w:spacing w:after="0" w:line="278"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fines, FDA Form 483s, warning letters, untitled letters or clinical holds on post-approval clinical trials or clinical trials involving related product candidates;</w:t>
      </w:r>
    </w:p>
    <w:p>
      <w:pPr>
        <w:spacing w:after="0" w:line="62" w:lineRule="exact"/>
        <w:rPr>
          <w:rFonts w:ascii="Arial" w:cs="Arial" w:eastAsia="Arial" w:hAnsi="Arial"/>
          <w:sz w:val="20"/>
          <w:szCs w:val="20"/>
          <w:color w:val="auto"/>
        </w:rPr>
      </w:pPr>
    </w:p>
    <w:p>
      <w:pPr>
        <w:ind w:left="980" w:right="140" w:hanging="482"/>
        <w:spacing w:after="0" w:line="277"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refusal of the FDA to approve applications or supplements to approved applications, or suspension or revocation of product approvals;</w:t>
      </w:r>
    </w:p>
    <w:p>
      <w:pPr>
        <w:spacing w:after="0" w:line="63" w:lineRule="exact"/>
        <w:rPr>
          <w:rFonts w:ascii="Arial" w:cs="Arial" w:eastAsia="Arial" w:hAnsi="Arial"/>
          <w:sz w:val="20"/>
          <w:szCs w:val="20"/>
          <w:color w:val="auto"/>
        </w:rPr>
      </w:pPr>
    </w:p>
    <w:p>
      <w:pPr>
        <w:ind w:left="980" w:hanging="482"/>
        <w:spacing w:after="0"/>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suspension of production or distribution;</w:t>
      </w:r>
    </w:p>
    <w:p>
      <w:pPr>
        <w:spacing w:after="0" w:line="134" w:lineRule="exact"/>
        <w:rPr>
          <w:rFonts w:ascii="Arial" w:cs="Arial" w:eastAsia="Arial" w:hAnsi="Arial"/>
          <w:sz w:val="20"/>
          <w:szCs w:val="20"/>
          <w:color w:val="auto"/>
        </w:rPr>
      </w:pPr>
    </w:p>
    <w:p>
      <w:pPr>
        <w:ind w:left="980" w:hanging="482"/>
        <w:spacing w:after="0"/>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w:t>
      </w:r>
    </w:p>
    <w:p>
      <w:pPr>
        <w:spacing w:after="0" w:line="133" w:lineRule="exact"/>
        <w:rPr>
          <w:rFonts w:ascii="Arial" w:cs="Arial" w:eastAsia="Arial" w:hAnsi="Arial"/>
          <w:sz w:val="20"/>
          <w:szCs w:val="20"/>
          <w:color w:val="auto"/>
        </w:rPr>
      </w:pPr>
    </w:p>
    <w:p>
      <w:pPr>
        <w:ind w:left="980" w:hanging="482"/>
        <w:spacing w:after="0"/>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 and</w:t>
      </w:r>
    </w:p>
    <w:p>
      <w:pPr>
        <w:spacing w:after="0" w:line="134" w:lineRule="exact"/>
        <w:rPr>
          <w:rFonts w:ascii="Arial" w:cs="Arial" w:eastAsia="Arial" w:hAnsi="Arial"/>
          <w:sz w:val="20"/>
          <w:szCs w:val="20"/>
          <w:color w:val="auto"/>
        </w:rPr>
      </w:pPr>
    </w:p>
    <w:p>
      <w:pPr>
        <w:jc w:val="both"/>
        <w:ind w:left="980" w:right="160" w:hanging="482"/>
        <w:spacing w:after="0" w:line="258"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consent decrees, corporate integrity agreements, debarment, restitution, disgorgement, or exclusion from federal healthcare programs; or mandated modification of promotional materials and labeling and issuance of corrective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companion diagnostics</w:t>
      </w:r>
    </w:p>
    <w:p>
      <w:pPr>
        <w:spacing w:after="0" w:line="240" w:lineRule="exact"/>
        <w:rPr>
          <w:sz w:val="20"/>
          <w:szCs w:val="20"/>
          <w:color w:val="auto"/>
        </w:rPr>
      </w:pPr>
    </w:p>
    <w:p>
      <w:pPr>
        <w:ind w:firstLine="563"/>
        <w:spacing w:after="0" w:line="256" w:lineRule="auto"/>
        <w:rPr>
          <w:sz w:val="20"/>
          <w:szCs w:val="20"/>
          <w:color w:val="auto"/>
        </w:rPr>
      </w:pPr>
      <w:r>
        <w:rPr>
          <w:rFonts w:ascii="Arial" w:cs="Arial" w:eastAsia="Arial" w:hAnsi="Arial"/>
          <w:sz w:val="19"/>
          <w:szCs w:val="19"/>
          <w:color w:val="auto"/>
        </w:rPr>
        <w:t>Companion diagnostics provide information that is essential for the safe and effective use of a corresponding drug. A companion diagnostic may be used to help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are regulated as medical devices by the FDA. In the United States, the FD&amp;C Act,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premarket approval, or PMA. In January 2024, FDA announced its intention to initiate a reclassification process for most in vitro diagnostics, including companion diagnostics. FDA also indicated that it will continue to take a risk-based approach in the initial classification of individual in vitro diagnostics to determine whether a new diagnostic test may be classified into class II through the de novo classification process. In so doing, FDA signaled that it may regulate most future companion diagnostics as class II devices (which is a medical device that poses a medium to high risk to patients and users).</w:t>
      </w:r>
    </w:p>
    <w:p>
      <w:pPr>
        <w:spacing w:after="0" w:line="190" w:lineRule="exact"/>
        <w:rPr>
          <w:sz w:val="20"/>
          <w:szCs w:val="20"/>
          <w:color w:val="auto"/>
        </w:rPr>
      </w:pPr>
    </w:p>
    <w:p>
      <w:pPr>
        <w:ind w:right="40" w:firstLine="563"/>
        <w:spacing w:after="0" w:line="289" w:lineRule="auto"/>
        <w:rPr>
          <w:sz w:val="20"/>
          <w:szCs w:val="20"/>
          <w:color w:val="auto"/>
        </w:rPr>
      </w:pPr>
      <w:r>
        <w:rPr>
          <w:rFonts w:ascii="Arial" w:cs="Arial" w:eastAsia="Arial" w:hAnsi="Arial"/>
          <w:sz w:val="18"/>
          <w:szCs w:val="18"/>
          <w:color w:val="auto"/>
        </w:rPr>
        <w:t>The FDA has issued several guidance documents regarding the co-development of drugs and companion diagnostic tests, including a 2014 final guidance titled “Guidance for Industry: In Vitro Companion Diagnostic Devices”, a 2016 draft guidance titled “Principles for Codevelopment of an In Vitro Companion Diagnostic Device with a Therapeutic Product,” and a 2020 final guidance titled “Developing and Labeling In Vitro Companion Diagnostic Devices for a Specific Group or Class</w:t>
      </w:r>
    </w:p>
    <w:p>
      <w:pPr>
        <w:sectPr>
          <w:pgSz w:w="12240" w:h="15840" w:orient="portrait"/>
          <w:cols w:equalWidth="0" w:num="1">
            <w:col w:w="10120"/>
          </w:cols>
          <w:pgMar w:left="1000" w:top="1060" w:right="1120" w:bottom="21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10120"/>
          </w:cols>
          <w:pgMar w:left="1000" w:top="1060" w:right="1120" w:bottom="210" w:gutter="0" w:footer="0" w:header="0"/>
          <w:type w:val="continuous"/>
        </w:sectPr>
      </w:pPr>
    </w:p>
    <w:bookmarkStart w:id="28" w:name="page29"/>
    <w:bookmarkEnd w:id="28"/>
    <w:p>
      <w:pPr>
        <w:ind w:right="40"/>
        <w:spacing w:after="0" w:line="265" w:lineRule="auto"/>
        <w:rPr>
          <w:sz w:val="20"/>
          <w:szCs w:val="20"/>
          <w:color w:val="auto"/>
        </w:rPr>
      </w:pPr>
      <w:r>
        <w:rPr>
          <w:rFonts w:ascii="Arial" w:cs="Arial" w:eastAsia="Arial" w:hAnsi="Arial"/>
          <w:sz w:val="19"/>
          <w:szCs w:val="19"/>
          <w:color w:val="auto"/>
        </w:rPr>
        <w:t>of Oncology Therapeutic Products." Once cleared or approved, the companion diagnostic device must comply with applicable post-marketing requirements including the FDA’s quality management system regulation (QMSR), adverse event reporting, recalls and corrections, and product marketing requirements and limitations. Like drug manufacturers, companion diagnostic manufacturers are subject to unannounced FDA inspections at any time during which the FDA will conduct an audit of the product(s) and the company’s facilities for compliance with regulatory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regulatory matters</w:t>
      </w:r>
    </w:p>
    <w:p>
      <w:pPr>
        <w:spacing w:after="0" w:line="240" w:lineRule="exact"/>
        <w:rPr>
          <w:sz w:val="20"/>
          <w:szCs w:val="20"/>
          <w:color w:val="auto"/>
        </w:rPr>
      </w:pPr>
    </w:p>
    <w:p>
      <w:pPr>
        <w:ind w:right="40" w:firstLine="563"/>
        <w:spacing w:after="0" w:line="280"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and commercialization are also subject to regulation by numerous regulatory authorities in the United States in addition to the FDA, which may include the Centers for Medicare &amp; Medicaid Services, or CMS, other divisions of the U.S.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w:t>
      </w:r>
    </w:p>
    <w:p>
      <w:pPr>
        <w:spacing w:after="0" w:line="239" w:lineRule="exact"/>
        <w:rPr>
          <w:sz w:val="20"/>
          <w:szCs w:val="20"/>
          <w:color w:val="auto"/>
        </w:rPr>
      </w:pPr>
    </w:p>
    <w:p>
      <w:pPr>
        <w:ind w:right="20" w:firstLine="563"/>
        <w:spacing w:after="0" w:line="278"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67" w:lineRule="exact"/>
        <w:rPr>
          <w:sz w:val="20"/>
          <w:szCs w:val="20"/>
          <w:color w:val="auto"/>
        </w:rPr>
      </w:pPr>
    </w:p>
    <w:p>
      <w:pPr>
        <w:ind w:left="980" w:hanging="482"/>
        <w:spacing w:after="0" w:line="257" w:lineRule="auto"/>
        <w:tabs>
          <w:tab w:leader="none" w:pos="9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83" w:lineRule="exact"/>
        <w:rPr>
          <w:rFonts w:ascii="Arial" w:cs="Arial" w:eastAsia="Arial" w:hAnsi="Arial"/>
          <w:sz w:val="19"/>
          <w:szCs w:val="19"/>
          <w:color w:val="auto"/>
        </w:rPr>
      </w:pPr>
    </w:p>
    <w:p>
      <w:pPr>
        <w:ind w:left="980" w:right="100" w:hanging="482"/>
        <w:spacing w:after="0" w:line="244" w:lineRule="auto"/>
        <w:tabs>
          <w:tab w:leader="none" w:pos="9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00" w:lineRule="exact"/>
        <w:rPr>
          <w:rFonts w:ascii="Arial" w:cs="Arial" w:eastAsia="Arial" w:hAnsi="Arial"/>
          <w:sz w:val="20"/>
          <w:szCs w:val="20"/>
          <w:color w:val="auto"/>
        </w:rPr>
      </w:pPr>
    </w:p>
    <w:p>
      <w:pPr>
        <w:ind w:left="980" w:right="320" w:hanging="482"/>
        <w:spacing w:after="0" w:line="28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56" w:lineRule="exact"/>
        <w:rPr>
          <w:rFonts w:ascii="Arial" w:cs="Arial" w:eastAsia="Arial" w:hAnsi="Arial"/>
          <w:sz w:val="18"/>
          <w:szCs w:val="18"/>
          <w:color w:val="auto"/>
        </w:rPr>
      </w:pPr>
    </w:p>
    <w:p>
      <w:pPr>
        <w:ind w:left="980" w:right="20" w:hanging="482"/>
        <w:spacing w:after="0" w:line="28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10140"/>
          </w:cols>
          <w:pgMar w:left="1000" w:top="1060" w:right="1100" w:bottom="210" w:gutter="0" w:footer="0" w:header="0"/>
          <w:type w:val="continuous"/>
        </w:sectPr>
      </w:pPr>
    </w:p>
    <w:bookmarkStart w:id="29" w:name="page30"/>
    <w:bookmarkEnd w:id="29"/>
    <w:p>
      <w:pPr>
        <w:ind w:left="980" w:right="780"/>
        <w:spacing w:after="0" w:line="277" w:lineRule="auto"/>
        <w:rPr>
          <w:sz w:val="20"/>
          <w:szCs w:val="20"/>
          <w:color w:val="auto"/>
        </w:rPr>
      </w:pPr>
      <w:r>
        <w:rPr>
          <w:rFonts w:ascii="Arial" w:cs="Arial" w:eastAsia="Arial" w:hAnsi="Arial"/>
          <w:sz w:val="20"/>
          <w:szCs w:val="20"/>
          <w:color w:val="auto"/>
        </w:rPr>
        <w:t>federal Anti-Kickback Statute, a person or entity may be found guilty of violating HIPAA without actual knowledge of the statute or specific intent to violate it.</w:t>
      </w:r>
    </w:p>
    <w:p>
      <w:pPr>
        <w:spacing w:after="0" w:line="63" w:lineRule="exact"/>
        <w:rPr>
          <w:sz w:val="20"/>
          <w:szCs w:val="20"/>
          <w:color w:val="auto"/>
        </w:rPr>
      </w:pPr>
    </w:p>
    <w:p>
      <w:pPr>
        <w:ind w:left="980" w:right="20" w:hanging="482"/>
        <w:spacing w:after="0" w:line="27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69" w:lineRule="exact"/>
        <w:rPr>
          <w:rFonts w:ascii="Arial" w:cs="Arial" w:eastAsia="Arial" w:hAnsi="Arial"/>
          <w:sz w:val="18"/>
          <w:szCs w:val="18"/>
          <w:color w:val="auto"/>
        </w:rPr>
      </w:pPr>
    </w:p>
    <w:p>
      <w:pPr>
        <w:ind w:left="980" w:right="480" w:hanging="482"/>
        <w:spacing w:after="0" w:line="259" w:lineRule="auto"/>
        <w:tabs>
          <w:tab w:leader="none" w:pos="9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79" w:lineRule="exact"/>
        <w:rPr>
          <w:rFonts w:ascii="Arial" w:cs="Arial" w:eastAsia="Arial" w:hAnsi="Arial"/>
          <w:sz w:val="20"/>
          <w:szCs w:val="20"/>
          <w:color w:val="auto"/>
        </w:rPr>
      </w:pPr>
    </w:p>
    <w:p>
      <w:pPr>
        <w:ind w:left="980" w:hanging="482"/>
        <w:spacing w:after="0" w:line="260"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other non-physician licensed providers such as physician assistants and nurse practitioners) and teaching hospitals, as well as ownership and investment interests held by physicians and their immediate family members.</w:t>
      </w:r>
    </w:p>
    <w:p>
      <w:pPr>
        <w:spacing w:after="0" w:line="81" w:lineRule="exact"/>
        <w:rPr>
          <w:rFonts w:ascii="Arial" w:cs="Arial" w:eastAsia="Arial" w:hAnsi="Arial"/>
          <w:sz w:val="19"/>
          <w:szCs w:val="19"/>
          <w:color w:val="auto"/>
        </w:rPr>
      </w:pPr>
    </w:p>
    <w:p>
      <w:pPr>
        <w:ind w:left="980" w:right="40" w:hanging="482"/>
        <w:spacing w:after="0" w:line="259" w:lineRule="auto"/>
        <w:tabs>
          <w:tab w:leader="none" w:pos="9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88" w:lineRule="exact"/>
        <w:rPr>
          <w:sz w:val="20"/>
          <w:szCs w:val="20"/>
          <w:color w:val="auto"/>
        </w:rPr>
      </w:pPr>
    </w:p>
    <w:p>
      <w:pPr>
        <w:ind w:right="40" w:firstLine="563"/>
        <w:spacing w:after="0" w:line="273"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Insurance Coverage and Reimbursement</w:t>
      </w:r>
    </w:p>
    <w:p>
      <w:pPr>
        <w:spacing w:after="0" w:line="240" w:lineRule="exact"/>
        <w:rPr>
          <w:sz w:val="20"/>
          <w:szCs w:val="20"/>
          <w:color w:val="auto"/>
        </w:rPr>
      </w:pPr>
    </w:p>
    <w:p>
      <w:pPr>
        <w:ind w:right="80" w:firstLine="563"/>
        <w:spacing w:after="0" w:line="272" w:lineRule="auto"/>
        <w:rPr>
          <w:sz w:val="20"/>
          <w:szCs w:val="20"/>
          <w:color w:val="auto"/>
        </w:rPr>
      </w:pPr>
      <w:r>
        <w:rPr>
          <w:rFonts w:ascii="Arial" w:cs="Arial" w:eastAsia="Arial" w:hAnsi="Arial"/>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 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w:t>
      </w:r>
    </w:p>
    <w:p>
      <w:pPr>
        <w:sectPr>
          <w:pgSz w:w="12240" w:h="15840" w:orient="portrait"/>
          <w:cols w:equalWidth="0" w:num="1">
            <w:col w:w="10140"/>
          </w:cols>
          <w:pgMar w:left="1000" w:top="1060" w:right="1100" w:bottom="210" w:gutter="0" w:footer="0" w:header="0"/>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0140"/>
          </w:cols>
          <w:pgMar w:left="1000" w:top="1060" w:right="1100" w:bottom="210" w:gutter="0" w:footer="0" w:header="0"/>
          <w:type w:val="continuous"/>
        </w:sectPr>
      </w:pPr>
    </w:p>
    <w:bookmarkStart w:id="30" w:name="page31"/>
    <w:bookmarkEnd w:id="30"/>
    <w:p>
      <w:pPr>
        <w:ind w:right="400"/>
        <w:spacing w:after="0" w:line="277" w:lineRule="auto"/>
        <w:rPr>
          <w:sz w:val="20"/>
          <w:szCs w:val="20"/>
          <w:color w:val="auto"/>
        </w:rPr>
      </w:pPr>
      <w:r>
        <w:rPr>
          <w:rFonts w:ascii="Arial" w:cs="Arial" w:eastAsia="Arial" w:hAnsi="Arial"/>
          <w:sz w:val="20"/>
          <w:szCs w:val="20"/>
          <w:color w:val="auto"/>
        </w:rPr>
        <w:t>coverage to specific products on an approved list, also known as a formulary, which might not include all of the approved products for a particular indication.</w:t>
      </w:r>
    </w:p>
    <w:p>
      <w:pPr>
        <w:spacing w:after="0" w:line="169" w:lineRule="exact"/>
        <w:rPr>
          <w:sz w:val="20"/>
          <w:szCs w:val="20"/>
          <w:color w:val="auto"/>
        </w:rPr>
      </w:pPr>
    </w:p>
    <w:p>
      <w:pPr>
        <w:ind w:firstLine="563"/>
        <w:spacing w:after="0" w:line="278"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72" w:lineRule="exact"/>
        <w:rPr>
          <w:sz w:val="20"/>
          <w:szCs w:val="20"/>
          <w:color w:val="auto"/>
        </w:rPr>
      </w:pPr>
    </w:p>
    <w:p>
      <w:pPr>
        <w:ind w:right="40" w:firstLine="563"/>
        <w:spacing w:after="0" w:line="280"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other third-party payers), and the prices of pharmaceutical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171" w:lineRule="exact"/>
        <w:rPr>
          <w:sz w:val="20"/>
          <w:szCs w:val="20"/>
          <w:color w:val="auto"/>
        </w:rPr>
      </w:pPr>
    </w:p>
    <w:p>
      <w:pPr>
        <w:ind w:firstLine="563"/>
        <w:spacing w:after="0" w:line="270" w:lineRule="auto"/>
        <w:rPr>
          <w:sz w:val="20"/>
          <w:szCs w:val="20"/>
          <w:color w:val="auto"/>
        </w:rPr>
      </w:pPr>
      <w:r>
        <w:rPr>
          <w:rFonts w:ascii="Arial" w:cs="Arial" w:eastAsia="Arial" w:hAnsi="Arial"/>
          <w:sz w:val="18"/>
          <w:szCs w:val="18"/>
          <w:color w:val="auto"/>
        </w:rPr>
        <w:t xml:space="preserve">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Arial" w:cs="Arial" w:eastAsia="Arial" w:hAnsi="Arial"/>
          <w:sz w:val="18"/>
          <w:szCs w:val="18"/>
          <w:i w:val="1"/>
          <w:iCs w:val="1"/>
          <w:color w:val="auto"/>
        </w:rPr>
        <w:t>i.e.</w:t>
      </w:r>
      <w:r>
        <w:rPr>
          <w:rFonts w:ascii="Arial" w:cs="Arial" w:eastAsia="Arial" w:hAnsi="Arial"/>
          <w:sz w:val="18"/>
          <w:szCs w:val="18"/>
          <w:color w:val="auto"/>
        </w:rPr>
        <w:t>,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and future healthcare reform legislation</w:t>
      </w:r>
    </w:p>
    <w:p>
      <w:pPr>
        <w:spacing w:after="0" w:line="239" w:lineRule="exact"/>
        <w:rPr>
          <w:sz w:val="20"/>
          <w:szCs w:val="20"/>
          <w:color w:val="auto"/>
        </w:rPr>
      </w:pPr>
    </w:p>
    <w:p>
      <w:pPr>
        <w:ind w:right="60" w:firstLine="563"/>
        <w:spacing w:after="0" w:line="247" w:lineRule="auto"/>
        <w:rPr>
          <w:sz w:val="20"/>
          <w:szCs w:val="20"/>
          <w:color w:val="auto"/>
        </w:rPr>
      </w:pPr>
      <w:r>
        <w:rPr>
          <w:rFonts w:ascii="Arial" w:cs="Arial" w:eastAsia="Arial" w:hAnsi="Arial"/>
          <w:sz w:val="20"/>
          <w:szCs w:val="20"/>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94" w:lineRule="exact"/>
        <w:rPr>
          <w:sz w:val="20"/>
          <w:szCs w:val="20"/>
          <w:color w:val="auto"/>
        </w:rPr>
      </w:pPr>
    </w:p>
    <w:p>
      <w:pPr>
        <w:ind w:left="980" w:right="320" w:hanging="482"/>
        <w:spacing w:after="0" w:line="259"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79" w:lineRule="exact"/>
        <w:rPr>
          <w:rFonts w:ascii="Arial" w:cs="Arial" w:eastAsia="Arial" w:hAnsi="Arial"/>
          <w:sz w:val="20"/>
          <w:szCs w:val="20"/>
          <w:color w:val="auto"/>
        </w:rPr>
      </w:pPr>
    </w:p>
    <w:p>
      <w:pPr>
        <w:ind w:left="980" w:right="640" w:hanging="482"/>
        <w:spacing w:after="0" w:line="278"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expanded eligibility criteria for Medicaid, thereby potentially increasing a manufacturer’s Medicaid rebate liability;</w:t>
      </w:r>
    </w:p>
    <w:p>
      <w:pPr>
        <w:spacing w:after="0" w:line="62" w:lineRule="exact"/>
        <w:rPr>
          <w:rFonts w:ascii="Arial" w:cs="Arial" w:eastAsia="Arial" w:hAnsi="Arial"/>
          <w:sz w:val="20"/>
          <w:szCs w:val="20"/>
          <w:color w:val="auto"/>
        </w:rPr>
      </w:pPr>
    </w:p>
    <w:p>
      <w:pPr>
        <w:ind w:left="980" w:hanging="482"/>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expanded manufacturers’ rebate liability under the Medicaid Drug Rebate Program;</w:t>
      </w:r>
    </w:p>
    <w:p>
      <w:pPr>
        <w:spacing w:after="0" w:line="133" w:lineRule="exact"/>
        <w:rPr>
          <w:rFonts w:ascii="Arial" w:cs="Arial" w:eastAsia="Arial" w:hAnsi="Arial"/>
          <w:sz w:val="20"/>
          <w:szCs w:val="20"/>
          <w:color w:val="auto"/>
        </w:rPr>
      </w:pPr>
    </w:p>
    <w:p>
      <w:pPr>
        <w:ind w:left="980" w:hanging="482"/>
        <w:spacing w:after="0"/>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expanded the types of entities eligible for the 340B drug discount program;</w:t>
      </w:r>
    </w:p>
    <w:p>
      <w:pPr>
        <w:spacing w:after="0" w:line="134" w:lineRule="exact"/>
        <w:rPr>
          <w:rFonts w:ascii="Arial" w:cs="Arial" w:eastAsia="Arial" w:hAnsi="Arial"/>
          <w:sz w:val="20"/>
          <w:szCs w:val="20"/>
          <w:color w:val="auto"/>
        </w:rPr>
      </w:pPr>
    </w:p>
    <w:p>
      <w:pPr>
        <w:ind w:left="980" w:hanging="482"/>
        <w:spacing w:after="0" w:line="30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ectPr>
          <w:pgSz w:w="12240" w:h="15840" w:orient="portrait"/>
          <w:cols w:equalWidth="0" w:num="1">
            <w:col w:w="10140"/>
          </w:cols>
          <w:pgMar w:left="1000" w:top="1060" w:right="1100" w:bottom="21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10140"/>
          </w:cols>
          <w:pgMar w:left="1000" w:top="1060" w:right="1100" w:bottom="210" w:gutter="0" w:footer="0" w:header="0"/>
          <w:type w:val="continuous"/>
        </w:sectPr>
      </w:pPr>
    </w:p>
    <w:bookmarkStart w:id="31" w:name="page32"/>
    <w:bookmarkEnd w:id="31"/>
    <w:p>
      <w:pPr>
        <w:ind w:left="980" w:right="20" w:hanging="482"/>
        <w:spacing w:after="0" w:line="277" w:lineRule="auto"/>
        <w:tabs>
          <w:tab w:leader="none" w:pos="9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created a Patient-Centered Outcomes Research Institute to oversee, identify priorities in, and conduct comparative clinical effectiveness research, along with funding for such research.</w:t>
      </w:r>
    </w:p>
    <w:p>
      <w:pPr>
        <w:spacing w:after="0" w:line="159" w:lineRule="exact"/>
        <w:rPr>
          <w:sz w:val="20"/>
          <w:szCs w:val="20"/>
          <w:color w:val="auto"/>
        </w:rPr>
      </w:pPr>
    </w:p>
    <w:p>
      <w:pPr>
        <w:ind w:right="20" w:firstLine="721"/>
        <w:spacing w:after="0" w:line="257" w:lineRule="auto"/>
        <w:rPr>
          <w:sz w:val="20"/>
          <w:szCs w:val="20"/>
          <w:color w:val="auto"/>
        </w:rPr>
      </w:pPr>
      <w:r>
        <w:rPr>
          <w:rFonts w:ascii="Arial" w:cs="Arial" w:eastAsia="Arial" w:hAnsi="Arial"/>
          <w:sz w:val="19"/>
          <w:szCs w:val="19"/>
          <w:color w:val="auto"/>
        </w:rPr>
        <w:t>Other legislative changes have been proposed and adopted in the United States since the Affordable Care Act was enacted. For example, the Budget Control Act of 2011 and subsequent legislation, among other things, created measures for spending reductions by Congress that include aggregate reductions of Medicare payments to providers of 2% per fiscal year, which remain in effect through 2031. The U.S. American Taxpayer Relief Act of 2012 further reduced Medicare payments to several types of providers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2" w:lineRule="exact"/>
        <w:rPr>
          <w:sz w:val="20"/>
          <w:szCs w:val="20"/>
          <w:color w:val="auto"/>
        </w:rPr>
      </w:pPr>
    </w:p>
    <w:p>
      <w:pPr>
        <w:ind w:right="40" w:firstLine="721"/>
        <w:spacing w:after="0" w:line="247" w:lineRule="auto"/>
        <w:rPr>
          <w:sz w:val="20"/>
          <w:szCs w:val="20"/>
          <w:color w:val="auto"/>
        </w:rPr>
      </w:pPr>
      <w:r>
        <w:rPr>
          <w:rFonts w:ascii="Arial" w:cs="Arial" w:eastAsia="Arial" w:hAnsi="Arial"/>
          <w:sz w:val="20"/>
          <w:szCs w:val="20"/>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0" w:lineRule="exact"/>
        <w:rPr>
          <w:sz w:val="20"/>
          <w:szCs w:val="20"/>
          <w:color w:val="auto"/>
        </w:rPr>
      </w:pPr>
    </w:p>
    <w:p>
      <w:pPr>
        <w:ind w:right="180" w:firstLine="563"/>
        <w:spacing w:after="0" w:line="278"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19, 2025, CMS released two proposed rules that would incorporate most favored nation (“MFN”) pricing principles into federal reimbursement for prescription drugs. The first proposal, the Global Benchmark for Efficient Drug Pricing Model (“GLOBE”) for Medicare Part B, would require manufacturers of specified single source drugs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4255135</wp:posOffset>
                </wp:positionH>
                <wp:positionV relativeFrom="paragraph">
                  <wp:posOffset>-398780</wp:posOffset>
                </wp:positionV>
                <wp:extent cx="33020" cy="1333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3335"/>
                        </a:xfrm>
                        <a:prstGeom prst="rect">
                          <a:avLst/>
                        </a:prstGeom>
                        <a:solidFill>
                          <a:srgbClr val="000000"/>
                        </a:solidFill>
                      </wps:spPr>
                      <wps:bodyPr/>
                    </wps:wsp>
                  </a:graphicData>
                </a:graphic>
              </wp:anchor>
            </w:drawing>
          </mc:Choice>
          <mc:Fallback>
            <w:pict>
              <v:rect id="Shape 54" o:spid="_x0000_s1079" style="position:absolute;margin-left:335.05pt;margin-top:-31.3999pt;width:2.6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4939030</wp:posOffset>
                </wp:positionH>
                <wp:positionV relativeFrom="paragraph">
                  <wp:posOffset>-88265</wp:posOffset>
                </wp:positionV>
                <wp:extent cx="32385" cy="1333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 cy="13335"/>
                        </a:xfrm>
                        <a:prstGeom prst="rect">
                          <a:avLst/>
                        </a:prstGeom>
                        <a:solidFill>
                          <a:srgbClr val="000000"/>
                        </a:solidFill>
                      </wps:spPr>
                      <wps:bodyPr/>
                    </wps:wsp>
                  </a:graphicData>
                </a:graphic>
              </wp:anchor>
            </w:drawing>
          </mc:Choice>
          <mc:Fallback>
            <w:pict>
              <v:rect id="Shape 55" o:spid="_x0000_s1080" style="position:absolute;margin-left:388.9pt;margin-top:-6.9499pt;width:2.5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ind w:right="220"/>
        <w:spacing w:after="0" w:line="283" w:lineRule="auto"/>
        <w:rPr>
          <w:sz w:val="20"/>
          <w:szCs w:val="20"/>
          <w:color w:val="auto"/>
        </w:rPr>
      </w:pPr>
      <w:r>
        <w:rPr>
          <w:rFonts w:ascii="Arial" w:cs="Arial" w:eastAsia="Arial" w:hAnsi="Arial"/>
          <w:sz w:val="18"/>
          <w:szCs w:val="18"/>
          <w:color w:val="auto"/>
        </w:rPr>
        <w:t>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224155</wp:posOffset>
                </wp:positionH>
                <wp:positionV relativeFrom="paragraph">
                  <wp:posOffset>-389890</wp:posOffset>
                </wp:positionV>
                <wp:extent cx="33020" cy="1333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3335"/>
                        </a:xfrm>
                        <a:prstGeom prst="rect">
                          <a:avLst/>
                        </a:prstGeom>
                        <a:solidFill>
                          <a:srgbClr val="000000"/>
                        </a:solidFill>
                      </wps:spPr>
                      <wps:bodyPr/>
                    </wps:wsp>
                  </a:graphicData>
                </a:graphic>
              </wp:anchor>
            </w:drawing>
          </mc:Choice>
          <mc:Fallback>
            <w:pict>
              <v:rect id="Shape 56" o:spid="_x0000_s1081" style="position:absolute;margin-left:17.65pt;margin-top:-30.6999pt;width:2.6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ind w:right="240"/>
        <w:spacing w:after="0" w:line="265" w:lineRule="auto"/>
        <w:rPr>
          <w:sz w:val="20"/>
          <w:szCs w:val="20"/>
          <w:color w:val="auto"/>
        </w:rPr>
      </w:pPr>
      <w:r>
        <w:rPr>
          <w:rFonts w:ascii="Arial" w:cs="Arial" w:eastAsia="Arial" w:hAnsi="Arial"/>
          <w:sz w:val="19"/>
          <w:szCs w:val="19"/>
          <w:color w:val="auto"/>
        </w:rPr>
        <w:t>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224155</wp:posOffset>
                </wp:positionH>
                <wp:positionV relativeFrom="paragraph">
                  <wp:posOffset>-1006475</wp:posOffset>
                </wp:positionV>
                <wp:extent cx="33020" cy="1333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3335"/>
                        </a:xfrm>
                        <a:prstGeom prst="rect">
                          <a:avLst/>
                        </a:prstGeom>
                        <a:solidFill>
                          <a:srgbClr val="000000"/>
                        </a:solidFill>
                      </wps:spPr>
                      <wps:bodyPr/>
                    </wps:wsp>
                  </a:graphicData>
                </a:graphic>
              </wp:anchor>
            </w:drawing>
          </mc:Choice>
          <mc:Fallback>
            <w:pict>
              <v:rect id="Shape 57" o:spid="_x0000_s1082" style="position:absolute;margin-left:17.65pt;margin-top:-79.2499pt;width:2.6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2936240</wp:posOffset>
                </wp:positionH>
                <wp:positionV relativeFrom="paragraph">
                  <wp:posOffset>-841375</wp:posOffset>
                </wp:positionV>
                <wp:extent cx="33655" cy="127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 cy="12700"/>
                        </a:xfrm>
                        <a:prstGeom prst="rect">
                          <a:avLst/>
                        </a:prstGeom>
                        <a:solidFill>
                          <a:srgbClr val="000000"/>
                        </a:solidFill>
                      </wps:spPr>
                      <wps:bodyPr/>
                    </wps:wsp>
                  </a:graphicData>
                </a:graphic>
              </wp:anchor>
            </w:drawing>
          </mc:Choice>
          <mc:Fallback>
            <w:pict>
              <v:rect id="Shape 58" o:spid="_x0000_s1083" style="position:absolute;margin-left:231.2pt;margin-top:-66.2499pt;width:2.6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66" w:lineRule="exact"/>
        <w:rPr>
          <w:sz w:val="20"/>
          <w:szCs w:val="20"/>
          <w:color w:val="auto"/>
        </w:rPr>
      </w:pPr>
    </w:p>
    <w:p>
      <w:pPr>
        <w:ind w:firstLine="563"/>
        <w:spacing w:after="0" w:line="271"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including provisions that reduce the out-of-pocket cap for Medicare Part D beneficiaries from $7,050 to $2,000 starting in 2025, thereby effectively eliminating the coverage gap; impose new manufacturer financial liability on certain drugs under Medicare Part D; and allow the U.S. government to negotiate Medicare Part B and Part D price caps for certain high-cost drugs and biologics without generic or biosimilar competition. Specifically, under the IRA, a single- source pharmaceutical product qualifies for selection for participation in the drug price negotiation program if it is (i) a small-molecule drug for which at least seven years have passed since the date of approval from the FDA and there is no generic on the market (as of the date of selection); or (ii) a biologic for which 11 years have passed since the date of FDA licensure and there is no biosimilar on the market (as of the date of selection). Given that any negotiated price does not take effect until approximately two years after selection, small-molecule drug and biologic manufacturers are afforded at least nine years and 13 years, respectively, before they may be obligated to sell their product under Medicare Part B and Part D, as applicable, at CMS-negotiated pricing. The IRA also requires companies to pay rebates to Medicare to the extent that drug pricing increases faster than inflation, and it also further delayed until January 1, 2032 the implementation of the HHS rebate rule that would have limited the fees that pharmacy benefit managers can charge. Further, under the IRA, orphan drugs are exempted from the Medicare drug price negotiation program, but only if they have a single orphan designation and for which the only approved</w:t>
      </w:r>
    </w:p>
    <w:p>
      <w:pPr>
        <w:sectPr>
          <w:pgSz w:w="12240" w:h="15840" w:orient="portrait"/>
          <w:cols w:equalWidth="0" w:num="1">
            <w:col w:w="10140"/>
          </w:cols>
          <w:pgMar w:left="1000" w:top="1075" w:right="1100" w:bottom="21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10140"/>
          </w:cols>
          <w:pgMar w:left="1000" w:top="1075" w:right="1100" w:bottom="210" w:gutter="0" w:footer="0" w:header="0"/>
          <w:type w:val="continuous"/>
        </w:sectPr>
      </w:pPr>
    </w:p>
    <w:bookmarkStart w:id="32" w:name="page33"/>
    <w:bookmarkEnd w:id="32"/>
    <w:p>
      <w:pPr>
        <w:spacing w:after="0" w:line="280" w:lineRule="auto"/>
        <w:rPr>
          <w:sz w:val="20"/>
          <w:szCs w:val="20"/>
          <w:color w:val="auto"/>
        </w:rPr>
      </w:pPr>
      <w:r>
        <w:rPr>
          <w:rFonts w:ascii="Arial" w:cs="Arial" w:eastAsia="Arial" w:hAnsi="Arial"/>
          <w:sz w:val="18"/>
          <w:szCs w:val="18"/>
          <w:color w:val="auto"/>
        </w:rPr>
        <w:t>indication is for that disease or condition. Under the One Big Beautiful Bill Act of 2025 ("OBBBA"),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71" w:lineRule="exact"/>
        <w:rPr>
          <w:sz w:val="20"/>
          <w:szCs w:val="20"/>
          <w:color w:val="auto"/>
        </w:rPr>
      </w:pPr>
    </w:p>
    <w:p>
      <w:pPr>
        <w:ind w:right="140" w:firstLine="563"/>
        <w:spacing w:after="0" w:line="258" w:lineRule="auto"/>
        <w:rPr>
          <w:sz w:val="20"/>
          <w:szCs w:val="20"/>
          <w:color w:val="auto"/>
        </w:rPr>
      </w:pPr>
      <w:r>
        <w:rPr>
          <w:rFonts w:ascii="Arial" w:cs="Arial" w:eastAsia="Arial" w:hAnsi="Arial"/>
          <w:sz w:val="20"/>
          <w:szCs w:val="20"/>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88" w:lineRule="exact"/>
        <w:rPr>
          <w:sz w:val="20"/>
          <w:szCs w:val="20"/>
          <w:color w:val="auto"/>
        </w:rPr>
      </w:pPr>
    </w:p>
    <w:p>
      <w:pPr>
        <w:ind w:right="20" w:firstLine="563"/>
        <w:spacing w:after="0" w:line="275"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75" w:lineRule="exact"/>
        <w:rPr>
          <w:sz w:val="20"/>
          <w:szCs w:val="20"/>
          <w:color w:val="auto"/>
        </w:rPr>
      </w:pPr>
    </w:p>
    <w:p>
      <w:pPr>
        <w:ind w:right="80" w:firstLine="563"/>
        <w:spacing w:after="0" w:line="272" w:lineRule="auto"/>
        <w:rPr>
          <w:sz w:val="20"/>
          <w:szCs w:val="20"/>
          <w:color w:val="auto"/>
        </w:rPr>
      </w:pPr>
      <w:r>
        <w:rPr>
          <w:rFonts w:ascii="Arial" w:cs="Arial" w:eastAsia="Arial" w:hAnsi="Arial"/>
          <w:sz w:val="18"/>
          <w:szCs w:val="18"/>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w:t>
      </w:r>
    </w:p>
    <w:p>
      <w:pPr>
        <w:spacing w:after="0" w:line="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p>
    <w:p>
      <w:pPr>
        <w:spacing w:after="0" w:line="167" w:lineRule="exact"/>
        <w:rPr>
          <w:sz w:val="20"/>
          <w:szCs w:val="20"/>
          <w:color w:val="auto"/>
        </w:rPr>
      </w:pPr>
    </w:p>
    <w:p>
      <w:pPr>
        <w:ind w:right="180" w:firstLine="563"/>
        <w:spacing w:after="0" w:line="249" w:lineRule="auto"/>
        <w:rPr>
          <w:sz w:val="20"/>
          <w:szCs w:val="20"/>
          <w:color w:val="auto"/>
        </w:rPr>
      </w:pPr>
      <w:r>
        <w:rPr>
          <w:rFonts w:ascii="Arial" w:cs="Arial" w:eastAsia="Arial" w:hAnsi="Arial"/>
          <w:sz w:val="20"/>
          <w:szCs w:val="20"/>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United States environmental, health and safety laws and regulations</w:t>
      </w:r>
    </w:p>
    <w:p>
      <w:pPr>
        <w:spacing w:after="0" w:line="240" w:lineRule="exact"/>
        <w:rPr>
          <w:sz w:val="20"/>
          <w:szCs w:val="20"/>
          <w:color w:val="auto"/>
        </w:rPr>
      </w:pPr>
    </w:p>
    <w:p>
      <w:pPr>
        <w:ind w:right="40" w:firstLine="563"/>
        <w:spacing w:after="0" w:line="276" w:lineRule="auto"/>
        <w:rPr>
          <w:sz w:val="20"/>
          <w:szCs w:val="20"/>
          <w:color w:val="auto"/>
        </w:rPr>
      </w:pPr>
      <w:r>
        <w:rPr>
          <w:rFonts w:ascii="Arial" w:cs="Arial" w:eastAsia="Arial" w:hAnsi="Arial"/>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5" w:lineRule="exact"/>
        <w:rPr>
          <w:sz w:val="20"/>
          <w:szCs w:val="20"/>
          <w:color w:val="auto"/>
        </w:rPr>
      </w:pPr>
    </w:p>
    <w:p>
      <w:pPr>
        <w:ind w:right="160" w:firstLine="563"/>
        <w:spacing w:after="0" w:line="258" w:lineRule="auto"/>
        <w:rPr>
          <w:sz w:val="20"/>
          <w:szCs w:val="20"/>
          <w:color w:val="auto"/>
        </w:rPr>
      </w:pPr>
      <w:r>
        <w:rPr>
          <w:rFonts w:ascii="Arial" w:cs="Arial" w:eastAsia="Arial" w:hAnsi="Arial"/>
          <w:sz w:val="20"/>
          <w:szCs w:val="20"/>
          <w:color w:val="auto"/>
        </w:rPr>
        <w:t>We maintain workers’ compensation insurance to cover us for costs and expenses that we may incur due to injuries to our employees, but this insurance may not provide adequate coverage against potential liabilities. We do not maintain insurance for environmental liability or toxic tort claims that may be asserted against us.</w:t>
      </w:r>
    </w:p>
    <w:p>
      <w:pPr>
        <w:spacing w:after="0" w:line="188" w:lineRule="exact"/>
        <w:rPr>
          <w:sz w:val="20"/>
          <w:szCs w:val="20"/>
          <w:color w:val="auto"/>
        </w:rPr>
      </w:pPr>
    </w:p>
    <w:p>
      <w:pPr>
        <w:ind w:right="200" w:firstLine="563"/>
        <w:spacing w:after="0" w:line="252"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2240" w:h="15840" w:orient="portrait"/>
          <w:cols w:equalWidth="0" w:num="1">
            <w:col w:w="10140"/>
          </w:cols>
          <w:pgMar w:left="1000" w:top="1060" w:right="1100" w:bottom="210"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i w:val="1"/>
          <w:iCs w:val="1"/>
          <w:color w:val="auto"/>
        </w:rPr>
        <w:t>Government regulation of drugs outside of the United States</w:t>
      </w:r>
    </w:p>
    <w:p>
      <w:pPr>
        <w:spacing w:after="0" w:line="239" w:lineRule="exact"/>
        <w:rPr>
          <w:sz w:val="20"/>
          <w:szCs w:val="20"/>
          <w:color w:val="auto"/>
        </w:rPr>
      </w:pPr>
    </w:p>
    <w:p>
      <w:pPr>
        <w:ind w:right="180" w:firstLine="563"/>
        <w:spacing w:after="0" w:line="247" w:lineRule="auto"/>
        <w:rPr>
          <w:sz w:val="20"/>
          <w:szCs w:val="20"/>
          <w:color w:val="auto"/>
        </w:rPr>
      </w:pPr>
      <w:r>
        <w:rPr>
          <w:rFonts w:ascii="Arial" w:cs="Arial" w:eastAsia="Arial" w:hAnsi="Arial"/>
          <w:sz w:val="20"/>
          <w:szCs w:val="20"/>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94" w:lineRule="exact"/>
        <w:rPr>
          <w:sz w:val="20"/>
          <w:szCs w:val="20"/>
          <w:color w:val="auto"/>
        </w:rPr>
      </w:pPr>
    </w:p>
    <w:p>
      <w:pPr>
        <w:ind w:left="1080" w:hanging="352"/>
        <w:spacing w:after="0" w:line="26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procedure </w:t>
      </w:r>
      <w:r>
        <w:rPr>
          <w:rFonts w:ascii="Arial" w:cs="Arial" w:eastAsia="Arial" w:hAnsi="Arial"/>
          <w:sz w:val="18"/>
          <w:szCs w:val="18"/>
          <w:color w:val="auto"/>
        </w:rPr>
        <w:t>— The centralized procedure provides for the grant of a single marketing authorization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07" w:lineRule="exact"/>
        <w:rPr>
          <w:rFonts w:ascii="Arial" w:cs="Arial" w:eastAsia="Arial" w:hAnsi="Arial"/>
          <w:sz w:val="18"/>
          <w:szCs w:val="18"/>
          <w:color w:val="auto"/>
        </w:rPr>
      </w:pPr>
    </w:p>
    <w:p>
      <w:pPr>
        <w:ind w:left="1080" w:right="380" w:hanging="352"/>
        <w:spacing w:after="0" w:line="258" w:lineRule="auto"/>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National authorization procedures </w:t>
      </w:r>
      <w:r>
        <w:rPr>
          <w:rFonts w:ascii="Arial" w:cs="Arial" w:eastAsia="Arial" w:hAnsi="Arial"/>
          <w:sz w:val="20"/>
          <w:szCs w:val="20"/>
          <w:color w:val="auto"/>
        </w:rPr>
        <w:t>— There are also two other possible routes to authorize products for</w:t>
      </w:r>
      <w:r>
        <w:rPr>
          <w:rFonts w:ascii="Arial" w:cs="Arial" w:eastAsia="Arial" w:hAnsi="Arial"/>
          <w:sz w:val="20"/>
          <w:szCs w:val="20"/>
          <w:i w:val="1"/>
          <w:iCs w:val="1"/>
          <w:color w:val="auto"/>
        </w:rPr>
        <w:t xml:space="preserve"> </w:t>
      </w:r>
      <w:r>
        <w:rPr>
          <w:rFonts w:ascii="Arial" w:cs="Arial" w:eastAsia="Arial" w:hAnsi="Arial"/>
          <w:sz w:val="20"/>
          <w:szCs w:val="20"/>
          <w:color w:val="auto"/>
        </w:rPr>
        <w:t>therapeutic indications in several countries, which are available for products that fall outside the scope of the centralized procedure:</w:t>
      </w:r>
    </w:p>
    <w:p>
      <w:pPr>
        <w:spacing w:after="0" w:line="83" w:lineRule="exact"/>
        <w:rPr>
          <w:sz w:val="20"/>
          <w:szCs w:val="20"/>
          <w:color w:val="auto"/>
        </w:rPr>
      </w:pPr>
    </w:p>
    <w:p>
      <w:pPr>
        <w:jc w:val="both"/>
        <w:ind w:left="1480" w:right="80" w:hanging="493"/>
        <w:spacing w:after="0" w:line="258" w:lineRule="auto"/>
        <w:tabs>
          <w:tab w:leader="none" w:pos="14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Using the decentralized procedure, an applicant may apply for simultaneous authorization in more than one EEA country for a medicinal product that has not yet been authorized in any EEA country and that does not fall within the mandatory scope of the centralized procedure.</w:t>
      </w:r>
    </w:p>
    <w:p>
      <w:pPr>
        <w:spacing w:after="0" w:line="82" w:lineRule="exact"/>
        <w:rPr>
          <w:rFonts w:ascii="Arial" w:cs="Arial" w:eastAsia="Arial" w:hAnsi="Arial"/>
          <w:sz w:val="20"/>
          <w:szCs w:val="20"/>
          <w:color w:val="auto"/>
        </w:rPr>
      </w:pPr>
    </w:p>
    <w:p>
      <w:pPr>
        <w:ind w:left="1480" w:right="160" w:hanging="493"/>
        <w:spacing w:after="0" w:line="252" w:lineRule="auto"/>
        <w:tabs>
          <w:tab w:leader="none" w:pos="14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Using the mutual recognition procedure, a medicine is first authorized in one EEA country, in accordance with the national procedures of that country. Following this, additional marketing authorizations can be sought from other EEA countries in a procedure whereby the countries concerned recognize the validity of the original, national marketing authorization.</w:t>
      </w:r>
    </w:p>
    <w:p>
      <w:pPr>
        <w:spacing w:after="0" w:line="194" w:lineRule="exact"/>
        <w:rPr>
          <w:sz w:val="20"/>
          <w:szCs w:val="20"/>
          <w:color w:val="auto"/>
        </w:rPr>
      </w:pPr>
    </w:p>
    <w:p>
      <w:pPr>
        <w:ind w:right="160" w:firstLine="563"/>
        <w:spacing w:after="0" w:line="258" w:lineRule="auto"/>
        <w:rPr>
          <w:sz w:val="20"/>
          <w:szCs w:val="20"/>
          <w:color w:val="auto"/>
        </w:rPr>
      </w:pPr>
      <w:r>
        <w:rPr>
          <w:rFonts w:ascii="Arial" w:cs="Arial" w:eastAsia="Arial" w:hAnsi="Arial"/>
          <w:sz w:val="20"/>
          <w:szCs w:val="20"/>
          <w:color w:val="auto"/>
        </w:rPr>
        <w:t>In both cases, as with the centralized procedure, the competent authorities of the EEA countries assess the risk-benefit balance of the product on the basis of scientific criteria concerning its quality, safety and efficacy before granting the marketing authorization.</w:t>
      </w:r>
    </w:p>
    <w:p>
      <w:pPr>
        <w:spacing w:after="0" w:line="188" w:lineRule="exact"/>
        <w:rPr>
          <w:sz w:val="20"/>
          <w:szCs w:val="20"/>
          <w:color w:val="auto"/>
        </w:rPr>
      </w:pPr>
    </w:p>
    <w:p>
      <w:pPr>
        <w:ind w:right="40" w:firstLine="563"/>
        <w:spacing w:after="0" w:line="276" w:lineRule="auto"/>
        <w:rPr>
          <w:sz w:val="20"/>
          <w:szCs w:val="20"/>
          <w:color w:val="auto"/>
        </w:rPr>
      </w:pPr>
      <w:r>
        <w:rPr>
          <w:rFonts w:ascii="Arial" w:cs="Arial" w:eastAsia="Arial" w:hAnsi="Arial"/>
          <w:sz w:val="18"/>
          <w:szCs w:val="18"/>
          <w:color w:val="auto"/>
        </w:rPr>
        <w:t>Now that the United Kingdom, or UK, has left the EU, the UK is no longer covered by the EU procedures for the grant of marketing authorizations under the centralized EU procedure and a separate marketing authorization is therefore required to market drugs in the UK. However, although a separate marketing authorization is required to market a product in the UK, on January 1, 2024, the Medicines and Healthcare Products Regulatory Agency, or MHRA, put in place a new international recognition framework which means that the MHRA may have regard to decisions on the approval of marketing authorizations made by the EMA and certain other regulators when determining an application for a new UK marketing authorization. As a result of the Northern Ireland protocol, following Brexit, the EMA remained responsible for approving novel medicines for supply in Northern Ireland under the EU centralized procedure, and a separate authorization was required</w:t>
      </w:r>
    </w:p>
    <w:p>
      <w:pPr>
        <w:sectPr>
          <w:pgSz w:w="12240" w:h="15840" w:orient="portrait"/>
          <w:cols w:equalWidth="0" w:num="1">
            <w:col w:w="10160"/>
          </w:cols>
          <w:pgMar w:left="1000" w:top="1060" w:right="1080" w:bottom="21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10160"/>
          </w:cols>
          <w:pgMar w:left="1000" w:top="1060" w:right="1080" w:bottom="210" w:gutter="0" w:footer="0" w:header="0"/>
          <w:type w:val="continuous"/>
        </w:sectPr>
      </w:pPr>
    </w:p>
    <w:bookmarkStart w:id="34" w:name="page35"/>
    <w:bookmarkEnd w:id="34"/>
    <w:p>
      <w:pPr>
        <w:ind w:right="300"/>
        <w:spacing w:after="0" w:line="260" w:lineRule="auto"/>
        <w:rPr>
          <w:sz w:val="20"/>
          <w:szCs w:val="20"/>
          <w:color w:val="auto"/>
        </w:rPr>
      </w:pPr>
      <w:r>
        <w:rPr>
          <w:rFonts w:ascii="Arial" w:cs="Arial" w:eastAsia="Arial" w:hAnsi="Arial"/>
          <w:sz w:val="19"/>
          <w:szCs w:val="19"/>
          <w:color w:val="auto"/>
        </w:rPr>
        <w:t>to supply the same medicine in Great Britain (England, Wales and Scotland). However, on January 1, 2025, a new arrangement called the "Windsor Framework" came into effect and placed medicinal products supplied to Northern Ireland largely under the regulatory authority of the MHRA. The Windsor Framework removes EU licensing processes and certain EU labeling and serialization requirements for medicines supplied to Northern Ireland and introduces a UK-wide licensing process for medicines. A single United Kingdom-wide marketing authorization will be granted by the MHRA for all novel medicinal products to be sold in the United Kingdom, enabling products to be sold in a single pack and under a single authorization throughout the United Kingdom. In addition, the new arrangements require all medicines placed on the UK market to be labelled “UK only”, indicating they are not for sale in the EU.</w:t>
      </w:r>
    </w:p>
    <w:p>
      <w:pPr>
        <w:spacing w:after="0" w:line="186" w:lineRule="exact"/>
        <w:rPr>
          <w:sz w:val="20"/>
          <w:szCs w:val="20"/>
          <w:color w:val="auto"/>
        </w:rPr>
      </w:pPr>
    </w:p>
    <w:p>
      <w:pPr>
        <w:ind w:right="120" w:firstLine="563"/>
        <w:spacing w:after="0" w:line="272" w:lineRule="auto"/>
        <w:rPr>
          <w:sz w:val="20"/>
          <w:szCs w:val="20"/>
          <w:color w:val="auto"/>
        </w:rPr>
      </w:pPr>
      <w:r>
        <w:rPr>
          <w:rFonts w:ascii="Arial" w:cs="Arial" w:eastAsia="Arial" w:hAnsi="Arial"/>
          <w:sz w:val="18"/>
          <w:szCs w:val="18"/>
          <w:color w:val="auto"/>
        </w:rPr>
        <w:t>In the EU, new products that are authorized for marketing (</w:t>
      </w:r>
      <w:r>
        <w:rPr>
          <w:rFonts w:ascii="Arial" w:cs="Arial" w:eastAsia="Arial" w:hAnsi="Arial"/>
          <w:sz w:val="18"/>
          <w:szCs w:val="18"/>
          <w:i w:val="1"/>
          <w:iCs w:val="1"/>
          <w:color w:val="auto"/>
        </w:rPr>
        <w:t>i.e.</w:t>
      </w:r>
      <w:r>
        <w:rPr>
          <w:rFonts w:ascii="Arial" w:cs="Arial" w:eastAsia="Arial" w:hAnsi="Arial"/>
          <w:sz w:val="18"/>
          <w:szCs w:val="18"/>
          <w:color w:val="auto"/>
        </w:rPr>
        <w:t>, reference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EU during a period of eight years from the date on which the innovator product was first authorized in the EU. The additional two-year period of market exclusivity period prevents a successful generic or biosimilar applicant from commercializing its product in the EU until ten years have elapsed from the initial authorization of the reference product in the EU.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81" w:lineRule="exact"/>
        <w:rPr>
          <w:sz w:val="20"/>
          <w:szCs w:val="20"/>
          <w:color w:val="auto"/>
        </w:rPr>
      </w:pPr>
    </w:p>
    <w:p>
      <w:pPr>
        <w:ind w:right="20" w:firstLine="563"/>
        <w:spacing w:after="0" w:line="256" w:lineRule="auto"/>
        <w:rPr>
          <w:sz w:val="20"/>
          <w:szCs w:val="20"/>
          <w:color w:val="auto"/>
        </w:rPr>
      </w:pPr>
      <w:r>
        <w:rPr>
          <w:rFonts w:ascii="Arial" w:cs="Arial" w:eastAsia="Arial" w:hAnsi="Arial"/>
          <w:sz w:val="19"/>
          <w:szCs w:val="19"/>
          <w:color w:val="auto"/>
        </w:rPr>
        <w:t>The criteria for designating an “orphan medicinal product” in the EU are similar in principle to those in the United States. In the EU, under Article 3 of Regulation (EC) 141/2000,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EU when the application is made, or (b) it is unlikely that the product, without the benefits derived from orphan status, would generate sufficient return in the EU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 for pediatric studies. Orphan drug designation does not convey any advantage in, or shorten the duration of, the regulatory review and approval process.</w:t>
      </w:r>
    </w:p>
    <w:p>
      <w:pPr>
        <w:spacing w:after="0" w:line="197" w:lineRule="exact"/>
        <w:rPr>
          <w:sz w:val="20"/>
          <w:szCs w:val="20"/>
          <w:color w:val="auto"/>
        </w:rPr>
      </w:pPr>
    </w:p>
    <w:p>
      <w:pPr>
        <w:ind w:right="60" w:firstLine="563"/>
        <w:spacing w:after="0" w:line="278" w:lineRule="auto"/>
        <w:rPr>
          <w:sz w:val="20"/>
          <w:szCs w:val="20"/>
          <w:color w:val="auto"/>
        </w:rPr>
      </w:pPr>
      <w:r>
        <w:rPr>
          <w:rFonts w:ascii="Arial" w:cs="Arial" w:eastAsia="Arial" w:hAnsi="Arial"/>
          <w:sz w:val="20"/>
          <w:szCs w:val="20"/>
          <w:color w:val="auto"/>
        </w:rPr>
        <w:t>Similar to the United States, the various phases of non-clinical and clinical research in the EU are subject to significant regulatory controls.</w:t>
      </w:r>
    </w:p>
    <w:p>
      <w:pPr>
        <w:spacing w:after="0" w:line="167" w:lineRule="exact"/>
        <w:rPr>
          <w:sz w:val="20"/>
          <w:szCs w:val="20"/>
          <w:color w:val="auto"/>
        </w:rPr>
      </w:pPr>
    </w:p>
    <w:p>
      <w:pPr>
        <w:ind w:firstLine="563"/>
        <w:spacing w:after="0" w:line="256" w:lineRule="auto"/>
        <w:rPr>
          <w:sz w:val="20"/>
          <w:szCs w:val="20"/>
          <w:color w:val="auto"/>
        </w:rPr>
      </w:pPr>
      <w:r>
        <w:rPr>
          <w:rFonts w:ascii="Arial" w:cs="Arial" w:eastAsia="Arial" w:hAnsi="Arial"/>
          <w:sz w:val="19"/>
          <w:szCs w:val="19"/>
          <w:color w:val="auto"/>
        </w:rPr>
        <w:t>The system for the approval of clinical trials in the EU is governed by the EU Clinical Trials Regulation 536/2014.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EU Clinical Trials Regulation (which replaced the previous Clinical Trials Directive 2001/20/EC on January 31, 2022) is directly applicable in all Member States (and so does not require national implementing legislation in each Member State) and aims at simplifying and streamlining the approval of clinical studies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 Part I is assessed by a coordinated review by the competent authorities of all EU Member States in which an application for authorization of a clinical trial has been submitted (“Member States concerned”) of a draft report prepared by a reporting Member State. Part II is assessed separately by each Member State concerned. Strict deadlines have also been established for the assessment of clinical trial applications.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All of the aforementioned EU rules are generally applicable in the EEA.</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0140"/>
          </w:cols>
          <w:pgMar w:left="1000" w:top="1060" w:right="1100" w:bottom="210" w:gutter="0" w:footer="0" w:header="0"/>
          <w:type w:val="continuous"/>
        </w:sectPr>
      </w:pPr>
    </w:p>
    <w:bookmarkStart w:id="35" w:name="page36"/>
    <w:bookmarkEnd w:id="35"/>
    <w:p>
      <w:pPr>
        <w:ind w:firstLine="563"/>
        <w:spacing w:after="0" w:line="247" w:lineRule="auto"/>
        <w:rPr>
          <w:sz w:val="20"/>
          <w:szCs w:val="20"/>
          <w:color w:val="auto"/>
        </w:rPr>
      </w:pPr>
      <w:r>
        <w:rPr>
          <w:rFonts w:ascii="Arial" w:cs="Arial" w:eastAsia="Arial" w:hAnsi="Arial"/>
          <w:sz w:val="20"/>
          <w:szCs w:val="20"/>
          <w:color w:val="auto"/>
        </w:rPr>
        <w:t>The European Commission introduced legislative proposals in April 2023 that, if implemented, will replace the current regulatory framework in the EU for all medicines (including those for rare diseases and for children) .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regulation of data collection outside of the United States</w:t>
      </w:r>
    </w:p>
    <w:p>
      <w:pPr>
        <w:spacing w:after="0" w:line="239" w:lineRule="exact"/>
        <w:rPr>
          <w:sz w:val="20"/>
          <w:szCs w:val="20"/>
          <w:color w:val="auto"/>
        </w:rPr>
      </w:pPr>
    </w:p>
    <w:p>
      <w:pPr>
        <w:ind w:right="40" w:firstLine="563"/>
        <w:spacing w:after="0" w:line="269" w:lineRule="auto"/>
        <w:rPr>
          <w:sz w:val="20"/>
          <w:szCs w:val="20"/>
          <w:color w:val="auto"/>
        </w:rPr>
      </w:pPr>
      <w:r>
        <w:rPr>
          <w:rFonts w:ascii="Arial" w:cs="Arial" w:eastAsia="Arial" w:hAnsi="Arial"/>
          <w:sz w:val="18"/>
          <w:szCs w:val="18"/>
          <w:color w:val="auto"/>
        </w:rPr>
        <w:t>We conduct clinical trials in the EU, and as a result are subject to additional privacy restrictions in relation to those clinical trials. The collection and use of personal health data in the EEA is governed by the General Data Protection Regulation 2016/679, or the EU GDPR, and national implementing laws. Switzerland has passed similar laws, and following the UK’s decision to leave the EU, the UK has enacted legislation which is substantially aligned with the GDPR, by virtue of the EU (Withdrawal) Act 2018, as amended (together with the EU GDPR, the GDPR). The GDPR applies to the processing of personal data by any company established in the EEA or UK and to companies established outside the EEA or UK to the extent they process personal data in connection with the offering of goods or services to data subjects in the EEA or UK, or the monitoring of the behavior of data subjects in the EEA or UK. The GDPR enhances data protection obligations for data controllers of personal data, including strict requirements relating to the processing of sensitive data (such as health data), ensuring there is a legal basis or condition to justify the processing of personal data, stringent requirements relating to the consent of data subjects (where required),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or UK to countries that do not ensure an adequate level of protection, like the United States. Failure to comply with the requirements of the GDPR and the related national data protection laws of the EU Member States, the UK,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Maintaining compliance with the GDPR will continue to require significant time, resources and expense. There has been limited enforcement of the GDPR to date in biopharmaceutical development, so we face uncertainty as to the exact interpretation of the new requirements on any current and future trials and we may be unsuccessful in implementing and maintaining all measures required by data protection authorities or courts in interpretation of the law.</w:t>
      </w:r>
    </w:p>
    <w:p>
      <w:pPr>
        <w:spacing w:after="0" w:line="195" w:lineRule="exact"/>
        <w:rPr>
          <w:sz w:val="20"/>
          <w:szCs w:val="20"/>
          <w:color w:val="auto"/>
        </w:rPr>
      </w:pPr>
    </w:p>
    <w:p>
      <w:pPr>
        <w:ind w:right="80" w:firstLine="563"/>
        <w:spacing w:after="0" w:line="245" w:lineRule="auto"/>
        <w:rPr>
          <w:sz w:val="20"/>
          <w:szCs w:val="20"/>
          <w:color w:val="auto"/>
        </w:rPr>
      </w:pPr>
      <w:r>
        <w:rPr>
          <w:rFonts w:ascii="Arial" w:cs="Arial" w:eastAsia="Arial" w:hAnsi="Arial"/>
          <w:sz w:val="20"/>
          <w:szCs w:val="20"/>
          <w:color w:val="auto"/>
        </w:rPr>
        <w:t>Further, since the UK’s decision to leave the EU, the UK is now regarded as a “third country” for the purposes of transfers of personal data from the EEA. The European Commission has, however, issued an adequacy decision recognizing the UK as providing adequate data protection and, therefore, transfers of personal data originating in the EEA to the UK remain unrestricted. Likewise, the UK government has confirmed that personal data transfers from the UK to the EEA remain free flowing. However, the UK government is planning to reform its data protection law with the Data (Use and Access) Bill, which it introduced to Parliament on 24 October 2024. These potential future changes to UK data protection laws may alter the similarities between the UK and EEA data protection regime and threaten the UK adequacy decision from the European Commission.</w:t>
      </w:r>
    </w:p>
    <w:p>
      <w:pPr>
        <w:spacing w:after="0" w:line="201" w:lineRule="exact"/>
        <w:rPr>
          <w:sz w:val="20"/>
          <w:szCs w:val="20"/>
          <w:color w:val="auto"/>
        </w:rPr>
      </w:pPr>
    </w:p>
    <w:p>
      <w:pPr>
        <w:ind w:right="160" w:firstLine="563"/>
        <w:spacing w:after="0" w:line="247" w:lineRule="auto"/>
        <w:rPr>
          <w:sz w:val="20"/>
          <w:szCs w:val="20"/>
          <w:color w:val="auto"/>
        </w:rPr>
      </w:pPr>
      <w:r>
        <w:rPr>
          <w:rFonts w:ascii="Arial" w:cs="Arial" w:eastAsia="Arial" w:hAnsi="Arial"/>
          <w:sz w:val="20"/>
          <w:szCs w:val="20"/>
          <w:color w:val="auto"/>
        </w:rPr>
        <w:t>Data protection authority activity differs across the EU and UK,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200" w:lineRule="exact"/>
        <w:rPr>
          <w:sz w:val="20"/>
          <w:szCs w:val="20"/>
          <w:color w:val="auto"/>
        </w:rPr>
      </w:pPr>
    </w:p>
    <w:p>
      <w:pPr>
        <w:ind w:right="180" w:firstLine="563"/>
        <w:spacing w:after="0" w:line="336" w:lineRule="auto"/>
        <w:rPr>
          <w:sz w:val="20"/>
          <w:szCs w:val="20"/>
          <w:color w:val="auto"/>
        </w:rPr>
      </w:pPr>
      <w:r>
        <w:rPr>
          <w:rFonts w:ascii="Arial" w:cs="Arial" w:eastAsia="Arial" w:hAnsi="Arial"/>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4" w:lineRule="exact"/>
        <w:rPr>
          <w:sz w:val="20"/>
          <w:szCs w:val="20"/>
          <w:color w:val="auto"/>
        </w:rPr>
      </w:pPr>
    </w:p>
    <w:p>
      <w:pPr>
        <w:ind w:right="100" w:firstLine="563"/>
        <w:spacing w:after="0" w:line="289" w:lineRule="auto"/>
        <w:rPr>
          <w:sz w:val="20"/>
          <w:szCs w:val="20"/>
          <w:color w:val="auto"/>
        </w:rPr>
      </w:pPr>
      <w:r>
        <w:rPr>
          <w:rFonts w:ascii="Arial" w:cs="Arial" w:eastAsia="Arial" w:hAnsi="Arial"/>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Amgen, Bristol Myers Squibb (BMS), Gilead, GlaxoSmithKline, Merck KGaA, Pfizer, Lilly and Roche. Smaller and earlier-stage companies</w:t>
      </w:r>
    </w:p>
    <w:p>
      <w:pPr>
        <w:sectPr>
          <w:pgSz w:w="12240" w:h="15840" w:orient="portrait"/>
          <w:cols w:equalWidth="0" w:num="1">
            <w:col w:w="10140"/>
          </w:cols>
          <w:pgMar w:left="1000" w:top="1060" w:right="1100" w:bottom="21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2240" w:h="15840" w:orient="portrait"/>
          <w:cols w:equalWidth="0" w:num="1">
            <w:col w:w="10140"/>
          </w:cols>
          <w:pgMar w:left="1000" w:top="1060" w:right="1100" w:bottom="210" w:gutter="0" w:footer="0" w:header="0"/>
          <w:type w:val="continuous"/>
        </w:sectPr>
      </w:pPr>
    </w:p>
    <w:bookmarkStart w:id="36" w:name="page37"/>
    <w:bookmarkEnd w:id="36"/>
    <w:p>
      <w:pPr>
        <w:ind w:right="560"/>
        <w:spacing w:after="0" w:line="277" w:lineRule="auto"/>
        <w:rPr>
          <w:sz w:val="20"/>
          <w:szCs w:val="20"/>
          <w:color w:val="auto"/>
        </w:rPr>
      </w:pPr>
      <w:r>
        <w:rPr>
          <w:rFonts w:ascii="Arial" w:cs="Arial" w:eastAsia="Arial" w:hAnsi="Arial"/>
          <w:sz w:val="20"/>
          <w:szCs w:val="20"/>
          <w:color w:val="auto"/>
        </w:rPr>
        <w:t>focused on synthetic lethality include Artios Pharma, BeOne, Exelixis, IDEAYA Biosciences, Repare Therapeutics and Servier Pharmaceuticals.</w:t>
      </w:r>
    </w:p>
    <w:p>
      <w:pPr>
        <w:spacing w:after="0" w:line="169" w:lineRule="exact"/>
        <w:rPr>
          <w:sz w:val="20"/>
          <w:szCs w:val="20"/>
          <w:color w:val="auto"/>
        </w:rPr>
      </w:pPr>
    </w:p>
    <w:p>
      <w:pPr>
        <w:ind w:firstLine="563"/>
        <w:spacing w:after="0" w:line="246" w:lineRule="auto"/>
        <w:rPr>
          <w:sz w:val="20"/>
          <w:szCs w:val="20"/>
          <w:color w:val="auto"/>
        </w:rPr>
      </w:pPr>
      <w:r>
        <w:rPr>
          <w:rFonts w:ascii="Arial" w:cs="Arial" w:eastAsia="Arial" w:hAnsi="Arial"/>
          <w:sz w:val="20"/>
          <w:szCs w:val="20"/>
          <w:color w:val="auto"/>
        </w:rPr>
        <w:t>Our PRMT5 inhibitor program, which includes vopimetostat and TNG456, will face direct competition from companies that have clinical-stage, MTA-cooperative PRMT5 inhibitors that are selective for MTAP-deleted cancers. We are aware that BMS (which acquired Mirati Therapeutics, Inc., or Mirati), Amgen, AstraZeneca, BeOne and Abbisko are in Phase 1/2 clinical trials with MTA-cooperative PRMT5 inhibitor programs, using the same mechanism of action as vopimetostat and TNG456. There may be additional competition from other drug candidates not yet in clinic trials, such as Gilead Sciences and IDEAYA Biosciences. Currently, there are no MTA-cooperative PRMT5 inhibitors that are authorized for marketing by any regulatory authority.</w:t>
      </w:r>
    </w:p>
    <w:p>
      <w:pPr>
        <w:spacing w:after="0" w:line="200" w:lineRule="exact"/>
        <w:rPr>
          <w:sz w:val="20"/>
          <w:szCs w:val="20"/>
          <w:color w:val="auto"/>
        </w:rPr>
      </w:pPr>
    </w:p>
    <w:p>
      <w:pPr>
        <w:ind w:right="80" w:firstLine="563"/>
        <w:spacing w:after="0" w:line="249" w:lineRule="auto"/>
        <w:rPr>
          <w:sz w:val="20"/>
          <w:szCs w:val="20"/>
          <w:color w:val="auto"/>
        </w:rPr>
      </w:pPr>
      <w:r>
        <w:rPr>
          <w:rFonts w:ascii="Arial" w:cs="Arial" w:eastAsia="Arial" w:hAnsi="Arial"/>
          <w:sz w:val="20"/>
          <w:szCs w:val="20"/>
          <w:color w:val="auto"/>
        </w:rPr>
        <w:t>Indirect competition may come from MAT2A inhibitor programs that are uniquely different than the vopimetostat and TNG456 mechanism of action but are synthetic lethal with MTAP-deletions. MAT2A is an enzyme upstream of PRMT5 essential for the metabolism of the PRMT5 co-factor SAM that acts on the same pathway as vopimetostat and TNG456. We are aware that IDEAYA Biosciences, BeOne, Insilico Medicine and Servier Pharmaceuticals have clinical MAT2A inhibitor programs.</w:t>
      </w:r>
    </w:p>
    <w:p>
      <w:pPr>
        <w:spacing w:after="0" w:line="197" w:lineRule="exact"/>
        <w:rPr>
          <w:sz w:val="20"/>
          <w:szCs w:val="20"/>
          <w:color w:val="auto"/>
        </w:rPr>
      </w:pPr>
    </w:p>
    <w:p>
      <w:pPr>
        <w:ind w:right="20" w:firstLine="563"/>
        <w:spacing w:after="0" w:line="278" w:lineRule="auto"/>
        <w:rPr>
          <w:sz w:val="20"/>
          <w:szCs w:val="20"/>
          <w:color w:val="auto"/>
        </w:rPr>
      </w:pPr>
      <w:r>
        <w:rPr>
          <w:rFonts w:ascii="Arial" w:cs="Arial" w:eastAsia="Arial" w:hAnsi="Arial"/>
          <w:sz w:val="19"/>
          <w:szCs w:val="19"/>
          <w:color w:val="auto"/>
        </w:rPr>
        <w:t>We are not aware of any competition from other companies developing a similar mechanism as TNG260, our CoREST inhibitor program. Indirect competition may come from LSD1 inhibitor programs that target a different class of HDAC inhibitors than TNG260. We are aware that Jubilant Therapeutics has an LSD1-HDAC6 clinical program.</w:t>
      </w:r>
    </w:p>
    <w:p>
      <w:pPr>
        <w:spacing w:after="0" w:line="171" w:lineRule="exact"/>
        <w:rPr>
          <w:sz w:val="20"/>
          <w:szCs w:val="20"/>
          <w:color w:val="auto"/>
        </w:rPr>
      </w:pPr>
    </w:p>
    <w:p>
      <w:pPr>
        <w:ind w:right="20" w:firstLine="563"/>
        <w:spacing w:after="0" w:line="272" w:lineRule="auto"/>
        <w:rPr>
          <w:sz w:val="20"/>
          <w:szCs w:val="20"/>
          <w:color w:val="auto"/>
        </w:rPr>
      </w:pPr>
      <w:r>
        <w:rPr>
          <w:rFonts w:ascii="Arial" w:cs="Arial" w:eastAsia="Arial" w:hAnsi="Arial"/>
          <w:sz w:val="18"/>
          <w:szCs w:val="18"/>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If any of our product candidates are approved, they may compete with these existing drugs and other therapies, and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85" w:lineRule="exact"/>
        <w:rPr>
          <w:sz w:val="20"/>
          <w:szCs w:val="20"/>
          <w:color w:val="auto"/>
        </w:rPr>
      </w:pPr>
    </w:p>
    <w:p>
      <w:pPr>
        <w:ind w:right="60" w:firstLine="563"/>
        <w:spacing w:after="0" w:line="278" w:lineRule="auto"/>
        <w:rPr>
          <w:sz w:val="20"/>
          <w:szCs w:val="20"/>
          <w:color w:val="auto"/>
        </w:rPr>
      </w:pPr>
      <w:r>
        <w:rPr>
          <w:rFonts w:ascii="Arial" w:cs="Arial" w:eastAsia="Arial" w:hAnsi="Arial"/>
          <w:sz w:val="18"/>
          <w:szCs w:val="18"/>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 -stage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243" w:lineRule="exact"/>
        <w:rPr>
          <w:sz w:val="20"/>
          <w:szCs w:val="20"/>
          <w:color w:val="auto"/>
        </w:rPr>
      </w:pPr>
    </w:p>
    <w:p>
      <w:pPr>
        <w:ind w:right="40" w:firstLine="563"/>
        <w:spacing w:after="0" w:line="247" w:lineRule="auto"/>
        <w:rPr>
          <w:sz w:val="20"/>
          <w:szCs w:val="20"/>
          <w:color w:val="auto"/>
        </w:rPr>
      </w:pPr>
      <w:r>
        <w:rPr>
          <w:rFonts w:ascii="Arial" w:cs="Arial" w:eastAsia="Arial" w:hAnsi="Arial"/>
          <w:sz w:val="20"/>
          <w:szCs w:val="20"/>
          <w:color w:val="auto"/>
        </w:rPr>
        <w:t>Attracting and retaining qualified and experienced employees in research and development, clinical, manufacturing, regulatory,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200" w:lineRule="exact"/>
        <w:rPr>
          <w:sz w:val="20"/>
          <w:szCs w:val="20"/>
          <w:color w:val="auto"/>
        </w:rPr>
      </w:pPr>
    </w:p>
    <w:p>
      <w:pPr>
        <w:ind w:right="260" w:firstLine="563"/>
        <w:spacing w:after="0" w:line="301" w:lineRule="auto"/>
        <w:rPr>
          <w:sz w:val="20"/>
          <w:szCs w:val="20"/>
          <w:color w:val="auto"/>
        </w:rPr>
      </w:pPr>
      <w:r>
        <w:rPr>
          <w:rFonts w:ascii="Arial" w:cs="Arial" w:eastAsia="Arial" w:hAnsi="Arial"/>
          <w:sz w:val="18"/>
          <w:szCs w:val="18"/>
          <w:color w:val="auto"/>
        </w:rPr>
        <w:t>As of December 31, 2025, we had 137 full-time employees. 97 employees are engaged in research and development and 40 are engaged in business development, finance, legal, and general management and administration. None of our employees are represented by labor unions or covered by collective bargaining agreements.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Talent Acquisition and Employee Development</w:t>
      </w:r>
    </w:p>
    <w:p>
      <w:pPr>
        <w:spacing w:after="0" w:line="240" w:lineRule="exact"/>
        <w:rPr>
          <w:sz w:val="20"/>
          <w:szCs w:val="20"/>
          <w:color w:val="auto"/>
        </w:rPr>
      </w:pPr>
    </w:p>
    <w:p>
      <w:pPr>
        <w:ind w:right="20" w:firstLine="563"/>
        <w:spacing w:after="0" w:line="368" w:lineRule="auto"/>
        <w:rPr>
          <w:sz w:val="20"/>
          <w:szCs w:val="20"/>
          <w:color w:val="auto"/>
        </w:rPr>
      </w:pPr>
      <w:r>
        <w:rPr>
          <w:rFonts w:ascii="Arial" w:cs="Arial" w:eastAsia="Arial" w:hAnsi="Arial"/>
          <w:sz w:val="17"/>
          <w:szCs w:val="17"/>
          <w:color w:val="auto"/>
        </w:rPr>
        <w:t>Our principal talent acquisition goal is to attract, retain, and develop the highest quality talent. As we build our organization beyond drug discovery and drug development, our goals have been extended to include establishing an employee</w:t>
      </w:r>
    </w:p>
    <w:p>
      <w:pPr>
        <w:sectPr>
          <w:pgSz w:w="12240" w:h="15840" w:orient="portrait"/>
          <w:cols w:equalWidth="0" w:num="1">
            <w:col w:w="10120"/>
          </w:cols>
          <w:pgMar w:left="1000" w:top="1060" w:right="1120" w:bottom="21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10120"/>
          </w:cols>
          <w:pgMar w:left="1000" w:top="1060" w:right="1120" w:bottom="210" w:gutter="0" w:footer="0" w:header="0"/>
          <w:type w:val="continuous"/>
        </w:sectPr>
      </w:pPr>
    </w:p>
    <w:bookmarkStart w:id="37" w:name="page38"/>
    <w:bookmarkEnd w:id="37"/>
    <w:p>
      <w:pPr>
        <w:ind w:right="40"/>
        <w:spacing w:after="0" w:line="244" w:lineRule="auto"/>
        <w:rPr>
          <w:sz w:val="20"/>
          <w:szCs w:val="20"/>
          <w:color w:val="auto"/>
        </w:rPr>
      </w:pPr>
      <w:r>
        <w:rPr>
          <w:rFonts w:ascii="Arial" w:cs="Arial" w:eastAsia="Arial" w:hAnsi="Arial"/>
          <w:sz w:val="20"/>
          <w:szCs w:val="20"/>
          <w:color w:val="auto"/>
        </w:rPr>
        <w:t>base that will allow us to efficiently move our pipeline products through clinical trials, regulatory approvals and into the markets where we can help patients and their families and, simultaneously, to have employees that provide diverse backgrounds and ideas, are trained to operate and act at the highest standards of ethics and integrity, and are dedicated to achieve the highest level of innovation and to advance precision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engaging and inclusive; and retain and develop talent that embody our core values.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Diversity</w:t>
      </w:r>
    </w:p>
    <w:p>
      <w:pPr>
        <w:spacing w:after="0" w:line="239" w:lineRule="exact"/>
        <w:rPr>
          <w:sz w:val="20"/>
          <w:szCs w:val="20"/>
          <w:color w:val="auto"/>
        </w:rPr>
      </w:pPr>
    </w:p>
    <w:p>
      <w:pPr>
        <w:ind w:firstLine="563"/>
        <w:spacing w:after="0" w:line="247" w:lineRule="auto"/>
        <w:rPr>
          <w:sz w:val="20"/>
          <w:szCs w:val="20"/>
          <w:color w:val="auto"/>
        </w:rPr>
      </w:pPr>
      <w:r>
        <w:rPr>
          <w:rFonts w:ascii="Arial" w:cs="Arial" w:eastAsia="Arial" w:hAnsi="Arial"/>
          <w:sz w:val="20"/>
          <w:szCs w:val="20"/>
          <w:color w:val="auto"/>
        </w:rPr>
        <w:t>Our employees represent a broad set of backgrounds, perspectives and experiences. We attribute a significant aspect of our early growth and success to the diversity that our employees bring with them to their professional roles. We view our culture, which includes a commitment to diversity, equity and inclusion, as the foundation upon which we are building a leading synthetic lethality business that strives to make advances in oncology care, all with the objective of benefiting patients. We are focused on building a work environment in which employees can express themselves and have a voice in how we operate.</w:t>
      </w:r>
    </w:p>
    <w:p>
      <w:pPr>
        <w:spacing w:after="0" w:line="200" w:lineRule="exact"/>
        <w:rPr>
          <w:sz w:val="20"/>
          <w:szCs w:val="20"/>
          <w:color w:val="auto"/>
        </w:rPr>
      </w:pPr>
    </w:p>
    <w:p>
      <w:pPr>
        <w:ind w:right="20" w:firstLine="563"/>
        <w:spacing w:after="0" w:line="275" w:lineRule="auto"/>
        <w:rPr>
          <w:sz w:val="20"/>
          <w:szCs w:val="20"/>
          <w:color w:val="auto"/>
        </w:rPr>
      </w:pPr>
      <w:r>
        <w:rPr>
          <w:rFonts w:ascii="Arial" w:cs="Arial" w:eastAsia="Arial" w:hAnsi="Arial"/>
          <w:sz w:val="18"/>
          <w:szCs w:val="18"/>
          <w:color w:val="auto"/>
        </w:rPr>
        <w:t>Our commitment to diversity, equity, inclusion, and belonging is an integral part of our corporate culture, embedded within our overall operational framework. We view diversity through a broad lens that encompasses cultural, ethnic, gender, sexual orientation, experiences, world views, and backgrounds, with the goal of fostering a truly inclusive environment. Our recruiting program also aims to ensure that our workforce reflects a wide range of experiences, backgrounds and perspectives. We regularly highlight our employees' diverse backgrounds, experiences, and traditions through in-office events, ensuring that inclusiveness is a daily practice. Our inclusive environment is further supported by multiple forums that encourage employees to share their opinions, including engagement surveys and Tips for Tango (an initiative that was instituted to allow employees to submit suggestions to improve any aspect of our work environment, work processes or culture). Utilizing insights from these activities, we are committed to fostering a workplace where inclusiveness and belonging are foundational.</w:t>
      </w:r>
    </w:p>
    <w:p>
      <w:pPr>
        <w:spacing w:after="0" w:line="175" w:lineRule="exact"/>
        <w:rPr>
          <w:sz w:val="20"/>
          <w:szCs w:val="20"/>
          <w:color w:val="auto"/>
        </w:rPr>
      </w:pPr>
    </w:p>
    <w:p>
      <w:pPr>
        <w:ind w:right="40" w:firstLine="563"/>
        <w:spacing w:after="0" w:line="252" w:lineRule="auto"/>
        <w:rPr>
          <w:sz w:val="20"/>
          <w:szCs w:val="20"/>
          <w:color w:val="auto"/>
        </w:rPr>
      </w:pPr>
      <w:r>
        <w:rPr>
          <w:rFonts w:ascii="Arial" w:cs="Arial" w:eastAsia="Arial" w:hAnsi="Arial"/>
          <w:sz w:val="20"/>
          <w:szCs w:val="20"/>
          <w:color w:val="auto"/>
        </w:rPr>
        <w:t>Further, the Nominating and Corporate Governance Committee charter sets forth specific guidelines that the Committee will use in evaluating future individuals for nomination to the Board of Directors. Among the identified factors the Committee is to consider in nominating a candidate is the diversity of a candidate. The Board recognizes that diversity plays an important role in its functioning and operations.</w:t>
      </w:r>
    </w:p>
    <w:p>
      <w:pPr>
        <w:spacing w:after="0" w:line="194" w:lineRule="exact"/>
        <w:rPr>
          <w:sz w:val="20"/>
          <w:szCs w:val="20"/>
          <w:color w:val="auto"/>
        </w:rPr>
      </w:pPr>
    </w:p>
    <w:p>
      <w:pPr>
        <w:ind w:right="520" w:firstLine="563"/>
        <w:spacing w:after="0" w:line="278" w:lineRule="auto"/>
        <w:rPr>
          <w:sz w:val="20"/>
          <w:szCs w:val="20"/>
          <w:color w:val="auto"/>
        </w:rPr>
      </w:pPr>
      <w:r>
        <w:rPr>
          <w:rFonts w:ascii="Arial" w:cs="Arial" w:eastAsia="Arial" w:hAnsi="Arial"/>
          <w:sz w:val="20"/>
          <w:szCs w:val="20"/>
          <w:color w:val="auto"/>
        </w:rPr>
        <w:t>These and similar programs are important to develop a sense of belonging for all employees and for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Engagement</w:t>
      </w:r>
    </w:p>
    <w:p>
      <w:pPr>
        <w:spacing w:after="0" w:line="240" w:lineRule="exact"/>
        <w:rPr>
          <w:sz w:val="20"/>
          <w:szCs w:val="20"/>
          <w:color w:val="auto"/>
        </w:rPr>
      </w:pPr>
    </w:p>
    <w:p>
      <w:pPr>
        <w:ind w:right="40" w:firstLine="563"/>
        <w:spacing w:after="0" w:line="246" w:lineRule="auto"/>
        <w:rPr>
          <w:sz w:val="20"/>
          <w:szCs w:val="20"/>
          <w:color w:val="auto"/>
        </w:rPr>
      </w:pPr>
      <w:r>
        <w:rPr>
          <w:rFonts w:ascii="Arial" w:cs="Arial" w:eastAsia="Arial" w:hAnsi="Arial"/>
          <w:sz w:val="20"/>
          <w:szCs w:val="20"/>
          <w:color w:val="auto"/>
        </w:rPr>
        <w:t>We survey our employees on an annual basis to assess the overall engagement of our workforce, and compare our engagement results against prior year results, as well as a set of benchmark companies in the biotech sector and of similar size (as measured by number of employees). We compare both our internal and comparative results to assess our employee engagement performance during the preceding year and to determine areas of focus going forward. We leverage an engagement task force that consists of employees from each of our functional business areas, with the oversight of a member of the management team, to obtain detailed feedback on the survey results and to generate and implement proposals to improve the employee experience.</w:t>
      </w:r>
    </w:p>
    <w:p>
      <w:pPr>
        <w:spacing w:after="0" w:line="200" w:lineRule="exact"/>
        <w:rPr>
          <w:sz w:val="20"/>
          <w:szCs w:val="20"/>
          <w:color w:val="auto"/>
        </w:rPr>
      </w:pPr>
    </w:p>
    <w:p>
      <w:pPr>
        <w:ind w:right="60" w:firstLine="563"/>
        <w:spacing w:after="0" w:line="249" w:lineRule="auto"/>
        <w:rPr>
          <w:sz w:val="20"/>
          <w:szCs w:val="20"/>
          <w:color w:val="auto"/>
        </w:rPr>
      </w:pPr>
      <w:r>
        <w:rPr>
          <w:rFonts w:ascii="Arial" w:cs="Arial" w:eastAsia="Arial" w:hAnsi="Arial"/>
          <w:sz w:val="20"/>
          <w:szCs w:val="20"/>
          <w:color w:val="auto"/>
        </w:rPr>
        <w:t>We implemented a number of initiatives in response to employee feedback from the 2024 engagement survey, including: (i) completing follow-up focus groups and a targeted survey to better understand associates’ comfort with speaking up and to identify opportunities to strengthen openness and dialogue; (ii) establishing a standardized process to increase transparency around associate departures; and (iii) implementing a clearly defined and equitable promotions process, which was communicated company-wide in October 2025.</w:t>
      </w:r>
    </w:p>
    <w:p>
      <w:pPr>
        <w:spacing w:after="0" w:line="197" w:lineRule="exact"/>
        <w:rPr>
          <w:sz w:val="20"/>
          <w:szCs w:val="20"/>
          <w:color w:val="auto"/>
        </w:rPr>
      </w:pPr>
    </w:p>
    <w:p>
      <w:pPr>
        <w:ind w:right="20" w:firstLine="563"/>
        <w:spacing w:after="0" w:line="289" w:lineRule="auto"/>
        <w:rPr>
          <w:sz w:val="20"/>
          <w:szCs w:val="20"/>
          <w:color w:val="auto"/>
        </w:rPr>
      </w:pPr>
      <w:r>
        <w:rPr>
          <w:rFonts w:ascii="Arial" w:cs="Arial" w:eastAsia="Arial" w:hAnsi="Arial"/>
          <w:sz w:val="18"/>
          <w:szCs w:val="18"/>
          <w:color w:val="auto"/>
        </w:rPr>
        <w:t>In our most recent engagement survey, conducted in 2025, results continued to be generally higher than our benchmark dataset, supporting our view that overall employee engagement remains strong. The survey also highlighted areas of strength, including managers’ demonstrated care for associate well-being, associates’ understanding of how their work contributes to Company goals, and the Company’s commitment to social responsibility, including community support and sustainability.</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10140"/>
          </w:cols>
          <w:pgMar w:left="1000" w:top="1060" w:right="1100" w:bottom="210" w:gutter="0" w:footer="0" w:header="0"/>
          <w:type w:val="continuous"/>
        </w:sectPr>
      </w:pPr>
    </w:p>
    <w:bookmarkStart w:id="38" w:name="page39"/>
    <w:bookmarkEnd w:id="38"/>
    <w:p>
      <w:pPr>
        <w:ind w:firstLine="563"/>
        <w:spacing w:after="0" w:line="263" w:lineRule="auto"/>
        <w:rPr>
          <w:sz w:val="20"/>
          <w:szCs w:val="20"/>
          <w:color w:val="auto"/>
        </w:rPr>
      </w:pPr>
      <w:r>
        <w:rPr>
          <w:rFonts w:ascii="Arial" w:cs="Arial" w:eastAsia="Arial" w:hAnsi="Arial"/>
          <w:sz w:val="19"/>
          <w:szCs w:val="19"/>
          <w:color w:val="auto"/>
        </w:rPr>
        <w:t>As is the case with every survey, we also used the data to identify areas where we want to focus our efforts for improvement, including letting associates know that their feedback is encouraged and will not be viewed negatively. As we did in 2024, we will take these 2025 results and enable actions that will further improve our engagement. We also conduct regular townhall meetings with our employees that are intended to keep our employees updated on important corporate initiatives and to obtain input from employees on these initiatives. We also use periodic employee surveys so we can quickly obtain employee feedback on new programs or policies that are under consideration.</w:t>
      </w:r>
    </w:p>
    <w:p>
      <w:pPr>
        <w:sectPr>
          <w:pgSz w:w="12240" w:h="15840" w:orient="portrait"/>
          <w:cols w:equalWidth="0" w:num="1">
            <w:col w:w="9980"/>
          </w:cols>
          <w:pgMar w:left="1000" w:top="1060" w:right="126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35</w:t>
      </w:r>
    </w:p>
    <w:p>
      <w:pPr>
        <w:sectPr>
          <w:pgSz w:w="12240" w:h="15840" w:orient="portrait"/>
          <w:cols w:equalWidth="0" w:num="1">
            <w:col w:w="9980"/>
          </w:cols>
          <w:pgMar w:left="1000" w:top="1060" w:right="1260" w:bottom="21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Item 1A. Risk Factors.</w:t>
      </w:r>
    </w:p>
    <w:p>
      <w:pPr>
        <w:spacing w:after="0" w:line="245" w:lineRule="exact"/>
        <w:rPr>
          <w:sz w:val="20"/>
          <w:szCs w:val="20"/>
          <w:color w:val="auto"/>
        </w:rPr>
      </w:pPr>
    </w:p>
    <w:p>
      <w:pPr>
        <w:ind w:firstLine="557"/>
        <w:spacing w:after="0" w:line="256" w:lineRule="auto"/>
        <w:rPr>
          <w:sz w:val="20"/>
          <w:szCs w:val="20"/>
          <w:color w:val="auto"/>
        </w:rPr>
      </w:pPr>
      <w:r>
        <w:rPr>
          <w:rFonts w:ascii="Arial" w:cs="Arial" w:eastAsia="Arial" w:hAnsi="Arial"/>
          <w:sz w:val="19"/>
          <w:szCs w:val="19"/>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material and other risks and uncertainties summarized above (See "Summary of Material Risks Associated with Our Business")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Limited Operating History, Financial Position, and Capital Requirements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a precision oncology company with a limited operating history.</w:t>
      </w:r>
    </w:p>
    <w:p>
      <w:pPr>
        <w:spacing w:after="0" w:line="119" w:lineRule="exact"/>
        <w:rPr>
          <w:sz w:val="20"/>
          <w:szCs w:val="20"/>
          <w:color w:val="auto"/>
        </w:rPr>
      </w:pPr>
    </w:p>
    <w:p>
      <w:pPr>
        <w:ind w:firstLine="556"/>
        <w:spacing w:after="0" w:line="288" w:lineRule="auto"/>
        <w:rPr>
          <w:sz w:val="20"/>
          <w:szCs w:val="20"/>
          <w:color w:val="auto"/>
        </w:rPr>
      </w:pPr>
      <w:r>
        <w:rPr>
          <w:rFonts w:ascii="Arial" w:cs="Arial" w:eastAsia="Arial" w:hAnsi="Arial"/>
          <w:sz w:val="17"/>
          <w:szCs w:val="17"/>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(including conducting clinical trials), and providing general and administrative support for these operations. We have no products approved for commercial sale and therefore have never generated any revenue from product sales, and we do not expect to in the foreseeable future. The revenue that we have generated from our collaboration agreement is also not sufficient to fund our operations. We have not obtained regulatory approvals to market and sell any of our product candidates, and there is no assurance that we will obtain approvals in the future. The FDA has cleared five of our IND applications (TNG908, vopimetostat, TNG260, TNG348 and TNG456); however, we have since discontinued development of TNG908 and TNG348. Our other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accumulated deficit, stockholders’ equity and working capital. If we were to expend our cash resources more quickly than we anticipate as we advance into and through the regulatory approval process for our product candidates, our cash runway may be shorter than the target we may disclose from time to time.</w:t>
      </w:r>
    </w:p>
    <w:p>
      <w:pPr>
        <w:spacing w:after="0" w:line="171" w:lineRule="exact"/>
        <w:rPr>
          <w:sz w:val="20"/>
          <w:szCs w:val="20"/>
          <w:color w:val="auto"/>
        </w:rPr>
      </w:pPr>
    </w:p>
    <w:p>
      <w:pPr>
        <w:ind w:right="480"/>
        <w:spacing w:after="0" w:line="278" w:lineRule="auto"/>
        <w:rPr>
          <w:sz w:val="20"/>
          <w:szCs w:val="20"/>
          <w:color w:val="auto"/>
        </w:rPr>
      </w:pPr>
      <w:r>
        <w:rPr>
          <w:rFonts w:ascii="Arial" w:cs="Arial" w:eastAsia="Arial" w:hAnsi="Arial"/>
          <w:sz w:val="20"/>
          <w:szCs w:val="20"/>
          <w:b w:val="1"/>
          <w:bCs w:val="1"/>
          <w:i w:val="1"/>
          <w:iCs w:val="1"/>
          <w:color w:val="auto"/>
        </w:rPr>
        <w:t>We have incurred significant net losses since our inception and anticipate that we will continue to incur losses for the foreseeable future.</w:t>
      </w:r>
    </w:p>
    <w:p>
      <w:pPr>
        <w:spacing w:after="0" w:line="48" w:lineRule="exact"/>
        <w:rPr>
          <w:sz w:val="20"/>
          <w:szCs w:val="20"/>
          <w:color w:val="auto"/>
        </w:rPr>
      </w:pPr>
    </w:p>
    <w:p>
      <w:pPr>
        <w:ind w:right="60" w:firstLine="556"/>
        <w:spacing w:after="0" w:line="275" w:lineRule="auto"/>
        <w:rPr>
          <w:sz w:val="20"/>
          <w:szCs w:val="20"/>
          <w:color w:val="auto"/>
        </w:rPr>
      </w:pPr>
      <w:r>
        <w:rPr>
          <w:rFonts w:ascii="Arial" w:cs="Arial" w:eastAsia="Arial" w:hAnsi="Arial"/>
          <w:sz w:val="18"/>
          <w:szCs w:val="18"/>
          <w:color w:val="auto"/>
        </w:rPr>
        <w:t>We have incurred significant net losses since our inception. As of December 31, 2025, we had an accumulated deficit of $603.2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expect our operating results to fluctuate significantly in the future as our business advances</w:t>
      </w:r>
    </w:p>
    <w:p>
      <w:pPr>
        <w:spacing w:after="0" w:line="119" w:lineRule="exact"/>
        <w:rPr>
          <w:sz w:val="20"/>
          <w:szCs w:val="20"/>
          <w:color w:val="auto"/>
        </w:rPr>
      </w:pPr>
    </w:p>
    <w:p>
      <w:pPr>
        <w:ind w:firstLine="556"/>
        <w:spacing w:after="0" w:line="270" w:lineRule="auto"/>
        <w:rPr>
          <w:sz w:val="20"/>
          <w:szCs w:val="20"/>
          <w:color w:val="auto"/>
        </w:rPr>
      </w:pPr>
      <w:r>
        <w:rPr>
          <w:rFonts w:ascii="Arial" w:cs="Arial" w:eastAsia="Arial" w:hAnsi="Arial"/>
          <w:sz w:val="19"/>
          <w:szCs w:val="19"/>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72" w:lineRule="exact"/>
        <w:rPr>
          <w:sz w:val="20"/>
          <w:szCs w:val="20"/>
          <w:color w:val="auto"/>
        </w:rPr>
      </w:pPr>
    </w:p>
    <w:p>
      <w:pPr>
        <w:ind w:left="720" w:right="80" w:firstLine="8"/>
        <w:spacing w:after="0" w:line="279" w:lineRule="auto"/>
        <w:tabs>
          <w:tab w:leader="none" w:pos="912"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timing and success or failure of ongoing and future clinical trials for our product candidates or competing product candidates, or any other change in the competitive landscape of our industry, including consolidation among our competitors or partners (such as the acquisition of Mirati by Bristol Myers Squibb in January 2024);</w:t>
      </w:r>
    </w:p>
    <w:p>
      <w:pPr>
        <w:sectPr>
          <w:pgSz w:w="12240" w:h="15840" w:orient="portrait"/>
          <w:cols w:equalWidth="0" w:num="1">
            <w:col w:w="10140"/>
          </w:cols>
          <w:pgMar w:left="1000" w:top="1056" w:right="1100" w:bottom="21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2240" w:h="15840" w:orient="portrait"/>
          <w:cols w:equalWidth="0" w:num="1">
            <w:col w:w="10140"/>
          </w:cols>
          <w:pgMar w:left="1000" w:top="1056" w:right="1100" w:bottom="210" w:gutter="0" w:footer="0" w:header="0"/>
          <w:type w:val="continuous"/>
        </w:sectPr>
      </w:pPr>
    </w:p>
    <w:bookmarkStart w:id="40" w:name="page41"/>
    <w:bookmarkEnd w:id="40"/>
    <w:p>
      <w:pPr>
        <w:ind w:left="720" w:right="120" w:firstLine="8"/>
        <w:spacing w:after="0" w:line="258"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ability to obtain INDs for our pipeline product candidates, successfully open clinical trial sites and recruit and retain subjects for clinical trials (including combination trials), and any delays caused by difficulties in connection with such efforts;</w:t>
      </w:r>
    </w:p>
    <w:p>
      <w:pPr>
        <w:spacing w:after="0" w:line="81" w:lineRule="exact"/>
        <w:rPr>
          <w:rFonts w:ascii="Arial" w:cs="Arial" w:eastAsia="Arial" w:hAnsi="Arial"/>
          <w:sz w:val="20"/>
          <w:szCs w:val="20"/>
          <w:color w:val="auto"/>
        </w:rPr>
      </w:pPr>
    </w:p>
    <w:p>
      <w:pPr>
        <w:ind w:left="720" w:right="180" w:firstLine="8"/>
        <w:spacing w:after="0" w:line="278"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ability to obtain regulatory approval for the marketing and sale of our product candidates, and the timing and scope of any such approvals we may receive;</w:t>
      </w:r>
    </w:p>
    <w:p>
      <w:pPr>
        <w:spacing w:after="0" w:line="63" w:lineRule="exact"/>
        <w:rPr>
          <w:rFonts w:ascii="Arial" w:cs="Arial" w:eastAsia="Arial" w:hAnsi="Arial"/>
          <w:sz w:val="20"/>
          <w:szCs w:val="20"/>
          <w:color w:val="auto"/>
        </w:rPr>
      </w:pPr>
    </w:p>
    <w:p>
      <w:pPr>
        <w:ind w:left="720" w:right="260" w:firstLine="8"/>
        <w:spacing w:after="0" w:line="259"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timing and cost of, and level of investment in, research and development activities relating to our product candidates and any future product candidates and research-stage programs, any of which may change from time to time;</w:t>
      </w:r>
    </w:p>
    <w:p>
      <w:pPr>
        <w:spacing w:after="0" w:line="79" w:lineRule="exact"/>
        <w:rPr>
          <w:rFonts w:ascii="Arial" w:cs="Arial" w:eastAsia="Arial" w:hAnsi="Arial"/>
          <w:sz w:val="20"/>
          <w:szCs w:val="20"/>
          <w:color w:val="auto"/>
        </w:rPr>
      </w:pPr>
    </w:p>
    <w:p>
      <w:pPr>
        <w:ind w:left="720" w:right="180" w:firstLine="8"/>
        <w:spacing w:after="0" w:line="259"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79" w:lineRule="exact"/>
        <w:rPr>
          <w:rFonts w:ascii="Arial" w:cs="Arial" w:eastAsia="Arial" w:hAnsi="Arial"/>
          <w:sz w:val="20"/>
          <w:szCs w:val="20"/>
          <w:color w:val="auto"/>
        </w:rPr>
      </w:pPr>
    </w:p>
    <w:p>
      <w:pPr>
        <w:ind w:left="920" w:hanging="192"/>
        <w:spacing w:after="0"/>
        <w:tabs>
          <w:tab w:leader="none" w:pos="9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expenditures that we will or may incur to identify, research and develop additional product candidates;</w:t>
      </w:r>
    </w:p>
    <w:p>
      <w:pPr>
        <w:spacing w:after="0" w:line="136" w:lineRule="exact"/>
        <w:rPr>
          <w:rFonts w:ascii="Arial" w:cs="Arial" w:eastAsia="Arial" w:hAnsi="Arial"/>
          <w:sz w:val="20"/>
          <w:szCs w:val="20"/>
          <w:color w:val="auto"/>
        </w:rPr>
      </w:pPr>
    </w:p>
    <w:p>
      <w:pPr>
        <w:ind w:left="720" w:right="720" w:firstLine="8"/>
        <w:spacing w:after="0" w:line="278"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level of demand for our product candidates (should they receive regulatory approval), which may vary significantly from our expectations;</w:t>
      </w:r>
    </w:p>
    <w:p>
      <w:pPr>
        <w:spacing w:after="0" w:line="62" w:lineRule="exact"/>
        <w:rPr>
          <w:rFonts w:ascii="Arial" w:cs="Arial" w:eastAsia="Arial" w:hAnsi="Arial"/>
          <w:sz w:val="20"/>
          <w:szCs w:val="20"/>
          <w:color w:val="auto"/>
        </w:rPr>
      </w:pPr>
    </w:p>
    <w:p>
      <w:pPr>
        <w:ind w:left="720" w:right="240" w:firstLine="8"/>
        <w:spacing w:after="0" w:line="278"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rFonts w:ascii="Arial" w:cs="Arial" w:eastAsia="Arial" w:hAnsi="Arial"/>
          <w:sz w:val="20"/>
          <w:szCs w:val="20"/>
          <w:color w:val="auto"/>
        </w:rPr>
      </w:pPr>
    </w:p>
    <w:p>
      <w:pPr>
        <w:ind w:left="720" w:right="360" w:firstLine="8"/>
        <w:spacing w:after="0" w:line="278" w:lineRule="auto"/>
        <w:tabs>
          <w:tab w:leader="none" w:pos="91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changing and volatile U.S. and global economic environments, including as a result of the efforts to reduce spending on healthcare generally and pharmaceuticals in particular; and</w:t>
      </w:r>
    </w:p>
    <w:p>
      <w:pPr>
        <w:spacing w:after="0" w:line="62" w:lineRule="exact"/>
        <w:rPr>
          <w:rFonts w:ascii="Arial" w:cs="Arial" w:eastAsia="Arial" w:hAnsi="Arial"/>
          <w:sz w:val="20"/>
          <w:szCs w:val="20"/>
          <w:color w:val="auto"/>
        </w:rPr>
      </w:pPr>
    </w:p>
    <w:p>
      <w:pPr>
        <w:ind w:left="920" w:hanging="192"/>
        <w:spacing w:after="0"/>
        <w:tabs>
          <w:tab w:leader="none" w:pos="9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future accounting pronouncements or changes in our accounting policies.</w:t>
      </w:r>
    </w:p>
    <w:p>
      <w:pPr>
        <w:spacing w:after="0" w:line="120" w:lineRule="exact"/>
        <w:rPr>
          <w:sz w:val="20"/>
          <w:szCs w:val="20"/>
          <w:color w:val="auto"/>
        </w:rPr>
      </w:pPr>
    </w:p>
    <w:p>
      <w:pPr>
        <w:ind w:right="120" w:firstLine="557"/>
        <w:spacing w:after="0" w:line="280" w:lineRule="auto"/>
        <w:rPr>
          <w:sz w:val="20"/>
          <w:szCs w:val="20"/>
          <w:color w:val="auto"/>
        </w:rPr>
      </w:pPr>
      <w:r>
        <w:rPr>
          <w:rFonts w:ascii="Arial" w:cs="Arial" w:eastAsia="Arial" w:hAnsi="Arial"/>
          <w:sz w:val="18"/>
          <w:szCs w:val="18"/>
          <w:color w:val="auto"/>
        </w:rPr>
        <w:t>As a result, comparing our operating results on a period-to-period basis may not be meaningful. This variability and unpredictability could also result in our failing to meet the expectations of industry or financial analysts or investors for any period. If our clinical data, revenue or operating results fail to meet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financial or operational guidance we may provide.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no products approved for commercial sale and have not generated any revenue from product sales.</w:t>
      </w:r>
    </w:p>
    <w:p>
      <w:pPr>
        <w:spacing w:after="0" w:line="131" w:lineRule="exact"/>
        <w:rPr>
          <w:sz w:val="20"/>
          <w:szCs w:val="20"/>
          <w:color w:val="auto"/>
        </w:rPr>
      </w:pPr>
    </w:p>
    <w:p>
      <w:pPr>
        <w:jc w:val="both"/>
        <w:ind w:right="320" w:firstLine="557"/>
        <w:spacing w:after="0" w:line="301"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Our ability to generate revenue depends on a number of factors, including, but not limited to, our ability to:</w:t>
      </w:r>
    </w:p>
    <w:p>
      <w:pPr>
        <w:spacing w:after="0" w:line="44" w:lineRule="exact"/>
        <w:rPr>
          <w:sz w:val="20"/>
          <w:szCs w:val="20"/>
          <w:color w:val="auto"/>
        </w:rPr>
      </w:pPr>
    </w:p>
    <w:p>
      <w:pPr>
        <w:ind w:left="720" w:right="140" w:firstLine="8"/>
        <w:spacing w:after="0" w:line="281" w:lineRule="auto"/>
        <w:tabs>
          <w:tab w:leader="none" w:pos="912"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successfully complete our planned preclinical studies for our novel precision oncology research and development programs;</w:t>
      </w:r>
    </w:p>
    <w:p>
      <w:pPr>
        <w:spacing w:after="0" w:line="57" w:lineRule="exact"/>
        <w:rPr>
          <w:rFonts w:ascii="Arial" w:cs="Arial" w:eastAsia="Arial" w:hAnsi="Arial"/>
          <w:sz w:val="20"/>
          <w:szCs w:val="20"/>
          <w:color w:val="auto"/>
        </w:rPr>
      </w:pPr>
    </w:p>
    <w:p>
      <w:pPr>
        <w:ind w:left="720" w:right="120" w:firstLine="8"/>
        <w:spacing w:after="0" w:line="278" w:lineRule="auto"/>
        <w:tabs>
          <w:tab w:leader="none" w:pos="91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timely file INDs for our programs, and obtain clearance of these INDs to allow for commencement of such future clinical trials;</w:t>
      </w:r>
    </w:p>
    <w:p>
      <w:pPr>
        <w:spacing w:after="0" w:line="62" w:lineRule="exact"/>
        <w:rPr>
          <w:rFonts w:ascii="Arial" w:cs="Arial" w:eastAsia="Arial" w:hAnsi="Arial"/>
          <w:sz w:val="20"/>
          <w:szCs w:val="20"/>
          <w:color w:val="auto"/>
        </w:rPr>
      </w:pPr>
    </w:p>
    <w:p>
      <w:pPr>
        <w:ind w:left="720" w:firstLine="8"/>
        <w:spacing w:after="0" w:line="259" w:lineRule="auto"/>
        <w:tabs>
          <w:tab w:leader="none" w:pos="91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timely complete patient enrollment and patient dosing in our current and future clinical trials (including our current trials of vopimetostat (as a monotherapy and in combination), TNG456 (as a monotherapy and in combination), and TNG260;</w:t>
      </w:r>
    </w:p>
    <w:p>
      <w:pPr>
        <w:spacing w:after="0" w:line="81" w:lineRule="exact"/>
        <w:rPr>
          <w:rFonts w:ascii="Arial" w:cs="Arial" w:eastAsia="Arial" w:hAnsi="Arial"/>
          <w:sz w:val="20"/>
          <w:szCs w:val="20"/>
          <w:color w:val="auto"/>
        </w:rPr>
      </w:pPr>
    </w:p>
    <w:p>
      <w:pPr>
        <w:ind w:left="720" w:right="220" w:firstLine="8"/>
        <w:spacing w:after="0" w:line="278" w:lineRule="auto"/>
        <w:tabs>
          <w:tab w:leader="none" w:pos="912"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successfully complete our ongoing clinical trials and any future clinical trials we may initiate (including, in each case, combination clinical trials);</w:t>
      </w:r>
    </w:p>
    <w:p>
      <w:pPr>
        <w:spacing w:after="0" w:line="61" w:lineRule="exact"/>
        <w:rPr>
          <w:rFonts w:ascii="Arial" w:cs="Arial" w:eastAsia="Arial" w:hAnsi="Arial"/>
          <w:sz w:val="20"/>
          <w:szCs w:val="20"/>
          <w:color w:val="auto"/>
        </w:rPr>
      </w:pPr>
    </w:p>
    <w:p>
      <w:pPr>
        <w:jc w:val="both"/>
        <w:ind w:left="720" w:right="320" w:firstLine="8"/>
        <w:spacing w:after="0" w:line="259" w:lineRule="auto"/>
        <w:tabs>
          <w:tab w:leader="none" w:pos="912"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successfully enroll the patients with specific cancers and prior treatment that are the focus of our clinical trials, such as patients with limited prior treatment lines in pancreatic and lung cancer for our ongoing monotherapy and combination trials for vopimetostat;</w:t>
      </w:r>
    </w:p>
    <w:p>
      <w:pPr>
        <w:spacing w:after="0" w:line="81" w:lineRule="exact"/>
        <w:rPr>
          <w:rFonts w:ascii="Arial" w:cs="Arial" w:eastAsia="Arial" w:hAnsi="Arial"/>
          <w:sz w:val="20"/>
          <w:szCs w:val="20"/>
          <w:color w:val="auto"/>
        </w:rPr>
      </w:pPr>
    </w:p>
    <w:p>
      <w:pPr>
        <w:ind w:left="720" w:right="380" w:firstLine="8"/>
        <w:spacing w:after="0" w:line="336" w:lineRule="auto"/>
        <w:tabs>
          <w:tab w:leader="none" w:pos="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required to obtain U.S. and foreign regulatory approval for the sale of our product candidates and obtain approval of our products by regulatory authorities;</w:t>
      </w:r>
    </w:p>
    <w:p>
      <w:pPr>
        <w:spacing w:after="0" w:line="15" w:lineRule="exact"/>
        <w:rPr>
          <w:rFonts w:ascii="Arial" w:cs="Arial" w:eastAsia="Arial" w:hAnsi="Arial"/>
          <w:sz w:val="18"/>
          <w:szCs w:val="18"/>
          <w:color w:val="auto"/>
        </w:rPr>
      </w:pPr>
    </w:p>
    <w:p>
      <w:pPr>
        <w:ind w:left="720" w:right="1220" w:firstLine="8"/>
        <w:spacing w:after="0" w:line="278" w:lineRule="auto"/>
        <w:tabs>
          <w:tab w:leader="none" w:pos="912"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make and maintain arrangements with third-party manufacturers for clinical supply and commercial manufacturing;</w:t>
      </w:r>
    </w:p>
    <w:p>
      <w:pPr>
        <w:spacing w:after="0" w:line="62" w:lineRule="exact"/>
        <w:rPr>
          <w:rFonts w:ascii="Arial" w:cs="Arial" w:eastAsia="Arial" w:hAnsi="Arial"/>
          <w:sz w:val="20"/>
          <w:szCs w:val="20"/>
          <w:color w:val="auto"/>
        </w:rPr>
      </w:pPr>
    </w:p>
    <w:p>
      <w:pPr>
        <w:ind w:left="920" w:hanging="192"/>
        <w:spacing w:after="0"/>
        <w:tabs>
          <w:tab w:leader="none" w:pos="9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obtain and maintain patent and/or trade secret protection or regulatory exclusivity for our product candidates;</w:t>
      </w:r>
    </w:p>
    <w:p>
      <w:pPr>
        <w:spacing w:after="0" w:line="146" w:lineRule="exact"/>
        <w:rPr>
          <w:rFonts w:ascii="Arial" w:cs="Arial" w:eastAsia="Arial" w:hAnsi="Arial"/>
          <w:sz w:val="19"/>
          <w:szCs w:val="19"/>
          <w:color w:val="auto"/>
        </w:rPr>
      </w:pPr>
    </w:p>
    <w:p>
      <w:pPr>
        <w:ind w:left="920" w:hanging="192"/>
        <w:spacing w:after="0"/>
        <w:tabs>
          <w:tab w:leader="none" w:pos="9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launch commercial sales of our products, if and when approved, whether alone or in collaboration with others;</w:t>
      </w:r>
    </w:p>
    <w:p>
      <w:pPr>
        <w:sectPr>
          <w:pgSz w:w="12240" w:h="15840" w:orient="portrait"/>
          <w:cols w:equalWidth="0" w:num="1">
            <w:col w:w="10120"/>
          </w:cols>
          <w:pgMar w:left="1000" w:top="1075" w:right="1120" w:bottom="21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2240" w:h="15840" w:orient="portrait"/>
          <w:cols w:equalWidth="0" w:num="1">
            <w:col w:w="10120"/>
          </w:cols>
          <w:pgMar w:left="1000" w:top="1075" w:right="1120" w:bottom="210" w:gutter="0" w:footer="0" w:header="0"/>
          <w:type w:val="continuous"/>
        </w:sectPr>
      </w:pPr>
    </w:p>
    <w:bookmarkStart w:id="41" w:name="page42"/>
    <w:bookmarkEnd w:id="41"/>
    <w:p>
      <w:pPr>
        <w:ind w:left="720" w:right="380" w:firstLine="8"/>
        <w:spacing w:after="0" w:line="278" w:lineRule="auto"/>
        <w:tabs>
          <w:tab w:leader="none" w:pos="912" w:val="left"/>
        </w:tabs>
        <w:numPr>
          <w:ilvl w:val="0"/>
          <w:numId w:val="21"/>
        </w:numPr>
        <w:rPr>
          <w:rFonts w:ascii="Arial" w:cs="Arial" w:eastAsia="Arial" w:hAnsi="Arial"/>
          <w:sz w:val="20"/>
          <w:szCs w:val="20"/>
          <w:color w:val="auto"/>
        </w:rPr>
      </w:pPr>
      <w:r>
        <w:rPr>
          <w:rFonts w:ascii="Arial" w:cs="Arial" w:eastAsia="Arial" w:hAnsi="Arial"/>
          <w:sz w:val="20"/>
          <w:szCs w:val="20"/>
          <w:color w:val="auto"/>
        </w:rPr>
        <w:t>obtain and maintain acceptance of our products, if and when approved for marketing, by patients, the medical community and third-party payors;</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position our products to effectively compete with other therapies;</w:t>
      </w:r>
    </w:p>
    <w:p>
      <w:pPr>
        <w:spacing w:after="0" w:line="136" w:lineRule="exact"/>
        <w:rPr>
          <w:rFonts w:ascii="Arial" w:cs="Arial" w:eastAsia="Arial" w:hAnsi="Arial"/>
          <w:sz w:val="20"/>
          <w:szCs w:val="20"/>
          <w:color w:val="auto"/>
        </w:rPr>
      </w:pPr>
    </w:p>
    <w:p>
      <w:pPr>
        <w:ind w:left="720" w:right="140" w:firstLine="8"/>
        <w:spacing w:after="0" w:line="278" w:lineRule="auto"/>
        <w:tabs>
          <w:tab w:leader="none" w:pos="912" w:val="left"/>
        </w:tabs>
        <w:numPr>
          <w:ilvl w:val="0"/>
          <w:numId w:val="21"/>
        </w:numPr>
        <w:rPr>
          <w:rFonts w:ascii="Arial" w:cs="Arial" w:eastAsia="Arial" w:hAnsi="Arial"/>
          <w:sz w:val="20"/>
          <w:szCs w:val="20"/>
          <w:color w:val="auto"/>
        </w:rPr>
      </w:pPr>
      <w:r>
        <w:rPr>
          <w:rFonts w:ascii="Arial" w:cs="Arial" w:eastAsia="Arial" w:hAnsi="Arial"/>
          <w:sz w:val="20"/>
          <w:szCs w:val="20"/>
          <w:color w:val="auto"/>
        </w:rPr>
        <w:t>obtain and maintain healthcare coverage and adequate reimbursement for our products, if and when approved by regulatory authorities;</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enforce and defend intellectual property rights and claims; and</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maintain a continued acceptable safety profile of our products following approval.</w:t>
      </w:r>
    </w:p>
    <w:p>
      <w:pPr>
        <w:spacing w:after="0" w:line="240" w:lineRule="exact"/>
        <w:rPr>
          <w:sz w:val="20"/>
          <w:szCs w:val="20"/>
          <w:color w:val="auto"/>
        </w:rPr>
      </w:pPr>
    </w:p>
    <w:p>
      <w:pPr>
        <w:jc w:val="both"/>
        <w:ind w:right="60"/>
        <w:spacing w:after="0" w:line="258" w:lineRule="auto"/>
        <w:rPr>
          <w:sz w:val="20"/>
          <w:szCs w:val="20"/>
          <w:color w:val="auto"/>
        </w:rPr>
      </w:pPr>
      <w:r>
        <w:rPr>
          <w:rFonts w:ascii="Arial" w:cs="Arial" w:eastAsia="Arial" w:hAnsi="Arial"/>
          <w:sz w:val="20"/>
          <w:szCs w:val="20"/>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7" w:lineRule="exact"/>
        <w:rPr>
          <w:sz w:val="20"/>
          <w:szCs w:val="20"/>
          <w:color w:val="auto"/>
        </w:rPr>
      </w:pPr>
    </w:p>
    <w:p>
      <w:pPr>
        <w:ind w:right="40" w:firstLine="557"/>
        <w:spacing w:after="0" w:line="273" w:lineRule="auto"/>
        <w:rPr>
          <w:sz w:val="20"/>
          <w:szCs w:val="20"/>
          <w:color w:val="auto"/>
        </w:rPr>
      </w:pPr>
      <w:r>
        <w:rPr>
          <w:rFonts w:ascii="Arial" w:cs="Arial" w:eastAsia="Arial" w:hAnsi="Arial"/>
          <w:sz w:val="18"/>
          <w:szCs w:val="18"/>
          <w:color w:val="auto"/>
        </w:rPr>
        <w:t>The development of pharmaceutical products is capital-intensive. We are currently advancing our precision oncology programs through clinical and preclinical development. We are enrolling patients in multiple Phase 1/2 clinical trials, each of which is evaluating safety and efficacy in multiple indications. We expect our expenses to significantly increase as we continue to advance and complete clinical trials (including multiple combination clinical trials and our pivotal trial), and seek regulatory approval for, our product candidates, including in combination with other therapeutics. Further, we continue our research efforts to identify and advance additional precision oncology compounds that may benefit patients. Even though we have successfully raised capital in the past, including most recently by raising $225.0 million in aggregate gross proceeds from the underwritten offering and concurrent private placement of common shares and pre-funded warrants to purchase common shares in October 2025 and proceeds of $62.1 million from our "at the market" stock offering program during the first quarter of 2026, and through March 2, 2026, we will still be required to raise substantial additional funding in the future in order to continue to fund our operations and advance our clinical trial programs.</w:t>
      </w:r>
    </w:p>
    <w:p>
      <w:pPr>
        <w:spacing w:after="0" w:line="181" w:lineRule="exact"/>
        <w:rPr>
          <w:sz w:val="20"/>
          <w:szCs w:val="20"/>
          <w:color w:val="auto"/>
        </w:rPr>
      </w:pPr>
    </w:p>
    <w:p>
      <w:pPr>
        <w:ind w:firstLine="557"/>
        <w:spacing w:after="0" w:line="245" w:lineRule="auto"/>
        <w:rPr>
          <w:sz w:val="20"/>
          <w:szCs w:val="20"/>
          <w:color w:val="auto"/>
        </w:rPr>
      </w:pPr>
      <w:r>
        <w:rPr>
          <w:rFonts w:ascii="Arial" w:cs="Arial" w:eastAsia="Arial" w:hAnsi="Arial"/>
          <w:sz w:val="20"/>
          <w:szCs w:val="20"/>
          <w:color w:val="auto"/>
        </w:rPr>
        <w:t>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201" w:lineRule="exact"/>
        <w:rPr>
          <w:sz w:val="20"/>
          <w:szCs w:val="20"/>
          <w:color w:val="auto"/>
        </w:rPr>
      </w:pPr>
    </w:p>
    <w:p>
      <w:pPr>
        <w:ind w:right="60" w:firstLine="563"/>
        <w:spacing w:after="0" w:line="279" w:lineRule="auto"/>
        <w:rPr>
          <w:sz w:val="20"/>
          <w:szCs w:val="20"/>
          <w:color w:val="auto"/>
        </w:rPr>
      </w:pPr>
      <w:r>
        <w:rPr>
          <w:rFonts w:ascii="Arial" w:cs="Arial" w:eastAsia="Arial" w:hAnsi="Arial"/>
          <w:sz w:val="19"/>
          <w:szCs w:val="19"/>
          <w:color w:val="auto"/>
        </w:rPr>
        <w:t>We believe that our existing cash, cash equivalents and marketable securities on hand as of December 31, 2025 will enable us to fund our operating expenses and capital expenditure requirements at least into 2028. However, our future capital requirements will depend on and could increase significantly as a result of many factors, including:</w:t>
      </w:r>
    </w:p>
    <w:p>
      <w:pPr>
        <w:spacing w:after="0" w:line="182" w:lineRule="exact"/>
        <w:rPr>
          <w:sz w:val="20"/>
          <w:szCs w:val="20"/>
          <w:color w:val="auto"/>
        </w:rPr>
      </w:pPr>
    </w:p>
    <w:p>
      <w:pPr>
        <w:ind w:left="720" w:right="20" w:firstLine="8"/>
        <w:spacing w:after="0" w:line="307" w:lineRule="auto"/>
        <w:tabs>
          <w:tab w:leader="none" w:pos="912"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scope, progress, results and costs of product discovery, preclinical and clinical development, and clinical trials for our product candidates, including recruiting patients for and conducting multiple planned clinical trials;</w:t>
      </w:r>
    </w:p>
    <w:p>
      <w:pPr>
        <w:spacing w:after="0" w:line="36" w:lineRule="exact"/>
        <w:rPr>
          <w:rFonts w:ascii="Arial" w:cs="Arial" w:eastAsia="Arial" w:hAnsi="Arial"/>
          <w:sz w:val="19"/>
          <w:szCs w:val="19"/>
          <w:color w:val="auto"/>
        </w:rPr>
      </w:pPr>
    </w:p>
    <w:p>
      <w:pPr>
        <w:ind w:left="720" w:right="60" w:firstLine="8"/>
        <w:spacing w:after="0" w:line="278" w:lineRule="auto"/>
        <w:tabs>
          <w:tab w:leader="none" w:pos="91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potential additional expenses attributable to adjusting our development plans if needed (including any supply-related matters or changes to clinical trial protocols);</w:t>
      </w:r>
    </w:p>
    <w:p>
      <w:pPr>
        <w:spacing w:after="0" w:line="62" w:lineRule="exact"/>
        <w:rPr>
          <w:rFonts w:ascii="Arial" w:cs="Arial" w:eastAsia="Arial" w:hAnsi="Arial"/>
          <w:sz w:val="20"/>
          <w:szCs w:val="20"/>
          <w:color w:val="auto"/>
        </w:rPr>
      </w:pPr>
    </w:p>
    <w:p>
      <w:pPr>
        <w:ind w:left="920" w:hanging="192"/>
        <w:spacing w:after="0"/>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scope, prioritization and number of our research and development programs;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our product candidates;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establish and maintain additional collaborations on favorable terms, if at all;</w:t>
      </w:r>
    </w:p>
    <w:p>
      <w:pPr>
        <w:spacing w:after="0" w:line="136" w:lineRule="exact"/>
        <w:rPr>
          <w:rFonts w:ascii="Arial" w:cs="Arial" w:eastAsia="Arial" w:hAnsi="Arial"/>
          <w:sz w:val="20"/>
          <w:szCs w:val="20"/>
          <w:color w:val="auto"/>
        </w:rPr>
      </w:pPr>
    </w:p>
    <w:p>
      <w:pPr>
        <w:ind w:left="720" w:right="480" w:firstLine="8"/>
        <w:spacing w:after="0" w:line="278" w:lineRule="auto"/>
        <w:tabs>
          <w:tab w:leader="none" w:pos="91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achievement of milestones or occurrence of other developments that trigger payments under our existing collaboration agreements or any additional collaboration agreements we may establish;</w:t>
      </w:r>
    </w:p>
    <w:p>
      <w:pPr>
        <w:spacing w:after="0" w:line="61" w:lineRule="exact"/>
        <w:rPr>
          <w:rFonts w:ascii="Arial" w:cs="Arial" w:eastAsia="Arial" w:hAnsi="Arial"/>
          <w:sz w:val="20"/>
          <w:szCs w:val="20"/>
          <w:color w:val="auto"/>
        </w:rPr>
      </w:pPr>
    </w:p>
    <w:p>
      <w:pPr>
        <w:ind w:left="720" w:right="540" w:firstLine="8"/>
        <w:spacing w:after="0" w:line="279" w:lineRule="auto"/>
        <w:tabs>
          <w:tab w:leader="none" w:pos="91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costs of preparing, filing and prosecuting patent applications, maintaining and enforcing our intellectual property rights and defending intellectual property-related claims;</w:t>
      </w:r>
    </w:p>
    <w:p>
      <w:pPr>
        <w:spacing w:after="0" w:line="60" w:lineRule="exact"/>
        <w:rPr>
          <w:rFonts w:ascii="Arial" w:cs="Arial" w:eastAsia="Arial" w:hAnsi="Arial"/>
          <w:sz w:val="20"/>
          <w:szCs w:val="20"/>
          <w:color w:val="auto"/>
        </w:rPr>
      </w:pPr>
    </w:p>
    <w:p>
      <w:pPr>
        <w:ind w:left="920" w:hanging="192"/>
        <w:spacing w:after="0"/>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timing of the release of initial, interim, or final clinical trial data for our current or future clinical trials;</w:t>
      </w:r>
    </w:p>
    <w:p>
      <w:pPr>
        <w:spacing w:after="0" w:line="134" w:lineRule="exact"/>
        <w:rPr>
          <w:rFonts w:ascii="Arial" w:cs="Arial" w:eastAsia="Arial" w:hAnsi="Arial"/>
          <w:sz w:val="20"/>
          <w:szCs w:val="20"/>
          <w:color w:val="auto"/>
        </w:rPr>
      </w:pPr>
    </w:p>
    <w:p>
      <w:pPr>
        <w:ind w:left="720" w:right="600" w:firstLine="8"/>
        <w:spacing w:after="0" w:line="279" w:lineRule="auto"/>
        <w:tabs>
          <w:tab w:leader="none" w:pos="91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extent to which we acquire or in-license other product candidates and technologies and make payments thereunder</w:t>
      </w:r>
      <w:r>
        <w:rPr>
          <w:rFonts w:ascii="Arial" w:cs="Arial" w:eastAsia="Arial" w:hAnsi="Arial"/>
          <w:sz w:val="20"/>
          <w:szCs w:val="20"/>
          <w:color w:val="auto"/>
          <w:strike w:val="1"/>
        </w:rPr>
        <w:t>;</w:t>
      </w:r>
    </w:p>
    <w:p>
      <w:pPr>
        <w:spacing w:after="0" w:line="60" w:lineRule="exact"/>
        <w:rPr>
          <w:rFonts w:ascii="Arial" w:cs="Arial" w:eastAsia="Arial" w:hAnsi="Arial"/>
          <w:sz w:val="20"/>
          <w:szCs w:val="20"/>
          <w:color w:val="auto"/>
        </w:rPr>
      </w:pPr>
    </w:p>
    <w:p>
      <w:pPr>
        <w:ind w:left="920" w:hanging="192"/>
        <w:spacing w:after="0"/>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costs of securing manufacturing arrangements for clinical and commercial production;</w:t>
      </w:r>
    </w:p>
    <w:p>
      <w:pPr>
        <w:sectPr>
          <w:pgSz w:w="12240" w:h="15840" w:orient="portrait"/>
          <w:cols w:equalWidth="0" w:num="1">
            <w:col w:w="10060"/>
          </w:cols>
          <w:pgMar w:left="1000" w:top="1075" w:right="1180" w:bottom="210" w:gutter="0" w:footer="0" w:header="0"/>
        </w:sectPr>
      </w:pP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10060"/>
          </w:cols>
          <w:pgMar w:left="1000" w:top="1075" w:right="1180" w:bottom="210" w:gutter="0" w:footer="0" w:header="0"/>
          <w:type w:val="continuous"/>
        </w:sectPr>
      </w:pPr>
    </w:p>
    <w:bookmarkStart w:id="42" w:name="page43"/>
    <w:bookmarkEnd w:id="42"/>
    <w:p>
      <w:pPr>
        <w:ind w:left="920" w:hanging="192"/>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cost of acquiring or supplying therapies to be used in combination clinical trials;</w:t>
      </w:r>
    </w:p>
    <w:p>
      <w:pPr>
        <w:spacing w:after="0" w:line="134" w:lineRule="exact"/>
        <w:rPr>
          <w:rFonts w:ascii="Arial" w:cs="Arial" w:eastAsia="Arial" w:hAnsi="Arial"/>
          <w:sz w:val="20"/>
          <w:szCs w:val="20"/>
          <w:color w:val="auto"/>
        </w:rPr>
      </w:pPr>
    </w:p>
    <w:p>
      <w:pPr>
        <w:ind w:left="720" w:right="420" w:firstLine="8"/>
        <w:spacing w:after="0" w:line="278" w:lineRule="auto"/>
        <w:tabs>
          <w:tab w:leader="none" w:pos="912"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hire and retain skilled scientific and operational personnel to meet our development, clinical and commercial objectives;</w:t>
      </w:r>
    </w:p>
    <w:p>
      <w:pPr>
        <w:spacing w:after="0" w:line="62" w:lineRule="exact"/>
        <w:rPr>
          <w:rFonts w:ascii="Arial" w:cs="Arial" w:eastAsia="Arial" w:hAnsi="Arial"/>
          <w:sz w:val="20"/>
          <w:szCs w:val="20"/>
          <w:color w:val="auto"/>
        </w:rPr>
      </w:pPr>
    </w:p>
    <w:p>
      <w:pPr>
        <w:ind w:left="920" w:hanging="192"/>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costs related to the development of any companion diagnostics we may use in the future; and</w:t>
      </w:r>
    </w:p>
    <w:p>
      <w:pPr>
        <w:spacing w:after="0" w:line="134" w:lineRule="exact"/>
        <w:rPr>
          <w:rFonts w:ascii="Arial" w:cs="Arial" w:eastAsia="Arial" w:hAnsi="Arial"/>
          <w:sz w:val="20"/>
          <w:szCs w:val="20"/>
          <w:color w:val="auto"/>
        </w:rPr>
      </w:pPr>
    </w:p>
    <w:p>
      <w:pPr>
        <w:ind w:left="720" w:right="340" w:firstLine="8"/>
        <w:spacing w:after="0" w:line="278" w:lineRule="auto"/>
        <w:tabs>
          <w:tab w:leader="none" w:pos="912"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costs of establishing or contracting for sales and marketing capabilities if we obtain regulatory approvals to market our product candidates.</w:t>
      </w:r>
    </w:p>
    <w:p>
      <w:pPr>
        <w:spacing w:after="0" w:line="168" w:lineRule="exact"/>
        <w:rPr>
          <w:sz w:val="20"/>
          <w:szCs w:val="20"/>
          <w:color w:val="auto"/>
        </w:rPr>
      </w:pPr>
    </w:p>
    <w:p>
      <w:pPr>
        <w:ind w:right="180" w:firstLine="557"/>
        <w:spacing w:after="0" w:line="258" w:lineRule="auto"/>
        <w:rPr>
          <w:sz w:val="20"/>
          <w:szCs w:val="20"/>
          <w:color w:val="auto"/>
        </w:rPr>
      </w:pPr>
      <w:r>
        <w:rPr>
          <w:rFonts w:ascii="Arial" w:cs="Arial" w:eastAsia="Arial" w:hAnsi="Arial"/>
          <w:sz w:val="20"/>
          <w:szCs w:val="20"/>
          <w:color w:val="auto"/>
        </w:rPr>
        <w:t>Our commercial revenue, if any, will be derived from sales of products that we do not expect to be commercially available for many years, if at all. Accordingly, we will need to continue to rely on additional financing and/or collaboration agreements to fund our business objectives.</w:t>
      </w:r>
    </w:p>
    <w:p>
      <w:pPr>
        <w:spacing w:after="0" w:line="188" w:lineRule="exact"/>
        <w:rPr>
          <w:sz w:val="20"/>
          <w:szCs w:val="20"/>
          <w:color w:val="auto"/>
        </w:rPr>
      </w:pPr>
    </w:p>
    <w:p>
      <w:pPr>
        <w:ind w:right="120" w:firstLine="557"/>
        <w:spacing w:after="0" w:line="252" w:lineRule="auto"/>
        <w:rPr>
          <w:sz w:val="20"/>
          <w:szCs w:val="20"/>
          <w:color w:val="auto"/>
        </w:rPr>
      </w:pPr>
      <w:r>
        <w:rPr>
          <w:rFonts w:ascii="Arial" w:cs="Arial" w:eastAsia="Arial" w:hAnsi="Arial"/>
          <w:sz w:val="20"/>
          <w:szCs w:val="20"/>
          <w:color w:val="auto"/>
        </w:rPr>
        <w:t>As a result of disruptions in the financial markets in general, and the challenges facing biopharmaceutical stock prices and market capitalizations in recent years in particular,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93" w:lineRule="exact"/>
        <w:rPr>
          <w:sz w:val="20"/>
          <w:szCs w:val="20"/>
          <w:color w:val="auto"/>
        </w:rPr>
      </w:pPr>
    </w:p>
    <w:p>
      <w:pPr>
        <w:ind w:right="40" w:firstLine="557"/>
        <w:spacing w:after="0" w:line="28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47" w:lineRule="exact"/>
        <w:rPr>
          <w:sz w:val="20"/>
          <w:szCs w:val="20"/>
          <w:color w:val="auto"/>
        </w:rPr>
      </w:pPr>
    </w:p>
    <w:p>
      <w:pPr>
        <w:ind w:right="60" w:firstLine="557"/>
        <w:spacing w:after="0" w:line="271"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one or a combination of private and public equity offerings (such as the underwritten offering and concurrent private placement of common shares and pre-funded warrants in October 2025 and sales of common stock under an "at-the-market" stock offering program in in the first quarter of 2026),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78" w:lineRule="exact"/>
        <w:rPr>
          <w:sz w:val="20"/>
          <w:szCs w:val="20"/>
          <w:color w:val="auto"/>
        </w:rPr>
      </w:pPr>
    </w:p>
    <w:p>
      <w:pPr>
        <w:ind w:firstLine="557"/>
        <w:spacing w:after="0" w:line="263" w:lineRule="auto"/>
        <w:rPr>
          <w:sz w:val="20"/>
          <w:szCs w:val="20"/>
          <w:color w:val="auto"/>
        </w:rPr>
      </w:pPr>
      <w:r>
        <w:rPr>
          <w:rFonts w:ascii="Arial" w:cs="Arial" w:eastAsia="Arial" w:hAnsi="Arial"/>
          <w:sz w:val="19"/>
          <w:szCs w:val="19"/>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the Development of our Precision Oncology and Other Programs and Product Candidates</w:t>
      </w:r>
    </w:p>
    <w:p>
      <w:pPr>
        <w:spacing w:after="0" w:line="255" w:lineRule="exact"/>
        <w:rPr>
          <w:sz w:val="20"/>
          <w:szCs w:val="20"/>
          <w:color w:val="auto"/>
        </w:rPr>
      </w:pPr>
    </w:p>
    <w:p>
      <w:pPr>
        <w:ind w:right="420"/>
        <w:spacing w:after="0" w:line="356" w:lineRule="auto"/>
        <w:rPr>
          <w:sz w:val="20"/>
          <w:szCs w:val="20"/>
          <w:color w:val="auto"/>
        </w:rPr>
      </w:pPr>
      <w:r>
        <w:rPr>
          <w:rFonts w:ascii="Arial" w:cs="Arial" w:eastAsia="Arial" w:hAnsi="Arial"/>
          <w:sz w:val="17"/>
          <w:szCs w:val="17"/>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 w:lineRule="exact"/>
        <w:rPr>
          <w:sz w:val="20"/>
          <w:szCs w:val="20"/>
          <w:color w:val="auto"/>
        </w:rPr>
      </w:pPr>
    </w:p>
    <w:p>
      <w:pPr>
        <w:jc w:val="both"/>
        <w:ind w:right="260" w:firstLine="557"/>
        <w:spacing w:after="0" w:line="289" w:lineRule="auto"/>
        <w:rPr>
          <w:sz w:val="20"/>
          <w:szCs w:val="20"/>
          <w:color w:val="auto"/>
        </w:rPr>
      </w:pPr>
      <w:r>
        <w:rPr>
          <w:rFonts w:ascii="Arial" w:cs="Arial" w:eastAsia="Arial" w:hAnsi="Arial"/>
          <w:sz w:val="18"/>
          <w:szCs w:val="18"/>
          <w:color w:val="auto"/>
        </w:rPr>
        <w:t>We have not yet demonstrated our ability to complete large-scale, pivotal clinical trials, obtain regulatory approvals, manufacture a commercial scale product or arrange for a third party to do so on our behalf, or conduct sales and marketing activities necessary for successful commercialization. Although we have received FDA clearance of five IND applications (TNG908, vopimetostat, TNG260, TNG348, and TNG456), we have since discontinued development of TNG348 and</w:t>
      </w:r>
    </w:p>
    <w:p>
      <w:pPr>
        <w:sectPr>
          <w:pgSz w:w="12240" w:h="15840" w:orient="portrait"/>
          <w:cols w:equalWidth="0" w:num="1">
            <w:col w:w="10120"/>
          </w:cols>
          <w:pgMar w:left="1000" w:top="1075" w:right="1120" w:bottom="210" w:gutter="0" w:footer="0" w:header="0"/>
        </w:sectPr>
      </w:pP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10120"/>
          </w:cols>
          <w:pgMar w:left="1000" w:top="1075" w:right="1120" w:bottom="210" w:gutter="0" w:footer="0" w:header="0"/>
          <w:type w:val="continuous"/>
        </w:sectPr>
      </w:pPr>
    </w:p>
    <w:bookmarkStart w:id="43" w:name="page44"/>
    <w:bookmarkEnd w:id="43"/>
    <w:p>
      <w:pPr>
        <w:spacing w:after="0" w:line="271" w:lineRule="auto"/>
        <w:rPr>
          <w:sz w:val="20"/>
          <w:szCs w:val="20"/>
          <w:color w:val="auto"/>
        </w:rPr>
      </w:pPr>
      <w:r>
        <w:rPr>
          <w:rFonts w:ascii="Arial" w:cs="Arial" w:eastAsia="Arial" w:hAnsi="Arial"/>
          <w:sz w:val="18"/>
          <w:szCs w:val="18"/>
          <w:color w:val="auto"/>
        </w:rPr>
        <w:t>TNG908. We may not be able to file any future INDs for any of our other product candidates on the timelines we expect, if at all. Further, timelines for developing and filing INDs are subject to significant uncertainties and projected timelines can be delayed. Moreover, we cannot be sure that submission of an IND will result in the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INDs for TNG908, vopimetostat, TNG260, TNG348, and TNG456 were cleared by the FDA, such clearance does not ensure that an adequate number of patients will be enrolled on a timely basis, or at all or that the clinical trials will be completed on time, or at all. For example, in May 2024, we announced that we were discontinuing development of our TNG348 program due to liver toxicity observed in the dose escalation portion of our Phase 1/2 clinical trial, and in November 2024, we announced that we were discontinuing development of TNG908 to fully resource vopimetostat and TNG456 development.</w:t>
      </w:r>
    </w:p>
    <w:p>
      <w:pPr>
        <w:spacing w:after="0" w:line="124" w:lineRule="exact"/>
        <w:rPr>
          <w:sz w:val="20"/>
          <w:szCs w:val="20"/>
          <w:color w:val="auto"/>
        </w:rPr>
      </w:pPr>
    </w:p>
    <w:p>
      <w:pPr>
        <w:ind w:right="200" w:firstLine="652"/>
        <w:spacing w:after="0" w:line="252" w:lineRule="auto"/>
        <w:rPr>
          <w:sz w:val="20"/>
          <w:szCs w:val="20"/>
          <w:color w:val="auto"/>
        </w:rPr>
      </w:pPr>
      <w:r>
        <w:rPr>
          <w:rFonts w:ascii="Arial" w:cs="Arial" w:eastAsia="Arial" w:hAnsi="Arial"/>
          <w:sz w:val="20"/>
          <w:szCs w:val="20"/>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88" w:lineRule="exact"/>
        <w:rPr>
          <w:sz w:val="20"/>
          <w:szCs w:val="20"/>
          <w:color w:val="auto"/>
        </w:rPr>
      </w:pPr>
    </w:p>
    <w:p>
      <w:pPr>
        <w:ind w:left="920" w:hanging="192"/>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be delayed in seeking or obtaining regulatory approval for our product candidates;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not obtain regulatory approval at all;</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obtain regulatory approval for indications or patient populations that are not as broad as intended or desired;</w:t>
      </w:r>
    </w:p>
    <w:p>
      <w:pPr>
        <w:spacing w:after="0" w:line="146" w:lineRule="exact"/>
        <w:rPr>
          <w:rFonts w:ascii="Arial" w:cs="Arial" w:eastAsia="Arial" w:hAnsi="Arial"/>
          <w:sz w:val="19"/>
          <w:szCs w:val="19"/>
          <w:color w:val="auto"/>
        </w:rPr>
      </w:pPr>
    </w:p>
    <w:p>
      <w:pPr>
        <w:ind w:left="920" w:hanging="192"/>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be subject to post-marketing testing requirements; or</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have the product removed from the market after obtaining regulatory approval.</w:t>
      </w:r>
    </w:p>
    <w:p>
      <w:pPr>
        <w:spacing w:after="0" w:line="240"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8" w:lineRule="exact"/>
        <w:rPr>
          <w:sz w:val="20"/>
          <w:szCs w:val="20"/>
          <w:color w:val="auto"/>
        </w:rPr>
      </w:pPr>
    </w:p>
    <w:p>
      <w:pPr>
        <w:ind w:firstLine="557"/>
        <w:spacing w:after="0" w:line="272" w:lineRule="auto"/>
        <w:rPr>
          <w:sz w:val="20"/>
          <w:szCs w:val="20"/>
          <w:color w:val="auto"/>
        </w:rPr>
      </w:pPr>
      <w:r>
        <w:rPr>
          <w:rFonts w:ascii="Arial" w:cs="Arial" w:eastAsia="Arial" w:hAnsi="Arial"/>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proprietary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(and our combination clinical trials)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product development involves a lengthy and expensive process, with an uncertain outcome.</w:t>
      </w:r>
    </w:p>
    <w:p>
      <w:pPr>
        <w:spacing w:after="0" w:line="120" w:lineRule="exact"/>
        <w:rPr>
          <w:sz w:val="20"/>
          <w:szCs w:val="20"/>
          <w:color w:val="auto"/>
        </w:rPr>
      </w:pPr>
    </w:p>
    <w:p>
      <w:pPr>
        <w:ind w:firstLine="557"/>
        <w:spacing w:after="0" w:line="274" w:lineRule="auto"/>
        <w:rPr>
          <w:sz w:val="20"/>
          <w:szCs w:val="20"/>
          <w:color w:val="auto"/>
        </w:rPr>
      </w:pPr>
      <w:r>
        <w:rPr>
          <w:rFonts w:ascii="Arial" w:cs="Arial" w:eastAsia="Arial" w:hAnsi="Arial"/>
          <w:sz w:val="18"/>
          <w:szCs w:val="18"/>
          <w:color w:val="auto"/>
        </w:rPr>
        <w:t xml:space="preserve">Our preclinical studies, our ongoing clinical trials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For example, in May 2024, we announced that we were discontinuing development of our TNG348 program due to liver </w:t>
      </w:r>
      <w:r>
        <w:rPr>
          <w:rFonts w:ascii="Arial" w:cs="Arial" w:eastAsia="Arial" w:hAnsi="Arial"/>
          <w:sz w:val="17"/>
          <w:szCs w:val="17"/>
          <w:color w:val="auto"/>
        </w:rPr>
        <w:t>toxicity observed in the dose escalation portion</w:t>
      </w:r>
      <w:r>
        <w:rPr>
          <w:rFonts w:ascii="Arial" w:cs="Arial" w:eastAsia="Arial" w:hAnsi="Arial"/>
          <w:sz w:val="18"/>
          <w:szCs w:val="18"/>
          <w:color w:val="auto"/>
        </w:rPr>
        <w:t xml:space="preserve"> </w:t>
      </w:r>
      <w:r>
        <w:rPr>
          <w:rFonts w:ascii="Arial" w:cs="Arial" w:eastAsia="Arial" w:hAnsi="Arial"/>
          <w:sz w:val="17"/>
          <w:szCs w:val="17"/>
          <w:color w:val="auto"/>
        </w:rPr>
        <w:t xml:space="preserve">of our Phase 1/2 clinical trial. </w:t>
      </w:r>
      <w:r>
        <w:rPr>
          <w:rFonts w:ascii="Arial" w:cs="Arial" w:eastAsia="Arial" w:hAnsi="Arial"/>
          <w:sz w:val="18"/>
          <w:szCs w:val="18"/>
          <w:color w:val="auto"/>
        </w:rPr>
        <w:t>The outcome of preclinical development testing and early clinical trials may not be predictive of</w:t>
      </w:r>
      <w:r>
        <w:rPr>
          <w:rFonts w:ascii="Arial" w:cs="Arial" w:eastAsia="Arial" w:hAnsi="Arial"/>
          <w:sz w:val="17"/>
          <w:szCs w:val="17"/>
          <w:color w:val="auto"/>
        </w:rPr>
        <w:t xml:space="preserve"> </w:t>
      </w:r>
      <w:r>
        <w:rPr>
          <w:rFonts w:ascii="Arial" w:cs="Arial" w:eastAsia="Arial" w:hAnsi="Arial"/>
          <w:sz w:val="18"/>
          <w:szCs w:val="18"/>
          <w:color w:val="auto"/>
        </w:rPr>
        <w:t>the success of later clinical trials, and interim or preliminary results of a clinical trial do not necessarily predict final results (or be indicative of safety and efficacy if commercialized and used in a broader population). Moreover, preclinical and clinical</w:t>
      </w:r>
    </w:p>
    <w:p>
      <w:pPr>
        <w:sectPr>
          <w:pgSz w:w="12240" w:h="15840" w:orient="portrait"/>
          <w:cols w:equalWidth="0" w:num="1">
            <w:col w:w="10140"/>
          </w:cols>
          <w:pgMar w:left="1000" w:top="1060" w:right="1100" w:bottom="21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10140"/>
          </w:cols>
          <w:pgMar w:left="1000" w:top="1060" w:right="1100" w:bottom="210" w:gutter="0" w:footer="0" w:header="0"/>
          <w:type w:val="continuous"/>
        </w:sectPr>
      </w:pPr>
    </w:p>
    <w:bookmarkStart w:id="44" w:name="page45"/>
    <w:bookmarkEnd w:id="44"/>
    <w:p>
      <w:pPr>
        <w:jc w:val="both"/>
        <w:ind w:right="580"/>
        <w:spacing w:after="0" w:line="258" w:lineRule="auto"/>
        <w:rPr>
          <w:sz w:val="20"/>
          <w:szCs w:val="20"/>
          <w:color w:val="auto"/>
        </w:rPr>
      </w:pPr>
      <w:r>
        <w:rPr>
          <w:rFonts w:ascii="Arial" w:cs="Arial" w:eastAsia="Arial" w:hAnsi="Arial"/>
          <w:sz w:val="20"/>
          <w:szCs w:val="20"/>
          <w:color w:val="auto"/>
        </w:rPr>
        <w:t>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spacing w:after="0" w:line="188"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b w:val="1"/>
          <w:bCs w:val="1"/>
          <w:i w:val="1"/>
          <w:iCs w:val="1"/>
          <w:color w:val="auto"/>
        </w:rPr>
        <w:t>If we or third parties are unable to successfully develop screening technology for biomarkers that enable patient selection and/or target engagement, or experience significant delays in doing so, we may be unable to commercialize our product candidates or we may not realize the full commercial potential of our product candidates.</w:t>
      </w:r>
    </w:p>
    <w:p>
      <w:pPr>
        <w:spacing w:after="0" w:line="154" w:lineRule="exact"/>
        <w:rPr>
          <w:sz w:val="20"/>
          <w:szCs w:val="20"/>
          <w:color w:val="auto"/>
        </w:rPr>
      </w:pPr>
    </w:p>
    <w:p>
      <w:pPr>
        <w:ind w:firstLine="721"/>
        <w:spacing w:after="0" w:line="261" w:lineRule="auto"/>
        <w:rPr>
          <w:sz w:val="20"/>
          <w:szCs w:val="20"/>
          <w:color w:val="auto"/>
        </w:rPr>
      </w:pPr>
      <w:r>
        <w:rPr>
          <w:rFonts w:ascii="Arial" w:cs="Arial" w:eastAsia="Arial" w:hAnsi="Arial"/>
          <w:sz w:val="19"/>
          <w:szCs w:val="19"/>
          <w:color w:val="auto"/>
        </w:rPr>
        <w:t>A key component of our strategy includes the use of biomarker testing to guide patient selection for our product candidates and/or target engagement for our product candidates. We rely on third-parties to provide this technology. It is not always the case, however, that the biomarker we have identified for patient selection and/or target engagement is included in a commercially available test offered by biomarker testing providers. If not already commercially available, we may collaborate with biomarker assay development companies for the development of biomarkers associated with our product candidates. We may have difficulty in establishing or maintaining such development relationships, and we will face competition from other companies in establishing these collaborations.</w:t>
      </w:r>
    </w:p>
    <w:p>
      <w:pPr>
        <w:spacing w:after="0" w:line="186" w:lineRule="exact"/>
        <w:rPr>
          <w:sz w:val="20"/>
          <w:szCs w:val="20"/>
          <w:color w:val="auto"/>
        </w:rPr>
      </w:pPr>
    </w:p>
    <w:p>
      <w:pPr>
        <w:ind w:right="20" w:firstLine="721"/>
        <w:spacing w:after="0" w:line="280" w:lineRule="auto"/>
        <w:rPr>
          <w:sz w:val="20"/>
          <w:szCs w:val="20"/>
          <w:color w:val="auto"/>
        </w:rPr>
      </w:pPr>
      <w:r>
        <w:rPr>
          <w:rFonts w:ascii="Arial" w:cs="Arial" w:eastAsia="Arial" w:hAnsi="Arial"/>
          <w:sz w:val="18"/>
          <w:szCs w:val="18"/>
          <w:color w:val="auto"/>
        </w:rPr>
        <w:t>There are also several risks associated with biomarker identification and validation. We, in collaboration with any diagnostic partners, may not be able to identify predictive pharmacodynamic biomarkers for one or more of our programs. We may not be able to validate potential biomarkers (</w:t>
      </w:r>
      <w:r>
        <w:rPr>
          <w:rFonts w:ascii="Arial" w:cs="Arial" w:eastAsia="Arial" w:hAnsi="Arial"/>
          <w:sz w:val="18"/>
          <w:szCs w:val="18"/>
          <w:i w:val="1"/>
          <w:iCs w:val="1"/>
          <w:color w:val="auto"/>
        </w:rPr>
        <w:t>e.g.</w:t>
      </w:r>
      <w:r>
        <w:rPr>
          <w:rFonts w:ascii="Arial" w:cs="Arial" w:eastAsia="Arial" w:hAnsi="Arial"/>
          <w:sz w:val="18"/>
          <w:szCs w:val="18"/>
          <w:color w:val="auto"/>
        </w:rPr>
        <w:t>, certain genetic mutations) or their functional relevance in relevant in vitro or in vivo models. Data analytics and information from databases that we rely on for identifying or validating some of our biomarker-target relationships may not accurately reflect potential patient populations. Potential biomarkers, even if validated preclinically, may not be functionally effective or validated in human clinical trials.</w:t>
      </w:r>
    </w:p>
    <w:p>
      <w:pPr>
        <w:spacing w:after="0" w:line="171" w:lineRule="exact"/>
        <w:rPr>
          <w:sz w:val="20"/>
          <w:szCs w:val="20"/>
          <w:color w:val="auto"/>
        </w:rPr>
      </w:pPr>
    </w:p>
    <w:p>
      <w:pPr>
        <w:ind w:right="40" w:firstLine="721"/>
        <w:spacing w:after="0" w:line="301" w:lineRule="auto"/>
        <w:rPr>
          <w:sz w:val="20"/>
          <w:szCs w:val="20"/>
          <w:color w:val="auto"/>
        </w:rPr>
      </w:pPr>
      <w:r>
        <w:rPr>
          <w:rFonts w:ascii="Arial" w:cs="Arial" w:eastAsia="Arial" w:hAnsi="Arial"/>
          <w:sz w:val="18"/>
          <w:szCs w:val="18"/>
          <w:color w:val="auto"/>
        </w:rPr>
        <w:t>If biomarker assay development companies experience any delays developing and launching the biomarkers we have identified for patient selection and/or target engagement, our clinical trials may be delayed or may not identify sufficient patients to complete the trial and our clinical trials may be unsuccessful and our therapies will not advance to approval.</w:t>
      </w:r>
    </w:p>
    <w:p>
      <w:pPr>
        <w:spacing w:after="0" w:line="31" w:lineRule="exact"/>
        <w:rPr>
          <w:sz w:val="20"/>
          <w:szCs w:val="20"/>
          <w:color w:val="auto"/>
        </w:rPr>
      </w:pPr>
    </w:p>
    <w:p>
      <w:pPr>
        <w:spacing w:after="0" w:line="279" w:lineRule="auto"/>
        <w:rPr>
          <w:sz w:val="20"/>
          <w:szCs w:val="20"/>
          <w:color w:val="auto"/>
        </w:rPr>
      </w:pPr>
      <w:r>
        <w:rPr>
          <w:rFonts w:ascii="Arial" w:cs="Arial" w:eastAsia="Arial" w:hAnsi="Arial"/>
          <w:sz w:val="19"/>
          <w:szCs w:val="19"/>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48" w:lineRule="exact"/>
        <w:rPr>
          <w:sz w:val="20"/>
          <w:szCs w:val="20"/>
          <w:color w:val="auto"/>
        </w:rPr>
      </w:pPr>
    </w:p>
    <w:p>
      <w:pPr>
        <w:ind w:firstLine="557"/>
        <w:spacing w:after="0" w:line="259" w:lineRule="auto"/>
        <w:rPr>
          <w:sz w:val="20"/>
          <w:szCs w:val="20"/>
          <w:color w:val="auto"/>
        </w:rPr>
      </w:pPr>
      <w:r>
        <w:rPr>
          <w:rFonts w:ascii="Arial" w:cs="Arial" w:eastAsia="Arial" w:hAnsi="Arial"/>
          <w:sz w:val="19"/>
          <w:szCs w:val="19"/>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in connection with such diagnostic tests. The FDA and comparable foreign regulatory authorities regulate in vitro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88" w:lineRule="exact"/>
        <w:rPr>
          <w:sz w:val="20"/>
          <w:szCs w:val="20"/>
          <w:color w:val="auto"/>
        </w:rPr>
      </w:pPr>
    </w:p>
    <w:p>
      <w:pPr>
        <w:ind w:right="20" w:firstLine="557"/>
        <w:spacing w:after="0" w:line="271" w:lineRule="auto"/>
        <w:rPr>
          <w:sz w:val="20"/>
          <w:szCs w:val="20"/>
          <w:color w:val="auto"/>
        </w:rPr>
      </w:pPr>
      <w:r>
        <w:rPr>
          <w:rFonts w:ascii="Arial" w:cs="Arial" w:eastAsia="Arial" w:hAnsi="Arial"/>
          <w:sz w:val="18"/>
          <w:szCs w:val="18"/>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must characterize the selectivity, specificity, sensitivity, reproducibility, analytical validation, and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(or any third party we may engage)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i w:val="1"/>
          <w:iCs w:val="1"/>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ectPr>
          <w:pgSz w:w="12240" w:h="15840" w:orient="portrait"/>
          <w:cols w:equalWidth="0" w:num="1">
            <w:col w:w="10120"/>
          </w:cols>
          <w:pgMar w:left="1000" w:top="1060" w:right="1120" w:bottom="210" w:gutter="0" w:footer="0" w:header="0"/>
        </w:sectPr>
      </w:pP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10120"/>
          </w:cols>
          <w:pgMar w:left="1000" w:top="1060" w:right="1120" w:bottom="210" w:gutter="0" w:footer="0" w:header="0"/>
          <w:type w:val="continuous"/>
        </w:sectPr>
      </w:pPr>
    </w:p>
    <w:bookmarkStart w:id="45" w:name="page46"/>
    <w:bookmarkEnd w:id="45"/>
    <w:p>
      <w:pPr>
        <w:ind w:right="60" w:firstLine="557"/>
        <w:spacing w:after="0" w:line="272" w:lineRule="auto"/>
        <w:rPr>
          <w:sz w:val="20"/>
          <w:szCs w:val="20"/>
          <w:color w:val="auto"/>
        </w:rPr>
      </w:pPr>
      <w:r>
        <w:rPr>
          <w:rFonts w:ascii="Arial" w:cs="Arial" w:eastAsia="Arial" w:hAnsi="Arial"/>
          <w:sz w:val="18"/>
          <w:szCs w:val="18"/>
          <w:color w:val="auto"/>
        </w:rPr>
        <w:t>From time to time, we may publicly disclose initial, interim or top-line data from our current and future clinical trials, which is based on a preliminary analysis of then-available data, and the results and related findings and conclusions are subject to change following a more comprehensive review of the data, including audit and verification procedures,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initial, interim and top-line data should be viewed with caution until the final data are available and fully analyzed. In addition, we may report interim analyses of only certain endpoints rather than all endpoints in a clinical trial.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 (and we may be subject to securities litigation that can be costly and time-consuming).</w:t>
      </w:r>
    </w:p>
    <w:p>
      <w:pPr>
        <w:spacing w:after="0" w:line="180" w:lineRule="exact"/>
        <w:rPr>
          <w:sz w:val="20"/>
          <w:szCs w:val="20"/>
          <w:color w:val="auto"/>
        </w:rPr>
      </w:pPr>
    </w:p>
    <w:p>
      <w:pPr>
        <w:ind w:right="160" w:firstLine="557"/>
        <w:spacing w:after="0" w:line="280" w:lineRule="auto"/>
        <w:rPr>
          <w:sz w:val="20"/>
          <w:szCs w:val="20"/>
          <w:color w:val="auto"/>
        </w:rPr>
      </w:pPr>
      <w:r>
        <w:rPr>
          <w:rFonts w:ascii="Arial" w:cs="Arial" w:eastAsia="Arial" w:hAnsi="Arial"/>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1" w:lineRule="exact"/>
        <w:rPr>
          <w:sz w:val="20"/>
          <w:szCs w:val="20"/>
          <w:color w:val="auto"/>
        </w:rPr>
      </w:pPr>
    </w:p>
    <w:p>
      <w:pPr>
        <w:ind w:firstLine="557"/>
        <w:spacing w:after="0" w:line="245" w:lineRule="auto"/>
        <w:rPr>
          <w:sz w:val="20"/>
          <w:szCs w:val="20"/>
          <w:color w:val="auto"/>
        </w:rPr>
      </w:pPr>
      <w:r>
        <w:rPr>
          <w:rFonts w:ascii="Arial" w:cs="Arial" w:eastAsia="Arial" w:hAnsi="Arial"/>
          <w:sz w:val="20"/>
          <w:szCs w:val="20"/>
          <w:color w:val="auto"/>
        </w:rPr>
        <w:t xml:space="preserve">We may from time to time indicate the intent to publicly disclose certain clinical trial data at a future date. We have, for example, noted that in 2026 we will provide a clinical update on the lung cohort of the vopimetostat monotherapy clinical trial and initial data from the Phase 1/2 combination clinical trial with RAS(ON) inhibitors from RevMed. Due to the factors described above, and elsewhere in these </w:t>
      </w:r>
      <w:r>
        <w:rPr>
          <w:rFonts w:ascii="Arial" w:cs="Arial" w:eastAsia="Arial" w:hAnsi="Arial"/>
          <w:sz w:val="20"/>
          <w:szCs w:val="20"/>
          <w:i w:val="1"/>
          <w:iCs w:val="1"/>
          <w:color w:val="auto"/>
        </w:rPr>
        <w:t>Risk Factors</w:t>
      </w:r>
      <w:r>
        <w:rPr>
          <w:rFonts w:ascii="Arial" w:cs="Arial" w:eastAsia="Arial" w:hAnsi="Arial"/>
          <w:sz w:val="20"/>
          <w:szCs w:val="20"/>
          <w:color w:val="auto"/>
        </w:rPr>
        <w:t>, we may be unable to report data on or before the time indicated to investors, we may not have the data to provide the information indicative of safety or efficacy, the data may not be sufficiently mature or the number of patients with a specific histology may be inadequate to draw conclusions about the effectiveness of the therapy, and even if we do provide such clinical trial data, the final results from that phase of the clinical trial may be different from what we disclose initially.</w:t>
      </w:r>
    </w:p>
    <w:p>
      <w:pPr>
        <w:spacing w:after="0" w:line="203" w:lineRule="exact"/>
        <w:rPr>
          <w:sz w:val="20"/>
          <w:szCs w:val="20"/>
          <w:color w:val="auto"/>
        </w:rPr>
      </w:pPr>
    </w:p>
    <w:p>
      <w:pPr>
        <w:ind w:right="160" w:firstLine="557"/>
        <w:spacing w:after="0" w:line="252" w:lineRule="auto"/>
        <w:rPr>
          <w:sz w:val="20"/>
          <w:szCs w:val="20"/>
          <w:color w:val="auto"/>
        </w:rPr>
      </w:pPr>
      <w:r>
        <w:rPr>
          <w:rFonts w:ascii="Arial" w:cs="Arial" w:eastAsia="Arial" w:hAnsi="Arial"/>
          <w:sz w:val="20"/>
          <w:szCs w:val="20"/>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193" w:lineRule="exact"/>
        <w:rPr>
          <w:sz w:val="20"/>
          <w:szCs w:val="20"/>
          <w:color w:val="auto"/>
        </w:rPr>
      </w:pPr>
    </w:p>
    <w:p>
      <w:pPr>
        <w:ind w:right="160" w:firstLine="557"/>
        <w:spacing w:after="0" w:line="305" w:lineRule="auto"/>
        <w:rPr>
          <w:sz w:val="20"/>
          <w:szCs w:val="20"/>
          <w:color w:val="auto"/>
        </w:rPr>
      </w:pPr>
      <w:r>
        <w:rPr>
          <w:rFonts w:ascii="Arial" w:cs="Arial" w:eastAsia="Arial" w:hAnsi="Arial"/>
          <w:sz w:val="19"/>
          <w:szCs w:val="19"/>
          <w:color w:val="auto"/>
        </w:rPr>
        <w:t>Finally, even if the data provided from the clinical trial is favorable with respect to safety and efficacy, such data may not meet the expectations of our investors and our stock price may decline (and such decline may be material).</w:t>
      </w:r>
    </w:p>
    <w:p>
      <w:pPr>
        <w:spacing w:after="0" w:line="145" w:lineRule="exact"/>
        <w:rPr>
          <w:sz w:val="20"/>
          <w:szCs w:val="20"/>
          <w:color w:val="auto"/>
        </w:rPr>
      </w:pPr>
    </w:p>
    <w:p>
      <w:pPr>
        <w:ind w:right="360"/>
        <w:spacing w:after="0" w:line="277" w:lineRule="auto"/>
        <w:rPr>
          <w:sz w:val="20"/>
          <w:szCs w:val="20"/>
          <w:color w:val="auto"/>
        </w:rPr>
      </w:pPr>
      <w:r>
        <w:rPr>
          <w:rFonts w:ascii="Arial" w:cs="Arial" w:eastAsia="Arial" w:hAnsi="Arial"/>
          <w:sz w:val="20"/>
          <w:szCs w:val="20"/>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9" w:lineRule="exact"/>
        <w:rPr>
          <w:sz w:val="20"/>
          <w:szCs w:val="20"/>
          <w:color w:val="auto"/>
        </w:rPr>
      </w:pPr>
    </w:p>
    <w:p>
      <w:pPr>
        <w:ind w:right="240" w:firstLine="557"/>
        <w:spacing w:after="0" w:line="263" w:lineRule="auto"/>
        <w:rPr>
          <w:sz w:val="20"/>
          <w:szCs w:val="20"/>
          <w:color w:val="auto"/>
        </w:rPr>
      </w:pPr>
      <w:r>
        <w:rPr>
          <w:rFonts w:ascii="Arial" w:cs="Arial" w:eastAsia="Arial" w:hAnsi="Arial"/>
          <w:sz w:val="19"/>
          <w:szCs w:val="19"/>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78" w:lineRule="exact"/>
        <w:rPr>
          <w:sz w:val="20"/>
          <w:szCs w:val="20"/>
          <w:color w:val="auto"/>
        </w:rPr>
      </w:pPr>
    </w:p>
    <w:p>
      <w:pPr>
        <w:ind w:left="720" w:right="40" w:firstLine="8"/>
        <w:spacing w:after="0" w:line="278" w:lineRule="auto"/>
        <w:tabs>
          <w:tab w:leader="none" w:pos="912"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receive feedback from regulatory authorities that require us to modify the design or implementation of our preclinical studies or clinical trials or to delay or terminate a clinical trial;</w:t>
      </w:r>
    </w:p>
    <w:p>
      <w:pPr>
        <w:spacing w:after="0" w:line="62" w:lineRule="exact"/>
        <w:rPr>
          <w:rFonts w:ascii="Arial" w:cs="Arial" w:eastAsia="Arial" w:hAnsi="Arial"/>
          <w:sz w:val="20"/>
          <w:szCs w:val="20"/>
          <w:color w:val="auto"/>
        </w:rPr>
      </w:pPr>
    </w:p>
    <w:p>
      <w:pPr>
        <w:ind w:left="720" w:right="480" w:firstLine="8"/>
        <w:spacing w:after="0" w:line="278" w:lineRule="auto"/>
        <w:tabs>
          <w:tab w:leader="none" w:pos="912"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regulators, IRBs, or ethics committees may delay or may not authorize us or our investigators to commence a clinical trial or conduct a clinical trial at a prospective trial site;</w:t>
      </w:r>
    </w:p>
    <w:p>
      <w:pPr>
        <w:spacing w:after="0" w:line="62" w:lineRule="exact"/>
        <w:rPr>
          <w:rFonts w:ascii="Arial" w:cs="Arial" w:eastAsia="Arial" w:hAnsi="Arial"/>
          <w:sz w:val="20"/>
          <w:szCs w:val="20"/>
          <w:color w:val="auto"/>
        </w:rPr>
      </w:pPr>
    </w:p>
    <w:p>
      <w:pPr>
        <w:ind w:left="720" w:right="80" w:firstLine="8"/>
        <w:spacing w:after="0" w:line="258" w:lineRule="auto"/>
        <w:tabs>
          <w:tab w:leader="none" w:pos="912"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experience delays in reaching, or fail to reach, agreement on acceptable terms with prospective trial sites and prospective CROs to conduct our trials, the terms of which can be subject to extensive negotiation and may vary significantly among different trial sites and CROs;</w:t>
      </w:r>
    </w:p>
    <w:p>
      <w:pPr>
        <w:spacing w:after="0" w:line="82" w:lineRule="exact"/>
        <w:rPr>
          <w:rFonts w:ascii="Arial" w:cs="Arial" w:eastAsia="Arial" w:hAnsi="Arial"/>
          <w:sz w:val="20"/>
          <w:szCs w:val="20"/>
          <w:color w:val="auto"/>
        </w:rPr>
      </w:pPr>
    </w:p>
    <w:p>
      <w:pPr>
        <w:ind w:left="720" w:right="420" w:firstLine="8"/>
        <w:spacing w:after="0" w:line="301" w:lineRule="auto"/>
        <w:tabs>
          <w:tab w:leader="none" w:pos="9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ectPr>
          <w:pgSz w:w="12240" w:h="15840" w:orient="portrait"/>
          <w:cols w:equalWidth="0" w:num="1">
            <w:col w:w="10140"/>
          </w:cols>
          <w:pgMar w:left="1000" w:top="1060" w:right="1100" w:bottom="21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10140"/>
          </w:cols>
          <w:pgMar w:left="1000" w:top="1060" w:right="1100" w:bottom="210" w:gutter="0" w:footer="0" w:header="0"/>
          <w:type w:val="continuous"/>
        </w:sectPr>
      </w:pPr>
    </w:p>
    <w:bookmarkStart w:id="46" w:name="page47"/>
    <w:bookmarkEnd w:id="46"/>
    <w:p>
      <w:pPr>
        <w:ind w:left="720" w:right="860" w:firstLine="8"/>
        <w:spacing w:after="0" w:line="278" w:lineRule="auto"/>
        <w:tabs>
          <w:tab w:leader="none" w:pos="9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preclinical studies or clinical trials of our product candidates may not produce differentiated or clinically significant results across tumor types or indications;</w:t>
      </w:r>
    </w:p>
    <w:p>
      <w:pPr>
        <w:spacing w:after="0" w:line="61" w:lineRule="exact"/>
        <w:rPr>
          <w:rFonts w:ascii="Arial" w:cs="Arial" w:eastAsia="Arial" w:hAnsi="Arial"/>
          <w:sz w:val="20"/>
          <w:szCs w:val="20"/>
          <w:color w:val="auto"/>
        </w:rPr>
      </w:pPr>
    </w:p>
    <w:p>
      <w:pPr>
        <w:ind w:left="720" w:right="100" w:firstLine="8"/>
        <w:spacing w:after="0" w:line="249" w:lineRule="auto"/>
        <w:tabs>
          <w:tab w:leader="none" w:pos="9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number of patients required for clinical trials of our product candidates may be larger than we anticipate, enrollment in these clinical trials may be slower than we anticipate or we may fail to enroll patients with certain cancer indications, such as pancreatic and lung cancer, that we are focusing on in connection with vopimetostat (and GBM, which is our focus for TNG456), or participants may drop out of these clinical trials or fail to return for post-treatment follow-up at a higher rate than we anticipate;</w:t>
      </w:r>
    </w:p>
    <w:p>
      <w:pPr>
        <w:spacing w:after="0" w:line="92" w:lineRule="exact"/>
        <w:rPr>
          <w:rFonts w:ascii="Arial" w:cs="Arial" w:eastAsia="Arial" w:hAnsi="Arial"/>
          <w:sz w:val="20"/>
          <w:szCs w:val="20"/>
          <w:color w:val="auto"/>
        </w:rPr>
      </w:pPr>
    </w:p>
    <w:p>
      <w:pPr>
        <w:ind w:left="720" w:right="120" w:firstLine="8"/>
        <w:spacing w:after="0" w:line="259" w:lineRule="auto"/>
        <w:tabs>
          <w:tab w:leader="none" w:pos="9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81" w:lineRule="exact"/>
        <w:rPr>
          <w:rFonts w:ascii="Arial" w:cs="Arial" w:eastAsia="Arial" w:hAnsi="Arial"/>
          <w:sz w:val="20"/>
          <w:szCs w:val="20"/>
          <w:color w:val="auto"/>
        </w:rPr>
      </w:pPr>
    </w:p>
    <w:p>
      <w:pPr>
        <w:jc w:val="both"/>
        <w:ind w:left="720" w:firstLine="8"/>
        <w:spacing w:after="0" w:line="259" w:lineRule="auto"/>
        <w:tabs>
          <w:tab w:leader="none" w:pos="8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clinical trial sites or investigators may deviate from the clinical trial protocol or drop out of the trial, which may require that we add new clinical trial sites or investigators in order to ensure our trials generate statistically significant results;</w:t>
      </w:r>
    </w:p>
    <w:p>
      <w:pPr>
        <w:spacing w:after="0" w:line="79" w:lineRule="exact"/>
        <w:rPr>
          <w:rFonts w:ascii="Arial" w:cs="Arial" w:eastAsia="Arial" w:hAnsi="Arial"/>
          <w:sz w:val="20"/>
          <w:szCs w:val="20"/>
          <w:color w:val="auto"/>
        </w:rPr>
      </w:pPr>
    </w:p>
    <w:p>
      <w:pPr>
        <w:ind w:left="720" w:right="260" w:firstLine="8"/>
        <w:spacing w:after="0" w:line="279" w:lineRule="auto"/>
        <w:tabs>
          <w:tab w:leader="none" w:pos="912"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may elect to, or regulators,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3" w:lineRule="exact"/>
        <w:rPr>
          <w:rFonts w:ascii="Arial" w:cs="Arial" w:eastAsia="Arial" w:hAnsi="Arial"/>
          <w:sz w:val="19"/>
          <w:szCs w:val="19"/>
          <w:color w:val="auto"/>
        </w:rPr>
      </w:pPr>
    </w:p>
    <w:p>
      <w:pPr>
        <w:ind w:left="720" w:right="800" w:firstLine="8"/>
        <w:spacing w:after="0" w:line="305" w:lineRule="auto"/>
        <w:tabs>
          <w:tab w:leader="none" w:pos="91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cost of clinical trials of our product candidates or of our product candidates in combination with other manufacturer’s commercial products or product candidates may be greater than we anticipate;</w:t>
      </w:r>
    </w:p>
    <w:p>
      <w:pPr>
        <w:spacing w:after="0" w:line="39" w:lineRule="exact"/>
        <w:rPr>
          <w:rFonts w:ascii="Arial" w:cs="Arial" w:eastAsia="Arial" w:hAnsi="Arial"/>
          <w:sz w:val="19"/>
          <w:szCs w:val="19"/>
          <w:color w:val="auto"/>
        </w:rPr>
      </w:pPr>
    </w:p>
    <w:p>
      <w:pPr>
        <w:ind w:left="720" w:right="100" w:firstLine="8"/>
        <w:spacing w:after="0" w:line="336" w:lineRule="auto"/>
        <w:tabs>
          <w:tab w:leader="none" w:pos="9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including our combination clinical trials, of our product candidates (alone or in combination) may be insufficient or inadequate;</w:t>
      </w:r>
    </w:p>
    <w:p>
      <w:pPr>
        <w:spacing w:after="0" w:line="14" w:lineRule="exact"/>
        <w:rPr>
          <w:rFonts w:ascii="Arial" w:cs="Arial" w:eastAsia="Arial" w:hAnsi="Arial"/>
          <w:sz w:val="18"/>
          <w:szCs w:val="18"/>
          <w:color w:val="auto"/>
        </w:rPr>
      </w:pPr>
    </w:p>
    <w:p>
      <w:pPr>
        <w:jc w:val="both"/>
        <w:ind w:left="720" w:right="160" w:firstLine="8"/>
        <w:spacing w:after="0" w:line="290" w:lineRule="auto"/>
        <w:tabs>
          <w:tab w:leader="none" w:pos="9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(or our product candidates in combination with other products or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55" w:lineRule="exact"/>
        <w:rPr>
          <w:rFonts w:ascii="Arial" w:cs="Arial" w:eastAsia="Arial" w:hAnsi="Arial"/>
          <w:sz w:val="18"/>
          <w:szCs w:val="18"/>
          <w:color w:val="auto"/>
        </w:rPr>
      </w:pPr>
    </w:p>
    <w:p>
      <w:pPr>
        <w:ind w:left="720" w:right="280" w:firstLine="8"/>
        <w:spacing w:after="0" w:line="278" w:lineRule="auto"/>
        <w:tabs>
          <w:tab w:leader="none" w:pos="9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regulators may revise the requirements for approving our product candidates, (alone or in combination), or such requirements may not be as we anticipate; and</w:t>
      </w:r>
    </w:p>
    <w:p>
      <w:pPr>
        <w:spacing w:after="0" w:line="60" w:lineRule="exact"/>
        <w:rPr>
          <w:rFonts w:ascii="Arial" w:cs="Arial" w:eastAsia="Arial" w:hAnsi="Arial"/>
          <w:sz w:val="20"/>
          <w:szCs w:val="20"/>
          <w:color w:val="auto"/>
        </w:rPr>
      </w:pPr>
    </w:p>
    <w:p>
      <w:pPr>
        <w:ind w:left="720" w:right="600" w:firstLine="8"/>
        <w:spacing w:after="0" w:line="281" w:lineRule="auto"/>
        <w:tabs>
          <w:tab w:leader="none" w:pos="9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regulatory developments may occur with respect to our competitors’ products, including any developments, litigation or public concern about the safety of such products.</w:t>
      </w:r>
    </w:p>
    <w:p>
      <w:pPr>
        <w:spacing w:after="0" w:line="163" w:lineRule="exact"/>
        <w:rPr>
          <w:sz w:val="20"/>
          <w:szCs w:val="20"/>
          <w:color w:val="auto"/>
        </w:rPr>
      </w:pPr>
    </w:p>
    <w:p>
      <w:pPr>
        <w:ind w:right="180" w:firstLine="556"/>
        <w:spacing w:after="0" w:line="257" w:lineRule="auto"/>
        <w:rPr>
          <w:sz w:val="20"/>
          <w:szCs w:val="20"/>
          <w:color w:val="auto"/>
        </w:rPr>
      </w:pPr>
      <w:r>
        <w:rPr>
          <w:rFonts w:ascii="Arial" w:cs="Arial" w:eastAsia="Arial" w:hAnsi="Arial"/>
          <w:sz w:val="19"/>
          <w:szCs w:val="19"/>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97" w:lineRule="exact"/>
        <w:rPr>
          <w:sz w:val="20"/>
          <w:szCs w:val="20"/>
          <w:color w:val="auto"/>
        </w:rPr>
      </w:pPr>
    </w:p>
    <w:p>
      <w:pPr>
        <w:ind w:right="100" w:firstLine="556"/>
        <w:spacing w:after="0" w:line="275" w:lineRule="auto"/>
        <w:rPr>
          <w:sz w:val="20"/>
          <w:szCs w:val="20"/>
          <w:color w:val="auto"/>
        </w:rPr>
      </w:pPr>
      <w:r>
        <w:rPr>
          <w:rFonts w:ascii="Arial" w:cs="Arial" w:eastAsia="Arial" w:hAnsi="Arial"/>
          <w:sz w:val="18"/>
          <w:szCs w:val="18"/>
          <w:color w:val="auto"/>
        </w:rPr>
        <w:t>Moreover, principal investigators for our current or future clinical trials have, and in the future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75" w:lineRule="exact"/>
        <w:rPr>
          <w:sz w:val="20"/>
          <w:szCs w:val="20"/>
          <w:color w:val="auto"/>
        </w:rPr>
      </w:pPr>
    </w:p>
    <w:p>
      <w:pPr>
        <w:jc w:val="both"/>
        <w:ind w:right="80" w:firstLine="556"/>
        <w:spacing w:after="0" w:line="300"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w:t>
      </w:r>
    </w:p>
    <w:p>
      <w:pPr>
        <w:sectPr>
          <w:pgSz w:w="12240" w:h="15840" w:orient="portrait"/>
          <w:cols w:equalWidth="0" w:num="1">
            <w:col w:w="10140"/>
          </w:cols>
          <w:pgMar w:left="1000" w:top="1075" w:right="1100" w:bottom="210" w:gutter="0" w:footer="0" w:header="0"/>
        </w:sectPr>
      </w:pP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2240" w:h="15840" w:orient="portrait"/>
          <w:cols w:equalWidth="0" w:num="1">
            <w:col w:w="10140"/>
          </w:cols>
          <w:pgMar w:left="1000" w:top="1075" w:right="1100" w:bottom="210" w:gutter="0" w:footer="0" w:header="0"/>
          <w:type w:val="continuous"/>
        </w:sectPr>
      </w:pPr>
    </w:p>
    <w:bookmarkStart w:id="47" w:name="page48"/>
    <w:bookmarkEnd w:id="47"/>
    <w:p>
      <w:pPr>
        <w:spacing w:after="0" w:line="300" w:lineRule="auto"/>
        <w:rPr>
          <w:sz w:val="20"/>
          <w:szCs w:val="20"/>
          <w:color w:val="auto"/>
        </w:rPr>
      </w:pPr>
      <w:r>
        <w:rPr>
          <w:rFonts w:ascii="Arial" w:cs="Arial" w:eastAsia="Arial" w:hAnsi="Arial"/>
          <w:sz w:val="18"/>
          <w:szCs w:val="18"/>
          <w:color w:val="auto"/>
        </w:rPr>
        <w:t>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54" w:lineRule="exact"/>
        <w:rPr>
          <w:sz w:val="20"/>
          <w:szCs w:val="20"/>
          <w:color w:val="auto"/>
        </w:rPr>
      </w:pPr>
    </w:p>
    <w:p>
      <w:pPr>
        <w:ind w:right="360"/>
        <w:spacing w:after="0" w:line="276" w:lineRule="auto"/>
        <w:rPr>
          <w:sz w:val="20"/>
          <w:szCs w:val="20"/>
          <w:color w:val="auto"/>
        </w:rPr>
      </w:pPr>
      <w:r>
        <w:rPr>
          <w:rFonts w:ascii="Arial" w:cs="Arial" w:eastAsia="Arial" w:hAnsi="Arial"/>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57"/>
        <w:spacing w:after="0" w:line="273" w:lineRule="auto"/>
        <w:rPr>
          <w:sz w:val="20"/>
          <w:szCs w:val="20"/>
          <w:color w:val="auto"/>
        </w:rPr>
      </w:pPr>
      <w:r>
        <w:rPr>
          <w:rFonts w:ascii="Arial" w:cs="Arial" w:eastAsia="Arial" w:hAnsi="Arial"/>
          <w:sz w:val="18"/>
          <w:szCs w:val="18"/>
          <w:color w:val="auto"/>
        </w:rPr>
        <w:t>We may not be able to initiate, continue or complete clinical trials for our product candidates if we are unable to locate and enroll a sufficient number of eligible patients to participate in these trials, including our planned pivotal trial,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including pancreatic cancer in connection with vopimetostat and GBM in connection with TNG456, are orphan indications that have small populations, our ability to enroll eligible patients may be limited or may result in slower enrollment than we anticipate. We also may experience slower enrollment as a result of limited trial populations due to clinical trials run by us or our competitors or other factors beyond our control. Delays in enrollment may affect the timing of any results or data announcements from our trials (as well as the timing for dose escalation and dose expansion) and therefore the regulatory approval (if any) for any of our product candidates may extend beyond the period we have targeted or beyond the timeline expected by investors.</w:t>
      </w:r>
    </w:p>
    <w:p>
      <w:pPr>
        <w:spacing w:after="0" w:line="180" w:lineRule="exact"/>
        <w:rPr>
          <w:sz w:val="20"/>
          <w:szCs w:val="20"/>
          <w:color w:val="auto"/>
        </w:rPr>
      </w:pPr>
    </w:p>
    <w:p>
      <w:pPr>
        <w:ind w:right="20" w:firstLine="557"/>
        <w:spacing w:after="0" w:line="249" w:lineRule="auto"/>
        <w:rPr>
          <w:sz w:val="20"/>
          <w:szCs w:val="20"/>
          <w:color w:val="auto"/>
        </w:rPr>
      </w:pPr>
      <w:r>
        <w:rPr>
          <w:rFonts w:ascii="Arial" w:cs="Arial" w:eastAsia="Arial" w:hAnsi="Arial"/>
          <w:sz w:val="20"/>
          <w:szCs w:val="20"/>
          <w:color w:val="auto"/>
        </w:rPr>
        <w:t>The patient eligibility criteria defined in our trial protocols, including biomarker-driven identification or the number of prior treatment lines,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98" w:lineRule="exact"/>
        <w:rPr>
          <w:sz w:val="20"/>
          <w:szCs w:val="20"/>
          <w:color w:val="auto"/>
        </w:rPr>
      </w:pPr>
    </w:p>
    <w:p>
      <w:pPr>
        <w:ind w:firstLine="557"/>
        <w:spacing w:after="0" w:line="275" w:lineRule="auto"/>
        <w:rPr>
          <w:sz w:val="20"/>
          <w:szCs w:val="20"/>
          <w:color w:val="auto"/>
        </w:rPr>
      </w:pPr>
      <w:r>
        <w:rPr>
          <w:rFonts w:ascii="Arial" w:cs="Arial" w:eastAsia="Arial" w:hAnsi="Arial"/>
          <w:sz w:val="18"/>
          <w:szCs w:val="18"/>
          <w:color w:val="auto"/>
        </w:rPr>
        <w:t>In addition, some of our competitors have ongoing clinical trials for product candidates that aim to treat the same indications as our product candidates, and patients who would otherwise be eligible for our clinical trials may choose instead to enroll in clinical trials of our competitors’ product candidates (for example, multiple INDs for other companies have been cleared by the FDA for clinical trials of MTA-cooperative PRMT5 inhibitors for the treatment of cancer patients, and such trials have already enrolled patients and those trials are using some of the same clinical trial sites that we use). Further, the target patient population eligible for the vopimetostat and TNG456 clinical trials overlap. In particular, each of these clinical trials has arms that are expected to aim to enroll patients with lung cancer. As a result, our own trials may compete to enroll patients among a limited population and thus each of our own trials may experience delays or limited enrollment or we may be compelled to explore enrollment in new countries to gain access to an expanded patient population.</w:t>
      </w:r>
    </w:p>
    <w:p>
      <w:pPr>
        <w:spacing w:after="0" w:line="175" w:lineRule="exact"/>
        <w:rPr>
          <w:sz w:val="20"/>
          <w:szCs w:val="20"/>
          <w:color w:val="auto"/>
        </w:rPr>
      </w:pPr>
    </w:p>
    <w:p>
      <w:pPr>
        <w:ind w:firstLine="557"/>
        <w:spacing w:after="0" w:line="244" w:lineRule="auto"/>
        <w:rPr>
          <w:sz w:val="20"/>
          <w:szCs w:val="20"/>
          <w:color w:val="auto"/>
        </w:rPr>
      </w:pPr>
      <w:r>
        <w:rPr>
          <w:rFonts w:ascii="Arial" w:cs="Arial" w:eastAsia="Arial" w:hAnsi="Arial"/>
          <w:sz w:val="20"/>
          <w:szCs w:val="20"/>
          <w:color w:val="auto"/>
        </w:rPr>
        <w:t>In addition to the competitive clinical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The process of finding patients may prove costly. We also may not be able to identify, recruit or enroll a sufficient number of patients (or sufficient patients who have limited lines of prior therapy) to complete our clinical studies, including our planned pivotal trial,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unavailable or unwilling to participate in our studies for any reason, the timeline for recruiting patients, conducting studies, reporting initial and final trial results and obtaining regulatory approval of potential products may be delayed.</w:t>
      </w:r>
    </w:p>
    <w:p>
      <w:pPr>
        <w:spacing w:after="0" w:line="201" w:lineRule="exact"/>
        <w:rPr>
          <w:sz w:val="20"/>
          <w:szCs w:val="20"/>
          <w:color w:val="auto"/>
        </w:rPr>
      </w:pPr>
    </w:p>
    <w:p>
      <w:pPr>
        <w:ind w:right="220" w:firstLine="557"/>
        <w:spacing w:after="0" w:line="289" w:lineRule="auto"/>
        <w:rPr>
          <w:sz w:val="20"/>
          <w:szCs w:val="20"/>
          <w:color w:val="auto"/>
        </w:rPr>
      </w:pPr>
      <w:r>
        <w:rPr>
          <w:rFonts w:ascii="Arial" w:cs="Arial" w:eastAsia="Arial" w:hAnsi="Arial"/>
          <w:sz w:val="18"/>
          <w:szCs w:val="18"/>
          <w:color w:val="auto"/>
        </w:rPr>
        <w:t>Further, if we are unable to identify patients with the targeted genetic mutations for our clinical trials, it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58" w:lineRule="exact"/>
        <w:rPr>
          <w:sz w:val="20"/>
          <w:szCs w:val="20"/>
          <w:color w:val="auto"/>
        </w:rPr>
      </w:pPr>
    </w:p>
    <w:p>
      <w:pPr>
        <w:ind w:left="920" w:hanging="192"/>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severity of the disease under investigation;</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efforts to obtain and maintain patient consents and facilitate timely enrollment in clinical trials;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ability to monitor patients adequately during and after treatment;</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ability to recruit clinical trial investigators with the appropriate competencies and experience;</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reporting of the initial results of any of our clinical trials; and</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2240" w:h="15840" w:orient="portrait"/>
          <w:cols w:equalWidth="0" w:num="1">
            <w:col w:w="10140"/>
          </w:cols>
          <w:pgMar w:left="1000" w:top="1060" w:right="1100" w:bottom="210" w:gutter="0" w:footer="0" w:header="0"/>
          <w:type w:val="continuous"/>
        </w:sectPr>
      </w:pPr>
    </w:p>
    <w:bookmarkStart w:id="48" w:name="page49"/>
    <w:bookmarkEnd w:id="48"/>
    <w:p>
      <w:pPr>
        <w:ind w:left="720" w:right="480" w:firstLine="8"/>
        <w:spacing w:after="0" w:line="278" w:lineRule="auto"/>
        <w:tabs>
          <w:tab w:leader="none" w:pos="912" w:val="left"/>
        </w:tabs>
        <w:numPr>
          <w:ilvl w:val="0"/>
          <w:numId w:val="28"/>
        </w:numPr>
        <w:rPr>
          <w:rFonts w:ascii="Arial" w:cs="Arial" w:eastAsia="Arial" w:hAnsi="Arial"/>
          <w:sz w:val="20"/>
          <w:szCs w:val="20"/>
          <w:color w:val="auto"/>
        </w:rPr>
      </w:pPr>
      <w:r>
        <w:rPr>
          <w:rFonts w:ascii="Arial" w:cs="Arial" w:eastAsia="Arial" w:hAnsi="Arial"/>
          <w:sz w:val="20"/>
          <w:szCs w:val="20"/>
          <w:color w:val="auto"/>
        </w:rPr>
        <w:t>factors we may not be able to control, including the impacts of any epidemics or pandemics, which may limit patients, principal investigators or staff or clinical site availability.</w:t>
      </w:r>
    </w:p>
    <w:p>
      <w:pPr>
        <w:spacing w:after="0" w:line="167"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Certain of our current and future product candidates are being used in combination or we anticipate could be used in combination with third-party drugs or biologics, some of which are still in development, and we have limited or no control over the supply, regulatory status, or regulatory approval of such other drugs or biologics.</w:t>
      </w:r>
    </w:p>
    <w:p>
      <w:pPr>
        <w:spacing w:after="0" w:line="31" w:lineRule="exact"/>
        <w:rPr>
          <w:sz w:val="20"/>
          <w:szCs w:val="20"/>
          <w:color w:val="auto"/>
        </w:rPr>
      </w:pPr>
    </w:p>
    <w:p>
      <w:pPr>
        <w:ind w:firstLine="557"/>
        <w:spacing w:after="0" w:line="257" w:lineRule="auto"/>
        <w:rPr>
          <w:sz w:val="20"/>
          <w:szCs w:val="20"/>
          <w:color w:val="auto"/>
        </w:rPr>
      </w:pPr>
      <w:r>
        <w:rPr>
          <w:rFonts w:ascii="Arial" w:cs="Arial" w:eastAsia="Arial" w:hAnsi="Arial"/>
          <w:sz w:val="19"/>
          <w:szCs w:val="19"/>
          <w:color w:val="auto"/>
        </w:rPr>
        <w:t>Certain of our current product candidates are being administered or may have the potential to be administered in combination with existing standards of care (such as checkpoint inhibitor immunotherapies, chemotherapies, targeted therapies or radiotherapy) or with other classes of therapeutics agents (such as the RAS(ON) multi- and G12D- inhibitors from RevMed with which we are evaluating vopimetostat in combination clinical trials and abemaciclib, with which we plan to evaluate TNG456 in a combination clinical trial).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have entered into separate clinical collaboration and supply agreements with RevMed, Lilly, and Erasca, under which we plan to conduct combination clinical trials with RevMed's RAS(ON) multi- and G12D-selective inhibitors, Lilly's abemaciclib and Erasca’s pan-RAS molecular glue, respectively. Additionally, we have purchased pembrolizumab for use in combination with vopimetostat. Nevertheless, we cannot be certain that current or potential future commercial relationships will continue to provide us with a steady supply of such drugs or biologics on commercially reasonable terms, or at all.</w:t>
      </w:r>
    </w:p>
    <w:p>
      <w:pPr>
        <w:spacing w:after="0" w:line="189" w:lineRule="exact"/>
        <w:rPr>
          <w:sz w:val="20"/>
          <w:szCs w:val="20"/>
          <w:color w:val="auto"/>
        </w:rPr>
      </w:pPr>
    </w:p>
    <w:p>
      <w:pPr>
        <w:ind w:right="60" w:firstLine="556"/>
        <w:spacing w:after="0" w:line="249" w:lineRule="auto"/>
        <w:rPr>
          <w:sz w:val="20"/>
          <w:szCs w:val="20"/>
          <w:color w:val="auto"/>
        </w:rPr>
      </w:pPr>
      <w:r>
        <w:rPr>
          <w:rFonts w:ascii="Arial" w:cs="Arial" w:eastAsia="Arial" w:hAnsi="Arial"/>
          <w:sz w:val="20"/>
          <w:szCs w:val="20"/>
          <w:color w:val="auto"/>
        </w:rPr>
        <w:t>Any failure to maintain or enter into new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circumstances occur, our business, financial condition, operating results, stock price and commercial prospects may be materially harmed.</w:t>
      </w:r>
    </w:p>
    <w:p>
      <w:pPr>
        <w:spacing w:after="0" w:line="197" w:lineRule="exact"/>
        <w:rPr>
          <w:sz w:val="20"/>
          <w:szCs w:val="20"/>
          <w:color w:val="auto"/>
        </w:rPr>
      </w:pPr>
    </w:p>
    <w:p>
      <w:pPr>
        <w:ind w:right="760"/>
        <w:spacing w:after="0" w:line="278" w:lineRule="auto"/>
        <w:rPr>
          <w:sz w:val="20"/>
          <w:szCs w:val="20"/>
          <w:color w:val="auto"/>
        </w:rPr>
      </w:pPr>
      <w:r>
        <w:rPr>
          <w:rFonts w:ascii="Arial" w:cs="Arial" w:eastAsia="Arial" w:hAnsi="Arial"/>
          <w:sz w:val="20"/>
          <w:szCs w:val="20"/>
          <w:b w:val="1"/>
          <w:bCs w:val="1"/>
          <w:i w:val="1"/>
          <w:iCs w:val="1"/>
          <w:color w:val="auto"/>
        </w:rPr>
        <w:t>Development of combination therapies may present more or different challenges than development of single agent therapies.</w:t>
      </w:r>
    </w:p>
    <w:p>
      <w:pPr>
        <w:spacing w:after="0" w:line="168" w:lineRule="exact"/>
        <w:rPr>
          <w:sz w:val="20"/>
          <w:szCs w:val="20"/>
          <w:color w:val="auto"/>
        </w:rPr>
      </w:pPr>
    </w:p>
    <w:p>
      <w:pPr>
        <w:ind w:right="20" w:firstLine="551"/>
        <w:spacing w:after="0" w:line="271" w:lineRule="auto"/>
        <w:rPr>
          <w:sz w:val="20"/>
          <w:szCs w:val="20"/>
          <w:color w:val="auto"/>
        </w:rPr>
      </w:pPr>
      <w:r>
        <w:rPr>
          <w:rFonts w:ascii="Arial" w:cs="Arial" w:eastAsia="Arial" w:hAnsi="Arial"/>
          <w:sz w:val="18"/>
          <w:szCs w:val="18"/>
          <w:color w:val="auto"/>
        </w:rPr>
        <w:t>We have several ongoing and planned clinical trials testing the safety and efficacy of combination therapies, including: evaluating (i) vopimetostat in multiple different combinations, including with each of RevMed's RAS(ON) multi- and G12D-selective inhibitors, and with pembrolizumab and (ii) TNG456 with abemaciclib. We plan to evaluate vopimetostat with Erasca’s pan-RAS molecular glue. The clinical development of combination therapies may be more complex than the development of single agent therapies and generally requires that we are able to describe and demonstrate the contribution of each product to the safety and efficacy of the combination as a whole. This requirement may make the design and conduct of clinical trials more complex (which may cause delays in the trial or require additional data to be collected and analyzed, which, in turn, may limit any patent protection or regulatory exclusivity periods we have to market the product candidate). In addition, we expect this would increase the anticipated costs that we incur in connection with seeking regulatory approval of the combination or in commercializing a combination therapy. Further, the FDA's "combination rule" prohibits the FDA approving a fixed-dose combination product unless each component of a proposed drug product contributes to the claimed effects and the dosage of each component (amount, frequency, duration) is safe and effective for the intended population. This typically requires a clinical factorial study, designed to assess the effects attributable to each drug in the combination product, particularly when the ingredients are directed at the same sign or symptom of the disease or condition. Moreover, the applicable requirements for approval of a combination therapy may differ from country to country.</w:t>
      </w:r>
    </w:p>
    <w:p>
      <w:pPr>
        <w:spacing w:after="0" w:line="184" w:lineRule="exact"/>
        <w:rPr>
          <w:sz w:val="20"/>
          <w:szCs w:val="20"/>
          <w:color w:val="auto"/>
        </w:rPr>
      </w:pPr>
    </w:p>
    <w:p>
      <w:pPr>
        <w:ind w:right="440" w:firstLine="721"/>
        <w:spacing w:after="0" w:line="252" w:lineRule="auto"/>
        <w:rPr>
          <w:sz w:val="20"/>
          <w:szCs w:val="20"/>
          <w:color w:val="auto"/>
        </w:rPr>
      </w:pPr>
      <w:r>
        <w:rPr>
          <w:rFonts w:ascii="Arial" w:cs="Arial" w:eastAsia="Arial" w:hAnsi="Arial"/>
          <w:sz w:val="20"/>
          <w:szCs w:val="20"/>
          <w:color w:val="auto"/>
        </w:rPr>
        <w:t>In the event that our product candidates fail to demonstrate sufficient safety and efficacy or establish their contribution to the claimed effects of a combination therapies, we would need to identify alternatives. In the event we are unable to do so or are unable to do so on commercially reasonable terms, our business and prospects would be materially harmed.</w:t>
      </w:r>
    </w:p>
    <w:p>
      <w:pPr>
        <w:spacing w:after="0" w:line="193" w:lineRule="exact"/>
        <w:rPr>
          <w:sz w:val="20"/>
          <w:szCs w:val="20"/>
          <w:color w:val="auto"/>
        </w:rPr>
      </w:pPr>
    </w:p>
    <w:p>
      <w:pPr>
        <w:ind w:right="20" w:firstLine="721"/>
        <w:spacing w:after="0" w:line="278" w:lineRule="auto"/>
        <w:rPr>
          <w:sz w:val="20"/>
          <w:szCs w:val="20"/>
          <w:color w:val="auto"/>
        </w:rPr>
      </w:pPr>
      <w:r>
        <w:rPr>
          <w:rFonts w:ascii="Arial" w:cs="Arial" w:eastAsia="Arial" w:hAnsi="Arial"/>
          <w:sz w:val="18"/>
          <w:szCs w:val="18"/>
          <w:color w:val="auto"/>
        </w:rPr>
        <w:t>Moreover, following product approval of a combination therapy,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(which we may be unable to do on reasonable terms, or at all).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ectPr>
          <w:pgSz w:w="12240" w:h="15840" w:orient="portrait"/>
          <w:cols w:equalWidth="0" w:num="1">
            <w:col w:w="10140"/>
          </w:cols>
          <w:pgMar w:left="1000" w:top="1075" w:right="1100" w:bottom="21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2240" w:h="15840" w:orient="portrait"/>
          <w:cols w:equalWidth="0" w:num="1">
            <w:col w:w="10140"/>
          </w:cols>
          <w:pgMar w:left="1000" w:top="1075" w:right="1100" w:bottom="210" w:gutter="0" w:footer="0" w:header="0"/>
          <w:type w:val="continuous"/>
        </w:sectPr>
      </w:pPr>
    </w:p>
    <w:bookmarkStart w:id="49" w:name="page50"/>
    <w:bookmarkEnd w:id="49"/>
    <w:p>
      <w:pPr>
        <w:ind w:right="20"/>
        <w:spacing w:after="0" w:line="311" w:lineRule="auto"/>
        <w:rPr>
          <w:sz w:val="20"/>
          <w:szCs w:val="20"/>
          <w:color w:val="auto"/>
        </w:rPr>
      </w:pPr>
      <w:r>
        <w:rPr>
          <w:rFonts w:ascii="Arial" w:cs="Arial" w:eastAsia="Arial" w:hAnsi="Arial"/>
          <w:sz w:val="17"/>
          <w:szCs w:val="17"/>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5" w:lineRule="exact"/>
        <w:rPr>
          <w:sz w:val="20"/>
          <w:szCs w:val="20"/>
          <w:color w:val="auto"/>
        </w:rPr>
      </w:pPr>
    </w:p>
    <w:p>
      <w:pPr>
        <w:ind w:right="40" w:firstLine="557"/>
        <w:spacing w:after="0" w:line="249" w:lineRule="auto"/>
        <w:rPr>
          <w:sz w:val="20"/>
          <w:szCs w:val="20"/>
          <w:color w:val="auto"/>
        </w:rPr>
      </w:pPr>
      <w:r>
        <w:rPr>
          <w:rFonts w:ascii="Arial" w:cs="Arial" w:eastAsia="Arial" w:hAnsi="Arial"/>
          <w:sz w:val="20"/>
          <w:szCs w:val="20"/>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9" w:lineRule="exact"/>
        <w:rPr>
          <w:sz w:val="20"/>
          <w:szCs w:val="20"/>
          <w:color w:val="auto"/>
        </w:rPr>
      </w:pPr>
    </w:p>
    <w:p>
      <w:pPr>
        <w:ind w:right="20" w:firstLine="557"/>
        <w:spacing w:after="0" w:line="278"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72"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68" w:lineRule="exact"/>
        <w:rPr>
          <w:sz w:val="20"/>
          <w:szCs w:val="20"/>
          <w:color w:val="auto"/>
        </w:rPr>
      </w:pPr>
    </w:p>
    <w:p>
      <w:pPr>
        <w:ind w:firstLine="557"/>
        <w:spacing w:after="0" w:line="269" w:lineRule="auto"/>
        <w:rPr>
          <w:sz w:val="20"/>
          <w:szCs w:val="20"/>
          <w:color w:val="auto"/>
        </w:rPr>
      </w:pPr>
      <w:r>
        <w:rPr>
          <w:rFonts w:ascii="Arial" w:cs="Arial" w:eastAsia="Arial" w:hAnsi="Arial"/>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trials are expensive and can take many years to complete, and outcomes are inherently uncertain. Failure can occur at any time during the clinical trial process. Because our precision oncology programs and our product candidates are in early stages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we could decide to suspend or terminate a trial or program, or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Product liability claims can be expensive to defend and result in significant damages and harm to our reputation. While we do have insurance to cover certain product liability claims, including in connection with certain injury during clinical trials, the coverage may not cover all injuries, be sufficient to cover all expenses related to any injury and we may be required to pay damages from our own resources and the amount of such damages may be significant.</w:t>
      </w:r>
    </w:p>
    <w:p>
      <w:pPr>
        <w:spacing w:after="0" w:line="112" w:lineRule="exact"/>
        <w:rPr>
          <w:sz w:val="20"/>
          <w:szCs w:val="20"/>
          <w:color w:val="auto"/>
        </w:rPr>
      </w:pPr>
    </w:p>
    <w:p>
      <w:pPr>
        <w:ind w:firstLine="557"/>
        <w:spacing w:after="0" w:line="258" w:lineRule="auto"/>
        <w:rPr>
          <w:sz w:val="20"/>
          <w:szCs w:val="20"/>
          <w:color w:val="auto"/>
        </w:rPr>
      </w:pPr>
      <w:r>
        <w:rPr>
          <w:rFonts w:ascii="Arial" w:cs="Arial" w:eastAsia="Arial" w:hAnsi="Arial"/>
          <w:sz w:val="19"/>
          <w:szCs w:val="19"/>
          <w:color w:val="auto"/>
        </w:rPr>
        <w:t xml:space="preserve">Further, our product candidates could cause undesirable side effects in clinical trials. If side effects are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For example, in May 2024, we announced that we were discontinuing development of our TNG348 program due to liver </w:t>
      </w:r>
      <w:r>
        <w:rPr>
          <w:rFonts w:ascii="Arial" w:cs="Arial" w:eastAsia="Arial" w:hAnsi="Arial"/>
          <w:sz w:val="18"/>
          <w:szCs w:val="18"/>
          <w:color w:val="auto"/>
        </w:rPr>
        <w:t>toxicity observed in the dose escalation portion of our</w:t>
      </w:r>
      <w:r>
        <w:rPr>
          <w:rFonts w:ascii="Arial" w:cs="Arial" w:eastAsia="Arial" w:hAnsi="Arial"/>
          <w:sz w:val="19"/>
          <w:szCs w:val="19"/>
          <w:color w:val="auto"/>
        </w:rPr>
        <w:t xml:space="preserve"> </w:t>
      </w:r>
      <w:r>
        <w:rPr>
          <w:rFonts w:ascii="Arial" w:cs="Arial" w:eastAsia="Arial" w:hAnsi="Arial"/>
          <w:sz w:val="18"/>
          <w:szCs w:val="18"/>
          <w:color w:val="auto"/>
        </w:rPr>
        <w:t xml:space="preserve">Phase 1/2 clinical trial. </w:t>
      </w:r>
      <w:r>
        <w:rPr>
          <w:rFonts w:ascii="Arial" w:cs="Arial" w:eastAsia="Arial" w:hAnsi="Arial"/>
          <w:sz w:val="19"/>
          <w:szCs w:val="19"/>
          <w:color w:val="auto"/>
        </w:rPr>
        <w:t>In addition, our product candidates could cause undesirable side effects that we have not yet observed.</w:t>
      </w:r>
      <w:r>
        <w:rPr>
          <w:rFonts w:ascii="Arial" w:cs="Arial" w:eastAsia="Arial" w:hAnsi="Arial"/>
          <w:sz w:val="18"/>
          <w:szCs w:val="18"/>
          <w:color w:val="auto"/>
        </w:rPr>
        <w:t xml:space="preserve"> </w:t>
      </w:r>
      <w:r>
        <w:rPr>
          <w:rFonts w:ascii="Arial" w:cs="Arial" w:eastAsia="Arial" w:hAnsi="Arial"/>
          <w:sz w:val="19"/>
          <w:szCs w:val="19"/>
          <w:color w:val="auto"/>
        </w:rPr>
        <w:t>Many compounds that initially showed promise in early-stage testing for treating cancer have later been found to cause side effects that prevented further development of the compound. There can be no assurance that any of our current or future clinical trials will ultimately be successful or support further clinical development or regulatory approval of any of our product candidates.</w:t>
      </w:r>
    </w:p>
    <w:p>
      <w:pPr>
        <w:spacing w:after="0" w:line="111" w:lineRule="exact"/>
        <w:rPr>
          <w:sz w:val="20"/>
          <w:szCs w:val="20"/>
          <w:color w:val="auto"/>
        </w:rPr>
      </w:pPr>
    </w:p>
    <w:p>
      <w:pPr>
        <w:ind w:right="40" w:firstLine="557"/>
        <w:spacing w:after="0" w:line="370" w:lineRule="auto"/>
        <w:rPr>
          <w:sz w:val="20"/>
          <w:szCs w:val="20"/>
          <w:color w:val="auto"/>
        </w:rPr>
      </w:pPr>
      <w:r>
        <w:rPr>
          <w:rFonts w:ascii="Arial" w:cs="Arial" w:eastAsia="Arial" w:hAnsi="Arial"/>
          <w:sz w:val="17"/>
          <w:szCs w:val="17"/>
          <w:color w:val="auto"/>
        </w:rPr>
        <w:t>Certain of our product candidates are being tested, and future product candidates may be used, in combination with one or more cancer therapies. The uncertainty resulting from the use of our product candidates in combination with other cancer</w:t>
      </w:r>
    </w:p>
    <w:p>
      <w:pPr>
        <w:sectPr>
          <w:pgSz w:w="12240" w:h="15840" w:orient="portrait"/>
          <w:cols w:equalWidth="0" w:num="1">
            <w:col w:w="10140"/>
          </w:cols>
          <w:pgMar w:left="1000" w:top="1060" w:right="1100" w:bottom="210" w:gutter="0" w:footer="0" w:header="0"/>
        </w:sectPr>
      </w:pP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2240" w:h="15840" w:orient="portrait"/>
          <w:cols w:equalWidth="0" w:num="1">
            <w:col w:w="10140"/>
          </w:cols>
          <w:pgMar w:left="1000" w:top="1060" w:right="1100" w:bottom="210" w:gutter="0" w:footer="0" w:header="0"/>
          <w:type w:val="continuous"/>
        </w:sectPr>
      </w:pPr>
    </w:p>
    <w:bookmarkStart w:id="50" w:name="page51"/>
    <w:bookmarkEnd w:id="50"/>
    <w:p>
      <w:pPr>
        <w:ind w:right="20"/>
        <w:spacing w:after="0" w:line="272" w:lineRule="auto"/>
        <w:rPr>
          <w:sz w:val="20"/>
          <w:szCs w:val="20"/>
          <w:color w:val="auto"/>
        </w:rPr>
      </w:pPr>
      <w:r>
        <w:rPr>
          <w:rFonts w:ascii="Arial" w:cs="Arial" w:eastAsia="Arial" w:hAnsi="Arial"/>
          <w:sz w:val="18"/>
          <w:szCs w:val="18"/>
          <w:color w:val="auto"/>
        </w:rPr>
        <w:t xml:space="preserve">therapies may make it difficult to accurately predict side effects in future clinical trials or the combination product may cause negative effects resulting from drug-drug interactions in clinical trials. As is the case with many treatments for cancer and rare diseases, it is likely that there may be side effects associated with the use of our product candidates. If significant adverse events or other side effects are observed in the clinical trials of our product candidates or when used in combination with another therapy, we may have difficulty recruiting patients to our clinical trials, patients may drop out of our clinical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For example, in May 2024, we announced that we were discontinuing development of our TNG348 program due to liver </w:t>
      </w:r>
      <w:r>
        <w:rPr>
          <w:rFonts w:ascii="Arial" w:cs="Arial" w:eastAsia="Arial" w:hAnsi="Arial"/>
          <w:sz w:val="17"/>
          <w:szCs w:val="17"/>
          <w:color w:val="auto"/>
        </w:rPr>
        <w:t>toxicity observed in the dose escalation portion of our Phase 1/2 clinical trial.</w:t>
      </w:r>
      <w:r>
        <w:rPr>
          <w:rFonts w:ascii="Arial" w:cs="Arial" w:eastAsia="Arial" w:hAnsi="Arial"/>
          <w:sz w:val="18"/>
          <w:szCs w:val="18"/>
          <w:color w:val="auto"/>
        </w:rPr>
        <w:t xml:space="preserve"> Even if the side effects do not preclude the monotherapy or the combination products from obtaining or maintaining regulatory approval, undesirable side effects may inhibit market acceptance of the approved combination products due to their tolerability versus other therapies. Any of these developments could materially harm our business, operating results, financial condition and prospects.</w:t>
      </w:r>
    </w:p>
    <w:p>
      <w:pPr>
        <w:spacing w:after="0" w:line="180"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31" w:lineRule="exact"/>
        <w:rPr>
          <w:sz w:val="20"/>
          <w:szCs w:val="20"/>
          <w:color w:val="auto"/>
        </w:rPr>
      </w:pPr>
    </w:p>
    <w:p>
      <w:pPr>
        <w:ind w:right="40" w:firstLine="556"/>
        <w:spacing w:after="0" w:line="249" w:lineRule="auto"/>
        <w:rPr>
          <w:sz w:val="20"/>
          <w:szCs w:val="20"/>
          <w:color w:val="auto"/>
        </w:rPr>
      </w:pPr>
      <w:r>
        <w:rPr>
          <w:rFonts w:ascii="Arial" w:cs="Arial" w:eastAsia="Arial" w:hAnsi="Arial"/>
          <w:sz w:val="20"/>
          <w:szCs w:val="20"/>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w:t>
      </w:r>
    </w:p>
    <w:p>
      <w:pPr>
        <w:spacing w:after="0" w:line="117" w:lineRule="exact"/>
        <w:rPr>
          <w:sz w:val="20"/>
          <w:szCs w:val="20"/>
          <w:color w:val="auto"/>
        </w:rPr>
      </w:pPr>
    </w:p>
    <w:p>
      <w:pPr>
        <w:ind w:right="20" w:firstLine="556"/>
        <w:spacing w:after="0" w:line="258" w:lineRule="auto"/>
        <w:rPr>
          <w:sz w:val="20"/>
          <w:szCs w:val="20"/>
          <w:color w:val="auto"/>
        </w:rPr>
      </w:pPr>
      <w:r>
        <w:rPr>
          <w:rFonts w:ascii="Arial" w:cs="Arial" w:eastAsia="Arial" w:hAnsi="Arial"/>
          <w:sz w:val="19"/>
          <w:szCs w:val="19"/>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2" w:lineRule="exact"/>
        <w:rPr>
          <w:sz w:val="20"/>
          <w:szCs w:val="20"/>
          <w:color w:val="auto"/>
        </w:rPr>
      </w:pPr>
    </w:p>
    <w:p>
      <w:pPr>
        <w:ind w:right="100" w:firstLine="556"/>
        <w:spacing w:after="0" w:line="272" w:lineRule="auto"/>
        <w:rPr>
          <w:sz w:val="20"/>
          <w:szCs w:val="20"/>
          <w:color w:val="auto"/>
        </w:rPr>
      </w:pPr>
      <w:r>
        <w:rPr>
          <w:rFonts w:ascii="Arial" w:cs="Arial" w:eastAsia="Arial" w:hAnsi="Arial"/>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20"/>
          <w:szCs w:val="20"/>
          <w:b w:val="1"/>
          <w:bCs w:val="1"/>
          <w:i w:val="1"/>
          <w:iCs w:val="1"/>
          <w:color w:val="auto"/>
        </w:rPr>
        <w:t>We conduct clinical trials for our product candidates outside the United States, and the FDA and comparable foreign regulatory authorities may not accept data from such trials.</w:t>
      </w:r>
    </w:p>
    <w:p>
      <w:pPr>
        <w:spacing w:after="0" w:line="49" w:lineRule="exact"/>
        <w:rPr>
          <w:sz w:val="20"/>
          <w:szCs w:val="20"/>
          <w:color w:val="auto"/>
        </w:rPr>
      </w:pPr>
    </w:p>
    <w:p>
      <w:pPr>
        <w:ind w:firstLine="556"/>
        <w:spacing w:after="0" w:line="275" w:lineRule="auto"/>
        <w:rPr>
          <w:sz w:val="20"/>
          <w:szCs w:val="20"/>
          <w:color w:val="auto"/>
        </w:rPr>
      </w:pPr>
      <w:r>
        <w:rPr>
          <w:rFonts w:ascii="Arial" w:cs="Arial" w:eastAsia="Arial" w:hAnsi="Arial"/>
          <w:sz w:val="18"/>
          <w:szCs w:val="18"/>
          <w:color w:val="auto"/>
        </w:rPr>
        <w:t>We currently conduct certain clinical trials outside the United States, and expect we will continue to do so in the future, and these jurisdictions may include countries in Europe, Asia, Australia or other foreign jurisdictions. For example, we are conducting clinical trials for vopimetostat in France and Spain and anticipate expanding to additional geographies for our upcoming pivotal trial.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w:t>
      </w:r>
    </w:p>
    <w:p>
      <w:pPr>
        <w:sectPr>
          <w:pgSz w:w="12240" w:h="15840" w:orient="portrait"/>
          <w:cols w:equalWidth="0" w:num="1">
            <w:col w:w="10120"/>
          </w:cols>
          <w:pgMar w:left="1000" w:top="1060" w:right="1120" w:bottom="21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2240" w:h="15840" w:orient="portrait"/>
          <w:cols w:equalWidth="0" w:num="1">
            <w:col w:w="10120"/>
          </w:cols>
          <w:pgMar w:left="1000" w:top="1060" w:right="1120" w:bottom="210" w:gutter="0" w:footer="0" w:header="0"/>
          <w:type w:val="continuous"/>
        </w:sectPr>
      </w:pPr>
    </w:p>
    <w:bookmarkStart w:id="51" w:name="page52"/>
    <w:bookmarkEnd w:id="51"/>
    <w:p>
      <w:pPr>
        <w:spacing w:after="0" w:line="258" w:lineRule="auto"/>
        <w:rPr>
          <w:sz w:val="20"/>
          <w:szCs w:val="20"/>
          <w:color w:val="auto"/>
        </w:rPr>
      </w:pPr>
      <w:r>
        <w:rPr>
          <w:rFonts w:ascii="Arial" w:cs="Arial" w:eastAsia="Arial" w:hAnsi="Arial"/>
          <w:sz w:val="19"/>
          <w:szCs w:val="19"/>
          <w:color w:val="auto"/>
        </w:rPr>
        <w:t>valid without the need for an on-site inspection by the FDA, or if the FDA considers such inspection to be necessary, the FDA is able to validate the data through on- 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approval being significantly delayed, or not receiving regulatory approval or clearance for commercialization in the applicable jurisdiction.</w:t>
      </w:r>
    </w:p>
    <w:p>
      <w:pPr>
        <w:spacing w:after="0" w:line="190" w:lineRule="exact"/>
        <w:rPr>
          <w:sz w:val="20"/>
          <w:szCs w:val="20"/>
          <w:color w:val="auto"/>
        </w:rPr>
      </w:pPr>
    </w:p>
    <w:p>
      <w:pPr>
        <w:ind w:right="620"/>
        <w:spacing w:after="0" w:line="305" w:lineRule="auto"/>
        <w:rPr>
          <w:sz w:val="20"/>
          <w:szCs w:val="20"/>
          <w:color w:val="auto"/>
        </w:rPr>
      </w:pPr>
      <w:r>
        <w:rPr>
          <w:rFonts w:ascii="Arial" w:cs="Arial" w:eastAsia="Arial" w:hAnsi="Arial"/>
          <w:sz w:val="19"/>
          <w:szCs w:val="19"/>
          <w:b w:val="1"/>
          <w:bCs w:val="1"/>
          <w:i w:val="1"/>
          <w:iCs w:val="1"/>
          <w:color w:val="auto"/>
        </w:rPr>
        <w:t>We may fail to identify viable new product candidates for clinical development for a number of reasons. If we fail to identify additional product candidates, our business could be materially harmed.</w:t>
      </w:r>
    </w:p>
    <w:p>
      <w:pPr>
        <w:spacing w:after="0" w:line="25" w:lineRule="exact"/>
        <w:rPr>
          <w:sz w:val="20"/>
          <w:szCs w:val="20"/>
          <w:color w:val="auto"/>
        </w:rPr>
      </w:pPr>
    </w:p>
    <w:p>
      <w:pPr>
        <w:ind w:right="300" w:firstLine="563"/>
        <w:spacing w:after="0" w:line="263" w:lineRule="auto"/>
        <w:rPr>
          <w:sz w:val="20"/>
          <w:szCs w:val="20"/>
          <w:color w:val="auto"/>
        </w:rPr>
      </w:pPr>
      <w:r>
        <w:rPr>
          <w:rFonts w:ascii="Arial" w:cs="Arial" w:eastAsia="Arial" w:hAnsi="Arial"/>
          <w:sz w:val="19"/>
          <w:szCs w:val="19"/>
          <w:color w:val="auto"/>
        </w:rPr>
        <w:t>The ongoing success of businesses in the biopharmaceutical industry depends, to a large extent, on the ability to continue to introduce new products, especially as exclusivity rights to approved therapies or in certain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target screening technology and research programs may fail to yield potential products for clinical development for a number of reasons, including:</w:t>
      </w:r>
    </w:p>
    <w:p>
      <w:pPr>
        <w:spacing w:after="0" w:line="78" w:lineRule="exact"/>
        <w:rPr>
          <w:sz w:val="20"/>
          <w:szCs w:val="20"/>
          <w:color w:val="auto"/>
        </w:rPr>
      </w:pPr>
    </w:p>
    <w:p>
      <w:pPr>
        <w:ind w:left="720" w:firstLine="8"/>
        <w:spacing w:after="0" w:line="252" w:lineRule="auto"/>
        <w:tabs>
          <w:tab w:leader="none" w:pos="91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research methodology used may not be successful in identifying potential indications and/or product candidates (or the development of a chemical compound or formulation that has the desired safety and efficacy cannot be developed);</w:t>
      </w:r>
    </w:p>
    <w:p>
      <w:pPr>
        <w:spacing w:after="0" w:line="1" w:lineRule="exact"/>
        <w:rPr>
          <w:rFonts w:ascii="Arial" w:cs="Arial" w:eastAsia="Arial" w:hAnsi="Arial"/>
          <w:sz w:val="20"/>
          <w:szCs w:val="20"/>
          <w:color w:val="auto"/>
        </w:rPr>
      </w:pPr>
    </w:p>
    <w:p>
      <w:pPr>
        <w:ind w:left="720" w:right="940" w:firstLine="8"/>
        <w:spacing w:after="0" w:line="247" w:lineRule="auto"/>
        <w:tabs>
          <w:tab w:leader="none" w:pos="912" w:val="left"/>
        </w:tabs>
        <w:numPr>
          <w:ilvl w:val="0"/>
          <w:numId w:val="29"/>
        </w:numPr>
        <w:rPr>
          <w:rFonts w:ascii="Arial" w:cs="Arial" w:eastAsia="Arial" w:hAnsi="Arial"/>
          <w:sz w:val="20"/>
          <w:szCs w:val="20"/>
          <w:color w:val="auto"/>
        </w:rPr>
      </w:pPr>
      <w:r>
        <w:rPr>
          <w:rFonts w:ascii="Arial" w:cs="Arial" w:eastAsia="Arial" w:hAnsi="Arial"/>
          <w:sz w:val="20"/>
          <w:szCs w:val="20"/>
          <w:color w:val="auto"/>
        </w:rPr>
        <w:t>potential product candidates may, after further study, be shown to have harmful adverse effects or other characteristics that indicate they are unlikely to be effective products; or</w:t>
      </w:r>
    </w:p>
    <w:p>
      <w:pPr>
        <w:spacing w:after="0" w:line="1" w:lineRule="exact"/>
        <w:rPr>
          <w:rFonts w:ascii="Arial" w:cs="Arial" w:eastAsia="Arial" w:hAnsi="Arial"/>
          <w:sz w:val="20"/>
          <w:szCs w:val="20"/>
          <w:color w:val="auto"/>
        </w:rPr>
      </w:pPr>
    </w:p>
    <w:p>
      <w:pPr>
        <w:ind w:left="720" w:right="140" w:firstLine="8"/>
        <w:spacing w:after="0" w:line="267" w:lineRule="auto"/>
        <w:tabs>
          <w:tab w:leader="none" w:pos="912" w:val="left"/>
        </w:tabs>
        <w:numPr>
          <w:ilvl w:val="0"/>
          <w:numId w:val="29"/>
        </w:numPr>
        <w:rPr>
          <w:rFonts w:ascii="Arial" w:cs="Arial" w:eastAsia="Arial" w:hAnsi="Arial"/>
          <w:sz w:val="19"/>
          <w:szCs w:val="19"/>
          <w:color w:val="auto"/>
        </w:rPr>
      </w:pPr>
      <w:r>
        <w:rPr>
          <w:rFonts w:ascii="Arial" w:cs="Arial" w:eastAsia="Arial" w:hAnsi="Arial"/>
          <w:sz w:val="19"/>
          <w:szCs w:val="19"/>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79" w:lineRule="exact"/>
        <w:rPr>
          <w:sz w:val="20"/>
          <w:szCs w:val="20"/>
          <w:color w:val="auto"/>
        </w:rPr>
      </w:pPr>
    </w:p>
    <w:p>
      <w:pPr>
        <w:ind w:right="60" w:firstLine="556"/>
        <w:spacing w:after="0" w:line="249" w:lineRule="auto"/>
        <w:rPr>
          <w:sz w:val="20"/>
          <w:szCs w:val="20"/>
          <w:color w:val="auto"/>
        </w:rPr>
      </w:pPr>
      <w:r>
        <w:rPr>
          <w:rFonts w:ascii="Arial" w:cs="Arial" w:eastAsia="Arial" w:hAnsi="Arial"/>
          <w:sz w:val="20"/>
          <w:szCs w:val="20"/>
          <w:color w:val="auto"/>
        </w:rPr>
        <w:t>Because we have limited financial and human resources, we intend to initially focus on research programs and product candidates for a limited set of indications. As a result, we may forego or delay pursuit of opportunities of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98" w:lineRule="exact"/>
        <w:rPr>
          <w:sz w:val="20"/>
          <w:szCs w:val="20"/>
          <w:color w:val="auto"/>
        </w:rPr>
      </w:pPr>
    </w:p>
    <w:p>
      <w:pPr>
        <w:ind w:right="60" w:firstLine="556"/>
        <w:spacing w:after="0" w:line="258" w:lineRule="auto"/>
        <w:rPr>
          <w:sz w:val="20"/>
          <w:szCs w:val="20"/>
          <w:color w:val="auto"/>
        </w:rPr>
      </w:pPr>
      <w:r>
        <w:rPr>
          <w:rFonts w:ascii="Arial" w:cs="Arial" w:eastAsia="Arial" w:hAnsi="Arial"/>
          <w:sz w:val="20"/>
          <w:szCs w:val="20"/>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w:t>
      </w:r>
    </w:p>
    <w:p>
      <w:pPr>
        <w:spacing w:after="0" w:line="188"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8" w:lineRule="exact"/>
        <w:rPr>
          <w:sz w:val="20"/>
          <w:szCs w:val="20"/>
          <w:color w:val="auto"/>
        </w:rPr>
      </w:pPr>
    </w:p>
    <w:p>
      <w:pPr>
        <w:ind w:right="20" w:firstLine="555"/>
        <w:spacing w:after="0" w:line="271"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Although we received FDA clearance of five of our IND applications for each of TNG908, vopimetostat, TNG260, TNG348, and TNG456, we have since discontinued development in TNG348 and TNG908.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w:t>
      </w:r>
    </w:p>
    <w:p>
      <w:pPr>
        <w:sectPr>
          <w:pgSz w:w="12240" w:h="15840" w:orient="portrait"/>
          <w:cols w:equalWidth="0" w:num="1">
            <w:col w:w="10140"/>
          </w:cols>
          <w:pgMar w:left="1000" w:top="1060" w:right="1100" w:bottom="21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2240" w:h="15840" w:orient="portrait"/>
          <w:cols w:equalWidth="0" w:num="1">
            <w:col w:w="10140"/>
          </w:cols>
          <w:pgMar w:left="1000" w:top="1060" w:right="1100" w:bottom="210" w:gutter="0" w:footer="0" w:header="0"/>
          <w:type w:val="continuous"/>
        </w:sectPr>
      </w:pPr>
    </w:p>
    <w:bookmarkStart w:id="52" w:name="page53"/>
    <w:bookmarkEnd w:id="52"/>
    <w:p>
      <w:pPr>
        <w:ind w:right="60"/>
        <w:spacing w:after="0" w:line="258" w:lineRule="auto"/>
        <w:rPr>
          <w:sz w:val="20"/>
          <w:szCs w:val="20"/>
          <w:color w:val="auto"/>
        </w:rPr>
      </w:pPr>
      <w:r>
        <w:rPr>
          <w:rFonts w:ascii="Arial" w:cs="Arial" w:eastAsia="Arial" w:hAnsi="Arial"/>
          <w:sz w:val="20"/>
          <w:szCs w:val="20"/>
          <w:color w:val="auto"/>
        </w:rPr>
        <w:t>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68" w:lineRule="exact"/>
        <w:rPr>
          <w:sz w:val="20"/>
          <w:szCs w:val="20"/>
          <w:color w:val="auto"/>
        </w:rPr>
      </w:pPr>
    </w:p>
    <w:p>
      <w:pPr>
        <w:ind w:firstLine="563"/>
        <w:spacing w:after="0" w:line="274" w:lineRule="auto"/>
        <w:rPr>
          <w:sz w:val="20"/>
          <w:szCs w:val="20"/>
          <w:color w:val="auto"/>
        </w:rPr>
      </w:pPr>
      <w:r>
        <w:rPr>
          <w:rFonts w:ascii="Arial" w:cs="Arial" w:eastAsia="Arial" w:hAnsi="Arial"/>
          <w:sz w:val="18"/>
          <w:szCs w:val="18"/>
          <w:color w:val="auto"/>
        </w:rPr>
        <w:t>The process of obtaining regulatory approvals, both in the United States and foreign jurisdictions,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1" w:lineRule="exact"/>
        <w:rPr>
          <w:sz w:val="20"/>
          <w:szCs w:val="20"/>
          <w:color w:val="auto"/>
        </w:rPr>
      </w:pPr>
    </w:p>
    <w:p>
      <w:pPr>
        <w:ind w:left="720" w:right="520" w:firstLine="8"/>
        <w:spacing w:after="0" w:line="277" w:lineRule="auto"/>
        <w:tabs>
          <w:tab w:leader="none" w:pos="9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may disagree with the design or implementation of our clinical trials;</w:t>
      </w:r>
    </w:p>
    <w:p>
      <w:pPr>
        <w:spacing w:after="0" w:line="64" w:lineRule="exact"/>
        <w:rPr>
          <w:rFonts w:ascii="Arial" w:cs="Arial" w:eastAsia="Arial" w:hAnsi="Arial"/>
          <w:sz w:val="20"/>
          <w:szCs w:val="20"/>
          <w:color w:val="auto"/>
        </w:rPr>
      </w:pPr>
    </w:p>
    <w:p>
      <w:pPr>
        <w:ind w:left="720" w:right="60" w:firstLine="8"/>
        <w:spacing w:after="0" w:line="259" w:lineRule="auto"/>
        <w:tabs>
          <w:tab w:leader="none" w:pos="9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81" w:lineRule="exact"/>
        <w:rPr>
          <w:rFonts w:ascii="Arial" w:cs="Arial" w:eastAsia="Arial" w:hAnsi="Arial"/>
          <w:sz w:val="20"/>
          <w:szCs w:val="20"/>
          <w:color w:val="auto"/>
        </w:rPr>
      </w:pPr>
    </w:p>
    <w:p>
      <w:pPr>
        <w:ind w:left="720" w:right="300" w:firstLine="8"/>
        <w:spacing w:after="0" w:line="278" w:lineRule="auto"/>
        <w:tabs>
          <w:tab w:leader="none" w:pos="9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results of clinical trials may not meet the level of statistical significance required by the FDA or comparable foreign regulatory authorities for approval;</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59" w:lineRule="exact"/>
        <w:rPr>
          <w:rFonts w:ascii="Arial" w:cs="Arial" w:eastAsia="Arial" w:hAnsi="Arial"/>
          <w:sz w:val="18"/>
          <w:szCs w:val="18"/>
          <w:color w:val="auto"/>
        </w:rPr>
      </w:pPr>
    </w:p>
    <w:p>
      <w:pPr>
        <w:ind w:left="720" w:right="160" w:firstLine="8"/>
        <w:spacing w:after="0" w:line="305" w:lineRule="auto"/>
        <w:tabs>
          <w:tab w:leader="none" w:pos="912"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data collected from clinical trials of our product candidates may not be sufficient to support the submission of an NDA, or other submission or to obtain regulatory approval in the United States or elsewhere;</w:t>
      </w:r>
    </w:p>
    <w:p>
      <w:pPr>
        <w:spacing w:after="0" w:line="38" w:lineRule="exact"/>
        <w:rPr>
          <w:rFonts w:ascii="Arial" w:cs="Arial" w:eastAsia="Arial" w:hAnsi="Arial"/>
          <w:sz w:val="19"/>
          <w:szCs w:val="19"/>
          <w:color w:val="auto"/>
        </w:rPr>
      </w:pPr>
    </w:p>
    <w:p>
      <w:pPr>
        <w:ind w:left="720" w:right="20" w:firstLine="8"/>
        <w:spacing w:after="0" w:line="259" w:lineRule="auto"/>
        <w:tabs>
          <w:tab w:leader="none" w:pos="9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81" w:lineRule="exact"/>
        <w:rPr>
          <w:rFonts w:ascii="Arial" w:cs="Arial" w:eastAsia="Arial" w:hAnsi="Arial"/>
          <w:sz w:val="20"/>
          <w:szCs w:val="20"/>
          <w:color w:val="auto"/>
        </w:rPr>
      </w:pPr>
    </w:p>
    <w:p>
      <w:pPr>
        <w:ind w:left="720" w:right="440" w:firstLine="8"/>
        <w:spacing w:after="0" w:line="278" w:lineRule="auto"/>
        <w:tabs>
          <w:tab w:leader="none" w:pos="9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approval policies or regulations of the FDA or comparable foreign regulatory authorities may significantly change such that our clinical data are insufficient for approval; and</w:t>
      </w:r>
    </w:p>
    <w:p>
      <w:pPr>
        <w:spacing w:after="0" w:line="62" w:lineRule="exact"/>
        <w:rPr>
          <w:rFonts w:ascii="Arial" w:cs="Arial" w:eastAsia="Arial" w:hAnsi="Arial"/>
          <w:sz w:val="20"/>
          <w:szCs w:val="20"/>
          <w:color w:val="auto"/>
        </w:rPr>
      </w:pPr>
    </w:p>
    <w:p>
      <w:pPr>
        <w:ind w:left="860" w:hanging="132"/>
        <w:spacing w:after="0"/>
        <w:tabs>
          <w:tab w:leader="none" w:pos="8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due to the factors identified above in this and other risk factors;</w:t>
      </w:r>
    </w:p>
    <w:p>
      <w:pPr>
        <w:spacing w:after="0" w:line="240" w:lineRule="exact"/>
        <w:rPr>
          <w:sz w:val="20"/>
          <w:szCs w:val="20"/>
          <w:color w:val="auto"/>
        </w:rPr>
      </w:pPr>
    </w:p>
    <w:p>
      <w:pPr>
        <w:ind w:right="220" w:firstLine="557"/>
        <w:spacing w:after="0" w:line="278"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 marketing clinical trials, or may approve a product candidate with a label that does not include the labeling claims necessary or desirable for the successful commercialization of that product candidate or may require extensive health economics and outcomes analysis to determine if the product candidate provides health outcomes consistent with the costs of the therapy. Any of the foregoing scenarios could materially harm the commercial prospects for our product candidates.</w:t>
      </w:r>
    </w:p>
    <w:p>
      <w:pPr>
        <w:spacing w:after="0" w:line="172" w:lineRule="exact"/>
        <w:rPr>
          <w:sz w:val="20"/>
          <w:szCs w:val="20"/>
          <w:color w:val="auto"/>
        </w:rPr>
      </w:pPr>
    </w:p>
    <w:p>
      <w:pPr>
        <w:ind w:right="680" w:firstLine="557"/>
        <w:spacing w:after="0" w:line="334"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23" w:lineRule="exact"/>
        <w:rPr>
          <w:sz w:val="20"/>
          <w:szCs w:val="20"/>
          <w:color w:val="auto"/>
        </w:rPr>
      </w:pPr>
    </w:p>
    <w:p>
      <w:pPr>
        <w:ind w:right="320"/>
        <w:spacing w:after="0" w:line="258" w:lineRule="auto"/>
        <w:rPr>
          <w:sz w:val="20"/>
          <w:szCs w:val="20"/>
          <w:color w:val="auto"/>
        </w:rPr>
      </w:pPr>
      <w:r>
        <w:rPr>
          <w:rFonts w:ascii="Arial" w:cs="Arial" w:eastAsia="Arial" w:hAnsi="Arial"/>
          <w:sz w:val="20"/>
          <w:szCs w:val="20"/>
          <w:b w:val="1"/>
          <w:bCs w:val="1"/>
          <w:i w:val="1"/>
          <w:iCs w:val="1"/>
          <w:color w:val="auto"/>
        </w:rPr>
        <w:t>Public health crises, such as a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68" w:lineRule="exact"/>
        <w:rPr>
          <w:sz w:val="20"/>
          <w:szCs w:val="20"/>
          <w:color w:val="auto"/>
        </w:rPr>
      </w:pPr>
    </w:p>
    <w:p>
      <w:pPr>
        <w:ind w:right="80" w:firstLine="557"/>
        <w:spacing w:after="0" w:line="275" w:lineRule="auto"/>
        <w:rPr>
          <w:sz w:val="20"/>
          <w:szCs w:val="20"/>
          <w:color w:val="auto"/>
        </w:rPr>
      </w:pPr>
      <w:r>
        <w:rPr>
          <w:rFonts w:ascii="Arial" w:cs="Arial" w:eastAsia="Arial" w:hAnsi="Arial"/>
          <w:sz w:val="18"/>
          <w:szCs w:val="18"/>
          <w:color w:val="auto"/>
        </w:rPr>
        <w:t>Public health crises such as pandemics or similar outbreaks, such as COVID-19, could adversely impact our business. The extent to which pandemics or epidemics impacts our operations or those of our third-party partners, including our preclinical studies and clinical trial operations, will depend on future developments, which are highly uncertain and cannot be predicted with confidence and could adversely impact our preclinical or current and future clinical trial operations in the United States and foreign jurisdictions, including our ability to recruit and retain patients and principal investigators and site staff who, as healthcare providers, may have heightened exposure to pandemics or epidemics if an outbreak occurs in their geography. For example, similar to other biopharmaceutical companies, we may experience delays in initiating IND-enabling studies, protocol deviations, delays in enrolling our clinical trials, or dosing of patients in our clinical trials as well as in activating new trial sites. Epidemic or pandemics, such as COVID-19, may also affect employees of third-party CROs located</w:t>
      </w:r>
    </w:p>
    <w:p>
      <w:pPr>
        <w:sectPr>
          <w:pgSz w:w="12240" w:h="15840" w:orient="portrait"/>
          <w:cols w:equalWidth="0" w:num="1">
            <w:col w:w="10160"/>
          </w:cols>
          <w:pgMar w:left="1000" w:top="1060" w:right="1080" w:bottom="21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2240" w:h="15840" w:orient="portrait"/>
          <w:cols w:equalWidth="0" w:num="1">
            <w:col w:w="10160"/>
          </w:cols>
          <w:pgMar w:left="1000" w:top="1060" w:right="1080" w:bottom="210" w:gutter="0" w:footer="0" w:header="0"/>
          <w:type w:val="continuous"/>
        </w:sectPr>
      </w:pPr>
    </w:p>
    <w:bookmarkStart w:id="53" w:name="page54"/>
    <w:bookmarkEnd w:id="53"/>
    <w:p>
      <w:pPr>
        <w:ind w:right="40"/>
        <w:spacing w:after="0" w:line="249" w:lineRule="auto"/>
        <w:rPr>
          <w:sz w:val="20"/>
          <w:szCs w:val="20"/>
          <w:color w:val="auto"/>
        </w:rPr>
      </w:pPr>
      <w:r>
        <w:rPr>
          <w:rFonts w:ascii="Arial" w:cs="Arial" w:eastAsia="Arial" w:hAnsi="Arial"/>
          <w:sz w:val="20"/>
          <w:szCs w:val="20"/>
          <w:color w:val="auto"/>
        </w:rPr>
        <w:t>in affected geographies that we expect that we will rely upon to carry out our clinical trials. Any negative impact that a pandemic or epidemic has on patient enrollment or treatment or the execution of clinical trials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7" w:lineRule="exact"/>
        <w:rPr>
          <w:sz w:val="20"/>
          <w:szCs w:val="20"/>
          <w:color w:val="auto"/>
        </w:rPr>
      </w:pPr>
    </w:p>
    <w:p>
      <w:pPr>
        <w:ind w:right="340" w:firstLine="557"/>
        <w:spacing w:after="0" w:line="305" w:lineRule="auto"/>
        <w:rPr>
          <w:sz w:val="20"/>
          <w:szCs w:val="20"/>
          <w:color w:val="auto"/>
        </w:rPr>
      </w:pPr>
      <w:r>
        <w:rPr>
          <w:rFonts w:ascii="Arial" w:cs="Arial" w:eastAsia="Arial" w:hAnsi="Arial"/>
          <w:sz w:val="19"/>
          <w:szCs w:val="19"/>
          <w:color w:val="auto"/>
        </w:rPr>
        <w:t>Additionally, timely enrollment in planned clinical trials and the reporting of clinical trial results is dependent upon clinical trial sites which could be adversely affected by global health matters, such as pandemics.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w:t>
      </w:r>
    </w:p>
    <w:p>
      <w:pPr>
        <w:spacing w:after="0" w:line="244"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b w:val="1"/>
          <w:bCs w:val="1"/>
          <w:i w:val="1"/>
          <w:iCs w:val="1"/>
          <w:color w:val="auto"/>
        </w:rPr>
        <w:t>We face substantial competition, which may result in others discovering, developing or commercializing products before or more successfully than we do.</w:t>
      </w:r>
    </w:p>
    <w:p>
      <w:pPr>
        <w:spacing w:after="0" w:line="47" w:lineRule="exact"/>
        <w:rPr>
          <w:sz w:val="20"/>
          <w:szCs w:val="20"/>
          <w:color w:val="auto"/>
        </w:rPr>
      </w:pPr>
    </w:p>
    <w:p>
      <w:pPr>
        <w:ind w:right="80" w:firstLine="557"/>
        <w:spacing w:after="0" w:line="257" w:lineRule="auto"/>
        <w:rPr>
          <w:sz w:val="20"/>
          <w:szCs w:val="20"/>
          <w:color w:val="auto"/>
        </w:rPr>
      </w:pPr>
      <w:r>
        <w:rPr>
          <w:rFonts w:ascii="Arial" w:cs="Arial" w:eastAsia="Arial" w:hAnsi="Arial"/>
          <w:sz w:val="19"/>
          <w:szCs w:val="19"/>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many other companies focusing on precision oncology to develop therapies in the fields of cancer and other diseases. Specifically, with respect to vopimetostat and TNG456, we are aware that Bristol Myers Squibb (which acquired Mirati), Amgen, AstraZeneca, BeOne and Abbisko each have a clinical MTA-cooperative PRMT5 inhibitor program that have commenced clinical trials, using the same mechanism of action as vopimetostat and TNG456. Other companies have announced PRMT5 inhibitor programs, including Gilead Sciences and IDEAYA Biosciences, and they may initiate clinical trials in the near future. Additionally, there are other indirect competitors running clinical trials in the PRMT5 inhibition space, including IDEAYA Biosciences, BeOne, Insilico Medicine and Servier Pharmaceuticals, which each have clinical MAT2A inhibitor programs.</w:t>
      </w:r>
    </w:p>
    <w:p>
      <w:pPr>
        <w:spacing w:after="0" w:line="77" w:lineRule="exact"/>
        <w:rPr>
          <w:sz w:val="20"/>
          <w:szCs w:val="20"/>
          <w:color w:val="auto"/>
        </w:rPr>
      </w:pPr>
    </w:p>
    <w:p>
      <w:pPr>
        <w:ind w:right="320" w:firstLine="557"/>
        <w:spacing w:after="0" w:line="300" w:lineRule="auto"/>
        <w:rPr>
          <w:sz w:val="20"/>
          <w:szCs w:val="20"/>
          <w:color w:val="auto"/>
        </w:rPr>
      </w:pPr>
      <w:r>
        <w:rPr>
          <w:rFonts w:ascii="Arial" w:cs="Arial" w:eastAsia="Arial" w:hAnsi="Arial"/>
          <w:sz w:val="18"/>
          <w:szCs w:val="18"/>
          <w:color w:val="auto"/>
        </w:rPr>
        <w:t>We are not aware of any direct competition from other companies developing a similar mechanism as TNG260, our CoREST inhibitor program. Indirect competition may come from LSD1 inhibitor programs that target a different class of HDAC inhibitors than TNG260. We are aware that Jubilant Therapeutics has a LSD1-HDAC6 clinical program.</w:t>
      </w:r>
    </w:p>
    <w:p>
      <w:pPr>
        <w:spacing w:after="0" w:line="154" w:lineRule="exact"/>
        <w:rPr>
          <w:sz w:val="20"/>
          <w:szCs w:val="20"/>
          <w:color w:val="auto"/>
        </w:rPr>
      </w:pPr>
    </w:p>
    <w:p>
      <w:pPr>
        <w:ind w:firstLine="557"/>
        <w:spacing w:after="0" w:line="275" w:lineRule="auto"/>
        <w:rPr>
          <w:sz w:val="20"/>
          <w:szCs w:val="20"/>
          <w:color w:val="auto"/>
        </w:rPr>
      </w:pPr>
      <w:r>
        <w:rPr>
          <w:rFonts w:ascii="Arial" w:cs="Arial" w:eastAsia="Arial" w:hAnsi="Arial"/>
          <w:sz w:val="18"/>
          <w:szCs w:val="18"/>
          <w:color w:val="auto"/>
        </w:rPr>
        <w:t>All of our programs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AstraZeneca, and Bristol Myers Squibb. We face competition with respect to our current product candidates, and expect that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5" w:lineRule="exact"/>
        <w:rPr>
          <w:sz w:val="20"/>
          <w:szCs w:val="20"/>
          <w:color w:val="auto"/>
        </w:rPr>
      </w:pPr>
    </w:p>
    <w:p>
      <w:pPr>
        <w:ind w:right="120" w:firstLine="557"/>
        <w:spacing w:after="0" w:line="276"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We believe principal competitive factors to our business include, among other things, our ability to identify biomarkers and third-party genetic and other screening services that include the applicable biomarkers in their test panels, ability to successfully transition research programs into clinical development, and the scalability of the platform, pipeline, and business. The key competitive factors affecting the success of all of our product candidates, if approved, are likely to be their efficacy, safety, convenience, price, level of generic competition and novel competition that utilize the same or similar mechanism of action and availability of reimbursement from government and other third-party payors.</w:t>
      </w:r>
    </w:p>
    <w:p>
      <w:pPr>
        <w:spacing w:after="0" w:line="175" w:lineRule="exact"/>
        <w:rPr>
          <w:sz w:val="20"/>
          <w:szCs w:val="20"/>
          <w:color w:val="auto"/>
        </w:rPr>
      </w:pPr>
    </w:p>
    <w:p>
      <w:pPr>
        <w:ind w:right="40" w:firstLine="557"/>
        <w:spacing w:after="0" w:line="259" w:lineRule="auto"/>
        <w:rPr>
          <w:sz w:val="20"/>
          <w:szCs w:val="20"/>
          <w:color w:val="auto"/>
        </w:rPr>
      </w:pPr>
      <w:r>
        <w:rPr>
          <w:rFonts w:ascii="Arial" w:cs="Arial" w:eastAsia="Arial" w:hAnsi="Arial"/>
          <w:sz w:val="19"/>
          <w:szCs w:val="19"/>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such as the acquisition of Mirati by Bristol Myers Squibb.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2240" w:h="15840" w:orient="portrait"/>
          <w:cols w:equalWidth="0" w:num="1">
            <w:col w:w="10140"/>
          </w:cols>
          <w:pgMar w:left="1000" w:top="1060" w:right="1100" w:bottom="210" w:gutter="0" w:footer="0" w:header="0"/>
          <w:type w:val="continuous"/>
        </w:sectPr>
      </w:pPr>
    </w:p>
    <w:bookmarkStart w:id="54" w:name="page55"/>
    <w:bookmarkEnd w:id="54"/>
    <w:p>
      <w:pPr>
        <w:ind w:firstLine="557"/>
        <w:spacing w:after="0" w:line="265" w:lineRule="auto"/>
        <w:rPr>
          <w:sz w:val="20"/>
          <w:szCs w:val="20"/>
          <w:color w:val="auto"/>
        </w:rPr>
      </w:pPr>
      <w:r>
        <w:rPr>
          <w:rFonts w:ascii="Arial" w:cs="Arial" w:eastAsia="Arial" w:hAnsi="Arial"/>
          <w:sz w:val="19"/>
          <w:szCs w:val="19"/>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(if any) may develop. Our competitors also may obtain FDA or other regulatory approval for their products sooner than we may obtain approval for ours, which could result in our competitors establishing a strong market position before we or our collaborators (if any) are able to enter the market.</w:t>
      </w:r>
    </w:p>
    <w:p>
      <w:pPr>
        <w:spacing w:after="0" w:line="213" w:lineRule="exact"/>
        <w:rPr>
          <w:sz w:val="20"/>
          <w:szCs w:val="20"/>
          <w:color w:val="auto"/>
        </w:rPr>
      </w:pPr>
    </w:p>
    <w:p>
      <w:pPr>
        <w:jc w:val="both"/>
        <w:ind w:right="420"/>
        <w:spacing w:after="0" w:line="258" w:lineRule="auto"/>
        <w:rPr>
          <w:sz w:val="20"/>
          <w:szCs w:val="20"/>
          <w:color w:val="auto"/>
        </w:rPr>
      </w:pPr>
      <w:r>
        <w:rPr>
          <w:rFonts w:ascii="Arial" w:cs="Arial" w:eastAsia="Arial" w:hAnsi="Arial"/>
          <w:sz w:val="20"/>
          <w:szCs w:val="20"/>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68" w:lineRule="exact"/>
        <w:rPr>
          <w:sz w:val="20"/>
          <w:szCs w:val="20"/>
          <w:color w:val="auto"/>
        </w:rPr>
      </w:pPr>
    </w:p>
    <w:p>
      <w:pPr>
        <w:ind w:right="20" w:firstLine="557"/>
        <w:spacing w:after="0" w:line="272" w:lineRule="auto"/>
        <w:rPr>
          <w:sz w:val="20"/>
          <w:szCs w:val="20"/>
          <w:color w:val="auto"/>
        </w:rPr>
      </w:pPr>
      <w:r>
        <w:rPr>
          <w:rFonts w:ascii="Arial" w:cs="Arial" w:eastAsia="Arial" w:hAnsi="Arial"/>
          <w:sz w:val="18"/>
          <w:szCs w:val="18"/>
          <w:color w:val="auto"/>
        </w:rPr>
        <w:t>The incidence and prevalence for the target patient populations of our programs and product candidates have not been established with precision. Vopimetostat and TNG456 are both oral small molecule inhibitors of PRMT5. We are developing vopimetostat for the treatment of patients with solid tumors with MTAP deletion, a genetic alteration that occurs in 10% to 15% of all human tumors, with a particular focus on pancreatic and lung cancer. Our next generation, brain-penetrant PRMT5 product candidate is TNG456. Since TNG456 crosses the blood-brain barrier in preclinical non-human primate models, our development program has a particular focus on patients with GBM. Additionally, TNG260 is a first-in-class, CoREST inhibitor, which reverses the immune evasion effect of STK11 loss-of-function mutations. STK11 loss-of-function mutations are a genetic alteration in approximately 20% of lung, 15% of cervical, 10% carcinoma of unknown primary, 5% of breast and 3% of pancreatic cancers. We are also currently or planning to run clinical trials of vopimetostat in combination with multiple different compounds, including RevMed’s RAS(ON) inhibitors and Erasca's pan-RAS molecular glue. Our projections of both the number of people who have these diseases, as well as the subset of people with these diseases who have the potential to benefit from treatment with our product candidates, are based on our and third parties' estimates.</w:t>
      </w:r>
    </w:p>
    <w:p>
      <w:pPr>
        <w:spacing w:after="0" w:line="185" w:lineRule="exact"/>
        <w:rPr>
          <w:sz w:val="20"/>
          <w:szCs w:val="20"/>
          <w:color w:val="auto"/>
        </w:rPr>
      </w:pPr>
    </w:p>
    <w:p>
      <w:pPr>
        <w:ind w:firstLine="557"/>
        <w:spacing w:after="0" w:line="244" w:lineRule="auto"/>
        <w:rPr>
          <w:sz w:val="20"/>
          <w:szCs w:val="20"/>
          <w:color w:val="auto"/>
        </w:rPr>
      </w:pPr>
      <w:r>
        <w:rPr>
          <w:rFonts w:ascii="Arial" w:cs="Arial" w:eastAsia="Arial" w:hAnsi="Arial"/>
          <w:sz w:val="20"/>
          <w:szCs w:val="20"/>
          <w:color w:val="auto"/>
        </w:rPr>
        <w:t>The total addressable market opportunity will ultimately depend upon, among other things, the diagnosis criteria included in the final label (if approved for marketing),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06" w:lineRule="exact"/>
        <w:rPr>
          <w:sz w:val="20"/>
          <w:szCs w:val="20"/>
          <w:color w:val="auto"/>
        </w:rPr>
      </w:pPr>
    </w:p>
    <w:p>
      <w:pPr>
        <w:ind w:right="220"/>
        <w:spacing w:after="0" w:line="305" w:lineRule="auto"/>
        <w:rPr>
          <w:sz w:val="20"/>
          <w:szCs w:val="20"/>
          <w:color w:val="auto"/>
        </w:rPr>
      </w:pPr>
      <w:r>
        <w:rPr>
          <w:rFonts w:ascii="Arial" w:cs="Arial" w:eastAsia="Arial" w:hAnsi="Arial"/>
          <w:sz w:val="19"/>
          <w:szCs w:val="19"/>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24" w:lineRule="exact"/>
        <w:rPr>
          <w:sz w:val="20"/>
          <w:szCs w:val="20"/>
          <w:color w:val="auto"/>
        </w:rPr>
      </w:pPr>
    </w:p>
    <w:p>
      <w:pPr>
        <w:ind w:right="40" w:firstLine="557"/>
        <w:spacing w:after="0" w:line="272" w:lineRule="auto"/>
        <w:rPr>
          <w:sz w:val="20"/>
          <w:szCs w:val="20"/>
          <w:color w:val="auto"/>
        </w:rPr>
      </w:pPr>
      <w:r>
        <w:rPr>
          <w:rFonts w:ascii="Arial" w:cs="Arial" w:eastAsia="Arial" w:hAnsi="Arial"/>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are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00" w:lineRule="exact"/>
        <w:rPr>
          <w:sz w:val="20"/>
          <w:szCs w:val="20"/>
          <w:color w:val="auto"/>
        </w:rPr>
      </w:pPr>
    </w:p>
    <w:p>
      <w:pPr>
        <w:jc w:val="both"/>
        <w:ind w:right="120" w:firstLine="563"/>
        <w:spacing w:after="0" w:line="289" w:lineRule="auto"/>
        <w:rPr>
          <w:sz w:val="20"/>
          <w:szCs w:val="20"/>
          <w:color w:val="auto"/>
        </w:rPr>
      </w:pPr>
      <w:r>
        <w:rPr>
          <w:rFonts w:ascii="Arial" w:cs="Arial" w:eastAsia="Arial" w:hAnsi="Arial"/>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which will depend on a number of factors, we could be prevented from or significantly delayed in achieving profitability.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Reliance on Third Parties</w:t>
      </w:r>
    </w:p>
    <w:p>
      <w:pPr>
        <w:spacing w:after="0" w:line="244" w:lineRule="exact"/>
        <w:rPr>
          <w:sz w:val="20"/>
          <w:szCs w:val="20"/>
          <w:color w:val="auto"/>
        </w:rPr>
      </w:pPr>
    </w:p>
    <w:p>
      <w:pPr>
        <w:ind w:right="100"/>
        <w:spacing w:after="0" w:line="368" w:lineRule="auto"/>
        <w:rPr>
          <w:sz w:val="20"/>
          <w:szCs w:val="20"/>
          <w:color w:val="auto"/>
        </w:rPr>
      </w:pPr>
      <w:r>
        <w:rPr>
          <w:rFonts w:ascii="Arial" w:cs="Arial" w:eastAsia="Arial" w:hAnsi="Arial"/>
          <w:sz w:val="17"/>
          <w:szCs w:val="17"/>
          <w:b w:val="1"/>
          <w:bCs w:val="1"/>
          <w:i w:val="1"/>
          <w:iCs w:val="1"/>
          <w:color w:val="auto"/>
        </w:rPr>
        <w:t>We currently rely, and expect to continue to rely, on third parties to conduct our clinical trials. If these third parties do not successfully carry out their contractual duties, comply with regulatory requirements or meet expected deadlines, we may</w:t>
      </w:r>
    </w:p>
    <w:p>
      <w:pPr>
        <w:sectPr>
          <w:pgSz w:w="12240" w:h="15840" w:orient="portrait"/>
          <w:cols w:equalWidth="0" w:num="1">
            <w:col w:w="10140"/>
          </w:cols>
          <w:pgMar w:left="1000" w:top="1060" w:right="1100" w:bottom="21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2240" w:h="15840" w:orient="portrait"/>
          <w:cols w:equalWidth="0" w:num="1">
            <w:col w:w="10140"/>
          </w:cols>
          <w:pgMar w:left="1000" w:top="1060" w:right="1100" w:bottom="210" w:gutter="0" w:footer="0" w:header="0"/>
          <w:type w:val="continuous"/>
        </w:sectPr>
      </w:pPr>
    </w:p>
    <w:bookmarkStart w:id="55" w:name="page56"/>
    <w:bookmarkEnd w:id="55"/>
    <w:p>
      <w:pPr>
        <w:ind w:right="880"/>
        <w:spacing w:after="0" w:line="277" w:lineRule="auto"/>
        <w:rPr>
          <w:sz w:val="20"/>
          <w:szCs w:val="20"/>
          <w:color w:val="auto"/>
        </w:rPr>
      </w:pPr>
      <w:r>
        <w:rPr>
          <w:rFonts w:ascii="Arial" w:cs="Arial" w:eastAsia="Arial" w:hAnsi="Arial"/>
          <w:sz w:val="20"/>
          <w:szCs w:val="20"/>
          <w:b w:val="1"/>
          <w:bCs w:val="1"/>
          <w:i w:val="1"/>
          <w:iCs w:val="1"/>
          <w:color w:val="auto"/>
        </w:rPr>
        <w:t>not be able to obtain regulatory approval for or commercialize our product candidates and our business could be substantially harmed.</w:t>
      </w:r>
    </w:p>
    <w:p>
      <w:pPr>
        <w:spacing w:after="0" w:line="49" w:lineRule="exact"/>
        <w:rPr>
          <w:sz w:val="20"/>
          <w:szCs w:val="20"/>
          <w:color w:val="auto"/>
        </w:rPr>
      </w:pPr>
    </w:p>
    <w:p>
      <w:pPr>
        <w:ind w:right="20" w:firstLine="557"/>
        <w:spacing w:after="0" w:line="247" w:lineRule="auto"/>
        <w:rPr>
          <w:sz w:val="20"/>
          <w:szCs w:val="20"/>
          <w:color w:val="auto"/>
        </w:rPr>
      </w:pPr>
      <w:r>
        <w:rPr>
          <w:rFonts w:ascii="Arial" w:cs="Arial" w:eastAsia="Arial" w:hAnsi="Arial"/>
          <w:sz w:val="20"/>
          <w:szCs w:val="20"/>
          <w:color w:val="auto"/>
        </w:rPr>
        <w:t>We do not have the ability to independently conduct clinical trials. We currently rely, and expect to continue to rely, on medical institutions, clinical investigators, contract laboratories and other third parties, such as CROs, to conduct or otherwise support clinical trials for our product candidates, including our current and future Phase 1/2 clinical trials of vopimetostat (as a monotherapy and in combination), TNG260 and TNG456, and for any other product candidates that emerge from our precision oncology programs. We may also rely on academic and private non-academic institutions to conduct and sponsor clinical trials relating to our product candidates.</w:t>
      </w:r>
    </w:p>
    <w:p>
      <w:pPr>
        <w:spacing w:after="0" w:line="80" w:lineRule="exact"/>
        <w:rPr>
          <w:sz w:val="20"/>
          <w:szCs w:val="20"/>
          <w:color w:val="auto"/>
        </w:rPr>
      </w:pPr>
    </w:p>
    <w:p>
      <w:pPr>
        <w:ind w:firstLine="557"/>
        <w:spacing w:after="0" w:line="274" w:lineRule="auto"/>
        <w:rPr>
          <w:sz w:val="20"/>
          <w:szCs w:val="20"/>
          <w:color w:val="auto"/>
        </w:rPr>
      </w:pPr>
      <w:r>
        <w:rPr>
          <w:rFonts w:ascii="Arial" w:cs="Arial" w:eastAsia="Arial" w:hAnsi="Arial"/>
          <w:sz w:val="18"/>
          <w:szCs w:val="18"/>
          <w:color w:val="auto"/>
        </w:rPr>
        <w:t>Since we rely on third parties for the execution of clinical trials for our product candidates, we control only certain aspects of their activities that will be important for the conduct of the trial (and such control that we do exercise may be based on contractual provisions that may be breached by the third-party). For example, for the Phase 1/2 clinical trials of vopimetostat, TNG456 and TNG260, we are and will rely on the same CRO for the conduct of each of these trials and, depending on the trial, one or a very limited number of manufacturers to manufacture the study drug to be used during the course of the trials. We are responsible for ensuring that each of our clinical trials is conducted and the applicable study drug is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97" w:lineRule="exact"/>
        <w:rPr>
          <w:sz w:val="20"/>
          <w:szCs w:val="20"/>
          <w:color w:val="auto"/>
        </w:rPr>
      </w:pPr>
    </w:p>
    <w:p>
      <w:pPr>
        <w:ind w:right="20" w:firstLine="557"/>
        <w:spacing w:after="0" w:line="271" w:lineRule="auto"/>
        <w:rPr>
          <w:sz w:val="20"/>
          <w:szCs w:val="20"/>
          <w:color w:val="auto"/>
        </w:rPr>
      </w:pPr>
      <w:r>
        <w:rPr>
          <w:rFonts w:ascii="Arial" w:cs="Arial" w:eastAsia="Arial" w:hAnsi="Arial"/>
          <w:sz w:val="18"/>
          <w:szCs w:val="18"/>
          <w:color w:val="auto"/>
        </w:rPr>
        <w:t>We, our principal investigators and our CROs are required to comply with regulations, including cGCP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clinical trial site staff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 In addition, our clinical trials generally must be conducted with product candidates produced under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0" w:lineRule="exact"/>
        <w:rPr>
          <w:sz w:val="20"/>
          <w:szCs w:val="20"/>
          <w:color w:val="auto"/>
        </w:rPr>
      </w:pPr>
    </w:p>
    <w:p>
      <w:pPr>
        <w:ind w:right="20" w:firstLine="557"/>
        <w:spacing w:after="0" w:line="259" w:lineRule="auto"/>
        <w:rPr>
          <w:sz w:val="20"/>
          <w:szCs w:val="20"/>
          <w:color w:val="auto"/>
        </w:rPr>
      </w:pPr>
      <w:r>
        <w:rPr>
          <w:rFonts w:ascii="Arial" w:cs="Arial" w:eastAsia="Arial" w:hAnsi="Arial"/>
          <w:sz w:val="19"/>
          <w:szCs w:val="19"/>
          <w:color w:val="auto"/>
        </w:rPr>
        <w:t>Although we have designed all of our current Phase 1/2 clinical trials and anticipate that we will design our pivotal trial,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8" w:lineRule="exact"/>
        <w:rPr>
          <w:sz w:val="20"/>
          <w:szCs w:val="20"/>
          <w:color w:val="auto"/>
        </w:rPr>
      </w:pPr>
    </w:p>
    <w:p>
      <w:pPr>
        <w:ind w:firstLine="557"/>
        <w:spacing w:after="0" w:line="246" w:lineRule="auto"/>
        <w:rPr>
          <w:sz w:val="20"/>
          <w:szCs w:val="20"/>
          <w:color w:val="auto"/>
        </w:rPr>
      </w:pPr>
      <w:r>
        <w:rPr>
          <w:rFonts w:ascii="Arial" w:cs="Arial" w:eastAsia="Arial" w:hAnsi="Arial"/>
          <w:sz w:val="20"/>
          <w:szCs w:val="20"/>
          <w:color w:val="auto"/>
        </w:rPr>
        <w:t>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clinical trial site staff or CROs, we could be required to repeat, extend the duration of, or increase the size of any clinical trials we conduct and this could significantly delay commercialization and require significantly greater expenditures.</w:t>
      </w:r>
    </w:p>
    <w:p>
      <w:pPr>
        <w:spacing w:after="0" w:line="200" w:lineRule="exact"/>
        <w:rPr>
          <w:sz w:val="20"/>
          <w:szCs w:val="20"/>
          <w:color w:val="auto"/>
        </w:rPr>
      </w:pPr>
    </w:p>
    <w:p>
      <w:pPr>
        <w:ind w:firstLine="557"/>
        <w:spacing w:after="0" w:line="289" w:lineRule="auto"/>
        <w:rPr>
          <w:sz w:val="20"/>
          <w:szCs w:val="20"/>
          <w:color w:val="auto"/>
        </w:rPr>
      </w:pPr>
      <w:r>
        <w:rPr>
          <w:rFonts w:ascii="Arial" w:cs="Arial" w:eastAsia="Arial" w:hAnsi="Arial"/>
          <w:sz w:val="18"/>
          <w:szCs w:val="18"/>
          <w:color w:val="auto"/>
        </w:rPr>
        <w:t>If any of our relationships with these third-party principal investigators, clinical trial sites or CROs terminate, we may not be able to enter into arrangements with alternative investigators (or clinical trial sites) and CROs at all, or on terms that are acceptable to us. If principal investigators, sites or CROs do not successfully carry out their contractual obligations or meet expected deadlines, if they need to be replaced or if the quality or accuracy of the clinical data they obtain is compromised due</w:t>
      </w:r>
    </w:p>
    <w:p>
      <w:pPr>
        <w:sectPr>
          <w:pgSz w:w="12240" w:h="15840" w:orient="portrait"/>
          <w:cols w:equalWidth="0" w:num="1">
            <w:col w:w="10140"/>
          </w:cols>
          <w:pgMar w:left="1000" w:top="1060" w:right="1100" w:bottom="210"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2240" w:h="15840" w:orient="portrait"/>
          <w:cols w:equalWidth="0" w:num="1">
            <w:col w:w="10140"/>
          </w:cols>
          <w:pgMar w:left="1000" w:top="1060" w:right="1100" w:bottom="210" w:gutter="0" w:footer="0" w:header="0"/>
          <w:type w:val="continuous"/>
        </w:sectPr>
      </w:pPr>
    </w:p>
    <w:bookmarkStart w:id="56" w:name="page57"/>
    <w:bookmarkEnd w:id="56"/>
    <w:p>
      <w:pPr>
        <w:ind w:right="40"/>
        <w:spacing w:after="0" w:line="247" w:lineRule="auto"/>
        <w:rPr>
          <w:sz w:val="20"/>
          <w:szCs w:val="20"/>
          <w:color w:val="auto"/>
        </w:rPr>
      </w:pPr>
      <w:r>
        <w:rPr>
          <w:rFonts w:ascii="Arial" w:cs="Arial" w:eastAsia="Arial" w:hAnsi="Arial"/>
          <w:sz w:val="20"/>
          <w:szCs w:val="20"/>
          <w:color w:val="auto"/>
        </w:rPr>
        <w:t>to the failure to adhere to our clinical protocols, regulatory requirements, failure to properly enter patient information into trial databases, or for other reasons, any clinical trials such principal investigators, sites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200" w:lineRule="exact"/>
        <w:rPr>
          <w:sz w:val="20"/>
          <w:szCs w:val="20"/>
          <w:color w:val="auto"/>
        </w:rPr>
      </w:pPr>
    </w:p>
    <w:p>
      <w:pPr>
        <w:ind w:right="40"/>
        <w:spacing w:after="0" w:line="325" w:lineRule="auto"/>
        <w:rPr>
          <w:sz w:val="20"/>
          <w:szCs w:val="20"/>
          <w:color w:val="auto"/>
        </w:rPr>
      </w:pPr>
      <w:r>
        <w:rPr>
          <w:rFonts w:ascii="Arial" w:cs="Arial" w:eastAsia="Arial" w:hAnsi="Arial"/>
          <w:sz w:val="17"/>
          <w:szCs w:val="17"/>
          <w:b w:val="1"/>
          <w:bCs w:val="1"/>
          <w:i w:val="1"/>
          <w:iCs w:val="1"/>
          <w:color w:val="auto"/>
        </w:rPr>
        <w:t>We have entered into collaborations and we may seek to establish additional collaborations in the future, and we might not realize the anticipated benefits of such collaborations. If we are not able to establish additional collaborations on commercially reasonable terms, or at all, we may have to alter our development and commercialization plans.</w:t>
      </w:r>
    </w:p>
    <w:p>
      <w:pPr>
        <w:spacing w:after="0" w:line="16" w:lineRule="exact"/>
        <w:rPr>
          <w:sz w:val="20"/>
          <w:szCs w:val="20"/>
          <w:color w:val="auto"/>
        </w:rPr>
      </w:pPr>
    </w:p>
    <w:p>
      <w:pPr>
        <w:ind w:right="180" w:firstLine="563"/>
        <w:spacing w:after="0" w:line="252" w:lineRule="auto"/>
        <w:rPr>
          <w:sz w:val="20"/>
          <w:szCs w:val="20"/>
          <w:color w:val="auto"/>
        </w:rPr>
      </w:pPr>
      <w:r>
        <w:rPr>
          <w:rFonts w:ascii="Arial" w:cs="Arial" w:eastAsia="Arial" w:hAnsi="Arial"/>
          <w:sz w:val="20"/>
          <w:szCs w:val="20"/>
          <w:color w:val="auto"/>
        </w:rPr>
        <w:t>Our product development programs and the potential commercialization of our product candidates will require substantial additional cash to fund expenses. For some of our product candidates, we may decide to collaborate with other pharmaceutical and biotechnology companies, like our existing collaboration with Gilead, for the development and potential commercialization of those product candidates.</w:t>
      </w:r>
    </w:p>
    <w:p>
      <w:pPr>
        <w:spacing w:after="0" w:line="73" w:lineRule="exact"/>
        <w:rPr>
          <w:sz w:val="20"/>
          <w:szCs w:val="20"/>
          <w:color w:val="auto"/>
        </w:rPr>
      </w:pPr>
    </w:p>
    <w:p>
      <w:pPr>
        <w:jc w:val="both"/>
        <w:ind w:right="280" w:firstLine="563"/>
        <w:spacing w:after="0" w:line="293"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63" w:lineRule="exact"/>
        <w:rPr>
          <w:sz w:val="20"/>
          <w:szCs w:val="20"/>
          <w:color w:val="auto"/>
        </w:rPr>
      </w:pPr>
    </w:p>
    <w:p>
      <w:pPr>
        <w:ind w:firstLine="563"/>
        <w:spacing w:after="0" w:line="252" w:lineRule="auto"/>
        <w:rPr>
          <w:sz w:val="20"/>
          <w:szCs w:val="20"/>
          <w:color w:val="auto"/>
        </w:rPr>
      </w:pPr>
      <w:r>
        <w:rPr>
          <w:rFonts w:ascii="Arial" w:cs="Arial" w:eastAsia="Arial" w:hAnsi="Arial"/>
          <w:sz w:val="20"/>
          <w:szCs w:val="20"/>
          <w:color w:val="auto"/>
        </w:rPr>
        <w:t>We may also be restricted under collaboration agreements from entering into future agreements on certain terms with other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3" w:lineRule="exact"/>
        <w:rPr>
          <w:sz w:val="20"/>
          <w:szCs w:val="20"/>
          <w:color w:val="auto"/>
        </w:rPr>
      </w:pPr>
    </w:p>
    <w:p>
      <w:pPr>
        <w:ind w:right="20" w:firstLine="563"/>
        <w:spacing w:after="0" w:line="276"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57" w:lineRule="exact"/>
        <w:rPr>
          <w:sz w:val="20"/>
          <w:szCs w:val="20"/>
          <w:color w:val="auto"/>
        </w:rPr>
      </w:pPr>
    </w:p>
    <w:p>
      <w:pPr>
        <w:ind w:right="40" w:firstLine="563"/>
        <w:spacing w:after="0" w:line="265" w:lineRule="auto"/>
        <w:rPr>
          <w:sz w:val="20"/>
          <w:szCs w:val="20"/>
          <w:color w:val="auto"/>
        </w:rPr>
      </w:pPr>
      <w:r>
        <w:rPr>
          <w:rFonts w:ascii="Arial" w:cs="Arial" w:eastAsia="Arial" w:hAnsi="Arial"/>
          <w:sz w:val="19"/>
          <w:szCs w:val="19"/>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Research, development, commercialization and/or strategic collaborations, including the existing collaboration that we have with Gilead, are subject to numerous risks that may impact the success of a collaboration, which include the following:</w:t>
      </w:r>
    </w:p>
    <w:p>
      <w:pPr>
        <w:spacing w:after="0" w:line="78" w:lineRule="exact"/>
        <w:rPr>
          <w:sz w:val="20"/>
          <w:szCs w:val="20"/>
          <w:color w:val="auto"/>
        </w:rPr>
      </w:pPr>
    </w:p>
    <w:p>
      <w:pPr>
        <w:ind w:left="720" w:right="240" w:firstLine="8"/>
        <w:spacing w:after="0" w:line="259" w:lineRule="auto"/>
        <w:tabs>
          <w:tab w:leader="none" w:pos="912"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79" w:lineRule="exact"/>
        <w:rPr>
          <w:rFonts w:ascii="Arial" w:cs="Arial" w:eastAsia="Arial" w:hAnsi="Arial"/>
          <w:sz w:val="20"/>
          <w:szCs w:val="20"/>
          <w:color w:val="auto"/>
        </w:rPr>
      </w:pPr>
    </w:p>
    <w:p>
      <w:pPr>
        <w:ind w:left="720" w:right="120" w:firstLine="8"/>
        <w:spacing w:after="0" w:line="259" w:lineRule="auto"/>
        <w:tabs>
          <w:tab w:leader="none" w:pos="912" w:val="left"/>
        </w:tabs>
        <w:numPr>
          <w:ilvl w:val="0"/>
          <w:numId w:val="31"/>
        </w:numPr>
        <w:rPr>
          <w:rFonts w:ascii="Arial" w:cs="Arial" w:eastAsia="Arial" w:hAnsi="Arial"/>
          <w:sz w:val="20"/>
          <w:szCs w:val="20"/>
          <w:color w:val="auto"/>
        </w:rPr>
      </w:pPr>
      <w:r>
        <w:rPr>
          <w:rFonts w:ascii="Arial" w:cs="Arial" w:eastAsia="Arial" w:hAnsi="Arial"/>
          <w:sz w:val="20"/>
          <w:szCs w:val="20"/>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81" w:lineRule="exact"/>
        <w:rPr>
          <w:rFonts w:ascii="Arial" w:cs="Arial" w:eastAsia="Arial" w:hAnsi="Arial"/>
          <w:sz w:val="20"/>
          <w:szCs w:val="20"/>
          <w:color w:val="auto"/>
        </w:rPr>
      </w:pPr>
    </w:p>
    <w:p>
      <w:pPr>
        <w:ind w:left="720" w:right="160" w:firstLine="8"/>
        <w:spacing w:after="0" w:line="270" w:lineRule="auto"/>
        <w:tabs>
          <w:tab w:leader="none" w:pos="912"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71" w:lineRule="exact"/>
        <w:rPr>
          <w:rFonts w:ascii="Arial" w:cs="Arial" w:eastAsia="Arial" w:hAnsi="Arial"/>
          <w:sz w:val="19"/>
          <w:szCs w:val="19"/>
          <w:color w:val="auto"/>
        </w:rPr>
      </w:pPr>
    </w:p>
    <w:p>
      <w:pPr>
        <w:ind w:left="720" w:right="60" w:firstLine="8"/>
        <w:spacing w:after="0" w:line="336" w:lineRule="auto"/>
        <w:tabs>
          <w:tab w:leader="none" w:pos="9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ectPr>
          <w:pgSz w:w="12240" w:h="15840" w:orient="portrait"/>
          <w:cols w:equalWidth="0" w:num="1">
            <w:col w:w="10140"/>
          </w:cols>
          <w:pgMar w:left="1000" w:top="1060" w:right="1100" w:bottom="21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2240" w:h="15840" w:orient="portrait"/>
          <w:cols w:equalWidth="0" w:num="1">
            <w:col w:w="10140"/>
          </w:cols>
          <w:pgMar w:left="1000" w:top="1060" w:right="1100" w:bottom="210" w:gutter="0" w:footer="0" w:header="0"/>
          <w:type w:val="continuous"/>
        </w:sectPr>
      </w:pPr>
    </w:p>
    <w:bookmarkStart w:id="57" w:name="page58"/>
    <w:bookmarkEnd w:id="57"/>
    <w:p>
      <w:pPr>
        <w:ind w:left="720" w:right="180" w:firstLine="8"/>
        <w:spacing w:after="0" w:line="258"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collaborators with sales, marketing and distribution rights to one or more product candidates might not commit sufficient resources to sales, marketing and distribution or might otherwise fail to successfully commercialize those collaboration product candidates;</w:t>
      </w:r>
    </w:p>
    <w:p>
      <w:pPr>
        <w:spacing w:after="0" w:line="81" w:lineRule="exact"/>
        <w:rPr>
          <w:rFonts w:ascii="Arial" w:cs="Arial" w:eastAsia="Arial" w:hAnsi="Arial"/>
          <w:sz w:val="20"/>
          <w:szCs w:val="20"/>
          <w:color w:val="auto"/>
        </w:rPr>
      </w:pPr>
    </w:p>
    <w:p>
      <w:pPr>
        <w:ind w:left="720" w:right="720" w:firstLine="8"/>
        <w:spacing w:after="0" w:line="278"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collaborators could independently develop, or develop with third parties, products that compete directly or indirectly with our product candidates;</w:t>
      </w:r>
    </w:p>
    <w:p>
      <w:pPr>
        <w:spacing w:after="0" w:line="63" w:lineRule="exact"/>
        <w:rPr>
          <w:rFonts w:ascii="Arial" w:cs="Arial" w:eastAsia="Arial" w:hAnsi="Arial"/>
          <w:sz w:val="20"/>
          <w:szCs w:val="20"/>
          <w:color w:val="auto"/>
        </w:rPr>
      </w:pPr>
    </w:p>
    <w:p>
      <w:pPr>
        <w:ind w:left="720" w:right="160" w:firstLine="8"/>
        <w:spacing w:after="0" w:line="259"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disputes might arise regarding the ownership of inventions and know-how resulting from the joint creation or use of either party's intellectual property in connection with the collaboration (or with other third-parties we engage in connection with sponsored research);</w:t>
      </w:r>
    </w:p>
    <w:p>
      <w:pPr>
        <w:spacing w:after="0" w:line="79" w:lineRule="exact"/>
        <w:rPr>
          <w:rFonts w:ascii="Arial" w:cs="Arial" w:eastAsia="Arial" w:hAnsi="Arial"/>
          <w:sz w:val="20"/>
          <w:szCs w:val="20"/>
          <w:color w:val="auto"/>
        </w:rPr>
      </w:pPr>
    </w:p>
    <w:p>
      <w:pPr>
        <w:ind w:left="720" w:right="60" w:firstLine="8"/>
        <w:spacing w:after="0" w:line="301" w:lineRule="auto"/>
        <w:tabs>
          <w:tab w:leader="none" w:pos="9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jointly owned or developed intellectual property) or might use our intellectual property improperly or in a way that jeopardizes our intellectual property or the potential commercial benefit of our product candidates or exposes us to potential liability;</w:t>
      </w:r>
    </w:p>
    <w:p>
      <w:pPr>
        <w:spacing w:after="0" w:line="45" w:lineRule="exact"/>
        <w:rPr>
          <w:rFonts w:ascii="Arial" w:cs="Arial" w:eastAsia="Arial" w:hAnsi="Arial"/>
          <w:sz w:val="18"/>
          <w:szCs w:val="18"/>
          <w:color w:val="auto"/>
        </w:rPr>
      </w:pPr>
    </w:p>
    <w:p>
      <w:pPr>
        <w:ind w:left="720" w:right="380" w:firstLine="8"/>
        <w:spacing w:after="0" w:line="259"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81" w:lineRule="exact"/>
        <w:rPr>
          <w:rFonts w:ascii="Arial" w:cs="Arial" w:eastAsia="Arial" w:hAnsi="Arial"/>
          <w:sz w:val="20"/>
          <w:szCs w:val="20"/>
          <w:color w:val="auto"/>
        </w:rPr>
      </w:pPr>
    </w:p>
    <w:p>
      <w:pPr>
        <w:ind w:left="720" w:right="360" w:firstLine="8"/>
        <w:spacing w:after="0" w:line="279"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collaborators might not be in compliance with laws applicable to their activities under the collaboration, which could impact the collaboration and us;</w:t>
      </w:r>
    </w:p>
    <w:p>
      <w:pPr>
        <w:spacing w:after="0" w:line="60" w:lineRule="exact"/>
        <w:rPr>
          <w:rFonts w:ascii="Arial" w:cs="Arial" w:eastAsia="Arial" w:hAnsi="Arial"/>
          <w:sz w:val="20"/>
          <w:szCs w:val="20"/>
          <w:color w:val="auto"/>
        </w:rPr>
      </w:pPr>
    </w:p>
    <w:p>
      <w:pPr>
        <w:ind w:left="720" w:right="200" w:firstLine="8"/>
        <w:spacing w:after="0" w:line="278"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disputes might arise between a collaborator and us that could cause a delay or termination of the collaboration or result in costly litigation that diverts management attention and resources; and</w:t>
      </w:r>
    </w:p>
    <w:p>
      <w:pPr>
        <w:spacing w:after="0" w:line="62" w:lineRule="exact"/>
        <w:rPr>
          <w:rFonts w:ascii="Arial" w:cs="Arial" w:eastAsia="Arial" w:hAnsi="Arial"/>
          <w:sz w:val="20"/>
          <w:szCs w:val="20"/>
          <w:color w:val="auto"/>
        </w:rPr>
      </w:pPr>
    </w:p>
    <w:p>
      <w:pPr>
        <w:ind w:left="720" w:right="220" w:firstLine="8"/>
        <w:spacing w:after="0" w:line="278" w:lineRule="auto"/>
        <w:tabs>
          <w:tab w:leader="none" w:pos="912"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collaborations might be terminated, which could result in a need for additional capital to pursue further research, development and/or commercialization of our product candidates.</w:t>
      </w:r>
    </w:p>
    <w:p>
      <w:pPr>
        <w:spacing w:after="0" w:line="88" w:lineRule="exact"/>
        <w:rPr>
          <w:sz w:val="20"/>
          <w:szCs w:val="20"/>
          <w:color w:val="auto"/>
        </w:rPr>
      </w:pPr>
    </w:p>
    <w:p>
      <w:pPr>
        <w:ind w:right="40" w:firstLine="557"/>
        <w:spacing w:after="0" w:line="249" w:lineRule="auto"/>
        <w:rPr>
          <w:sz w:val="20"/>
          <w:szCs w:val="20"/>
          <w:color w:val="auto"/>
        </w:rPr>
      </w:pPr>
      <w:r>
        <w:rPr>
          <w:rFonts w:ascii="Arial" w:cs="Arial" w:eastAsia="Arial" w:hAnsi="Arial"/>
          <w:sz w:val="20"/>
          <w:szCs w:val="20"/>
          <w:color w:val="auto"/>
        </w:rPr>
        <w:t>In addition, funding provided by a collaborator might not be sufficient to advance product candidates under the collaboration. For example, although Gilead provided us with $175.0 million upfront payments and a $20.0 million equity investment in connection with our collaboration, we have since truncated the research term of this collaboration and anticipate that we will need additional funding to advance product candidates prior to receiving any milestones from the collaboration agreement with Gilead.</w:t>
      </w:r>
    </w:p>
    <w:p>
      <w:pPr>
        <w:spacing w:after="0" w:line="198" w:lineRule="exact"/>
        <w:rPr>
          <w:sz w:val="20"/>
          <w:szCs w:val="20"/>
          <w:color w:val="auto"/>
        </w:rPr>
      </w:pPr>
    </w:p>
    <w:p>
      <w:pPr>
        <w:ind w:firstLine="557"/>
        <w:spacing w:after="0" w:line="278" w:lineRule="auto"/>
        <w:rPr>
          <w:sz w:val="20"/>
          <w:szCs w:val="20"/>
          <w:color w:val="auto"/>
        </w:rPr>
      </w:pPr>
      <w:r>
        <w:rPr>
          <w:rFonts w:ascii="Arial" w:cs="Arial" w:eastAsia="Arial" w:hAnsi="Arial"/>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71" w:lineRule="exact"/>
        <w:rPr>
          <w:sz w:val="20"/>
          <w:szCs w:val="20"/>
          <w:color w:val="auto"/>
        </w:rPr>
      </w:pPr>
    </w:p>
    <w:p>
      <w:pPr>
        <w:ind w:firstLine="557"/>
        <w:spacing w:after="0" w:line="247" w:lineRule="auto"/>
        <w:rPr>
          <w:sz w:val="20"/>
          <w:szCs w:val="20"/>
          <w:color w:val="auto"/>
        </w:rPr>
      </w:pPr>
      <w:r>
        <w:rPr>
          <w:rFonts w:ascii="Arial" w:cs="Arial" w:eastAsia="Arial" w:hAnsi="Arial"/>
          <w:sz w:val="20"/>
          <w:szCs w:val="20"/>
          <w:color w:val="auto"/>
        </w:rPr>
        <w:t>Additionally,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0" w:lineRule="exact"/>
        <w:rPr>
          <w:sz w:val="20"/>
          <w:szCs w:val="20"/>
          <w:color w:val="auto"/>
        </w:rPr>
      </w:pPr>
    </w:p>
    <w:p>
      <w:pPr>
        <w:ind w:right="40" w:firstLine="557"/>
        <w:spacing w:after="0" w:line="259" w:lineRule="auto"/>
        <w:rPr>
          <w:sz w:val="20"/>
          <w:szCs w:val="20"/>
          <w:color w:val="auto"/>
        </w:rPr>
      </w:pPr>
      <w:r>
        <w:rPr>
          <w:rFonts w:ascii="Arial" w:cs="Arial" w:eastAsia="Arial" w:hAnsi="Arial"/>
          <w:sz w:val="20"/>
          <w:szCs w:val="20"/>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85" w:lineRule="exact"/>
        <w:rPr>
          <w:sz w:val="20"/>
          <w:szCs w:val="20"/>
          <w:color w:val="auto"/>
        </w:rPr>
      </w:pPr>
    </w:p>
    <w:p>
      <w:pPr>
        <w:ind w:right="120"/>
        <w:spacing w:after="0" w:line="311" w:lineRule="auto"/>
        <w:rPr>
          <w:sz w:val="20"/>
          <w:szCs w:val="20"/>
          <w:color w:val="auto"/>
        </w:rPr>
      </w:pPr>
      <w:r>
        <w:rPr>
          <w:rFonts w:ascii="Arial" w:cs="Arial" w:eastAsia="Arial" w:hAnsi="Arial"/>
          <w:sz w:val="17"/>
          <w:szCs w:val="17"/>
          <w:b w:val="1"/>
          <w:bCs w:val="1"/>
          <w:i w:val="1"/>
          <w:iCs w:val="1"/>
          <w:color w:val="auto"/>
        </w:rPr>
        <w:t>We contract with a limited number of third parties for the manufacture of our product candidates for preclinical development and clinical testing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7" w:lineRule="exact"/>
        <w:rPr>
          <w:sz w:val="20"/>
          <w:szCs w:val="20"/>
          <w:color w:val="auto"/>
        </w:rPr>
      </w:pPr>
    </w:p>
    <w:p>
      <w:pPr>
        <w:ind w:right="180" w:firstLine="557"/>
        <w:spacing w:after="0" w:line="289"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or two parties to manufacture our preclinical and clinical</w:t>
      </w:r>
    </w:p>
    <w:p>
      <w:pPr>
        <w:sectPr>
          <w:pgSz w:w="12240" w:h="15840" w:orient="portrait"/>
          <w:cols w:equalWidth="0" w:num="1">
            <w:col w:w="10140"/>
          </w:cols>
          <w:pgMar w:left="1000" w:top="1075" w:right="1100" w:bottom="21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2240" w:h="15840" w:orient="portrait"/>
          <w:cols w:equalWidth="0" w:num="1">
            <w:col w:w="10140"/>
          </w:cols>
          <w:pgMar w:left="1000" w:top="1075" w:right="1100" w:bottom="210" w:gutter="0" w:footer="0" w:header="0"/>
          <w:type w:val="continuous"/>
        </w:sectPr>
      </w:pPr>
    </w:p>
    <w:bookmarkStart w:id="58" w:name="page59"/>
    <w:bookmarkEnd w:id="58"/>
    <w:p>
      <w:pPr>
        <w:ind w:right="240"/>
        <w:spacing w:after="0" w:line="289" w:lineRule="auto"/>
        <w:rPr>
          <w:sz w:val="20"/>
          <w:szCs w:val="20"/>
          <w:color w:val="auto"/>
        </w:rPr>
      </w:pPr>
      <w:r>
        <w:rPr>
          <w:rFonts w:ascii="Arial" w:cs="Arial" w:eastAsia="Arial" w:hAnsi="Arial"/>
          <w:sz w:val="18"/>
          <w:szCs w:val="18"/>
          <w:color w:val="auto"/>
        </w:rPr>
        <w:t>products and we exercise limited direct control over these manufacturers (and it would be time consuming and expensive to move production to any new manufacturers, if we were able to do so at all). This reliance on third parties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61" w:lineRule="exact"/>
        <w:rPr>
          <w:sz w:val="20"/>
          <w:szCs w:val="20"/>
          <w:color w:val="auto"/>
        </w:rPr>
      </w:pPr>
    </w:p>
    <w:p>
      <w:pPr>
        <w:ind w:firstLine="557"/>
        <w:spacing w:after="0" w:line="273" w:lineRule="auto"/>
        <w:rPr>
          <w:sz w:val="20"/>
          <w:szCs w:val="20"/>
          <w:color w:val="auto"/>
        </w:rPr>
      </w:pPr>
      <w:r>
        <w:rPr>
          <w:rFonts w:ascii="Arial" w:cs="Arial" w:eastAsia="Arial" w:hAnsi="Arial"/>
          <w:sz w:val="18"/>
          <w:szCs w:val="18"/>
          <w:color w:val="auto"/>
        </w:rPr>
        <w:t>The facilities used by our contract manufacturers to manufacture our product candidates must be inspected by the FDA pursuant to pre-approval inspections that will be conducted after we submit our NDA applications to the FDA. We do not control the manufacturing process of, and will be completely dependent on, our contract manufacturers for compliance with cGMP in connection with the manufacture of our product candidates. If our contract manufacturers cannot successfully manufacture material that conforms to our specifications and the strict regulatory requirements of the FDA or other regulatory agencies,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agency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82" w:lineRule="exact"/>
        <w:rPr>
          <w:sz w:val="20"/>
          <w:szCs w:val="20"/>
          <w:color w:val="auto"/>
        </w:rPr>
      </w:pPr>
    </w:p>
    <w:p>
      <w:pPr>
        <w:ind w:right="80" w:firstLine="557"/>
        <w:spacing w:after="0" w:line="270" w:lineRule="auto"/>
        <w:rPr>
          <w:sz w:val="20"/>
          <w:szCs w:val="20"/>
          <w:color w:val="auto"/>
        </w:rPr>
      </w:pPr>
      <w:r>
        <w:rPr>
          <w:rFonts w:ascii="Arial" w:cs="Arial" w:eastAsia="Arial" w:hAnsi="Arial"/>
          <w:sz w:val="18"/>
          <w:szCs w:val="18"/>
          <w:color w:val="auto"/>
        </w:rPr>
        <w:t>If any CDMO with whom we contract fails to perform its obligations, we may be forced to enter into an agreement with a different CDMO, which we may not be able to do on reasonable terms, or at all, and such new agreement may result in significantly greater costs to us. In such scenario, our supply of study drug for clinical trials could be disrupted or delayed significantly as we establish alternative supply sources. In some cases, the technical skills or processes required to manufacture our products or product candidates may be unique or proprietary to the original CDMO and we may have difficulty, or there may be contractual restrictions prohibiting us from, transferring such skills or processes to a back-up or alternate supplier, or we may be unable to transfer such skills or processes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agency. The delays associated with the verification of a new CDMO could negatively affect our ability to develop product candidates or commercialize our products in a timely manner or within budget.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1" w:lineRule="exact"/>
        <w:rPr>
          <w:sz w:val="20"/>
          <w:szCs w:val="20"/>
          <w:color w:val="auto"/>
        </w:rPr>
      </w:pPr>
    </w:p>
    <w:p>
      <w:pPr>
        <w:ind w:right="20" w:firstLine="557"/>
        <w:spacing w:after="0" w:line="249" w:lineRule="auto"/>
        <w:rPr>
          <w:sz w:val="20"/>
          <w:szCs w:val="20"/>
          <w:color w:val="auto"/>
        </w:rPr>
      </w:pPr>
      <w:r>
        <w:rPr>
          <w:rFonts w:ascii="Arial" w:cs="Arial" w:eastAsia="Arial" w:hAnsi="Arial"/>
          <w:sz w:val="20"/>
          <w:szCs w:val="20"/>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97" w:lineRule="exact"/>
        <w:rPr>
          <w:sz w:val="20"/>
          <w:szCs w:val="20"/>
          <w:color w:val="auto"/>
        </w:rPr>
      </w:pPr>
    </w:p>
    <w:p>
      <w:pPr>
        <w:ind w:right="480" w:firstLine="557"/>
        <w:spacing w:after="0" w:line="259" w:lineRule="auto"/>
        <w:rPr>
          <w:sz w:val="20"/>
          <w:szCs w:val="20"/>
          <w:color w:val="auto"/>
        </w:rPr>
      </w:pPr>
      <w:r>
        <w:rPr>
          <w:rFonts w:ascii="Arial" w:cs="Arial" w:eastAsia="Arial" w:hAnsi="Arial"/>
          <w:sz w:val="20"/>
          <w:szCs w:val="20"/>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i w:val="1"/>
          <w:iCs w:val="1"/>
          <w:color w:val="auto"/>
        </w:rPr>
        <w:t>The third parties upon whom we rely for the supply of the active pharmaceutical ingredients and drug product to be used in our product candidates are our sole sources of supply, and the loss of any of these suppliers could significantly harm our business.</w:t>
      </w:r>
    </w:p>
    <w:p>
      <w:pPr>
        <w:spacing w:after="0" w:line="65" w:lineRule="exact"/>
        <w:rPr>
          <w:sz w:val="20"/>
          <w:szCs w:val="20"/>
          <w:color w:val="auto"/>
        </w:rPr>
      </w:pPr>
    </w:p>
    <w:p>
      <w:pPr>
        <w:ind w:right="40" w:firstLine="557"/>
        <w:spacing w:after="0" w:line="274" w:lineRule="auto"/>
        <w:rPr>
          <w:sz w:val="20"/>
          <w:szCs w:val="20"/>
          <w:color w:val="auto"/>
        </w:rPr>
      </w:pPr>
      <w:r>
        <w:rPr>
          <w:rFonts w:ascii="Arial" w:cs="Arial" w:eastAsia="Arial" w:hAnsi="Arial"/>
          <w:sz w:val="18"/>
          <w:szCs w:val="18"/>
          <w:color w:val="auto"/>
        </w:rPr>
        <w:t>The API we use and that we may continue to use in all of our product candidates is supplied to us from one supplier. The drug product used in our product candidates is supplied by two manufacturers (and the manufacturer that produces the API is also one of the two suppliers of the drug product used in our current clinical trials). Our ability to successfully develop our product candidates, and to ultimately supply our commercial products in quantities (if approved by regulatory authorities) sufficient to meet the market demand (and to meet requirements in connection with our ongoing and planned clinical trials), depends in part on our ability to obtain the API and drug product for these products in accordance with regulatory requirements and in sufficient quantities for clinical testing and commercialization, when applicable. We are also unable to predict how changing global economic conditions or global health concerns, as well as potential supply chain disruptions or cost increases related thereto, will affect our third-party suppliers and manufacturers. The risks related to global economic and political changes and supply chain disruption could have a material impact since one of our two CDMOs is located in China.</w:t>
      </w:r>
    </w:p>
    <w:p>
      <w:pPr>
        <w:sectPr>
          <w:pgSz w:w="12240" w:h="15840" w:orient="portrait"/>
          <w:cols w:equalWidth="0" w:num="1">
            <w:col w:w="10140"/>
          </w:cols>
          <w:pgMar w:left="1000" w:top="1060" w:right="1100" w:bottom="21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2240" w:h="15840" w:orient="portrait"/>
          <w:cols w:equalWidth="0" w:num="1">
            <w:col w:w="10140"/>
          </w:cols>
          <w:pgMar w:left="1000" w:top="1060" w:right="1100" w:bottom="210" w:gutter="0" w:footer="0" w:header="0"/>
          <w:type w:val="continuous"/>
        </w:sectPr>
      </w:pPr>
    </w:p>
    <w:bookmarkStart w:id="59" w:name="page60"/>
    <w:bookmarkEnd w:id="59"/>
    <w:p>
      <w:pPr>
        <w:ind w:right="180"/>
        <w:spacing w:after="0" w:line="276" w:lineRule="auto"/>
        <w:rPr>
          <w:sz w:val="20"/>
          <w:szCs w:val="20"/>
          <w:color w:val="auto"/>
        </w:rPr>
      </w:pPr>
      <w:r>
        <w:rPr>
          <w:rFonts w:ascii="Arial" w:cs="Arial" w:eastAsia="Arial" w:hAnsi="Arial"/>
          <w:sz w:val="18"/>
          <w:szCs w:val="18"/>
          <w:color w:val="auto"/>
        </w:rPr>
        <w:t>Further, this CDMO, which is our sole supplier of API for the drugs used in our clinical trials, is affiliated with WuXi AppTec, and WuXi AppTec has been the subject of proposed Congressional legislation that, if enacted or if the subject of similar executive or administrative action, could restrict WuXi's business in the United States or the ability of businesses in the United States to conduct business with WuXi on national security grounds. We have started the process to locate an alternate producer of API, but there is no guarantee that we can identify and engage an alternate producer or manufacturer in time so as not to disrupt our clinical trials, on terms that are acceptable to us (including financial terms), or at all. Any negative impact of the ability of our CDMOs to deliver API and/or drug product due to political actions, supply chain disruptions or otherwise, may have a material adverse impact on our results of operations or financial condition.</w:t>
      </w:r>
    </w:p>
    <w:p>
      <w:pPr>
        <w:spacing w:after="0" w:line="175" w:lineRule="exact"/>
        <w:rPr>
          <w:sz w:val="20"/>
          <w:szCs w:val="20"/>
          <w:color w:val="auto"/>
        </w:rPr>
      </w:pPr>
    </w:p>
    <w:p>
      <w:pPr>
        <w:ind w:right="200" w:firstLine="557"/>
        <w:spacing w:after="0" w:line="278"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 source suppliers or limited number of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products on a timely basis in the past, they may subordinate our needs in the future to their other customers or may experience operating disruptions.</w:t>
      </w:r>
    </w:p>
    <w:p>
      <w:pPr>
        <w:spacing w:after="0" w:line="172" w:lineRule="exact"/>
        <w:rPr>
          <w:sz w:val="20"/>
          <w:szCs w:val="20"/>
          <w:color w:val="auto"/>
        </w:rPr>
      </w:pPr>
    </w:p>
    <w:p>
      <w:pPr>
        <w:ind w:firstLine="557"/>
        <w:spacing w:after="0" w:line="278" w:lineRule="auto"/>
        <w:rPr>
          <w:sz w:val="20"/>
          <w:szCs w:val="20"/>
          <w:color w:val="auto"/>
        </w:rPr>
      </w:pPr>
      <w:r>
        <w:rPr>
          <w:rFonts w:ascii="Arial" w:cs="Arial" w:eastAsia="Arial" w:hAnsi="Arial"/>
          <w:sz w:val="18"/>
          <w:szCs w:val="18"/>
          <w:color w:val="auto"/>
        </w:rPr>
        <w:t>Establishing additional or replacement suppliers for the API and drug product used in our product candidates and clinical trials,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and clinical trials,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244" w:lineRule="exact"/>
        <w:rPr>
          <w:sz w:val="20"/>
          <w:szCs w:val="20"/>
          <w:color w:val="auto"/>
        </w:rPr>
      </w:pPr>
    </w:p>
    <w:p>
      <w:pPr>
        <w:spacing w:after="0" w:line="336" w:lineRule="auto"/>
        <w:rPr>
          <w:sz w:val="20"/>
          <w:szCs w:val="20"/>
          <w:color w:val="auto"/>
        </w:rPr>
      </w:pPr>
      <w:r>
        <w:rPr>
          <w:rFonts w:ascii="Arial" w:cs="Arial" w:eastAsia="Arial" w:hAnsi="Arial"/>
          <w:sz w:val="18"/>
          <w:szCs w:val="18"/>
          <w:b w:val="1"/>
          <w:bCs w:val="1"/>
          <w:i w:val="1"/>
          <w:iCs w:val="1"/>
          <w:color w:val="auto"/>
        </w:rPr>
        <w:t>If we cannot obtain new patents, maintain our existing patents and protect the confidentiality and proprietary nature of our trade secrets and other intellectual property, our business and competitive position may be harmed.</w:t>
      </w:r>
    </w:p>
    <w:p>
      <w:pPr>
        <w:ind w:right="140" w:firstLine="557"/>
        <w:spacing w:after="0" w:line="259" w:lineRule="auto"/>
        <w:rPr>
          <w:sz w:val="20"/>
          <w:szCs w:val="20"/>
          <w:color w:val="auto"/>
        </w:rPr>
      </w:pPr>
      <w:r>
        <w:rPr>
          <w:rFonts w:ascii="Arial" w:cs="Arial" w:eastAsia="Arial" w:hAnsi="Arial"/>
          <w:sz w:val="20"/>
          <w:szCs w:val="20"/>
          <w:color w:val="auto"/>
        </w:rPr>
        <w:t>Our success depends in part on our ability to obtain and maintain patent and regulatory protections for our products candidates, to preserve our trade secrets and other proprietary rights and to prevent third parties from infringing on our rights and our proprietary technology.</w:t>
      </w:r>
    </w:p>
    <w:p>
      <w:pPr>
        <w:spacing w:after="0" w:line="185" w:lineRule="exact"/>
        <w:rPr>
          <w:sz w:val="20"/>
          <w:szCs w:val="20"/>
          <w:color w:val="auto"/>
        </w:rPr>
      </w:pPr>
    </w:p>
    <w:p>
      <w:pPr>
        <w:ind w:right="60" w:firstLine="557"/>
        <w:spacing w:after="0" w:line="270" w:lineRule="auto"/>
        <w:rPr>
          <w:sz w:val="20"/>
          <w:szCs w:val="20"/>
          <w:color w:val="auto"/>
        </w:rPr>
      </w:pPr>
      <w:r>
        <w:rPr>
          <w:rFonts w:ascii="Arial" w:cs="Arial" w:eastAsia="Arial" w:hAnsi="Arial"/>
          <w:sz w:val="19"/>
          <w:szCs w:val="19"/>
          <w:color w:val="auto"/>
        </w:rPr>
        <w:t>We have procured patent rights, through both ownership and license, that cover our product candidates, and expect to apply for additional patent protections in the future. However, our patent applications may not result in the issuance of patents in the U.S. or other countries. In addition, a patent may be issued in one country, but a counterpart patent may not be issued in another country, which is not uncommon in the biopharmaceutical industry.</w:t>
      </w:r>
    </w:p>
    <w:p>
      <w:pPr>
        <w:spacing w:after="0" w:line="177" w:lineRule="exact"/>
        <w:rPr>
          <w:sz w:val="20"/>
          <w:szCs w:val="20"/>
          <w:color w:val="auto"/>
        </w:rPr>
      </w:pPr>
    </w:p>
    <w:p>
      <w:pPr>
        <w:ind w:firstLine="557"/>
        <w:spacing w:after="0" w:line="257" w:lineRule="auto"/>
        <w:rPr>
          <w:sz w:val="20"/>
          <w:szCs w:val="20"/>
          <w:color w:val="auto"/>
        </w:rPr>
      </w:pPr>
      <w:r>
        <w:rPr>
          <w:rFonts w:ascii="Arial" w:cs="Arial" w:eastAsia="Arial" w:hAnsi="Arial"/>
          <w:sz w:val="19"/>
          <w:szCs w:val="19"/>
          <w:color w:val="auto"/>
        </w:rPr>
        <w:t>Periodic maintenance fees on any issued patent that are due to be paid to the United States Patent and Trademark Office, or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 payment of fees and failure to properly legalize and submit formal documents. Such an event could have a material adverse effect on our business.</w:t>
      </w:r>
    </w:p>
    <w:p>
      <w:pPr>
        <w:spacing w:after="0" w:line="196" w:lineRule="exact"/>
        <w:rPr>
          <w:sz w:val="20"/>
          <w:szCs w:val="20"/>
          <w:color w:val="auto"/>
        </w:rPr>
      </w:pPr>
    </w:p>
    <w:p>
      <w:pPr>
        <w:ind w:right="60" w:firstLine="557"/>
        <w:spacing w:after="0" w:line="276" w:lineRule="auto"/>
        <w:rPr>
          <w:sz w:val="20"/>
          <w:szCs w:val="20"/>
          <w:color w:val="auto"/>
        </w:rPr>
      </w:pPr>
      <w:r>
        <w:rPr>
          <w:rFonts w:ascii="Arial" w:cs="Arial" w:eastAsia="Arial" w:hAnsi="Arial"/>
          <w:sz w:val="18"/>
          <w:szCs w:val="18"/>
          <w:color w:val="auto"/>
        </w:rPr>
        <w:t>Even if a patent is issued, that is not conclusive as to its inventorship, scope, validity or enforceability and therefore that patent may not afford adequate (or any) protection for our product candidates or future approved products or technology. On the basis of such inconclusiveness, third parties may challenge our patents. Furthermore, patents have a limited lifespan. In the United States and most other jurisdictions in which we have undertaken patent filings, the natural expiration of a patent is generally twenty years after it is filed, assuming all maintenance fees are paid. Given the amount of time required for the development, testing and regulatory review of new product candidates, patents protecting such candidates might expire before or shortly after such candidates are commercialized. Delays in our clinical trials or regulatory approval process may further reduce the effective patent protection period for our products, as patents generally expire 20 years from their earliest filing</w:t>
      </w:r>
    </w:p>
    <w:p>
      <w:pPr>
        <w:sectPr>
          <w:pgSz w:w="12240" w:h="15840" w:orient="portrait"/>
          <w:cols w:equalWidth="0" w:num="1">
            <w:col w:w="10140"/>
          </w:cols>
          <w:pgMar w:left="1000" w:top="1060" w:right="1100" w:bottom="21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2240" w:h="15840" w:orient="portrait"/>
          <w:cols w:equalWidth="0" w:num="1">
            <w:col w:w="10140"/>
          </w:cols>
          <w:pgMar w:left="1000" w:top="1060" w:right="1100" w:bottom="210" w:gutter="0" w:footer="0" w:header="0"/>
          <w:type w:val="continuous"/>
        </w:sectPr>
      </w:pPr>
    </w:p>
    <w:bookmarkStart w:id="60" w:name="page61"/>
    <w:bookmarkEnd w:id="60"/>
    <w:p>
      <w:pPr>
        <w:ind w:right="80"/>
        <w:spacing w:after="0" w:line="283" w:lineRule="auto"/>
        <w:rPr>
          <w:sz w:val="20"/>
          <w:szCs w:val="20"/>
          <w:color w:val="auto"/>
        </w:rPr>
      </w:pPr>
      <w:r>
        <w:rPr>
          <w:rFonts w:ascii="Arial" w:cs="Arial" w:eastAsia="Arial" w:hAnsi="Arial"/>
          <w:sz w:val="18"/>
          <w:szCs w:val="18"/>
          <w:color w:val="auto"/>
        </w:rPr>
        <w:t>date regardless of when regulatory approval is obtained. As a result, patents we may own or in-license may not provide us with adequate and continuing patent protection sufficient to exclude others from commercializing drugs similar or identical to our current or future product candidates, including generic versions of our drugs. Nor can we be certain that we will obtain any patent term extension as permitted under the “Hatch-Waxman Amendments” which permit a patent restoration term of up to five years as compensation for patent term lost during product development and the FDA regulatory review process.</w:t>
      </w:r>
    </w:p>
    <w:p>
      <w:pPr>
        <w:spacing w:after="0" w:line="169" w:lineRule="exact"/>
        <w:rPr>
          <w:sz w:val="20"/>
          <w:szCs w:val="20"/>
          <w:color w:val="auto"/>
        </w:rPr>
      </w:pPr>
    </w:p>
    <w:p>
      <w:pPr>
        <w:ind w:right="20" w:firstLine="557"/>
        <w:spacing w:after="0" w:line="289" w:lineRule="auto"/>
        <w:rPr>
          <w:sz w:val="20"/>
          <w:szCs w:val="20"/>
          <w:color w:val="auto"/>
        </w:rPr>
      </w:pPr>
      <w:r>
        <w:rPr>
          <w:rFonts w:ascii="Arial" w:cs="Arial" w:eastAsia="Arial" w:hAnsi="Arial"/>
          <w:sz w:val="18"/>
          <w:szCs w:val="18"/>
          <w:color w:val="auto"/>
        </w:rPr>
        <w:t>If any of our patents are narrowed, invalidated, revoked or become unenforceable, competitors may develop and market products similar or identical to ours that do not conflict with or infringe our patents rights, which could have a material adverse effect on our financial condition. Even if we obtain and maintain patents, our business may be significantly harmed if the patents are not broad enough to protect our products from copycat, generic or similar products.</w:t>
      </w:r>
    </w:p>
    <w:p>
      <w:pPr>
        <w:spacing w:after="0" w:line="163" w:lineRule="exact"/>
        <w:rPr>
          <w:sz w:val="20"/>
          <w:szCs w:val="20"/>
          <w:color w:val="auto"/>
        </w:rPr>
      </w:pPr>
    </w:p>
    <w:p>
      <w:pPr>
        <w:ind w:right="260" w:firstLine="557"/>
        <w:spacing w:after="0" w:line="289" w:lineRule="auto"/>
        <w:rPr>
          <w:sz w:val="20"/>
          <w:szCs w:val="20"/>
          <w:color w:val="auto"/>
        </w:rPr>
      </w:pPr>
      <w:r>
        <w:rPr>
          <w:rFonts w:ascii="Arial" w:cs="Arial" w:eastAsia="Arial" w:hAnsi="Arial"/>
          <w:sz w:val="18"/>
          <w:szCs w:val="18"/>
          <w:color w:val="auto"/>
        </w:rPr>
        <w:t>In addition, if there are challenges to our intellectual property by third parties, we may in the future enter into agreements with those parties that provide certain intellectual property rights to our future marketed products or products in our pipeline. If we do enter into such agreements, we may not be the exclusive provider of a therapy and, as a result, we expect that any potential revenue from the sales of such therapies would be materially and negatively impacted.</w:t>
      </w:r>
    </w:p>
    <w:p>
      <w:pPr>
        <w:spacing w:after="0" w:line="162" w:lineRule="exact"/>
        <w:rPr>
          <w:sz w:val="20"/>
          <w:szCs w:val="20"/>
          <w:color w:val="auto"/>
        </w:rPr>
      </w:pPr>
    </w:p>
    <w:p>
      <w:pPr>
        <w:ind w:right="20" w:firstLine="557"/>
        <w:spacing w:after="0" w:line="278" w:lineRule="auto"/>
        <w:rPr>
          <w:sz w:val="20"/>
          <w:szCs w:val="20"/>
          <w:color w:val="auto"/>
        </w:rPr>
      </w:pPr>
      <w:r>
        <w:rPr>
          <w:rFonts w:ascii="Arial" w:cs="Arial" w:eastAsia="Arial" w:hAnsi="Arial"/>
          <w:sz w:val="18"/>
          <w:szCs w:val="18"/>
          <w:color w:val="auto"/>
        </w:rPr>
        <w:t>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or were involved in generating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2" w:lineRule="exact"/>
        <w:rPr>
          <w:sz w:val="20"/>
          <w:szCs w:val="20"/>
          <w:color w:val="auto"/>
        </w:rPr>
      </w:pPr>
    </w:p>
    <w:p>
      <w:pPr>
        <w:ind w:firstLine="557"/>
        <w:spacing w:after="0" w:line="245" w:lineRule="auto"/>
        <w:rPr>
          <w:sz w:val="20"/>
          <w:szCs w:val="20"/>
          <w:color w:val="auto"/>
        </w:rPr>
      </w:pPr>
      <w:r>
        <w:rPr>
          <w:rFonts w:ascii="Arial" w:cs="Arial" w:eastAsia="Arial" w:hAnsi="Arial"/>
          <w:sz w:val="20"/>
          <w:szCs w:val="20"/>
          <w:color w:val="auto"/>
        </w:rPr>
        <w:t>We have, and expect that we will continue, to finance or collaborate in research and development projects conducted by third parties, including government organizations, hospitals, universities or other educational or research institutions, or other for-profit companies. Such third parties may be unwilling to grant us certain rights to technology or products developed through such projects. Certain collaborators may only grant us a right to obtain a license to technology developed in a collaboration, and we may not be able to negotiate a license or the license may require an upfront or royalty payment on terms that are acceptable to us, or at all. Disputes may also arise as to the rights to technology or products developed in collaboration with such third parties and we may not be able to secure the proprietary rights to any technology generated in such collaboration.</w:t>
      </w:r>
    </w:p>
    <w:p>
      <w:pPr>
        <w:spacing w:after="0" w:line="201" w:lineRule="exact"/>
        <w:rPr>
          <w:sz w:val="20"/>
          <w:szCs w:val="20"/>
          <w:color w:val="auto"/>
        </w:rPr>
      </w:pPr>
    </w:p>
    <w:p>
      <w:pPr>
        <w:ind w:right="20" w:firstLine="557"/>
        <w:spacing w:after="0" w:line="256" w:lineRule="auto"/>
        <w:rPr>
          <w:sz w:val="20"/>
          <w:szCs w:val="20"/>
          <w:color w:val="auto"/>
        </w:rPr>
      </w:pPr>
      <w:r>
        <w:rPr>
          <w:rFonts w:ascii="Arial" w:cs="Arial" w:eastAsia="Arial" w:hAnsi="Arial"/>
          <w:sz w:val="19"/>
          <w:szCs w:val="19"/>
          <w:color w:val="auto"/>
        </w:rPr>
        <w:t>Significant legal questions exist concerning the extent and scope of patent protection for biopharmaceutical products and processes in the U.S. and elsewhere. Accordingly, there is no certainty that patent applications owned or licensed by us will issue as patents, or that our issued patents will afford meaningful protection against competitors. Once issued, patents are subject to challenge through both administrative and judicial proceedings in the U.S. and certain other countries. Such proceedings include re-examinations, inter partes reviews, post-grant reviews and interference proceedings before the USPTO, as well as opposition proceedings before the European Patent Office and other non-U.S. patent offices. Certain countries have laws that provide stronger bases for challenging third party patent rights than are available to challenge patents in other countries. Therefore, we may be able to defend our patents against a third-party claim in one country but counterpart patents may be invalidated in other countries and we may be able to invalidate a third-party patent in one country but not invalidate its counterpart patents in other countries. Further,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Litigation may be required to enforce, defend or obtain our patent and other intellectual property rights. Any administrative proceeding or litigation could require a significant commitment of our resources and, depending on outcome, could adversely affect the scope, validity or enforceability of certain of our patent or other proprietary rights.</w:t>
      </w:r>
    </w:p>
    <w:p>
      <w:pPr>
        <w:spacing w:after="0" w:line="192" w:lineRule="exact"/>
        <w:rPr>
          <w:sz w:val="20"/>
          <w:szCs w:val="20"/>
          <w:color w:val="auto"/>
        </w:rPr>
      </w:pPr>
    </w:p>
    <w:p>
      <w:pPr>
        <w:ind w:right="20" w:firstLine="557"/>
        <w:spacing w:after="0" w:line="275" w:lineRule="auto"/>
        <w:rPr>
          <w:sz w:val="20"/>
          <w:szCs w:val="20"/>
          <w:color w:val="auto"/>
        </w:rPr>
      </w:pPr>
      <w:r>
        <w:rPr>
          <w:rFonts w:ascii="Arial" w:cs="Arial" w:eastAsia="Arial" w:hAnsi="Arial"/>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w:t>
      </w:r>
    </w:p>
    <w:p>
      <w:pPr>
        <w:sectPr>
          <w:pgSz w:w="12240" w:h="15840" w:orient="portrait"/>
          <w:cols w:equalWidth="0" w:num="1">
            <w:col w:w="10160"/>
          </w:cols>
          <w:pgMar w:left="1000" w:top="1060" w:right="1080" w:bottom="21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2240" w:h="15840" w:orient="portrait"/>
          <w:cols w:equalWidth="0" w:num="1">
            <w:col w:w="10160"/>
          </w:cols>
          <w:pgMar w:left="1000" w:top="1060" w:right="1080" w:bottom="210" w:gutter="0" w:footer="0" w:header="0"/>
          <w:type w:val="continuous"/>
        </w:sectPr>
      </w:pPr>
    </w:p>
    <w:bookmarkStart w:id="61" w:name="page62"/>
    <w:bookmarkEnd w:id="61"/>
    <w:p>
      <w:pPr>
        <w:jc w:val="both"/>
        <w:ind w:right="100"/>
        <w:spacing w:after="0" w:line="278" w:lineRule="auto"/>
        <w:rPr>
          <w:sz w:val="20"/>
          <w:szCs w:val="20"/>
          <w:color w:val="auto"/>
        </w:rPr>
      </w:pPr>
      <w:r>
        <w:rPr>
          <w:rFonts w:ascii="Arial" w:cs="Arial" w:eastAsia="Arial" w:hAnsi="Arial"/>
          <w:sz w:val="19"/>
          <w:szCs w:val="19"/>
          <w:color w:val="auto"/>
        </w:rPr>
        <w:t>patent rights cannot be predicted with any certainty. Additionally, obtaining broad patent protection for certain method-of -use claims and combination therapies may be challenging due to the existing body of scientific knowledge in these areas, and any patents that do issue may be subject to challenge or may be designed around by competitors.</w:t>
      </w:r>
    </w:p>
    <w:p>
      <w:pPr>
        <w:spacing w:after="0" w:line="171" w:lineRule="exact"/>
        <w:rPr>
          <w:sz w:val="20"/>
          <w:szCs w:val="20"/>
          <w:color w:val="auto"/>
        </w:rPr>
      </w:pPr>
    </w:p>
    <w:p>
      <w:pPr>
        <w:ind w:right="40" w:firstLine="557"/>
        <w:spacing w:after="0" w:line="273" w:lineRule="auto"/>
        <w:rPr>
          <w:sz w:val="20"/>
          <w:szCs w:val="20"/>
          <w:color w:val="auto"/>
        </w:rPr>
      </w:pPr>
      <w:r>
        <w:rPr>
          <w:rFonts w:ascii="Arial" w:cs="Arial" w:eastAsia="Arial" w:hAnsi="Arial"/>
          <w:sz w:val="18"/>
          <w:szCs w:val="18"/>
          <w:color w:val="auto"/>
        </w:rPr>
        <w:t>If we obtain marketing approval for multiple indications using the same drug product and dosage form, and those indications are covered by different method-of-treatment patents with different expiration dates (for example, patents covering single -agent use versus combination therapy, or patents covering different diseases or patient populations), the commercial value of our later-expiring method-of-treatment patents may be significantly limited. Once the earliest method-of-treatment patent expires, generic manufacturers may enter the market under Section viii carve-outs that exclude only the specific patented methods from their approved labeling while still marketing the identical compound for non-patented indications. Because physicians may prescribe our products for any approved indication regardless of the generic's label, and because pharmacy benefit managers and formularies may substitute generic versions regardless of the intended indication, generic entry following expiration of our first method-of-treatment patent could result in substantial revenue erosion across all indications, including those still covered by later-expiring method-of-treatment or combination therapy patents. This could significantly limit our ability to maintain market exclusivity through patent life-cycle management strategies.</w:t>
      </w:r>
    </w:p>
    <w:p>
      <w:pPr>
        <w:spacing w:after="0" w:line="180" w:lineRule="exact"/>
        <w:rPr>
          <w:sz w:val="20"/>
          <w:szCs w:val="20"/>
          <w:color w:val="auto"/>
        </w:rPr>
      </w:pPr>
    </w:p>
    <w:p>
      <w:pPr>
        <w:ind w:right="80" w:firstLine="557"/>
        <w:spacing w:after="0" w:line="271" w:lineRule="auto"/>
        <w:rPr>
          <w:sz w:val="20"/>
          <w:szCs w:val="20"/>
          <w:color w:val="auto"/>
        </w:rPr>
      </w:pPr>
      <w:r>
        <w:rPr>
          <w:rFonts w:ascii="Arial" w:cs="Arial" w:eastAsia="Arial" w:hAnsi="Arial"/>
          <w:sz w:val="18"/>
          <w:szCs w:val="18"/>
          <w:color w:val="auto"/>
        </w:rPr>
        <w:t>Some of the sensitive technology, techniques and proprietary compounds used in our business are protected as trade secrets. Among other things, we enter into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(or for which we determine we will not seek patent protection).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(or that the terms of such agreements are enforceable). In our business, we rely on collaboration with, or discuss the potential for collaboration with, suppliers, outside scientists, research organizations and other biopharmaceutical companies. Collaboration and discussion of potential collaboration or inadvertent disclosure of a trade secret present a strong risk of exposing our trade secrets. If our trade secrets were exposed, we may lose the protection and potential exclusive rights afforded by trade secret law, and such exposure may likely help our competitors and allow them to access technology without restriction and adversely affect our business prospects.</w:t>
      </w:r>
    </w:p>
    <w:p>
      <w:pPr>
        <w:spacing w:after="0" w:line="207" w:lineRule="exact"/>
        <w:rPr>
          <w:sz w:val="20"/>
          <w:szCs w:val="20"/>
          <w:color w:val="auto"/>
        </w:rPr>
      </w:pPr>
    </w:p>
    <w:p>
      <w:pPr>
        <w:ind w:right="20" w:firstLine="557"/>
        <w:spacing w:after="0" w:line="272" w:lineRule="auto"/>
        <w:rPr>
          <w:sz w:val="20"/>
          <w:szCs w:val="20"/>
          <w:color w:val="auto"/>
        </w:rPr>
      </w:pPr>
      <w:r>
        <w:rPr>
          <w:rFonts w:ascii="Arial" w:cs="Arial" w:eastAsia="Arial" w:hAnsi="Arial"/>
          <w:sz w:val="18"/>
          <w:szCs w:val="18"/>
          <w:color w:val="auto"/>
        </w:rPr>
        <w:t>In addition, the patent prosecution process is expensive and time-consuming, and we may not be able to file and prosecute all necessary or desirable patent applications at a reasonable cost or in a timely manner. In some instances, a delay in filing patent applications could adversely impact patentability, for example if certain information is disclosed prior to the filing of a patent application. Under certain circumstances, use of the compounds in clinical trials could be interpreted as a public use and negatively impact our ability to obtain patent protection for certain inventions. Due to expense of patent filings, we also may not file in every jurisdiction in which patents may be issued (and, therefore, we may not be able to assert patents rights in every country in the future).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or access from or to third parties. Therefore, these patents and applications may not be prosecuted and enforced in a manner consistent with the best interests of our business.</w:t>
      </w:r>
    </w:p>
    <w:p>
      <w:pPr>
        <w:spacing w:after="0" w:line="175" w:lineRule="exact"/>
        <w:rPr>
          <w:sz w:val="20"/>
          <w:szCs w:val="20"/>
          <w:color w:val="auto"/>
        </w:rPr>
      </w:pPr>
    </w:p>
    <w:p>
      <w:pPr>
        <w:ind w:right="160" w:firstLine="557"/>
        <w:spacing w:after="0" w:line="279" w:lineRule="auto"/>
        <w:rPr>
          <w:sz w:val="20"/>
          <w:szCs w:val="20"/>
          <w:color w:val="auto"/>
        </w:rPr>
      </w:pPr>
      <w:r>
        <w:rPr>
          <w:rFonts w:ascii="Arial" w:cs="Arial" w:eastAsia="Arial" w:hAnsi="Arial"/>
          <w:sz w:val="19"/>
          <w:szCs w:val="19"/>
          <w:color w:val="auto"/>
        </w:rPr>
        <w:t>Similarly, trademarks and trade names we utilize in our business may be challenged, infringed, diluted or declared generic or determined to be infringing on other marks. These marks can be important for name recognition in markets. If we are unable to secure and protect our trademarks and trade names, our business could be harmed.</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i w:val="1"/>
          <w:iCs w:val="1"/>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74" w:lineRule="exact"/>
        <w:rPr>
          <w:sz w:val="20"/>
          <w:szCs w:val="20"/>
          <w:color w:val="auto"/>
        </w:rPr>
      </w:pPr>
    </w:p>
    <w:p>
      <w:pPr>
        <w:ind w:right="20" w:firstLine="557"/>
        <w:spacing w:after="0" w:line="300" w:lineRule="auto"/>
        <w:rPr>
          <w:sz w:val="20"/>
          <w:szCs w:val="20"/>
          <w:color w:val="auto"/>
        </w:rPr>
      </w:pPr>
      <w:r>
        <w:rPr>
          <w:rFonts w:ascii="Arial" w:cs="Arial" w:eastAsia="Arial" w:hAnsi="Arial"/>
          <w:sz w:val="18"/>
          <w:szCs w:val="18"/>
          <w:color w:val="auto"/>
        </w:rPr>
        <w:t>Parts of our technology, techniques, proprietary compounds and potential product candidates, including those which are or may be in-licensed or developed in collaboration with third parties, may be found to infringe patents owned by or granted to others. We may in the future receive notices claiming our products (if approved) and product candidates infringe third party</w:t>
      </w:r>
    </w:p>
    <w:p>
      <w:pPr>
        <w:sectPr>
          <w:pgSz w:w="12240" w:h="15840" w:orient="portrait"/>
          <w:cols w:equalWidth="0" w:num="1">
            <w:col w:w="10160"/>
          </w:cols>
          <w:pgMar w:left="1000" w:top="1060" w:right="1080" w:bottom="21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2240" w:h="15840" w:orient="portrait"/>
          <w:cols w:equalWidth="0" w:num="1">
            <w:col w:w="10160"/>
          </w:cols>
          <w:pgMar w:left="1000" w:top="1060" w:right="1080" w:bottom="210" w:gutter="0" w:footer="0" w:header="0"/>
          <w:type w:val="continuous"/>
        </w:sectPr>
      </w:pPr>
    </w:p>
    <w:bookmarkStart w:id="62" w:name="page63"/>
    <w:bookmarkEnd w:id="62"/>
    <w:p>
      <w:pPr>
        <w:ind w:right="140"/>
        <w:spacing w:after="0" w:line="334" w:lineRule="auto"/>
        <w:rPr>
          <w:sz w:val="20"/>
          <w:szCs w:val="20"/>
          <w:color w:val="auto"/>
        </w:rPr>
      </w:pPr>
      <w:r>
        <w:rPr>
          <w:rFonts w:ascii="Arial" w:cs="Arial" w:eastAsia="Arial" w:hAnsi="Arial"/>
          <w:sz w:val="18"/>
          <w:szCs w:val="18"/>
          <w:color w:val="auto"/>
        </w:rPr>
        <w:t>patents (and we have received and may in the future receive notices offering the right to license certain technology to us) and third parties may in the future file civil lawsuits against us claiming infringement of their intellectual property rights.</w:t>
      </w:r>
    </w:p>
    <w:p>
      <w:pPr>
        <w:spacing w:after="0" w:line="123" w:lineRule="exact"/>
        <w:rPr>
          <w:sz w:val="20"/>
          <w:szCs w:val="20"/>
          <w:color w:val="auto"/>
        </w:rPr>
      </w:pPr>
    </w:p>
    <w:p>
      <w:pPr>
        <w:ind w:right="40" w:firstLine="557"/>
        <w:spacing w:after="0" w:line="265" w:lineRule="auto"/>
        <w:rPr>
          <w:sz w:val="20"/>
          <w:szCs w:val="20"/>
          <w:color w:val="auto"/>
        </w:rPr>
      </w:pPr>
      <w:r>
        <w:rPr>
          <w:rFonts w:ascii="Arial" w:cs="Arial" w:eastAsia="Arial" w:hAnsi="Arial"/>
          <w:sz w:val="19"/>
          <w:szCs w:val="19"/>
          <w:color w:val="auto"/>
        </w:rPr>
        <w:t>Third parties may claim that the manufacture, use or sale of our products or product candidates infringes patents owned or granted to such third parties. We may become aware of patents owned by third parties that might be claimed by such third parties to be infringed by the development, use, manufacture and commercialization of our products (if approved) or our investigational compounds. In such cases we may take certain actions with respect to some of these, for example we may try to invalidate the third-party patents or obtain licenses to a technology or invention.</w:t>
      </w:r>
    </w:p>
    <w:p>
      <w:pPr>
        <w:spacing w:after="0" w:line="183" w:lineRule="exact"/>
        <w:rPr>
          <w:sz w:val="20"/>
          <w:szCs w:val="20"/>
          <w:color w:val="auto"/>
        </w:rPr>
      </w:pPr>
    </w:p>
    <w:p>
      <w:pPr>
        <w:ind w:right="100" w:firstLine="557"/>
        <w:spacing w:after="0" w:line="274" w:lineRule="auto"/>
        <w:rPr>
          <w:sz w:val="20"/>
          <w:szCs w:val="20"/>
          <w:color w:val="auto"/>
        </w:rPr>
      </w:pPr>
      <w:r>
        <w:rPr>
          <w:rFonts w:ascii="Arial" w:cs="Arial" w:eastAsia="Arial" w:hAnsi="Arial"/>
          <w:sz w:val="18"/>
          <w:szCs w:val="18"/>
          <w:color w:val="auto"/>
        </w:rPr>
        <w:t>Any holder of patents covering similar or identical technology to our technology could sue us for damages, which may be material in amount, and seek to prevent us from manufacturing, selling or developing our products (and we may be, in certain cases, prevented from initiating product launches in certain jurisdictions or be required to withdraw the product from the market after it has been launched). Intellectual property disputes can be costly and time consuming to defend and there is no guarantee that we would prevail in such lawsuit. If we believe we cannot successfully defend against certain infringement claims, we may seek to invalidate the patent or seek a license to the technology prior to or during legal actions in order to reduce the risks in connection with the product launches (or at a later time after product introduction) and to reduce further costs and the risk of a court determination that our technology, techniques, proprietary compounds or potential product candidates infringe the third party’s patents. A required license may be costly or may not be available on acceptable terms, if at all. A costly license, or inability to obtain a necessary license, could have a material adverse effect on our business.</w:t>
      </w:r>
    </w:p>
    <w:p>
      <w:pPr>
        <w:spacing w:after="0" w:line="177" w:lineRule="exact"/>
        <w:rPr>
          <w:sz w:val="20"/>
          <w:szCs w:val="20"/>
          <w:color w:val="auto"/>
        </w:rPr>
      </w:pPr>
    </w:p>
    <w:p>
      <w:pPr>
        <w:ind w:right="20" w:firstLine="557"/>
        <w:spacing w:after="0" w:line="261" w:lineRule="auto"/>
        <w:rPr>
          <w:sz w:val="20"/>
          <w:szCs w:val="20"/>
          <w:color w:val="auto"/>
        </w:rPr>
      </w:pPr>
      <w:r>
        <w:rPr>
          <w:rFonts w:ascii="Arial" w:cs="Arial" w:eastAsia="Arial" w:hAnsi="Arial"/>
          <w:sz w:val="19"/>
          <w:szCs w:val="19"/>
          <w:color w:val="auto"/>
        </w:rPr>
        <w:t>In some instances, we believe we may prevail in a patent infringement action. There can, however, be no assurance that the court will agree with our position or that it will decide any infringement case in our favor. Nor can we be certain that, if we do not prevail in litigation, we may be able to obtain a license to any third-party patent on commercially reasonable terms (or at all); successfully develop non-infringing alternatives on a timely basis (or at all); or license alternative non-infringing technology, if any exists, on commercially reasonable terms (or at all). Any impediment to our ability to manufacture, use or sell approved forms of our future products (if approved by regulatory authorities) or our product candidates could have a material adverse effect on our business and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i w:val="1"/>
          <w:iCs w:val="1"/>
          <w:color w:val="auto"/>
        </w:rPr>
        <w:t>It is possible that we could lose market exclusivity for a product earlier than expected, which may harm our competitive position.</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 our industry, much of an innovative product’s commercial value is realized while it has market exclusivity.</w:t>
      </w:r>
    </w:p>
    <w:p>
      <w:pPr>
        <w:spacing w:after="0" w:line="2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Market exclusivity for our future products (if approved for sale by regulatory authorities) will likely depend in large part on patent rights and certain regulatory forms of protection. As noted above, patent protection can be uncertain as to the validity, scope and enforceability of many issued patents. Absent relevant patent protection for a product, once regulatory exclusivity periods expire, generic versions of the product can be approved and marketed.</w:t>
      </w:r>
    </w:p>
    <w:p>
      <w:pPr>
        <w:spacing w:after="0" w:line="200" w:lineRule="exact"/>
        <w:rPr>
          <w:sz w:val="20"/>
          <w:szCs w:val="20"/>
          <w:color w:val="auto"/>
        </w:rPr>
      </w:pPr>
    </w:p>
    <w:p>
      <w:pPr>
        <w:ind w:right="80" w:firstLine="557"/>
        <w:spacing w:after="0" w:line="259" w:lineRule="auto"/>
        <w:rPr>
          <w:sz w:val="20"/>
          <w:szCs w:val="20"/>
          <w:color w:val="auto"/>
        </w:rPr>
      </w:pPr>
      <w:r>
        <w:rPr>
          <w:rFonts w:ascii="Arial" w:cs="Arial" w:eastAsia="Arial" w:hAnsi="Arial"/>
          <w:sz w:val="19"/>
          <w:szCs w:val="19"/>
          <w:color w:val="auto"/>
        </w:rPr>
        <w:t>The market exclusivity of our products may be impacted by competitive products that are either innovative or generic copies. In our industry, the risk of generic challenges has been increasing. U.S. law includes an approval pathway for generic versions of innovative small molecule products. Under the pathway, the FDA may approve products that are generic copies of innovative small molecule therapies on the basis of less extensive data than is required for a full new drug application. The law provides a mechanism to challenge the patents that protect an innovator’s products. Such litigation may begin as early as four years after the innovative small molecule product is first approved by the FDA. Pathways for generic products also exist in many other markets, including Europe and Japan. Competition, including from generics approved for marketing, would likely result in a decrease in volume of sales of our products, as well as a decrease in prices and lower margins for our products (if approved for marketing by regulatory authorities).</w:t>
      </w:r>
    </w:p>
    <w:p>
      <w:pPr>
        <w:spacing w:after="0" w:line="188" w:lineRule="exact"/>
        <w:rPr>
          <w:sz w:val="20"/>
          <w:szCs w:val="20"/>
          <w:color w:val="auto"/>
        </w:rPr>
      </w:pPr>
    </w:p>
    <w:p>
      <w:pPr>
        <w:ind w:right="700"/>
        <w:spacing w:after="0" w:line="305" w:lineRule="auto"/>
        <w:rPr>
          <w:sz w:val="20"/>
          <w:szCs w:val="20"/>
          <w:color w:val="auto"/>
        </w:rPr>
      </w:pPr>
      <w:r>
        <w:rPr>
          <w:rFonts w:ascii="Arial" w:cs="Arial" w:eastAsia="Arial" w:hAnsi="Arial"/>
          <w:sz w:val="19"/>
          <w:szCs w:val="19"/>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25" w:lineRule="exact"/>
        <w:rPr>
          <w:sz w:val="20"/>
          <w:szCs w:val="20"/>
          <w:color w:val="auto"/>
        </w:rPr>
      </w:pPr>
    </w:p>
    <w:p>
      <w:pPr>
        <w:ind w:right="20" w:firstLine="557"/>
        <w:spacing w:after="0" w:line="274" w:lineRule="auto"/>
        <w:rPr>
          <w:sz w:val="20"/>
          <w:szCs w:val="20"/>
          <w:color w:val="auto"/>
        </w:rPr>
      </w:pPr>
      <w:r>
        <w:rPr>
          <w:rFonts w:ascii="Arial" w:cs="Arial" w:eastAsia="Arial" w:hAnsi="Arial"/>
          <w:sz w:val="18"/>
          <w:szCs w:val="18"/>
          <w:color w:val="auto"/>
        </w:rPr>
        <w:t>Competitors may infringe any patents we may own or in -license, our trade secrets or other proprietary rights. In addition, any patents or other proprietary rights we may own or in-license also may become involved in inventorship, priority, validity or unenforceability disputes. To counter infringement or unauthorized use, we may be required to file infringement claims, which can be expensive and time-consuming to litigate. We may not prevail in any lawsuits that we initiate, and the damages or other remedies awarded, if any, may not be commercially meaningful (and we may not be able to prevent the commercialization of any competitor product or a generic).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(relating to conduct used in connection with obtaining regulatory approval of a medical device or drug). There is also the risk that, even if the validity of these patents is upheld, the court may refuse to stop the other party from using the technology at issue on the</w:t>
      </w:r>
    </w:p>
    <w:p>
      <w:pPr>
        <w:sectPr>
          <w:pgSz w:w="12240" w:h="15840" w:orient="portrait"/>
          <w:cols w:equalWidth="0" w:num="1">
            <w:col w:w="10160"/>
          </w:cols>
          <w:pgMar w:left="1000" w:top="1060" w:right="1080" w:bottom="21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2240" w:h="15840" w:orient="portrait"/>
          <w:cols w:equalWidth="0" w:num="1">
            <w:col w:w="10160"/>
          </w:cols>
          <w:pgMar w:left="1000" w:top="1060" w:right="1080" w:bottom="210" w:gutter="0" w:footer="0" w:header="0"/>
          <w:type w:val="continuous"/>
        </w:sectPr>
      </w:pPr>
    </w:p>
    <w:bookmarkStart w:id="63" w:name="page64"/>
    <w:bookmarkEnd w:id="63"/>
    <w:p>
      <w:pPr>
        <w:spacing w:after="0" w:line="246" w:lineRule="auto"/>
        <w:rPr>
          <w:sz w:val="20"/>
          <w:szCs w:val="20"/>
          <w:color w:val="auto"/>
        </w:rPr>
      </w:pPr>
      <w:r>
        <w:rPr>
          <w:rFonts w:ascii="Arial" w:cs="Arial" w:eastAsia="Arial" w:hAnsi="Arial"/>
          <w:sz w:val="20"/>
          <w:szCs w:val="20"/>
          <w:color w:val="auto"/>
        </w:rPr>
        <w:t>grounds that any patents we may own or in-license do not cover the technology in question or that such third party’s activities do not infringe our patent applications or any patents we may own or in- license (or any other proprietary rights we may own). An adverse result in any litigation or defense proceedings could put one or more of any patents we may own or in -license at risk of being invalidated, held unenforceable, or interpreted narrowly and could put our patent applications at risk of not issuing. Uncertainties resulting from the initiation and continuation of patent litigation or other proceedings relating to our proprietary rights could have a material adverse effect on our ability to compete in the marketplace and may negatively impact our stock price.</w:t>
      </w:r>
    </w:p>
    <w:p>
      <w:pPr>
        <w:spacing w:after="0" w:line="199" w:lineRule="exact"/>
        <w:rPr>
          <w:sz w:val="20"/>
          <w:szCs w:val="20"/>
          <w:color w:val="auto"/>
        </w:rPr>
      </w:pPr>
    </w:p>
    <w:p>
      <w:pPr>
        <w:ind w:right="60" w:firstLine="557"/>
        <w:spacing w:after="0" w:line="244" w:lineRule="auto"/>
        <w:rPr>
          <w:sz w:val="20"/>
          <w:szCs w:val="20"/>
          <w:color w:val="auto"/>
        </w:rPr>
      </w:pPr>
      <w:r>
        <w:rPr>
          <w:rFonts w:ascii="Arial" w:cs="Arial" w:eastAsia="Arial" w:hAnsi="Arial"/>
          <w:sz w:val="20"/>
          <w:szCs w:val="20"/>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or at all.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w:t>
      </w:r>
    </w:p>
    <w:p>
      <w:pPr>
        <w:spacing w:after="0" w:line="206" w:lineRule="exact"/>
        <w:rPr>
          <w:sz w:val="20"/>
          <w:szCs w:val="20"/>
          <w:color w:val="auto"/>
        </w:rPr>
      </w:pPr>
    </w:p>
    <w:p>
      <w:pPr>
        <w:ind w:right="220" w:firstLine="557"/>
        <w:spacing w:after="0" w:line="246" w:lineRule="auto"/>
        <w:rPr>
          <w:sz w:val="20"/>
          <w:szCs w:val="20"/>
          <w:color w:val="auto"/>
        </w:rPr>
      </w:pPr>
      <w:r>
        <w:rPr>
          <w:rFonts w:ascii="Arial" w:cs="Arial" w:eastAsia="Arial" w:hAnsi="Arial"/>
          <w:sz w:val="20"/>
          <w:szCs w:val="20"/>
          <w:color w:val="auto"/>
        </w:rPr>
        <w:t>Even in cases in which we or our licensors or strategic partners initiate legal proceedings against a third party to enforce a patent covering one of our current or future product candidates, the defendant could (and in pharmaceutical patent litigation the defendant often does) make a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If such counterclaims are successful, the exclusivity related to the product may be lost and our business would be harmed.</w:t>
      </w:r>
    </w:p>
    <w:p>
      <w:pPr>
        <w:spacing w:after="0" w:line="200" w:lineRule="exact"/>
        <w:rPr>
          <w:sz w:val="20"/>
          <w:szCs w:val="20"/>
          <w:color w:val="auto"/>
        </w:rPr>
      </w:pPr>
    </w:p>
    <w:p>
      <w:pPr>
        <w:ind w:right="240"/>
        <w:spacing w:after="0" w:line="336"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ind w:firstLine="557"/>
        <w:spacing w:after="0" w:line="27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 (and we may decline to initiate litigation against a potential infringing party because the cost of the litigation and use of cash resources may be determined to not be in the best interests of the company at such time).</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63" w:lineRule="exact"/>
        <w:rPr>
          <w:sz w:val="20"/>
          <w:szCs w:val="20"/>
          <w:color w:val="auto"/>
        </w:rPr>
      </w:pPr>
    </w:p>
    <w:p>
      <w:pPr>
        <w:ind w:firstLine="557"/>
        <w:spacing w:after="0" w:line="257" w:lineRule="auto"/>
        <w:rPr>
          <w:sz w:val="20"/>
          <w:szCs w:val="20"/>
          <w:color w:val="auto"/>
        </w:rPr>
      </w:pPr>
      <w:r>
        <w:rPr>
          <w:rFonts w:ascii="Arial" w:cs="Arial" w:eastAsia="Arial" w:hAnsi="Arial"/>
          <w:sz w:val="19"/>
          <w:szCs w:val="19"/>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our results of operations and the success of our business.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or research institutions.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ectPr>
          <w:pgSz w:w="12240" w:h="15840" w:orient="portrait"/>
          <w:cols w:equalWidth="0" w:num="1">
            <w:col w:w="10120"/>
          </w:cols>
          <w:pgMar w:left="1000" w:top="1060" w:right="1120" w:bottom="21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2240" w:h="15840" w:orient="portrait"/>
          <w:cols w:equalWidth="0" w:num="1">
            <w:col w:w="10120"/>
          </w:cols>
          <w:pgMar w:left="1000" w:top="1060" w:right="1120" w:bottom="210" w:gutter="0" w:footer="0" w:header="0"/>
          <w:type w:val="continuous"/>
        </w:sectPr>
      </w:pPr>
    </w:p>
    <w:bookmarkStart w:id="64" w:name="page65"/>
    <w:bookmarkEnd w:id="64"/>
    <w:p>
      <w:pPr>
        <w:ind w:right="100" w:firstLine="563"/>
        <w:spacing w:after="0" w:line="277" w:lineRule="auto"/>
        <w:rPr>
          <w:sz w:val="20"/>
          <w:szCs w:val="20"/>
          <w:color w:val="auto"/>
        </w:rPr>
      </w:pPr>
      <w:r>
        <w:rPr>
          <w:rFonts w:ascii="Arial" w:cs="Arial" w:eastAsia="Arial" w:hAnsi="Arial"/>
          <w:sz w:val="20"/>
          <w:szCs w:val="20"/>
          <w:color w:val="auto"/>
        </w:rPr>
        <w:t>If a third party claims that we infringe, misappropriate or otherwise violate its intellectual property rights, we may face a number of issues, including, but not limited to:</w:t>
      </w:r>
    </w:p>
    <w:p>
      <w:pPr>
        <w:spacing w:after="0" w:line="63" w:lineRule="exact"/>
        <w:rPr>
          <w:sz w:val="20"/>
          <w:szCs w:val="20"/>
          <w:color w:val="auto"/>
        </w:rPr>
      </w:pPr>
    </w:p>
    <w:p>
      <w:pPr>
        <w:ind w:left="720" w:right="20" w:firstLine="8"/>
        <w:spacing w:after="0" w:line="252" w:lineRule="auto"/>
        <w:tabs>
          <w:tab w:leader="none" w:pos="912"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8" w:lineRule="exact"/>
        <w:rPr>
          <w:rFonts w:ascii="Arial" w:cs="Arial" w:eastAsia="Arial" w:hAnsi="Arial"/>
          <w:sz w:val="20"/>
          <w:szCs w:val="20"/>
          <w:color w:val="auto"/>
        </w:rPr>
      </w:pPr>
    </w:p>
    <w:p>
      <w:pPr>
        <w:ind w:left="720" w:right="40" w:firstLine="8"/>
        <w:spacing w:after="0" w:line="253" w:lineRule="auto"/>
        <w:tabs>
          <w:tab w:leader="none" w:pos="912"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court prohibiting us from developing, manufacturing, marketing or selling our current product candidates, including vopimetostat, TNG456 or TNG260 or future product candidates, or from using our proprietary technologies, unless the third party licenses its product, process or other rights to us, which it is not required to do, on commercially reasonable terms or at all;</w:t>
      </w:r>
    </w:p>
    <w:p>
      <w:pPr>
        <w:spacing w:after="0" w:line="85" w:lineRule="exact"/>
        <w:rPr>
          <w:rFonts w:ascii="Arial" w:cs="Arial" w:eastAsia="Arial" w:hAnsi="Arial"/>
          <w:sz w:val="20"/>
          <w:szCs w:val="20"/>
          <w:color w:val="auto"/>
        </w:rPr>
      </w:pPr>
    </w:p>
    <w:p>
      <w:pPr>
        <w:ind w:left="720" w:right="40" w:firstLine="8"/>
        <w:spacing w:after="0" w:line="252" w:lineRule="auto"/>
        <w:tabs>
          <w:tab w:leader="none" w:pos="912"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a license is available from a third party, we may have to pay substantial royalties, upfront fees and other amounts, and/or grant cross-licenses to intellectual property rights for our products, processes or other rights, or the license to us may be non-exclusive, which would permit third parties to use the same intellectual property to compete with us;</w:t>
      </w:r>
    </w:p>
    <w:p>
      <w:pPr>
        <w:spacing w:after="0" w:line="88" w:lineRule="exact"/>
        <w:rPr>
          <w:rFonts w:ascii="Arial" w:cs="Arial" w:eastAsia="Arial" w:hAnsi="Arial"/>
          <w:sz w:val="20"/>
          <w:szCs w:val="20"/>
          <w:color w:val="auto"/>
        </w:rPr>
      </w:pPr>
    </w:p>
    <w:p>
      <w:pPr>
        <w:ind w:left="720" w:right="80" w:firstLine="8"/>
        <w:spacing w:after="0" w:line="259" w:lineRule="auto"/>
        <w:tabs>
          <w:tab w:leader="none" w:pos="912"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81" w:lineRule="exact"/>
        <w:rPr>
          <w:rFonts w:ascii="Arial" w:cs="Arial" w:eastAsia="Arial" w:hAnsi="Arial"/>
          <w:sz w:val="20"/>
          <w:szCs w:val="20"/>
          <w:color w:val="auto"/>
        </w:rPr>
      </w:pPr>
    </w:p>
    <w:p>
      <w:pPr>
        <w:ind w:left="720" w:right="80" w:firstLine="8"/>
        <w:spacing w:after="0" w:line="278" w:lineRule="auto"/>
        <w:tabs>
          <w:tab w:leader="none" w:pos="9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2" w:lineRule="exact"/>
        <w:rPr>
          <w:sz w:val="20"/>
          <w:szCs w:val="20"/>
          <w:color w:val="auto"/>
        </w:rPr>
      </w:pPr>
    </w:p>
    <w:p>
      <w:pPr>
        <w:ind w:right="80"/>
        <w:spacing w:after="0" w:line="325" w:lineRule="auto"/>
        <w:rPr>
          <w:sz w:val="20"/>
          <w:szCs w:val="20"/>
          <w:color w:val="auto"/>
        </w:rPr>
      </w:pPr>
      <w:r>
        <w:rPr>
          <w:rFonts w:ascii="Arial" w:cs="Arial" w:eastAsia="Arial" w:hAnsi="Arial"/>
          <w:sz w:val="17"/>
          <w:szCs w:val="17"/>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or obtain intellectual property protection.</w:t>
      </w:r>
    </w:p>
    <w:p>
      <w:pPr>
        <w:spacing w:after="0" w:line="16" w:lineRule="exact"/>
        <w:rPr>
          <w:sz w:val="20"/>
          <w:szCs w:val="20"/>
          <w:color w:val="auto"/>
        </w:rPr>
      </w:pPr>
    </w:p>
    <w:p>
      <w:pPr>
        <w:ind w:firstLine="557"/>
        <w:spacing w:after="0" w:line="256" w:lineRule="auto"/>
        <w:rPr>
          <w:sz w:val="20"/>
          <w:szCs w:val="20"/>
          <w:color w:val="auto"/>
        </w:rPr>
      </w:pPr>
      <w:r>
        <w:rPr>
          <w:rFonts w:ascii="Arial" w:cs="Arial" w:eastAsia="Arial" w:hAnsi="Arial"/>
          <w:sz w:val="19"/>
          <w:szCs w:val="19"/>
          <w:color w:val="auto"/>
        </w:rPr>
        <w:t>We may not be able to (or we may decide not to) pursue patent coverage of our current or future product candidates and technologies in all countries. Filing, prosecuting and defending patents on current or future product candidates and technologies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7" w:lineRule="exact"/>
        <w:rPr>
          <w:sz w:val="20"/>
          <w:szCs w:val="20"/>
          <w:color w:val="auto"/>
        </w:rPr>
      </w:pPr>
    </w:p>
    <w:p>
      <w:pPr>
        <w:ind w:right="120" w:firstLine="557"/>
        <w:spacing w:after="0" w:line="260" w:lineRule="auto"/>
        <w:rPr>
          <w:sz w:val="20"/>
          <w:szCs w:val="20"/>
          <w:color w:val="auto"/>
        </w:rPr>
      </w:pPr>
      <w:r>
        <w:rPr>
          <w:rFonts w:ascii="Arial" w:cs="Arial" w:eastAsia="Arial" w:hAnsi="Arial"/>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right="20" w:firstLine="557"/>
        <w:spacing w:after="0" w:line="300"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w:t>
      </w:r>
    </w:p>
    <w:p>
      <w:pPr>
        <w:sectPr>
          <w:pgSz w:w="12240" w:h="15840" w:orient="portrait"/>
          <w:cols w:equalWidth="0" w:num="1">
            <w:col w:w="10160"/>
          </w:cols>
          <w:pgMar w:left="1000" w:top="1060" w:right="1080" w:bottom="21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2240" w:h="15840" w:orient="portrait"/>
          <w:cols w:equalWidth="0" w:num="1">
            <w:col w:w="10160"/>
          </w:cols>
          <w:pgMar w:left="1000" w:top="1060" w:right="1080" w:bottom="210" w:gutter="0" w:footer="0" w:header="0"/>
          <w:type w:val="continuous"/>
        </w:sectPr>
      </w:pPr>
    </w:p>
    <w:bookmarkStart w:id="65" w:name="page66"/>
    <w:bookmarkEnd w:id="65"/>
    <w:p>
      <w:pPr>
        <w:ind w:right="40"/>
        <w:spacing w:after="0" w:line="258" w:lineRule="auto"/>
        <w:rPr>
          <w:sz w:val="20"/>
          <w:szCs w:val="20"/>
          <w:color w:val="auto"/>
        </w:rPr>
      </w:pPr>
      <w:r>
        <w:rPr>
          <w:rFonts w:ascii="Arial" w:cs="Arial" w:eastAsia="Arial" w:hAnsi="Arial"/>
          <w:sz w:val="20"/>
          <w:szCs w:val="20"/>
          <w:color w:val="auto"/>
        </w:rPr>
        <w:t>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firstLine="557"/>
        <w:spacing w:after="0" w:line="273" w:lineRule="auto"/>
        <w:rPr>
          <w:sz w:val="20"/>
          <w:szCs w:val="20"/>
          <w:color w:val="auto"/>
        </w:rPr>
      </w:pPr>
      <w:r>
        <w:rPr>
          <w:rFonts w:ascii="Arial" w:cs="Arial" w:eastAsia="Arial" w:hAnsi="Arial"/>
          <w:sz w:val="18"/>
          <w:szCs w:val="18"/>
          <w:color w:val="auto"/>
        </w:rPr>
        <w:t>Our European patents and patent applications could be challenged in the recently created Unified Patent Court, or UPC, for the European Union. We may decide to opt out of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have historically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8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ind w:right="40" w:firstLine="557"/>
        <w:spacing w:after="0" w:line="260" w:lineRule="auto"/>
        <w:rPr>
          <w:sz w:val="20"/>
          <w:szCs w:val="20"/>
          <w:color w:val="auto"/>
        </w:rPr>
      </w:pPr>
      <w:r>
        <w:rPr>
          <w:rFonts w:ascii="Arial" w:cs="Arial" w:eastAsia="Arial" w:hAnsi="Arial"/>
          <w:sz w:val="19"/>
          <w:szCs w:val="19"/>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6" w:lineRule="exact"/>
        <w:rPr>
          <w:sz w:val="20"/>
          <w:szCs w:val="20"/>
          <w:color w:val="auto"/>
        </w:rPr>
      </w:pPr>
    </w:p>
    <w:p>
      <w:pPr>
        <w:ind w:right="180" w:firstLine="563"/>
        <w:spacing w:after="0" w:line="249" w:lineRule="auto"/>
        <w:rPr>
          <w:sz w:val="20"/>
          <w:szCs w:val="20"/>
          <w:color w:val="auto"/>
        </w:rPr>
      </w:pPr>
      <w:r>
        <w:rPr>
          <w:rFonts w:ascii="Arial" w:cs="Arial" w:eastAsia="Arial" w:hAnsi="Arial"/>
          <w:sz w:val="20"/>
          <w:szCs w:val="20"/>
          <w:color w:val="auto"/>
        </w:rPr>
        <w:t>Further, the terms of these agreements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w:t>
      </w:r>
    </w:p>
    <w:p>
      <w:pPr>
        <w:spacing w:after="0" w:line="198" w:lineRule="exact"/>
        <w:rPr>
          <w:sz w:val="20"/>
          <w:szCs w:val="20"/>
          <w:color w:val="auto"/>
        </w:rPr>
      </w:pPr>
    </w:p>
    <w:p>
      <w:pPr>
        <w:ind w:right="140" w:firstLine="563"/>
        <w:spacing w:after="0" w:line="280" w:lineRule="auto"/>
        <w:rPr>
          <w:sz w:val="20"/>
          <w:szCs w:val="20"/>
          <w:color w:val="auto"/>
        </w:rPr>
      </w:pPr>
      <w:r>
        <w:rPr>
          <w:rFonts w:ascii="Arial" w:cs="Arial" w:eastAsia="Arial" w:hAnsi="Arial"/>
          <w:sz w:val="18"/>
          <w:szCs w:val="18"/>
          <w:color w:val="auto"/>
        </w:rPr>
        <w:t>Any termination of these licenses, or if the underlying patents or intellectual property or proprietary rights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or similar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71" w:lineRule="exact"/>
        <w:rPr>
          <w:sz w:val="20"/>
          <w:szCs w:val="20"/>
          <w:color w:val="auto"/>
        </w:rPr>
      </w:pPr>
    </w:p>
    <w:p>
      <w:pPr>
        <w:ind w:right="160" w:firstLine="563"/>
        <w:spacing w:after="0" w:line="260" w:lineRule="auto"/>
        <w:rPr>
          <w:sz w:val="20"/>
          <w:szCs w:val="20"/>
          <w:color w:val="auto"/>
        </w:rPr>
      </w:pPr>
      <w:r>
        <w:rPr>
          <w:rFonts w:ascii="Arial" w:cs="Arial" w:eastAsia="Arial" w:hAnsi="Arial"/>
          <w:sz w:val="19"/>
          <w:szCs w:val="19"/>
          <w:color w:val="auto"/>
        </w:rPr>
        <w:t>Certain of our collaboration agreements involve jointly-owned intellectual property, and in some cases our collaboration partners control the prosecution and maintenance of patent applications and patents covering jointly -developed inventions. We may have limited input or control over the form, content, or timing of patent applications filed by our collaboration partners, and such applications may not be prosecuted in a manner consistent with our best interests. Additionally, jointly-owned intellectual property may be difficult to enforce, and the procedures for licensing or assigning such rights may be more complex than for solely-owned intellectual property. If our collaboration partners fail to adequately prosecute or maintain jointly-owned patents, or if disputes arise regarding ownership of improvements or the scope of rights granted under our collaboration agreements, our competitive position could be materially harmed.</w:t>
      </w:r>
    </w:p>
    <w:p>
      <w:pPr>
        <w:spacing w:after="0" w:line="186" w:lineRule="exact"/>
        <w:rPr>
          <w:sz w:val="20"/>
          <w:szCs w:val="20"/>
          <w:color w:val="auto"/>
        </w:rPr>
      </w:pPr>
    </w:p>
    <w:p>
      <w:pPr>
        <w:ind w:right="20" w:firstLine="563"/>
        <w:spacing w:after="0" w:line="249" w:lineRule="auto"/>
        <w:rPr>
          <w:sz w:val="20"/>
          <w:szCs w:val="20"/>
          <w:color w:val="auto"/>
        </w:rPr>
      </w:pPr>
      <w:r>
        <w:rPr>
          <w:rFonts w:ascii="Arial" w:cs="Arial" w:eastAsia="Arial" w:hAnsi="Arial"/>
          <w:sz w:val="20"/>
          <w:szCs w:val="20"/>
          <w:color w:val="auto"/>
        </w:rPr>
        <w:t>Certain of our product candidates are being developed in combination with compounds owned or controlled by our collaboration partners. Our ability to develop and commercialize these combination therapies depends on our continued access to our partners' compounds and on the maintenance of our collaboration agreements. If any such collaboration is terminated, or if our partners fail to perform their obligations, our access to compounds that are essential to our combination therapy strategies may become more difficult or costly to obtain.</w:t>
      </w:r>
    </w:p>
    <w:p>
      <w:pPr>
        <w:spacing w:after="0" w:line="197" w:lineRule="exact"/>
        <w:rPr>
          <w:sz w:val="20"/>
          <w:szCs w:val="20"/>
          <w:color w:val="auto"/>
        </w:rPr>
      </w:pPr>
    </w:p>
    <w:p>
      <w:pPr>
        <w:ind w:right="660" w:firstLine="563"/>
        <w:spacing w:after="0" w:line="278" w:lineRule="auto"/>
        <w:rPr>
          <w:sz w:val="20"/>
          <w:szCs w:val="20"/>
          <w:color w:val="auto"/>
        </w:rPr>
      </w:pPr>
      <w:r>
        <w:rPr>
          <w:rFonts w:ascii="Arial" w:cs="Arial" w:eastAsia="Arial" w:hAnsi="Arial"/>
          <w:sz w:val="20"/>
          <w:szCs w:val="20"/>
          <w:color w:val="auto"/>
        </w:rPr>
        <w:t>Disputes may also arise between us and licensors regarding intellectual property subject to a license agreement, including:</w:t>
      </w:r>
    </w:p>
    <w:p>
      <w:pPr>
        <w:sectPr>
          <w:pgSz w:w="12240" w:h="15840" w:orient="portrait"/>
          <w:cols w:equalWidth="0" w:num="1">
            <w:col w:w="10140"/>
          </w:cols>
          <w:pgMar w:left="1000" w:top="1060" w:right="1100" w:bottom="21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2240" w:h="15840" w:orient="portrait"/>
          <w:cols w:equalWidth="0" w:num="1">
            <w:col w:w="10140"/>
          </w:cols>
          <w:pgMar w:left="1000" w:top="1060" w:right="1100" w:bottom="210" w:gutter="0" w:footer="0" w:header="0"/>
          <w:type w:val="continuous"/>
        </w:sectPr>
      </w:pPr>
    </w:p>
    <w:bookmarkStart w:id="66" w:name="page67"/>
    <w:bookmarkEnd w:id="66"/>
    <w:p>
      <w:pPr>
        <w:ind w:left="920" w:hanging="192"/>
        <w:spacing w:after="0"/>
        <w:tabs>
          <w:tab w:leader="none" w:pos="9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scope of rights granted under the license agreement and other interpretation-related issues;</w:t>
      </w:r>
    </w:p>
    <w:p>
      <w:pPr>
        <w:spacing w:after="0" w:line="134" w:lineRule="exact"/>
        <w:rPr>
          <w:rFonts w:ascii="Arial" w:cs="Arial" w:eastAsia="Arial" w:hAnsi="Arial"/>
          <w:sz w:val="20"/>
          <w:szCs w:val="20"/>
          <w:color w:val="auto"/>
        </w:rPr>
      </w:pPr>
    </w:p>
    <w:p>
      <w:pPr>
        <w:ind w:left="720" w:right="640" w:firstLine="8"/>
        <w:spacing w:after="0" w:line="305" w:lineRule="auto"/>
        <w:tabs>
          <w:tab w:leader="none" w:pos="912" w:val="left"/>
        </w:tabs>
        <w:numPr>
          <w:ilvl w:val="0"/>
          <w:numId w:val="34"/>
        </w:numPr>
        <w:rPr>
          <w:rFonts w:ascii="Arial" w:cs="Arial" w:eastAsia="Arial" w:hAnsi="Arial"/>
          <w:sz w:val="19"/>
          <w:szCs w:val="19"/>
          <w:color w:val="auto"/>
        </w:rPr>
      </w:pPr>
      <w:r>
        <w:rPr>
          <w:rFonts w:ascii="Arial" w:cs="Arial" w:eastAsia="Arial" w:hAnsi="Arial"/>
          <w:sz w:val="19"/>
          <w:szCs w:val="19"/>
          <w:color w:val="auto"/>
        </w:rPr>
        <w:t>whether and the extent to which our technology and processes infringe, misappropriate or otherwise violate intellectual property rights of the licensor that is not subject to the licensing agreement;</w:t>
      </w:r>
    </w:p>
    <w:p>
      <w:pPr>
        <w:spacing w:after="0" w:line="39" w:lineRule="exact"/>
        <w:rPr>
          <w:rFonts w:ascii="Arial" w:cs="Arial" w:eastAsia="Arial" w:hAnsi="Arial"/>
          <w:sz w:val="19"/>
          <w:szCs w:val="19"/>
          <w:color w:val="auto"/>
        </w:rPr>
      </w:pPr>
    </w:p>
    <w:p>
      <w:pPr>
        <w:ind w:left="920" w:hanging="192"/>
        <w:spacing w:after="0"/>
        <w:tabs>
          <w:tab w:leader="none" w:pos="9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right to sublicense patent and other rights to third parties under collaborative development relationships;</w:t>
      </w:r>
    </w:p>
    <w:p>
      <w:pPr>
        <w:spacing w:after="0" w:line="146" w:lineRule="exact"/>
        <w:rPr>
          <w:rFonts w:ascii="Arial" w:cs="Arial" w:eastAsia="Arial" w:hAnsi="Arial"/>
          <w:sz w:val="19"/>
          <w:szCs w:val="19"/>
          <w:color w:val="auto"/>
        </w:rPr>
      </w:pPr>
    </w:p>
    <w:p>
      <w:pPr>
        <w:ind w:left="720" w:right="60" w:firstLine="8"/>
        <w:spacing w:after="0" w:line="336" w:lineRule="auto"/>
        <w:tabs>
          <w:tab w:leader="none" w:pos="9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5" w:lineRule="exact"/>
        <w:rPr>
          <w:rFonts w:ascii="Arial" w:cs="Arial" w:eastAsia="Arial" w:hAnsi="Arial"/>
          <w:sz w:val="18"/>
          <w:szCs w:val="18"/>
          <w:color w:val="auto"/>
        </w:rPr>
      </w:pPr>
    </w:p>
    <w:p>
      <w:pPr>
        <w:ind w:left="920" w:hanging="192"/>
        <w:spacing w:after="0"/>
        <w:tabs>
          <w:tab w:leader="none" w:pos="9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priority of invention of any patented technology; and</w:t>
      </w:r>
    </w:p>
    <w:p>
      <w:pPr>
        <w:spacing w:after="0" w:line="134" w:lineRule="exact"/>
        <w:rPr>
          <w:rFonts w:ascii="Arial" w:cs="Arial" w:eastAsia="Arial" w:hAnsi="Arial"/>
          <w:sz w:val="20"/>
          <w:szCs w:val="20"/>
          <w:color w:val="auto"/>
        </w:rPr>
      </w:pPr>
    </w:p>
    <w:p>
      <w:pPr>
        <w:ind w:left="720" w:right="180" w:firstLine="8"/>
        <w:spacing w:after="0" w:line="278" w:lineRule="auto"/>
        <w:tabs>
          <w:tab w:leader="none" w:pos="91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ownership of inventions and know-how resulting from the joint creation or use of intellectual property by our future licensors and us and our partners and collaborators.</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b w:val="1"/>
          <w:bCs w:val="1"/>
          <w:i w:val="1"/>
          <w:iCs w:val="1"/>
          <w:color w:val="auto"/>
        </w:rPr>
        <w:t>Changes in patent law could diminish the value of patents in general, thereby impairing our ability to protect our current or future product candidates.</w:t>
      </w:r>
    </w:p>
    <w:p>
      <w:pPr>
        <w:spacing w:after="0" w:line="49" w:lineRule="exact"/>
        <w:rPr>
          <w:sz w:val="20"/>
          <w:szCs w:val="20"/>
          <w:color w:val="auto"/>
        </w:rPr>
      </w:pPr>
    </w:p>
    <w:p>
      <w:pPr>
        <w:ind w:right="20" w:firstLine="557"/>
        <w:spacing w:after="0" w:line="272" w:lineRule="auto"/>
        <w:rPr>
          <w:sz w:val="20"/>
          <w:szCs w:val="20"/>
          <w:color w:val="auto"/>
        </w:rPr>
      </w:pPr>
      <w:r>
        <w:rPr>
          <w:rFonts w:ascii="Arial" w:cs="Arial" w:eastAsia="Arial" w:hAnsi="Arial"/>
          <w:sz w:val="18"/>
          <w:szCs w:val="18"/>
          <w:color w:val="auto"/>
        </w:rPr>
        <w:t xml:space="preserve">Patent reform legislation in the United States and other countries, including the Leahy-Smith America Invents Act, or Leahy-Smith Act, signed into law on September 16, 2011, could increase uncertainties of the scope of our patent protection and the costs related to obtaining and enforcing our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96" w:lineRule="exact"/>
        <w:rPr>
          <w:sz w:val="20"/>
          <w:szCs w:val="20"/>
          <w:color w:val="auto"/>
        </w:rPr>
      </w:pPr>
    </w:p>
    <w:p>
      <w:pPr>
        <w:ind w:right="20" w:firstLine="557"/>
        <w:spacing w:after="0" w:line="258" w:lineRule="auto"/>
        <w:rPr>
          <w:sz w:val="20"/>
          <w:szCs w:val="20"/>
          <w:color w:val="auto"/>
        </w:rPr>
      </w:pPr>
      <w:r>
        <w:rPr>
          <w:rFonts w:ascii="Arial" w:cs="Arial" w:eastAsia="Arial" w:hAnsi="Arial"/>
          <w:sz w:val="20"/>
          <w:szCs w:val="20"/>
          <w:color w:val="auto"/>
        </w:rPr>
        <w:t>In addition, the Leahy-Smith Act has transformed the U.S. patent system into a “first inventor to file” system. The first-inventor-to -file provisions, however, only became effective on March 16, 2013. Accordingly, it is not yet clear what, if any, impact the Leahy-Smith Act will have on the operation of our business.</w:t>
      </w:r>
    </w:p>
    <w:p>
      <w:pPr>
        <w:spacing w:after="0" w:line="108" w:lineRule="exact"/>
        <w:rPr>
          <w:sz w:val="20"/>
          <w:szCs w:val="20"/>
          <w:color w:val="auto"/>
        </w:rPr>
      </w:pPr>
    </w:p>
    <w:p>
      <w:pPr>
        <w:ind w:right="40" w:firstLine="557"/>
        <w:spacing w:after="0" w:line="274"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 Further, other countries and jurisdictions, such as the European Union, periodically review their intellectual property laws and they may also take similar actions that impact the laws and regulations governing patents and they may implement changes that could weaken our ability to obtain new patents or to enforce our rights under patents that we might obtain in the future.</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68" w:lineRule="exact"/>
        <w:rPr>
          <w:sz w:val="20"/>
          <w:szCs w:val="20"/>
          <w:color w:val="auto"/>
        </w:rPr>
      </w:pPr>
    </w:p>
    <w:p>
      <w:pPr>
        <w:ind w:firstLine="557"/>
        <w:spacing w:after="0" w:line="274" w:lineRule="auto"/>
        <w:rPr>
          <w:sz w:val="20"/>
          <w:szCs w:val="20"/>
          <w:color w:val="auto"/>
        </w:rPr>
      </w:pPr>
      <w:r>
        <w:rPr>
          <w:rFonts w:ascii="Arial" w:cs="Arial" w:eastAsia="Arial" w:hAnsi="Arial"/>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w:t>
      </w:r>
    </w:p>
    <w:p>
      <w:pPr>
        <w:sectPr>
          <w:pgSz w:w="12240" w:h="15840" w:orient="portrait"/>
          <w:cols w:equalWidth="0" w:num="1">
            <w:col w:w="10140"/>
          </w:cols>
          <w:pgMar w:left="1000" w:top="1075" w:right="1100" w:bottom="210"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2240" w:h="15840" w:orient="portrait"/>
          <w:cols w:equalWidth="0" w:num="1">
            <w:col w:w="10140"/>
          </w:cols>
          <w:pgMar w:left="1000" w:top="1075" w:right="1100" w:bottom="210" w:gutter="0" w:footer="0" w:header="0"/>
          <w:type w:val="continuous"/>
        </w:sectPr>
      </w:pPr>
    </w:p>
    <w:bookmarkStart w:id="67" w:name="page68"/>
    <w:bookmarkEnd w:id="67"/>
    <w:p>
      <w:pPr>
        <w:spacing w:after="0" w:line="257" w:lineRule="auto"/>
        <w:rPr>
          <w:sz w:val="20"/>
          <w:szCs w:val="20"/>
          <w:color w:val="auto"/>
        </w:rPr>
      </w:pPr>
      <w:r>
        <w:rPr>
          <w:rFonts w:ascii="Arial" w:cs="Arial" w:eastAsia="Arial" w:hAnsi="Arial"/>
          <w:sz w:val="19"/>
          <w:szCs w:val="19"/>
          <w:color w:val="auto"/>
        </w:rPr>
        <w:t>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technologies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or use certain technologies. We may incorrectly determine that our current or future product candidates or technologies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or use certain technologies. Our failure to identify and correctly interpret relevant patents may negatively impact our ability to develop and market our current or future product candidates or use certain technologies.</w:t>
      </w:r>
    </w:p>
    <w:p>
      <w:pPr>
        <w:spacing w:after="0" w:line="192" w:lineRule="exact"/>
        <w:rPr>
          <w:sz w:val="20"/>
          <w:szCs w:val="20"/>
          <w:color w:val="auto"/>
        </w:rPr>
      </w:pPr>
    </w:p>
    <w:p>
      <w:pPr>
        <w:jc w:val="both"/>
        <w:ind w:right="440" w:firstLine="557"/>
        <w:spacing w:after="0" w:line="278" w:lineRule="auto"/>
        <w:rPr>
          <w:sz w:val="20"/>
          <w:szCs w:val="20"/>
          <w:color w:val="auto"/>
        </w:rPr>
      </w:pPr>
      <w:r>
        <w:rPr>
          <w:rFonts w:ascii="Arial" w:cs="Arial" w:eastAsia="Arial" w:hAnsi="Arial"/>
          <w:sz w:val="19"/>
          <w:szCs w:val="19"/>
          <w:color w:val="auto"/>
        </w:rPr>
        <w:t>If we fail to identify and correctly interpret relevant patents, we may be subject to infringement claims. We cannot guarantee that we will be able to successfully settle or otherwise resolve such infringement claims which can result in the adverse consequences related to infringement as described in the preceding risk factors.</w:t>
      </w:r>
    </w:p>
    <w:p>
      <w:pPr>
        <w:spacing w:after="0" w:line="171" w:lineRule="exact"/>
        <w:rPr>
          <w:sz w:val="20"/>
          <w:szCs w:val="20"/>
          <w:color w:val="auto"/>
        </w:rPr>
      </w:pPr>
    </w:p>
    <w:p>
      <w:pPr>
        <w:ind w:right="60"/>
        <w:spacing w:after="0" w:line="355" w:lineRule="auto"/>
        <w:rPr>
          <w:sz w:val="20"/>
          <w:szCs w:val="20"/>
          <w:color w:val="auto"/>
        </w:rPr>
      </w:pPr>
      <w:r>
        <w:rPr>
          <w:rFonts w:ascii="Arial" w:cs="Arial" w:eastAsia="Arial" w:hAnsi="Arial"/>
          <w:sz w:val="17"/>
          <w:szCs w:val="17"/>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 w:lineRule="exact"/>
        <w:rPr>
          <w:sz w:val="20"/>
          <w:szCs w:val="20"/>
          <w:color w:val="auto"/>
        </w:rPr>
      </w:pPr>
    </w:p>
    <w:p>
      <w:pPr>
        <w:ind w:right="120" w:firstLine="563"/>
        <w:spacing w:after="0" w:line="265" w:lineRule="auto"/>
        <w:rPr>
          <w:sz w:val="20"/>
          <w:szCs w:val="20"/>
          <w:color w:val="auto"/>
        </w:rPr>
      </w:pPr>
      <w:r>
        <w:rPr>
          <w:rFonts w:ascii="Arial" w:cs="Arial" w:eastAsia="Arial" w:hAnsi="Arial"/>
          <w:sz w:val="19"/>
          <w:szCs w:val="19"/>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any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8" w:lineRule="exact"/>
        <w:rPr>
          <w:sz w:val="20"/>
          <w:szCs w:val="20"/>
          <w:color w:val="auto"/>
        </w:rPr>
      </w:pPr>
    </w:p>
    <w:p>
      <w:pPr>
        <w:ind w:left="720" w:right="300" w:firstLine="8"/>
        <w:spacing w:after="0" w:line="278" w:lineRule="auto"/>
        <w:tabs>
          <w:tab w:leader="none" w:pos="912" w:val="left"/>
        </w:tabs>
        <w:numPr>
          <w:ilvl w:val="0"/>
          <w:numId w:val="35"/>
        </w:numPr>
        <w:rPr>
          <w:rFonts w:ascii="Arial" w:cs="Arial" w:eastAsia="Arial" w:hAnsi="Arial"/>
          <w:sz w:val="20"/>
          <w:szCs w:val="20"/>
          <w:color w:val="auto"/>
        </w:rPr>
      </w:pPr>
      <w:r>
        <w:rPr>
          <w:rFonts w:ascii="Arial" w:cs="Arial" w:eastAsia="Arial" w:hAnsi="Arial"/>
          <w:sz w:val="20"/>
          <w:szCs w:val="20"/>
          <w:color w:val="auto"/>
        </w:rPr>
        <w:t>patents, should they issue, that we may own or in-license, may not provide us with any competitive advantages, may be narrowed in scope, or may be challenged and held invalid or unenforceable;</w:t>
      </w:r>
    </w:p>
    <w:p>
      <w:pPr>
        <w:spacing w:after="0" w:line="62" w:lineRule="exact"/>
        <w:rPr>
          <w:rFonts w:ascii="Arial" w:cs="Arial" w:eastAsia="Arial" w:hAnsi="Arial"/>
          <w:sz w:val="20"/>
          <w:szCs w:val="20"/>
          <w:color w:val="auto"/>
        </w:rPr>
      </w:pPr>
    </w:p>
    <w:p>
      <w:pPr>
        <w:ind w:left="720" w:right="200" w:firstLine="8"/>
        <w:spacing w:after="0" w:line="301" w:lineRule="auto"/>
        <w:tabs>
          <w:tab w:leader="none" w:pos="9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46" w:lineRule="exact"/>
        <w:rPr>
          <w:rFonts w:ascii="Arial" w:cs="Arial" w:eastAsia="Arial" w:hAnsi="Arial"/>
          <w:sz w:val="18"/>
          <w:szCs w:val="18"/>
          <w:color w:val="auto"/>
        </w:rPr>
      </w:pPr>
    </w:p>
    <w:p>
      <w:pPr>
        <w:ind w:left="720" w:right="520" w:firstLine="8"/>
        <w:spacing w:after="0" w:line="278" w:lineRule="auto"/>
        <w:tabs>
          <w:tab w:leader="none" w:pos="912"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or our future licensors or collaborators, might not have been the first to make the inventions or to file the patent covered by a patent application that we own or may in-license;</w:t>
      </w:r>
    </w:p>
    <w:p>
      <w:pPr>
        <w:spacing w:after="0" w:line="60" w:lineRule="exact"/>
        <w:rPr>
          <w:rFonts w:ascii="Arial" w:cs="Arial" w:eastAsia="Arial" w:hAnsi="Arial"/>
          <w:sz w:val="20"/>
          <w:szCs w:val="20"/>
          <w:color w:val="auto"/>
        </w:rPr>
      </w:pPr>
    </w:p>
    <w:p>
      <w:pPr>
        <w:ind w:left="720" w:right="500" w:firstLine="8"/>
        <w:spacing w:after="0" w:line="281" w:lineRule="auto"/>
        <w:tabs>
          <w:tab w:leader="none" w:pos="912" w:val="left"/>
        </w:tabs>
        <w:numPr>
          <w:ilvl w:val="0"/>
          <w:numId w:val="35"/>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without infringing, misappropriating or otherwise violating our intellectual property rights;</w:t>
      </w:r>
    </w:p>
    <w:p>
      <w:pPr>
        <w:spacing w:after="0" w:line="56" w:lineRule="exact"/>
        <w:rPr>
          <w:rFonts w:ascii="Arial" w:cs="Arial" w:eastAsia="Arial" w:hAnsi="Arial"/>
          <w:sz w:val="20"/>
          <w:szCs w:val="20"/>
          <w:color w:val="auto"/>
        </w:rPr>
      </w:pPr>
    </w:p>
    <w:p>
      <w:pPr>
        <w:ind w:left="720" w:right="220" w:firstLine="8"/>
        <w:spacing w:after="0" w:line="271" w:lineRule="auto"/>
        <w:tabs>
          <w:tab w:leader="none" w:pos="912" w:val="left"/>
        </w:tabs>
        <w:numPr>
          <w:ilvl w:val="0"/>
          <w:numId w:val="35"/>
        </w:numPr>
        <w:rPr>
          <w:rFonts w:ascii="Arial" w:cs="Arial" w:eastAsia="Arial" w:hAnsi="Arial"/>
          <w:sz w:val="19"/>
          <w:szCs w:val="19"/>
          <w:color w:val="auto"/>
        </w:rPr>
      </w:pPr>
      <w:r>
        <w:rPr>
          <w:rFonts w:ascii="Arial" w:cs="Arial" w:eastAsia="Arial" w:hAnsi="Arial"/>
          <w:sz w:val="19"/>
          <w:szCs w:val="19"/>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9" w:lineRule="exact"/>
        <w:rPr>
          <w:rFonts w:ascii="Arial" w:cs="Arial" w:eastAsia="Arial" w:hAnsi="Arial"/>
          <w:sz w:val="19"/>
          <w:szCs w:val="19"/>
          <w:color w:val="auto"/>
        </w:rPr>
      </w:pPr>
    </w:p>
    <w:p>
      <w:pPr>
        <w:ind w:left="720" w:right="280" w:firstLine="8"/>
        <w:spacing w:after="0" w:line="279" w:lineRule="auto"/>
        <w:tabs>
          <w:tab w:leader="none" w:pos="912"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choose not to file a patent in order to maintain certain trade secrets or know-how, and a third party may subsequently file a patent covering such trade secrets or know-how;</w:t>
      </w:r>
    </w:p>
    <w:p>
      <w:pPr>
        <w:spacing w:after="0" w:line="60" w:lineRule="exact"/>
        <w:rPr>
          <w:rFonts w:ascii="Arial" w:cs="Arial" w:eastAsia="Arial" w:hAnsi="Arial"/>
          <w:sz w:val="20"/>
          <w:szCs w:val="20"/>
          <w:color w:val="auto"/>
        </w:rPr>
      </w:pPr>
    </w:p>
    <w:p>
      <w:pPr>
        <w:ind w:left="920" w:hanging="192"/>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not be able to maintain the confidentiality of our trade secrets or other proprietary information;</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not develop or in-license additional proprietary technologies that are patentable; and</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patents of others may have an adverse effect on our business.</w:t>
      </w:r>
    </w:p>
    <w:p>
      <w:pPr>
        <w:spacing w:after="0" w:line="240" w:lineRule="exact"/>
        <w:rPr>
          <w:sz w:val="20"/>
          <w:szCs w:val="20"/>
          <w:color w:val="auto"/>
        </w:rPr>
      </w:pPr>
    </w:p>
    <w:p>
      <w:pPr>
        <w:ind w:right="120" w:firstLine="557"/>
        <w:spacing w:after="0" w:line="277" w:lineRule="auto"/>
        <w:rPr>
          <w:sz w:val="20"/>
          <w:szCs w:val="20"/>
          <w:color w:val="auto"/>
        </w:rPr>
      </w:pPr>
      <w:r>
        <w:rPr>
          <w:rFonts w:ascii="Arial" w:cs="Arial" w:eastAsia="Arial" w:hAnsi="Arial"/>
          <w:sz w:val="20"/>
          <w:szCs w:val="20"/>
          <w:color w:val="auto"/>
        </w:rPr>
        <w:t>Should any of these events occur, they could significantly harm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Government Regulation</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20"/>
          <w:szCs w:val="20"/>
          <w:b w:val="1"/>
          <w:bCs w:val="1"/>
          <w:i w:val="1"/>
          <w:iCs w:val="1"/>
          <w:color w:val="auto"/>
        </w:rPr>
        <w:t>Our future commercial success depends on gaining regulatory approval for new products and obtaining approvals for new indications.</w:t>
      </w:r>
    </w:p>
    <w:p>
      <w:pPr>
        <w:spacing w:after="0" w:line="49" w:lineRule="exact"/>
        <w:rPr>
          <w:sz w:val="20"/>
          <w:szCs w:val="20"/>
          <w:color w:val="auto"/>
        </w:rPr>
      </w:pPr>
    </w:p>
    <w:p>
      <w:pPr>
        <w:ind w:right="180" w:firstLine="557"/>
        <w:spacing w:after="0" w:line="336" w:lineRule="auto"/>
        <w:rPr>
          <w:sz w:val="20"/>
          <w:szCs w:val="20"/>
          <w:color w:val="auto"/>
        </w:rPr>
      </w:pPr>
      <w:r>
        <w:rPr>
          <w:rFonts w:ascii="Arial" w:cs="Arial" w:eastAsia="Arial" w:hAnsi="Arial"/>
          <w:sz w:val="18"/>
          <w:szCs w:val="18"/>
          <w:color w:val="auto"/>
        </w:rPr>
        <w:t>We invest significant amounts in developing new products and technologies. Our success and revenue growth, if any, will depend in part on our identification, development, approval by regulatory authorities and commercialization of new</w:t>
      </w:r>
    </w:p>
    <w:p>
      <w:pPr>
        <w:sectPr>
          <w:pgSz w:w="12240" w:h="15840" w:orient="portrait"/>
          <w:cols w:equalWidth="0" w:num="1">
            <w:col w:w="10140"/>
          </w:cols>
          <w:pgMar w:left="1000" w:top="1060" w:right="1100" w:bottom="21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2240" w:h="15840" w:orient="portrait"/>
          <w:cols w:equalWidth="0" w:num="1">
            <w:col w:w="10140"/>
          </w:cols>
          <w:pgMar w:left="1000" w:top="1060" w:right="1100" w:bottom="210" w:gutter="0" w:footer="0" w:header="0"/>
          <w:type w:val="continuous"/>
        </w:sectPr>
      </w:pPr>
    </w:p>
    <w:bookmarkStart w:id="68" w:name="page69"/>
    <w:bookmarkEnd w:id="68"/>
    <w:p>
      <w:pPr>
        <w:ind w:right="180"/>
        <w:spacing w:after="0" w:line="278" w:lineRule="auto"/>
        <w:rPr>
          <w:sz w:val="20"/>
          <w:szCs w:val="20"/>
          <w:color w:val="auto"/>
        </w:rPr>
      </w:pPr>
      <w:r>
        <w:rPr>
          <w:rFonts w:ascii="Arial" w:cs="Arial" w:eastAsia="Arial" w:hAnsi="Arial"/>
          <w:sz w:val="19"/>
          <w:szCs w:val="19"/>
          <w:color w:val="auto"/>
        </w:rPr>
        <w:t>products and technologies, and approval of additional indications by regulatory authorities for our products under development. Product development is very expensive, takes significant time and involves a high degree of risk. Only a small number of research and development programs result in the approval and commercialization of a product.</w:t>
      </w:r>
    </w:p>
    <w:p>
      <w:pPr>
        <w:spacing w:after="0" w:line="171" w:lineRule="exact"/>
        <w:rPr>
          <w:sz w:val="20"/>
          <w:szCs w:val="20"/>
          <w:color w:val="auto"/>
        </w:rPr>
      </w:pPr>
    </w:p>
    <w:p>
      <w:pPr>
        <w:ind w:right="260" w:firstLine="563"/>
        <w:spacing w:after="0" w:line="300" w:lineRule="auto"/>
        <w:rPr>
          <w:sz w:val="20"/>
          <w:szCs w:val="20"/>
          <w:color w:val="auto"/>
        </w:rPr>
      </w:pPr>
      <w:r>
        <w:rPr>
          <w:rFonts w:ascii="Arial" w:cs="Arial" w:eastAsia="Arial" w:hAnsi="Arial"/>
          <w:sz w:val="18"/>
          <w:szCs w:val="18"/>
          <w:color w:val="auto"/>
        </w:rPr>
        <w:t>Our ability to grow our business may be adversely affected if we are delayed or unable to successfully develop the products in our pipeline, gain regulatory approval of such product candidates, expand the indications that may be treated by such product candidates, or gain regulatory approval to sell and market such product candidates in additional jurisdictions.</w:t>
      </w:r>
    </w:p>
    <w:p>
      <w:pPr>
        <w:spacing w:after="0" w:line="154" w:lineRule="exact"/>
        <w:rPr>
          <w:sz w:val="20"/>
          <w:szCs w:val="20"/>
          <w:color w:val="auto"/>
        </w:rPr>
      </w:pPr>
    </w:p>
    <w:p>
      <w:pPr>
        <w:ind w:right="280" w:firstLine="563"/>
        <w:spacing w:after="0" w:line="252" w:lineRule="auto"/>
        <w:rPr>
          <w:sz w:val="20"/>
          <w:szCs w:val="20"/>
          <w:color w:val="auto"/>
        </w:rPr>
      </w:pPr>
      <w:r>
        <w:rPr>
          <w:rFonts w:ascii="Arial" w:cs="Arial" w:eastAsia="Arial" w:hAnsi="Arial"/>
          <w:sz w:val="20"/>
          <w:szCs w:val="20"/>
          <w:color w:val="auto"/>
        </w:rPr>
        <w:t>We must also maintain all such regulatory approvals for the period of time that we sell the product in each such jurisdiction. Our failure to obtain, or a delay in obtaining, approval or our failure to maintain approvals once obtained, will prevent us from selling products and generating revenues for those products in such jurisdiction where we do not hold such approvals.</w:t>
      </w:r>
    </w:p>
    <w:p>
      <w:pPr>
        <w:spacing w:after="0" w:line="193" w:lineRule="exact"/>
        <w:rPr>
          <w:sz w:val="20"/>
          <w:szCs w:val="20"/>
          <w:color w:val="auto"/>
        </w:rPr>
      </w:pPr>
    </w:p>
    <w:p>
      <w:pPr>
        <w:spacing w:after="0" w:line="305" w:lineRule="auto"/>
        <w:rPr>
          <w:sz w:val="20"/>
          <w:szCs w:val="20"/>
          <w:color w:val="auto"/>
        </w:rPr>
      </w:pPr>
      <w:r>
        <w:rPr>
          <w:rFonts w:ascii="Arial" w:cs="Arial" w:eastAsia="Arial" w:hAnsi="Arial"/>
          <w:sz w:val="19"/>
          <w:szCs w:val="19"/>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5" w:lineRule="exact"/>
        <w:rPr>
          <w:sz w:val="20"/>
          <w:szCs w:val="20"/>
          <w:color w:val="auto"/>
        </w:rPr>
      </w:pPr>
    </w:p>
    <w:p>
      <w:pPr>
        <w:ind w:right="100" w:firstLine="557"/>
        <w:spacing w:after="0" w:line="259" w:lineRule="auto"/>
        <w:rPr>
          <w:sz w:val="20"/>
          <w:szCs w:val="20"/>
          <w:color w:val="auto"/>
        </w:rPr>
      </w:pPr>
      <w:r>
        <w:rPr>
          <w:rFonts w:ascii="Arial" w:cs="Arial" w:eastAsia="Arial" w:hAnsi="Arial"/>
          <w:sz w:val="19"/>
          <w:szCs w:val="19"/>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88" w:lineRule="exact"/>
        <w:rPr>
          <w:sz w:val="20"/>
          <w:szCs w:val="20"/>
          <w:color w:val="auto"/>
        </w:rPr>
      </w:pPr>
    </w:p>
    <w:p>
      <w:pPr>
        <w:ind w:right="20" w:firstLine="557"/>
        <w:spacing w:after="0" w:line="27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sale, marketing and promotion of the product candidate in those countries. On the other hand, a failure or delay in obtaining regulatory approval in one jurisdiction may have a negative effect on the regulatory approval process in others.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0" w:lineRule="exact"/>
        <w:rPr>
          <w:sz w:val="20"/>
          <w:szCs w:val="20"/>
          <w:color w:val="auto"/>
        </w:rPr>
      </w:pPr>
    </w:p>
    <w:p>
      <w:pPr>
        <w:ind w:right="760"/>
        <w:spacing w:after="0" w:line="355" w:lineRule="auto"/>
        <w:rPr>
          <w:sz w:val="20"/>
          <w:szCs w:val="20"/>
          <w:color w:val="auto"/>
        </w:rPr>
      </w:pPr>
      <w:r>
        <w:rPr>
          <w:rFonts w:ascii="Arial" w:cs="Arial" w:eastAsia="Arial" w:hAnsi="Arial"/>
          <w:sz w:val="17"/>
          <w:szCs w:val="17"/>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1" w:lineRule="exact"/>
        <w:rPr>
          <w:sz w:val="20"/>
          <w:szCs w:val="20"/>
          <w:color w:val="auto"/>
        </w:rPr>
      </w:pPr>
    </w:p>
    <w:p>
      <w:pPr>
        <w:ind w:right="40" w:firstLine="557"/>
        <w:spacing w:after="0" w:line="244" w:lineRule="auto"/>
        <w:rPr>
          <w:sz w:val="20"/>
          <w:szCs w:val="20"/>
          <w:color w:val="auto"/>
        </w:rPr>
      </w:pPr>
      <w:r>
        <w:rPr>
          <w:rFonts w:ascii="Arial" w:cs="Arial" w:eastAsia="Arial" w:hAnsi="Arial"/>
          <w:sz w:val="20"/>
          <w:szCs w:val="20"/>
          <w:color w:val="auto"/>
        </w:rPr>
        <w:t>If the FDA determines that a product candidate offers a treatment for a serious or life-threatening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from the date of filing.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02" w:lineRule="exact"/>
        <w:rPr>
          <w:sz w:val="20"/>
          <w:szCs w:val="20"/>
          <w:color w:val="auto"/>
        </w:rPr>
      </w:pPr>
    </w:p>
    <w:p>
      <w:pPr>
        <w:ind w:right="320"/>
        <w:spacing w:after="0" w:line="355" w:lineRule="auto"/>
        <w:rPr>
          <w:sz w:val="20"/>
          <w:szCs w:val="20"/>
          <w:color w:val="auto"/>
        </w:rPr>
      </w:pPr>
      <w:r>
        <w:rPr>
          <w:rFonts w:ascii="Arial" w:cs="Arial" w:eastAsia="Arial" w:hAnsi="Arial"/>
          <w:sz w:val="17"/>
          <w:szCs w:val="17"/>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 w:lineRule="exact"/>
        <w:rPr>
          <w:sz w:val="20"/>
          <w:szCs w:val="20"/>
          <w:color w:val="auto"/>
        </w:rPr>
      </w:pPr>
    </w:p>
    <w:p>
      <w:pPr>
        <w:ind w:right="120" w:firstLine="557"/>
        <w:spacing w:after="0" w:line="284" w:lineRule="auto"/>
        <w:rPr>
          <w:sz w:val="20"/>
          <w:szCs w:val="20"/>
          <w:color w:val="auto"/>
        </w:rPr>
      </w:pPr>
      <w:r>
        <w:rPr>
          <w:rFonts w:ascii="Arial" w:cs="Arial" w:eastAsia="Arial" w:hAnsi="Arial"/>
          <w:sz w:val="18"/>
          <w:szCs w:val="18"/>
          <w:color w:val="auto"/>
        </w:rPr>
        <w:t>As part of our business strategy, we may seek orphan drug designation for certain of our product candidates, and we may be unsuccessful in obtaining such designation.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w:t>
      </w:r>
    </w:p>
    <w:p>
      <w:pPr>
        <w:sectPr>
          <w:pgSz w:w="12240" w:h="15840" w:orient="portrait"/>
          <w:cols w:equalWidth="0" w:num="1">
            <w:col w:w="10140"/>
          </w:cols>
          <w:pgMar w:left="1000" w:top="1060" w:right="1100" w:bottom="21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2240" w:h="15840" w:orient="portrait"/>
          <w:cols w:equalWidth="0" w:num="1">
            <w:col w:w="10140"/>
          </w:cols>
          <w:pgMar w:left="1000" w:top="1060" w:right="1100" w:bottom="210" w:gutter="0" w:footer="0" w:header="0"/>
          <w:type w:val="continuous"/>
        </w:sectPr>
      </w:pPr>
    </w:p>
    <w:bookmarkStart w:id="69" w:name="page70"/>
    <w:bookmarkEnd w:id="69"/>
    <w:p>
      <w:pPr>
        <w:ind w:right="80"/>
        <w:spacing w:after="0" w:line="249" w:lineRule="auto"/>
        <w:rPr>
          <w:sz w:val="20"/>
          <w:szCs w:val="20"/>
          <w:color w:val="auto"/>
        </w:rPr>
      </w:pPr>
      <w:r>
        <w:rPr>
          <w:rFonts w:ascii="Arial" w:cs="Arial" w:eastAsia="Arial" w:hAnsi="Arial"/>
          <w:sz w:val="20"/>
          <w:szCs w:val="20"/>
          <w:color w:val="auto"/>
        </w:rPr>
        <w:t>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The FDA granted Orphan Drug Designation to vopimetostat for the treatment of soft tissue sarcoma and of pancreatic cancer, and to TNG456 for the treatment of malignant glioma.</w:t>
      </w:r>
    </w:p>
    <w:p>
      <w:pPr>
        <w:spacing w:after="0" w:line="197" w:lineRule="exact"/>
        <w:rPr>
          <w:sz w:val="20"/>
          <w:szCs w:val="20"/>
          <w:color w:val="auto"/>
        </w:rPr>
      </w:pPr>
    </w:p>
    <w:p>
      <w:pPr>
        <w:ind w:right="60" w:firstLine="557"/>
        <w:spacing w:after="0" w:line="259" w:lineRule="auto"/>
        <w:rPr>
          <w:sz w:val="20"/>
          <w:szCs w:val="20"/>
          <w:color w:val="auto"/>
        </w:rPr>
      </w:pPr>
      <w:r>
        <w:rPr>
          <w:rFonts w:ascii="Arial" w:cs="Arial" w:eastAsia="Arial" w:hAnsi="Arial"/>
          <w:sz w:val="19"/>
          <w:szCs w:val="19"/>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if a method already exists). Additionally, designation may be granted for products intended for the diagnosis, prevention, or treatment of a life-threatening, seriously debilitating or serious and chronic condition and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8" w:lineRule="exact"/>
        <w:rPr>
          <w:sz w:val="20"/>
          <w:szCs w:val="20"/>
          <w:color w:val="auto"/>
        </w:rPr>
      </w:pPr>
    </w:p>
    <w:p>
      <w:pPr>
        <w:ind w:right="200" w:firstLine="556"/>
        <w:spacing w:after="0" w:line="261" w:lineRule="auto"/>
        <w:rPr>
          <w:sz w:val="20"/>
          <w:szCs w:val="20"/>
          <w:color w:val="auto"/>
        </w:rPr>
      </w:pPr>
      <w:r>
        <w:rPr>
          <w:rFonts w:ascii="Arial" w:cs="Arial" w:eastAsia="Arial" w:hAnsi="Arial"/>
          <w:sz w:val="19"/>
          <w:szCs w:val="19"/>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w:t>
      </w:r>
    </w:p>
    <w:p>
      <w:pPr>
        <w:spacing w:after="0" w:line="187" w:lineRule="exact"/>
        <w:rPr>
          <w:sz w:val="20"/>
          <w:szCs w:val="20"/>
          <w:color w:val="auto"/>
        </w:rPr>
      </w:pPr>
    </w:p>
    <w:p>
      <w:pPr>
        <w:ind w:right="40" w:firstLine="556"/>
        <w:spacing w:after="0" w:line="257" w:lineRule="auto"/>
        <w:rPr>
          <w:sz w:val="20"/>
          <w:szCs w:val="20"/>
          <w:color w:val="auto"/>
        </w:rPr>
      </w:pPr>
      <w:r>
        <w:rPr>
          <w:rFonts w:ascii="Arial" w:cs="Arial" w:eastAsia="Arial" w:hAnsi="Arial"/>
          <w:sz w:val="19"/>
          <w:szCs w:val="19"/>
          <w:color w:val="auto"/>
        </w:rPr>
        <w:t>Obtaining orphan drug exclusivity may not effectively protect a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Orphan drug designation neither shortens the development time or regulatory review time of a product nor gives the product any advantage in the regulatory review or approval process. While we may seek orphan drug designation for our other product candidates, we may never receive such designations. Even if we do receive such designations, there is no guarantee that we will enjoy the benefits of those designations.</w:t>
      </w:r>
    </w:p>
    <w:p>
      <w:pPr>
        <w:spacing w:after="0" w:line="188" w:lineRule="exact"/>
        <w:rPr>
          <w:sz w:val="20"/>
          <w:szCs w:val="20"/>
          <w:color w:val="auto"/>
        </w:rPr>
      </w:pPr>
    </w:p>
    <w:p>
      <w:pPr>
        <w:ind w:right="360"/>
        <w:spacing w:after="0" w:line="326" w:lineRule="auto"/>
        <w:rPr>
          <w:sz w:val="20"/>
          <w:szCs w:val="20"/>
          <w:color w:val="auto"/>
        </w:rPr>
      </w:pPr>
      <w:r>
        <w:rPr>
          <w:rFonts w:ascii="Arial" w:cs="Arial" w:eastAsia="Arial" w:hAnsi="Arial"/>
          <w:sz w:val="17"/>
          <w:szCs w:val="17"/>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3" w:lineRule="exact"/>
        <w:rPr>
          <w:sz w:val="20"/>
          <w:szCs w:val="20"/>
          <w:color w:val="auto"/>
        </w:rPr>
      </w:pPr>
    </w:p>
    <w:p>
      <w:pPr>
        <w:ind w:firstLine="556"/>
        <w:spacing w:after="0" w:line="256" w:lineRule="auto"/>
        <w:rPr>
          <w:sz w:val="20"/>
          <w:szCs w:val="20"/>
          <w:color w:val="auto"/>
        </w:rPr>
      </w:pPr>
      <w:r>
        <w:rPr>
          <w:rFonts w:ascii="Arial" w:cs="Arial" w:eastAsia="Arial" w:hAnsi="Arial"/>
          <w:sz w:val="19"/>
          <w:szCs w:val="19"/>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rolling review,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2240" w:h="15840" w:orient="portrait"/>
          <w:cols w:equalWidth="0" w:num="1">
            <w:col w:w="10140"/>
          </w:cols>
          <w:pgMar w:left="1000" w:top="1060" w:right="1100" w:bottom="210" w:gutter="0" w:footer="0" w:header="0"/>
          <w:type w:val="continuous"/>
        </w:sectPr>
      </w:pPr>
    </w:p>
    <w:bookmarkStart w:id="70" w:name="page71"/>
    <w:bookmarkEnd w:id="70"/>
    <w:p>
      <w:pPr>
        <w:ind w:right="20" w:firstLine="557"/>
        <w:spacing w:after="0" w:line="246" w:lineRule="auto"/>
        <w:rPr>
          <w:sz w:val="20"/>
          <w:szCs w:val="20"/>
          <w:color w:val="auto"/>
        </w:rPr>
      </w:pPr>
      <w:r>
        <w:rPr>
          <w:rFonts w:ascii="Arial" w:cs="Arial" w:eastAsia="Arial" w:hAnsi="Arial"/>
          <w:sz w:val="20"/>
          <w:szCs w:val="20"/>
          <w:color w:val="auto"/>
        </w:rPr>
        <w:t>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9" w:lineRule="exact"/>
        <w:rPr>
          <w:sz w:val="20"/>
          <w:szCs w:val="20"/>
          <w:color w:val="auto"/>
        </w:rPr>
      </w:pPr>
    </w:p>
    <w:p>
      <w:pPr>
        <w:ind w:right="260"/>
        <w:spacing w:after="0" w:line="270" w:lineRule="auto"/>
        <w:rPr>
          <w:sz w:val="20"/>
          <w:szCs w:val="20"/>
          <w:color w:val="auto"/>
        </w:rPr>
      </w:pPr>
      <w:r>
        <w:rPr>
          <w:rFonts w:ascii="Arial" w:cs="Arial" w:eastAsia="Arial" w:hAnsi="Arial"/>
          <w:sz w:val="19"/>
          <w:szCs w:val="19"/>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57" w:lineRule="exact"/>
        <w:rPr>
          <w:sz w:val="20"/>
          <w:szCs w:val="20"/>
          <w:color w:val="auto"/>
        </w:rPr>
      </w:pPr>
    </w:p>
    <w:p>
      <w:pPr>
        <w:ind w:firstLine="556"/>
        <w:spacing w:after="0" w:line="255" w:lineRule="auto"/>
        <w:rPr>
          <w:sz w:val="20"/>
          <w:szCs w:val="20"/>
          <w:color w:val="auto"/>
        </w:rPr>
      </w:pPr>
      <w:r>
        <w:rPr>
          <w:rFonts w:ascii="Arial" w:cs="Arial" w:eastAsia="Arial" w:hAnsi="Arial"/>
          <w:sz w:val="19"/>
          <w:szCs w:val="19"/>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receiving accelerated approval perform adequate and well-controlled post-marketing clinical trials. These confirmatory trials must be completed with due diligence. Under the Food and Drug Omnibus Reform Act of 2022, or FDORA, the FDA is permitted to require that a post-approval confirmatory study or studies be under way prior to approval or, in limited circumstances,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seek to utilize the accelerated approval pathway, we may not be able to obtain accelerated approval. Even if we do receive accelerated approval, we may not experience a faster development or regulatory review or approval process, and receiving accelerated approval does not provide assurance of traditional FDA approval.</w:t>
      </w:r>
    </w:p>
    <w:p>
      <w:pPr>
        <w:spacing w:after="0" w:line="195" w:lineRule="exact"/>
        <w:rPr>
          <w:sz w:val="20"/>
          <w:szCs w:val="20"/>
          <w:color w:val="auto"/>
        </w:rPr>
      </w:pPr>
    </w:p>
    <w:p>
      <w:pPr>
        <w:ind w:right="880"/>
        <w:spacing w:after="0" w:line="355" w:lineRule="auto"/>
        <w:rPr>
          <w:sz w:val="20"/>
          <w:szCs w:val="20"/>
          <w:color w:val="auto"/>
        </w:rPr>
      </w:pPr>
      <w:r>
        <w:rPr>
          <w:rFonts w:ascii="Arial" w:cs="Arial" w:eastAsia="Arial" w:hAnsi="Arial"/>
          <w:sz w:val="17"/>
          <w:szCs w:val="17"/>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1" w:lineRule="exact"/>
        <w:rPr>
          <w:sz w:val="20"/>
          <w:szCs w:val="20"/>
          <w:color w:val="auto"/>
        </w:rPr>
      </w:pPr>
    </w:p>
    <w:p>
      <w:pPr>
        <w:ind w:right="20" w:firstLine="556"/>
        <w:spacing w:after="0" w:line="271" w:lineRule="auto"/>
        <w:rPr>
          <w:sz w:val="20"/>
          <w:szCs w:val="20"/>
          <w:color w:val="auto"/>
        </w:rPr>
      </w:pPr>
      <w:r>
        <w:rPr>
          <w:rFonts w:ascii="Arial" w:cs="Arial" w:eastAsia="Arial" w:hAnsi="Arial"/>
          <w:sz w:val="18"/>
          <w:szCs w:val="18"/>
          <w:color w:val="auto"/>
        </w:rPr>
        <w:t>The FDA, the EMA and regulatory authorities in other countries have expressed interest in further regulating biotechnology products. Agencies at both the federal and state level in the United States, as well as U.S. Congressional committees and other governments or governing agencies, have also expressed interest in further regulating the biotechnology industry and the pharmaceutical industry, in particular. Such governmental action or actions may delay or prevent commercialization of some or all of our product candidates. Adverse developments in clinical trials of products conducted by us or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41" w:lineRule="exact"/>
        <w:rPr>
          <w:sz w:val="20"/>
          <w:szCs w:val="20"/>
          <w:color w:val="auto"/>
        </w:rPr>
      </w:pPr>
    </w:p>
    <w:p>
      <w:pPr>
        <w:ind w:right="340"/>
        <w:spacing w:after="0" w:line="304" w:lineRule="auto"/>
        <w:rPr>
          <w:sz w:val="20"/>
          <w:szCs w:val="20"/>
          <w:color w:val="auto"/>
        </w:rPr>
      </w:pPr>
      <w:r>
        <w:rPr>
          <w:rFonts w:ascii="Arial" w:cs="Arial" w:eastAsia="Arial" w:hAnsi="Arial"/>
          <w:sz w:val="17"/>
          <w:szCs w:val="17"/>
          <w:b w:val="1"/>
          <w:bCs w:val="1"/>
          <w:i w:val="1"/>
          <w:iCs w:val="1"/>
          <w:color w:val="auto"/>
        </w:rPr>
        <w:t>Inadequate funding for the FDA, the SEC and other U.S. government agencies or the EMA or comparable foreign regulatory authorities, including from government shut downs, or other disruptions to these agencies’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ectPr>
          <w:pgSz w:w="12240" w:h="15840" w:orient="portrait"/>
          <w:cols w:equalWidth="0" w:num="1">
            <w:col w:w="10140"/>
          </w:cols>
          <w:pgMar w:left="1000" w:top="1060" w:right="1100" w:bottom="21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2240" w:h="15840" w:orient="portrait"/>
          <w:cols w:equalWidth="0" w:num="1">
            <w:col w:w="10140"/>
          </w:cols>
          <w:pgMar w:left="1000" w:top="1060" w:right="1100" w:bottom="210" w:gutter="0" w:footer="0" w:header="0"/>
          <w:type w:val="continuous"/>
        </w:sectPr>
      </w:pPr>
    </w:p>
    <w:bookmarkStart w:id="71" w:name="page72"/>
    <w:bookmarkEnd w:id="71"/>
    <w:p>
      <w:pPr>
        <w:ind w:firstLine="557"/>
        <w:spacing w:after="0" w:line="247" w:lineRule="auto"/>
        <w:rPr>
          <w:sz w:val="20"/>
          <w:szCs w:val="20"/>
          <w:color w:val="auto"/>
        </w:rPr>
      </w:pPr>
      <w:r>
        <w:rPr>
          <w:rFonts w:ascii="Arial" w:cs="Arial" w:eastAsia="Arial" w:hAnsi="Arial"/>
          <w:sz w:val="20"/>
          <w:szCs w:val="20"/>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200" w:lineRule="exact"/>
        <w:rPr>
          <w:sz w:val="20"/>
          <w:szCs w:val="20"/>
          <w:color w:val="auto"/>
        </w:rPr>
      </w:pPr>
    </w:p>
    <w:p>
      <w:pPr>
        <w:ind w:firstLine="557"/>
        <w:spacing w:after="0" w:line="258" w:lineRule="auto"/>
        <w:rPr>
          <w:sz w:val="20"/>
          <w:szCs w:val="20"/>
          <w:color w:val="auto"/>
        </w:rPr>
      </w:pPr>
      <w:r>
        <w:rPr>
          <w:rFonts w:ascii="Arial" w:cs="Arial" w:eastAsia="Arial" w:hAnsi="Arial"/>
          <w:sz w:val="19"/>
          <w:szCs w:val="19"/>
          <w:color w:val="auto"/>
        </w:rPr>
        <w:t>Government funding of the SEC and other government agencies on which our operations may rely, and those that provide funding for research and development activities that is required by third parties we enter into agreements with, is subject to the political process, which is inherently fluid and unpredictable. For example, the U.S. government has shut down several times and certain regulatory agencies, such as the FDA and the SEC, in some instances have had to furlough critical FDA, SEC and other government employees and stop or delay critical activities. A prolonged government shutdown, significant leadership, personnel, and/or policy changes, or other substantial modification in agency activities (including due to global health concerns, the policies of the Trump administration, and/or geopolitical factors) could significantly impact the ability of the FDA to timely review and process our regulatory submissions, which could have a material adverse effect on our business. Also, state governments may seek to address or react to changes at the federal level with changes to their regulatory frameworks in a manner that could impact our operations.</w:t>
      </w:r>
    </w:p>
    <w:p>
      <w:pPr>
        <w:spacing w:after="0" w:line="190" w:lineRule="exact"/>
        <w:rPr>
          <w:sz w:val="20"/>
          <w:szCs w:val="20"/>
          <w:color w:val="auto"/>
        </w:rPr>
      </w:pPr>
    </w:p>
    <w:p>
      <w:pPr>
        <w:ind w:right="320" w:firstLine="557"/>
        <w:spacing w:after="0" w:line="305" w:lineRule="auto"/>
        <w:rPr>
          <w:sz w:val="20"/>
          <w:szCs w:val="20"/>
          <w:color w:val="auto"/>
        </w:rPr>
      </w:pPr>
      <w:r>
        <w:rPr>
          <w:rFonts w:ascii="Arial" w:cs="Arial" w:eastAsia="Arial" w:hAnsi="Arial"/>
          <w:sz w:val="19"/>
          <w:szCs w:val="19"/>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45"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b w:val="1"/>
          <w:bCs w:val="1"/>
          <w:i w:val="1"/>
          <w:iCs w:val="1"/>
          <w:color w:val="auto"/>
        </w:rPr>
        <w:t>Existing regulatory policies may change, and additional government regulations may be enacted that could prevent, limit or delay regulatory approval of our product candidates.</w:t>
      </w:r>
    </w:p>
    <w:p>
      <w:pPr>
        <w:spacing w:after="0" w:line="169" w:lineRule="exact"/>
        <w:rPr>
          <w:sz w:val="20"/>
          <w:szCs w:val="20"/>
          <w:color w:val="auto"/>
        </w:rPr>
      </w:pPr>
    </w:p>
    <w:p>
      <w:pPr>
        <w:ind w:right="20" w:firstLine="721"/>
        <w:spacing w:after="0" w:line="275" w:lineRule="auto"/>
        <w:rPr>
          <w:sz w:val="20"/>
          <w:szCs w:val="20"/>
          <w:color w:val="auto"/>
        </w:rPr>
      </w:pPr>
      <w:r>
        <w:rPr>
          <w:rFonts w:ascii="Arial" w:cs="Arial" w:eastAsia="Arial" w:hAnsi="Arial"/>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43" w:lineRule="exact"/>
        <w:rPr>
          <w:sz w:val="20"/>
          <w:szCs w:val="20"/>
          <w:color w:val="auto"/>
        </w:rPr>
      </w:pPr>
    </w:p>
    <w:p>
      <w:pPr>
        <w:ind w:right="40" w:firstLine="557"/>
        <w:spacing w:after="0" w:line="245" w:lineRule="auto"/>
        <w:rPr>
          <w:sz w:val="20"/>
          <w:szCs w:val="20"/>
          <w:color w:val="auto"/>
        </w:rPr>
      </w:pPr>
      <w:r>
        <w:rPr>
          <w:rFonts w:ascii="Arial" w:cs="Arial" w:eastAsia="Arial" w:hAnsi="Arial"/>
          <w:sz w:val="20"/>
          <w:szCs w:val="20"/>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w:t>
      </w:r>
    </w:p>
    <w:p>
      <w:pPr>
        <w:spacing w:after="0" w:line="201" w:lineRule="exact"/>
        <w:rPr>
          <w:sz w:val="20"/>
          <w:szCs w:val="20"/>
          <w:color w:val="auto"/>
        </w:rPr>
      </w:pPr>
    </w:p>
    <w:p>
      <w:pPr>
        <w:jc w:val="both"/>
        <w:ind w:right="940" w:firstLine="563"/>
        <w:spacing w:after="0" w:line="364" w:lineRule="auto"/>
        <w:rPr>
          <w:sz w:val="20"/>
          <w:szCs w:val="20"/>
          <w:color w:val="auto"/>
        </w:rPr>
      </w:pPr>
      <w:r>
        <w:rPr>
          <w:rFonts w:ascii="Arial" w:cs="Arial" w:eastAsia="Arial" w:hAnsi="Arial"/>
          <w:sz w:val="17"/>
          <w:szCs w:val="17"/>
          <w:color w:val="auto"/>
        </w:rPr>
        <w:t>The continuing efforts of the government, insurance companies, pharmacy benefit managers, managed care organizations and other payers of healthcare services to contain or reduce costs of healthcare may adversely affect:</w:t>
      </w:r>
    </w:p>
    <w:p>
      <w:pPr>
        <w:spacing w:after="0" w:line="1" w:lineRule="exact"/>
        <w:rPr>
          <w:sz w:val="20"/>
          <w:szCs w:val="20"/>
          <w:color w:val="auto"/>
        </w:rPr>
      </w:pPr>
    </w:p>
    <w:p>
      <w:pPr>
        <w:ind w:left="920" w:hanging="192"/>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demand for any of our product candidates, if approved;</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ability to set a price that we believe is fair for any of our product candidates, if approved;</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generate revenues and achieve or maintain profitability;</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level of taxes that we are required to pay; and</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availability of capital.</w:t>
      </w:r>
    </w:p>
    <w:p>
      <w:pPr>
        <w:spacing w:after="0" w:line="240" w:lineRule="exact"/>
        <w:rPr>
          <w:sz w:val="20"/>
          <w:szCs w:val="20"/>
          <w:color w:val="auto"/>
        </w:rPr>
      </w:pPr>
    </w:p>
    <w:p>
      <w:pPr>
        <w:ind w:right="180" w:firstLine="557"/>
        <w:spacing w:after="0" w:line="300" w:lineRule="auto"/>
        <w:rPr>
          <w:sz w:val="20"/>
          <w:szCs w:val="20"/>
          <w:color w:val="auto"/>
        </w:rPr>
      </w:pPr>
      <w:r>
        <w:rPr>
          <w:rFonts w:ascii="Arial" w:cs="Arial" w:eastAsia="Arial" w:hAnsi="Arial"/>
          <w:sz w:val="18"/>
          <w:szCs w:val="18"/>
          <w:color w:val="auto"/>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w:t>
      </w:r>
    </w:p>
    <w:p>
      <w:pPr>
        <w:sectPr>
          <w:pgSz w:w="12240" w:h="15840" w:orient="portrait"/>
          <w:cols w:equalWidth="0" w:num="1">
            <w:col w:w="10120"/>
          </w:cols>
          <w:pgMar w:left="1000" w:top="1060" w:right="1120" w:bottom="21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2240" w:h="15840" w:orient="portrait"/>
          <w:cols w:equalWidth="0" w:num="1">
            <w:col w:w="10120"/>
          </w:cols>
          <w:pgMar w:left="1000" w:top="1060" w:right="1120" w:bottom="210" w:gutter="0" w:footer="0" w:header="0"/>
          <w:type w:val="continuous"/>
        </w:sectPr>
      </w:pPr>
    </w:p>
    <w:bookmarkStart w:id="72" w:name="page73"/>
    <w:bookmarkEnd w:id="72"/>
    <w:p>
      <w:pPr>
        <w:ind w:right="1100"/>
        <w:spacing w:after="0" w:line="277" w:lineRule="auto"/>
        <w:rPr>
          <w:sz w:val="20"/>
          <w:szCs w:val="20"/>
          <w:color w:val="auto"/>
        </w:rPr>
      </w:pPr>
      <w:r>
        <w:rPr>
          <w:rFonts w:ascii="Arial" w:cs="Arial" w:eastAsia="Arial" w:hAnsi="Arial"/>
          <w:sz w:val="20"/>
          <w:szCs w:val="20"/>
          <w:color w:val="auto"/>
        </w:rPr>
        <w:t>marketing approval, as well as subject us to more stringent product labeling and post-marketing testing and other requirements.</w:t>
      </w:r>
    </w:p>
    <w:p>
      <w:pPr>
        <w:spacing w:after="0" w:line="169" w:lineRule="exact"/>
        <w:rPr>
          <w:sz w:val="20"/>
          <w:szCs w:val="20"/>
          <w:color w:val="auto"/>
        </w:rPr>
      </w:pPr>
    </w:p>
    <w:p>
      <w:pPr>
        <w:ind w:right="20" w:firstLine="557"/>
        <w:spacing w:after="0" w:line="276" w:lineRule="auto"/>
        <w:rPr>
          <w:sz w:val="20"/>
          <w:szCs w:val="20"/>
          <w:color w:val="auto"/>
        </w:rPr>
      </w:pPr>
      <w:r>
        <w:rPr>
          <w:rFonts w:ascii="Arial" w:cs="Arial" w:eastAsia="Arial" w:hAnsi="Arial"/>
          <w:sz w:val="18"/>
          <w:szCs w:val="18"/>
          <w:color w:val="auto"/>
        </w:rPr>
        <w:t>On August 16, 2022, President Biden signed into law the Inflation Reduction Act of 2022, or IRA, which, among other provisions, included several measures intended to lower the cost of prescription drugs and related healthcare reforms. This 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valuation of the company could be negatively impacted.</w:t>
      </w:r>
    </w:p>
    <w:p>
      <w:pPr>
        <w:spacing w:after="0" w:line="175" w:lineRule="exact"/>
        <w:rPr>
          <w:sz w:val="20"/>
          <w:szCs w:val="20"/>
          <w:color w:val="auto"/>
        </w:rPr>
      </w:pPr>
    </w:p>
    <w:p>
      <w:pPr>
        <w:ind w:firstLine="557"/>
        <w:spacing w:after="0" w:line="271" w:lineRule="auto"/>
        <w:rPr>
          <w:sz w:val="20"/>
          <w:szCs w:val="20"/>
          <w:color w:val="auto"/>
        </w:rPr>
      </w:pPr>
      <w:r>
        <w:rPr>
          <w:rFonts w:ascii="Arial" w:cs="Arial" w:eastAsia="Arial" w:hAnsi="Arial"/>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78" w:lineRule="exact"/>
        <w:rPr>
          <w:sz w:val="20"/>
          <w:szCs w:val="20"/>
          <w:color w:val="auto"/>
        </w:rPr>
      </w:pPr>
    </w:p>
    <w:p>
      <w:pPr>
        <w:ind w:right="80" w:firstLine="557"/>
        <w:spacing w:after="0" w:line="303" w:lineRule="auto"/>
        <w:rPr>
          <w:sz w:val="20"/>
          <w:szCs w:val="20"/>
          <w:color w:val="auto"/>
        </w:rPr>
      </w:pPr>
      <w:r>
        <w:rPr>
          <w:rFonts w:ascii="Arial" w:cs="Arial" w:eastAsia="Arial" w:hAnsi="Arial"/>
          <w:sz w:val="17"/>
          <w:szCs w:val="17"/>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implemented regulations designed to encourage importation of drugs from other countries and bulk purchasing.</w:t>
      </w:r>
    </w:p>
    <w:p>
      <w:pPr>
        <w:spacing w:after="0" w:line="156" w:lineRule="exact"/>
        <w:rPr>
          <w:sz w:val="20"/>
          <w:szCs w:val="20"/>
          <w:color w:val="auto"/>
        </w:rPr>
      </w:pPr>
    </w:p>
    <w:p>
      <w:pPr>
        <w:ind w:firstLine="557"/>
        <w:spacing w:after="0" w:line="244" w:lineRule="auto"/>
        <w:rPr>
          <w:sz w:val="20"/>
          <w:szCs w:val="20"/>
          <w:color w:val="auto"/>
        </w:rPr>
      </w:pPr>
      <w:r>
        <w:rPr>
          <w:rFonts w:ascii="Arial" w:cs="Arial" w:eastAsia="Arial" w:hAnsi="Arial"/>
          <w:sz w:val="20"/>
          <w:szCs w:val="20"/>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Recent CMS proposals, including the GLOBE, GUARD, and GENEROUS, could materially impact the Company’s revenue.</w:t>
      </w:r>
    </w:p>
    <w:p>
      <w:pPr>
        <w:spacing w:after="0" w:line="206" w:lineRule="exact"/>
        <w:rPr>
          <w:sz w:val="20"/>
          <w:szCs w:val="20"/>
          <w:color w:val="auto"/>
        </w:rPr>
      </w:pPr>
    </w:p>
    <w:p>
      <w:pPr>
        <w:ind w:right="60" w:firstLine="557"/>
        <w:spacing w:after="0" w:line="280" w:lineRule="auto"/>
        <w:rPr>
          <w:sz w:val="20"/>
          <w:szCs w:val="20"/>
          <w:color w:val="auto"/>
        </w:rPr>
      </w:pPr>
      <w:r>
        <w:rPr>
          <w:rFonts w:ascii="Arial" w:cs="Arial" w:eastAsia="Arial" w:hAnsi="Arial"/>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including pharmacy benefit managers, the increasing influence of health maintenance organizations, cost containment initiatives and additional legislative changes.</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drugs and decrease our ability to generate revenue.</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2240" w:h="15840" w:orient="portrait"/>
          <w:cols w:equalWidth="0" w:num="1">
            <w:col w:w="10140"/>
          </w:cols>
          <w:pgMar w:left="1000" w:top="1060" w:right="1100" w:bottom="210" w:gutter="0" w:footer="0" w:header="0"/>
          <w:type w:val="continuous"/>
        </w:sectPr>
      </w:pPr>
    </w:p>
    <w:bookmarkStart w:id="73" w:name="page74"/>
    <w:bookmarkEnd w:id="73"/>
    <w:p>
      <w:pPr>
        <w:ind w:right="40" w:firstLine="563"/>
        <w:spacing w:after="0" w:line="280"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For more information regarding insurance coverage and reimbursement please see “Business – Government Regulation – Insurance Coverage and Reimbursement.”</w:t>
      </w:r>
    </w:p>
    <w:p>
      <w:pPr>
        <w:spacing w:after="0" w:line="171" w:lineRule="exact"/>
        <w:rPr>
          <w:sz w:val="20"/>
          <w:szCs w:val="20"/>
          <w:color w:val="auto"/>
        </w:rPr>
      </w:pPr>
    </w:p>
    <w:p>
      <w:pPr>
        <w:ind w:right="200" w:firstLine="556"/>
        <w:spacing w:after="0" w:line="252" w:lineRule="auto"/>
        <w:rPr>
          <w:sz w:val="20"/>
          <w:szCs w:val="20"/>
          <w:color w:val="auto"/>
        </w:rPr>
      </w:pPr>
      <w:r>
        <w:rPr>
          <w:rFonts w:ascii="Arial" w:cs="Arial" w:eastAsia="Arial" w:hAnsi="Arial"/>
          <w:sz w:val="20"/>
          <w:szCs w:val="20"/>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8" w:lineRule="exact"/>
        <w:rPr>
          <w:sz w:val="20"/>
          <w:szCs w:val="20"/>
          <w:color w:val="auto"/>
        </w:rPr>
      </w:pPr>
    </w:p>
    <w:p>
      <w:pPr>
        <w:ind w:left="920" w:hanging="192"/>
        <w:spacing w:after="0"/>
        <w:tabs>
          <w:tab w:leader="none" w:pos="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covered benefit under its health plan;</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safe, effective and medically necessary;</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appropriate for the specific patient;</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cost-effective; and</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neither experimental nor investigational.</w:t>
      </w:r>
    </w:p>
    <w:p>
      <w:pPr>
        <w:spacing w:after="0" w:line="240" w:lineRule="exact"/>
        <w:rPr>
          <w:sz w:val="20"/>
          <w:szCs w:val="20"/>
          <w:color w:val="auto"/>
        </w:rPr>
      </w:pPr>
    </w:p>
    <w:p>
      <w:pPr>
        <w:ind w:right="160" w:firstLine="556"/>
        <w:spacing w:after="0" w:line="311" w:lineRule="auto"/>
        <w:rPr>
          <w:sz w:val="20"/>
          <w:szCs w:val="20"/>
          <w:color w:val="auto"/>
        </w:rPr>
      </w:pPr>
      <w:r>
        <w:rPr>
          <w:rFonts w:ascii="Arial" w:cs="Arial" w:eastAsia="Arial" w:hAnsi="Arial"/>
          <w:sz w:val="17"/>
          <w:szCs w:val="17"/>
          <w:color w:val="auto"/>
        </w:rPr>
        <w:t>Even if we obtain coverage for our product candidates by a third- party payor, the resulting reimbursement payment rates may not be adequate or may require co-payments that patients find unacceptably high. We cannot be sure that coverage and reimbursement in the U.S., the European Union or elsewhere will be available for our product candidates or any product that we may develop, and any reimbursement that may become available may be decreased or eliminated in the future.</w:t>
      </w:r>
    </w:p>
    <w:p>
      <w:pPr>
        <w:spacing w:after="0" w:line="147" w:lineRule="exact"/>
        <w:rPr>
          <w:sz w:val="20"/>
          <w:szCs w:val="20"/>
          <w:color w:val="auto"/>
        </w:rPr>
      </w:pPr>
    </w:p>
    <w:p>
      <w:pPr>
        <w:ind w:right="60" w:firstLine="556"/>
        <w:spacing w:after="0" w:line="274" w:lineRule="auto"/>
        <w:rPr>
          <w:sz w:val="20"/>
          <w:szCs w:val="20"/>
          <w:color w:val="auto"/>
        </w:rPr>
      </w:pPr>
      <w:r>
        <w:rPr>
          <w:rFonts w:ascii="Arial" w:cs="Arial" w:eastAsia="Arial" w:hAnsi="Arial"/>
          <w:sz w:val="18"/>
          <w:szCs w:val="18"/>
          <w:color w:val="auto"/>
        </w:rPr>
        <w:t>There is significant uncertainty related to the insurance coverage and reimbursement of newly-approved products. In the U.S., third-party payors, and governmental healthcare plans,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Outside the U.S., international operations are generally subject to extensive governmental price controls and other market regulations, and we believe the increasing emphasis on cost-containment initiatives in Europe and other foreign jurisdictions will put pressure on the pricing and usage of our product candidates (if approved by regulators).</w:t>
      </w:r>
    </w:p>
    <w:p>
      <w:pPr>
        <w:spacing w:after="0" w:line="176" w:lineRule="exact"/>
        <w:rPr>
          <w:sz w:val="20"/>
          <w:szCs w:val="20"/>
          <w:color w:val="auto"/>
        </w:rPr>
      </w:pPr>
    </w:p>
    <w:p>
      <w:pPr>
        <w:ind w:right="40" w:firstLine="556"/>
        <w:spacing w:after="0" w:line="278" w:lineRule="auto"/>
        <w:rPr>
          <w:sz w:val="20"/>
          <w:szCs w:val="20"/>
          <w:color w:val="auto"/>
        </w:rPr>
      </w:pPr>
      <w:r>
        <w:rPr>
          <w:rFonts w:ascii="Arial" w:cs="Arial" w:eastAsia="Arial" w:hAnsi="Arial"/>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72" w:lineRule="exact"/>
        <w:rPr>
          <w:sz w:val="20"/>
          <w:szCs w:val="20"/>
          <w:color w:val="auto"/>
        </w:rPr>
      </w:pPr>
    </w:p>
    <w:p>
      <w:pPr>
        <w:ind w:right="220"/>
        <w:spacing w:after="0" w:line="325"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 -kickback,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 w:lineRule="exact"/>
        <w:rPr>
          <w:sz w:val="20"/>
          <w:szCs w:val="20"/>
          <w:color w:val="auto"/>
        </w:rPr>
      </w:pPr>
    </w:p>
    <w:p>
      <w:pPr>
        <w:ind w:firstLine="556"/>
        <w:spacing w:after="0" w:line="260" w:lineRule="auto"/>
        <w:rPr>
          <w:sz w:val="20"/>
          <w:szCs w:val="20"/>
          <w:color w:val="auto"/>
        </w:rPr>
      </w:pPr>
      <w:r>
        <w:rPr>
          <w:rFonts w:ascii="Arial" w:cs="Arial" w:eastAsia="Arial" w:hAnsi="Arial"/>
          <w:sz w:val="19"/>
          <w:szCs w:val="19"/>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may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the section entitled “</w:t>
      </w:r>
      <w:r>
        <w:rPr>
          <w:rFonts w:ascii="Arial" w:cs="Arial" w:eastAsia="Arial" w:hAnsi="Arial"/>
          <w:sz w:val="19"/>
          <w:szCs w:val="19"/>
          <w:i w:val="1"/>
          <w:iCs w:val="1"/>
          <w:color w:val="auto"/>
        </w:rPr>
        <w:t>Business – Other healthcare laws</w:t>
      </w:r>
      <w:r>
        <w:rPr>
          <w:rFonts w:ascii="Arial" w:cs="Arial" w:eastAsia="Arial" w:hAnsi="Arial"/>
          <w:sz w:val="19"/>
          <w:szCs w:val="19"/>
          <w:color w:val="auto"/>
        </w:rPr>
        <w:t>."</w:t>
      </w:r>
    </w:p>
    <w:p>
      <w:pPr>
        <w:spacing w:after="0" w:line="186" w:lineRule="exact"/>
        <w:rPr>
          <w:sz w:val="20"/>
          <w:szCs w:val="20"/>
          <w:color w:val="auto"/>
        </w:rPr>
      </w:pPr>
    </w:p>
    <w:p>
      <w:pPr>
        <w:ind w:right="720" w:firstLine="556"/>
        <w:spacing w:after="0" w:line="336"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w:t>
      </w:r>
    </w:p>
    <w:p>
      <w:pPr>
        <w:sectPr>
          <w:pgSz w:w="12240" w:h="15840" w:orient="portrait"/>
          <w:cols w:equalWidth="0" w:num="1">
            <w:col w:w="10140"/>
          </w:cols>
          <w:pgMar w:left="1000" w:top="1060" w:right="1100" w:bottom="21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2240" w:h="15840" w:orient="portrait"/>
          <w:cols w:equalWidth="0" w:num="1">
            <w:col w:w="10140"/>
          </w:cols>
          <w:pgMar w:left="1000" w:top="1060" w:right="1100" w:bottom="210" w:gutter="0" w:footer="0" w:header="0"/>
          <w:type w:val="continuous"/>
        </w:sectPr>
      </w:pPr>
    </w:p>
    <w:bookmarkStart w:id="74" w:name="page75"/>
    <w:bookmarkEnd w:id="74"/>
    <w:p>
      <w:pPr>
        <w:spacing w:after="0" w:line="257" w:lineRule="auto"/>
        <w:rPr>
          <w:sz w:val="20"/>
          <w:szCs w:val="20"/>
          <w:color w:val="auto"/>
        </w:rPr>
      </w:pPr>
      <w:r>
        <w:rPr>
          <w:rFonts w:ascii="Arial" w:cs="Arial" w:eastAsia="Arial" w:hAnsi="Arial"/>
          <w:sz w:val="19"/>
          <w:szCs w:val="19"/>
          <w:color w:val="auto"/>
        </w:rPr>
        <w:t>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92" w:lineRule="exact"/>
        <w:rPr>
          <w:sz w:val="20"/>
          <w:szCs w:val="20"/>
          <w:color w:val="auto"/>
        </w:rPr>
      </w:pPr>
    </w:p>
    <w:p>
      <w:pPr>
        <w:ind w:right="640"/>
        <w:spacing w:after="0" w:line="33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 w:lineRule="exact"/>
        <w:rPr>
          <w:sz w:val="20"/>
          <w:szCs w:val="20"/>
          <w:color w:val="auto"/>
        </w:rPr>
      </w:pPr>
    </w:p>
    <w:p>
      <w:pPr>
        <w:ind w:right="140" w:firstLine="557"/>
        <w:spacing w:after="0" w:line="260" w:lineRule="auto"/>
        <w:rPr>
          <w:sz w:val="20"/>
          <w:szCs w:val="20"/>
          <w:color w:val="auto"/>
        </w:rPr>
      </w:pPr>
      <w:r>
        <w:rPr>
          <w:rFonts w:ascii="Arial" w:cs="Arial" w:eastAsia="Arial" w:hAnsi="Arial"/>
          <w:sz w:val="19"/>
          <w:szCs w:val="19"/>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appropriately licensed and permitted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6" w:lineRule="exact"/>
        <w:rPr>
          <w:sz w:val="20"/>
          <w:szCs w:val="20"/>
          <w:color w:val="auto"/>
        </w:rPr>
      </w:pPr>
    </w:p>
    <w:p>
      <w:pPr>
        <w:ind w:right="140" w:firstLine="557"/>
        <w:spacing w:after="0" w:line="270" w:lineRule="auto"/>
        <w:rPr>
          <w:sz w:val="20"/>
          <w:szCs w:val="20"/>
          <w:color w:val="auto"/>
        </w:rPr>
      </w:pPr>
      <w:r>
        <w:rPr>
          <w:rFonts w:ascii="Arial" w:cs="Arial" w:eastAsia="Arial" w:hAnsi="Arial"/>
          <w:sz w:val="19"/>
          <w:szCs w:val="19"/>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7"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5" w:lineRule="exact"/>
        <w:rPr>
          <w:sz w:val="20"/>
          <w:szCs w:val="20"/>
          <w:color w:val="auto"/>
        </w:rPr>
      </w:pPr>
    </w:p>
    <w:p>
      <w:pPr>
        <w:ind w:right="60" w:firstLine="563"/>
        <w:spacing w:after="0" w:line="270"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 and GCPs for any clinical trials that we conduct post-approval and pharmacovigilance reporting obligations. Manufacturers and other entities involved in the manufacture and distribution of approved drugs,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including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 marketing studies, including Phase 4 clinical trials, and surveillance to monitor the safety and efficacy of the product. The FDA may also require a REMS in order to approve our product candidates, which could include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1" w:lineRule="exact"/>
        <w:rPr>
          <w:sz w:val="20"/>
          <w:szCs w:val="20"/>
          <w:color w:val="auto"/>
        </w:rPr>
      </w:pPr>
    </w:p>
    <w:p>
      <w:pPr>
        <w:ind w:left="720" w:right="580" w:firstLine="8"/>
        <w:spacing w:after="0" w:line="278" w:lineRule="auto"/>
        <w:tabs>
          <w:tab w:leader="none" w:pos="912"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20"/>
          <w:szCs w:val="20"/>
          <w:color w:val="auto"/>
        </w:rPr>
      </w:pPr>
    </w:p>
    <w:p>
      <w:pPr>
        <w:ind w:left="720" w:right="80" w:firstLine="8"/>
        <w:spacing w:after="0" w:line="278" w:lineRule="auto"/>
        <w:tabs>
          <w:tab w:leader="none" w:pos="912"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manufacturing delays and supply disruptions where regulatory inspections identify observations of noncompliance requiring remediation;</w:t>
      </w:r>
    </w:p>
    <w:p>
      <w:pPr>
        <w:sectPr>
          <w:pgSz w:w="12240" w:h="15840" w:orient="portrait"/>
          <w:cols w:equalWidth="0" w:num="1">
            <w:col w:w="10160"/>
          </w:cols>
          <w:pgMar w:left="1000" w:top="1060" w:right="1080" w:bottom="21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2240" w:h="15840" w:orient="portrait"/>
          <w:cols w:equalWidth="0" w:num="1">
            <w:col w:w="10160"/>
          </w:cols>
          <w:pgMar w:left="1000" w:top="1060" w:right="1080" w:bottom="210" w:gutter="0" w:footer="0" w:header="0"/>
          <w:type w:val="continuous"/>
        </w:sectPr>
      </w:pPr>
    </w:p>
    <w:bookmarkStart w:id="75" w:name="page76"/>
    <w:bookmarkEnd w:id="75"/>
    <w:p>
      <w:pPr>
        <w:ind w:left="720" w:right="1080" w:firstLine="8"/>
        <w:spacing w:after="0" w:line="278" w:lineRule="auto"/>
        <w:tabs>
          <w:tab w:leader="none" w:pos="912"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revisions to the labeling, including limitation on approved uses or the addition of additional warnings, contraindications or other safety information, including boxed warnings;</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imposition of a REMS which may include distribution or use restrictions;</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requirements to conduct additional post-market clinical trials to assess the safety of the product;</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clinical trial holds;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fines, FDA Form 483s, untitled letters, warning letters or other regulatory enforcement action;</w:t>
      </w:r>
    </w:p>
    <w:p>
      <w:pPr>
        <w:spacing w:after="0" w:line="134" w:lineRule="exact"/>
        <w:rPr>
          <w:rFonts w:ascii="Arial" w:cs="Arial" w:eastAsia="Arial" w:hAnsi="Arial"/>
          <w:sz w:val="20"/>
          <w:szCs w:val="20"/>
          <w:color w:val="auto"/>
        </w:rPr>
      </w:pPr>
    </w:p>
    <w:p>
      <w:pPr>
        <w:ind w:left="720" w:right="680" w:firstLine="8"/>
        <w:spacing w:after="0" w:line="278" w:lineRule="auto"/>
        <w:tabs>
          <w:tab w:leader="none" w:pos="912"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refusal by the FDA to approve pending applications or supplements to approved applications filed by us or suspension or revocation of approvals;</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 and</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40" w:lineRule="exact"/>
        <w:rPr>
          <w:sz w:val="20"/>
          <w:szCs w:val="20"/>
          <w:color w:val="auto"/>
        </w:rPr>
      </w:pPr>
    </w:p>
    <w:p>
      <w:pPr>
        <w:ind w:firstLine="557"/>
        <w:spacing w:after="0" w:line="280" w:lineRule="auto"/>
        <w:rPr>
          <w:sz w:val="20"/>
          <w:szCs w:val="20"/>
          <w:color w:val="auto"/>
        </w:rPr>
      </w:pPr>
      <w:r>
        <w:rPr>
          <w:rFonts w:ascii="Arial" w:cs="Arial" w:eastAsia="Arial" w:hAnsi="Arial"/>
          <w:sz w:val="18"/>
          <w:szCs w:val="18"/>
          <w:color w:val="auto"/>
        </w:rPr>
        <w:t>The FDA’s and other regulatory authorities’ policies may change and additional governmental laws or regulations may be enacted that could prevent, limit or delay regulatory approval of our product candidates. In addition, FDA guidance and policies are often revised or reinterpreted by the agency in ways that may significantly affect the manner in which drug products are regulated and marketed.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1" w:lineRule="exact"/>
        <w:rPr>
          <w:sz w:val="20"/>
          <w:szCs w:val="20"/>
          <w:color w:val="auto"/>
        </w:rPr>
      </w:pPr>
    </w:p>
    <w:p>
      <w:pPr>
        <w:ind w:right="140"/>
        <w:spacing w:after="0" w:line="278" w:lineRule="auto"/>
        <w:rPr>
          <w:sz w:val="20"/>
          <w:szCs w:val="20"/>
          <w:color w:val="auto"/>
        </w:rPr>
      </w:pPr>
      <w:r>
        <w:rPr>
          <w:rFonts w:ascii="Arial" w:cs="Arial" w:eastAsia="Arial" w:hAnsi="Arial"/>
          <w:sz w:val="20"/>
          <w:szCs w:val="20"/>
          <w:b w:val="1"/>
          <w:bCs w:val="1"/>
          <w:i w:val="1"/>
          <w:iCs w:val="1"/>
          <w:color w:val="auto"/>
        </w:rPr>
        <w:t>European data collection is governed by restrictive regulations governing the use, processing and cross-border transfer of personal information.</w:t>
      </w:r>
    </w:p>
    <w:p>
      <w:pPr>
        <w:spacing w:after="0" w:line="48" w:lineRule="exact"/>
        <w:rPr>
          <w:sz w:val="20"/>
          <w:szCs w:val="20"/>
          <w:color w:val="auto"/>
        </w:rPr>
      </w:pPr>
    </w:p>
    <w:p>
      <w:pPr>
        <w:ind w:firstLine="557"/>
        <w:spacing w:after="0" w:line="273" w:lineRule="auto"/>
        <w:rPr>
          <w:sz w:val="20"/>
          <w:szCs w:val="20"/>
          <w:color w:val="auto"/>
        </w:rPr>
      </w:pPr>
      <w:r>
        <w:rPr>
          <w:rFonts w:ascii="Arial" w:cs="Arial" w:eastAsia="Arial" w:hAnsi="Arial"/>
          <w:sz w:val="18"/>
          <w:szCs w:val="18"/>
          <w:color w:val="auto"/>
        </w:rPr>
        <w:t>We are conducting and plan to conduct additional clinical trials and enroll subjects in our current or future clinical trials in the U.S. and Europe (and elsewhere), and therefore we will be subject to privacy restrictions. The collection, use, storage, disclosure, transfer, or other processing of personal data regarding individuals in the EEA, including personal health data, is subject to the EU GDPR and similarly, processing of personal data regarding individuals in the UK is subject to the UK General Data Protection Regulation and the UK Data Protection Act 2018, or UK GDPR (and together with the EU GDPR, the GDPR). The GDPR is wide-ranging in scope and imposes numerous requirements on companies that process personal data, including strict requirements relating to processing health and other sensitive data, ensuring that there is a legal basis or condition to justify the processing of personal data, stringent requirements relating to the consent of the individuals to whom the personal data relates (where applicable),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180" w:lineRule="exact"/>
        <w:rPr>
          <w:sz w:val="20"/>
          <w:szCs w:val="20"/>
          <w:color w:val="auto"/>
        </w:rPr>
      </w:pPr>
    </w:p>
    <w:p>
      <w:pPr>
        <w:ind w:right="40" w:firstLine="557"/>
        <w:spacing w:after="0" w:line="260" w:lineRule="auto"/>
        <w:rPr>
          <w:sz w:val="20"/>
          <w:szCs w:val="20"/>
          <w:color w:val="auto"/>
        </w:rPr>
      </w:pPr>
      <w:r>
        <w:rPr>
          <w:rFonts w:ascii="Arial" w:cs="Arial" w:eastAsia="Arial" w:hAnsi="Arial"/>
          <w:sz w:val="19"/>
          <w:szCs w:val="19"/>
          <w:color w:val="auto"/>
        </w:rPr>
        <w:t>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or SCCs, and the UK International Data Transfer Agreement/Addendum, or UK IDTA) has been put in place). Where relying on the SCCs or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ind w:firstLine="557"/>
        <w:spacing w:after="0" w:line="257" w:lineRule="auto"/>
        <w:rPr>
          <w:sz w:val="20"/>
          <w:szCs w:val="20"/>
          <w:color w:val="auto"/>
        </w:rPr>
      </w:pPr>
      <w:r>
        <w:rPr>
          <w:rFonts w:ascii="Arial" w:cs="Arial" w:eastAsia="Arial" w:hAnsi="Arial"/>
          <w:sz w:val="19"/>
          <w:szCs w:val="19"/>
          <w:color w:val="auto"/>
        </w:rPr>
        <w:t>Failure to comply with the GDPR, and any supplemental EEA Member State or UK national data protection laws which may apply by virtue of the location of the individuals whose personal data we collect, may result in substantial penalties to which we could be subject in the event of any non-compliance, including potential fines of up to the greater of €20 million (£17.5 million under the UK GDPR)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 While we have implemented procedures to comply with the GDPR, maintaining ongoing compliance with these regulations will be a rigorous and time -intensive process that we expect will increase our cost of doing business and require us to continue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EU GDPR in a different manner, making compliance in certain countries and across the EEA challenging.</w:t>
      </w:r>
    </w:p>
    <w:p>
      <w:pPr>
        <w:sectPr>
          <w:pgSz w:w="12240" w:h="15840" w:orient="portrait"/>
          <w:cols w:equalWidth="0" w:num="1">
            <w:col w:w="10140"/>
          </w:cols>
          <w:pgMar w:left="1000" w:top="1075" w:right="1100" w:bottom="21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2240" w:h="15840" w:orient="portrait"/>
          <w:cols w:equalWidth="0" w:num="1">
            <w:col w:w="10140"/>
          </w:cols>
          <w:pgMar w:left="1000" w:top="1075" w:right="1100" w:bottom="210" w:gutter="0" w:footer="0" w:header="0"/>
          <w:type w:val="continuous"/>
        </w:sectPr>
      </w:pPr>
    </w:p>
    <w:bookmarkStart w:id="76" w:name="page77"/>
    <w:bookmarkEnd w:id="76"/>
    <w:p>
      <w:pPr>
        <w:ind w:right="40" w:firstLine="557"/>
        <w:spacing w:after="0" w:line="272" w:lineRule="auto"/>
        <w:rPr>
          <w:sz w:val="20"/>
          <w:szCs w:val="20"/>
          <w:color w:val="auto"/>
        </w:rPr>
      </w:pPr>
      <w:r>
        <w:rPr>
          <w:rFonts w:ascii="Arial" w:cs="Arial" w:eastAsia="Arial" w:hAnsi="Arial"/>
          <w:sz w:val="18"/>
          <w:szCs w:val="18"/>
          <w:color w:val="auto"/>
        </w:rPr>
        <w:t>The UK’s data protection regime is independent from but aligned to the EU’s data protection regime. Although the UK is regarded as a third country under the EU’s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However, the UK government is planning to reform its data protection law with the Data (Use and Access) Bill, which it introduced to Parliament on October 24, 2024.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8" w:lineRule="exact"/>
        <w:rPr>
          <w:sz w:val="20"/>
          <w:szCs w:val="20"/>
          <w:color w:val="auto"/>
        </w:rPr>
      </w:pPr>
    </w:p>
    <w:p>
      <w:pPr>
        <w:ind w:firstLine="556"/>
        <w:spacing w:after="0" w:line="276"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5" w:lineRule="exact"/>
        <w:rPr>
          <w:sz w:val="20"/>
          <w:szCs w:val="20"/>
          <w:color w:val="auto"/>
        </w:rPr>
      </w:pPr>
    </w:p>
    <w:p>
      <w:pPr>
        <w:ind w:right="200" w:firstLine="556"/>
        <w:spacing w:after="0" w:line="265" w:lineRule="auto"/>
        <w:rPr>
          <w:sz w:val="20"/>
          <w:szCs w:val="20"/>
          <w:color w:val="auto"/>
        </w:rPr>
      </w:pPr>
      <w:r>
        <w:rPr>
          <w:rFonts w:ascii="Arial" w:cs="Arial" w:eastAsia="Arial" w:hAnsi="Arial"/>
          <w:sz w:val="19"/>
          <w:szCs w:val="19"/>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ind w:right="20" w:firstLine="556"/>
        <w:spacing w:after="0" w:line="247" w:lineRule="auto"/>
        <w:rPr>
          <w:sz w:val="20"/>
          <w:szCs w:val="20"/>
          <w:color w:val="auto"/>
        </w:rPr>
      </w:pPr>
      <w:r>
        <w:rPr>
          <w:rFonts w:ascii="Arial" w:cs="Arial" w:eastAsia="Arial" w:hAnsi="Arial"/>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00" w:lineRule="exact"/>
        <w:rPr>
          <w:sz w:val="20"/>
          <w:szCs w:val="20"/>
          <w:color w:val="auto"/>
        </w:rPr>
      </w:pPr>
    </w:p>
    <w:p>
      <w:pPr>
        <w:jc w:val="both"/>
        <w:ind w:right="160" w:firstLine="563"/>
        <w:spacing w:after="0" w:line="259" w:lineRule="auto"/>
        <w:rPr>
          <w:sz w:val="20"/>
          <w:szCs w:val="20"/>
          <w:color w:val="auto"/>
        </w:rPr>
      </w:pPr>
      <w:r>
        <w:rPr>
          <w:rFonts w:ascii="Arial" w:cs="Arial" w:eastAsia="Arial" w:hAnsi="Arial"/>
          <w:sz w:val="20"/>
          <w:szCs w:val="20"/>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5"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68" w:lineRule="exact"/>
        <w:rPr>
          <w:sz w:val="20"/>
          <w:szCs w:val="20"/>
          <w:color w:val="auto"/>
        </w:rPr>
      </w:pPr>
    </w:p>
    <w:p>
      <w:pPr>
        <w:ind w:right="40" w:firstLine="721"/>
        <w:spacing w:after="0" w:line="272" w:lineRule="auto"/>
        <w:rPr>
          <w:sz w:val="20"/>
          <w:szCs w:val="20"/>
          <w:color w:val="auto"/>
        </w:rPr>
      </w:pPr>
      <w:r>
        <w:rPr>
          <w:rFonts w:ascii="Arial" w:cs="Arial" w:eastAsia="Arial" w:hAnsi="Arial"/>
          <w:sz w:val="18"/>
          <w:szCs w:val="18"/>
          <w:color w:val="auto"/>
        </w:rPr>
        <w:t>We operate globally and, if approved, we may sell our products in countries throughout the world. Significant political, trade, or regulatory developments in the jurisdictions in which we conduct clinical trials, where we may seek to obtain approval of our products or where may sell our products (if approved by regulatory authorities for sale), such as those stemming from the change in U.S. federal administration, are difficult to predict and may have a material adverse effect on us and our operations. Similarly, changes in U.S. federal policy that affect the geopolitical landscape could give rise to circumstances outside our control that could have negative impacts on our business operations. For example, on February 1, 2025, the U.S. imposed a 25% tariff on imports from Canada and Mexico, which were subsequently suspended for a period of one month, and a 10% additional tariff on imports from China (we obtain certain drug product and API from vendors in China and our sole supplier of API is located in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2240" w:h="15840" w:orient="portrait"/>
          <w:cols w:equalWidth="0" w:num="1">
            <w:col w:w="10140"/>
          </w:cols>
          <w:pgMar w:left="1000" w:top="1060" w:right="1100" w:bottom="210" w:gutter="0" w:footer="0" w:header="0"/>
          <w:type w:val="continuous"/>
        </w:sectPr>
      </w:pPr>
    </w:p>
    <w:bookmarkStart w:id="77" w:name="page78"/>
    <w:bookmarkEnd w:id="77"/>
    <w:p>
      <w:pPr>
        <w:ind w:right="200"/>
        <w:spacing w:after="0" w:line="277" w:lineRule="auto"/>
        <w:rPr>
          <w:sz w:val="20"/>
          <w:szCs w:val="20"/>
          <w:color w:val="auto"/>
        </w:rPr>
      </w:pPr>
      <w:r>
        <w:rPr>
          <w:rFonts w:ascii="Arial" w:cs="Arial" w:eastAsia="Arial" w:hAnsi="Arial"/>
          <w:sz w:val="20"/>
          <w:szCs w:val="20"/>
          <w:color w:val="auto"/>
        </w:rPr>
        <w:t>financial markets. Any changes in political, trade, regulatory, and economic conditions, including U.S. trade policies, could have a material adverse effect on our financial condition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Employee Matters and Managing Anticipated Growth</w:t>
      </w:r>
    </w:p>
    <w:p>
      <w:pPr>
        <w:spacing w:after="0" w:line="242" w:lineRule="exact"/>
        <w:rPr>
          <w:sz w:val="20"/>
          <w:szCs w:val="20"/>
          <w:color w:val="auto"/>
        </w:rPr>
      </w:pPr>
    </w:p>
    <w:p>
      <w:pPr>
        <w:ind w:right="380"/>
        <w:spacing w:after="0" w:line="279" w:lineRule="auto"/>
        <w:rPr>
          <w:sz w:val="20"/>
          <w:szCs w:val="20"/>
          <w:color w:val="auto"/>
        </w:rPr>
      </w:pPr>
      <w:r>
        <w:rPr>
          <w:rFonts w:ascii="Arial" w:cs="Arial" w:eastAsia="Arial" w:hAnsi="Arial"/>
          <w:sz w:val="20"/>
          <w:szCs w:val="20"/>
          <w:b w:val="1"/>
          <w:bCs w:val="1"/>
          <w:i w:val="1"/>
          <w:iCs w:val="1"/>
          <w:color w:val="auto"/>
        </w:rPr>
        <w:t>Our future success depends on our ability to retain key executives and experienced scientists and to attract, retain and motivate qualified personnel.</w:t>
      </w:r>
    </w:p>
    <w:p>
      <w:pPr>
        <w:spacing w:after="0" w:line="47" w:lineRule="exact"/>
        <w:rPr>
          <w:sz w:val="20"/>
          <w:szCs w:val="20"/>
          <w:color w:val="auto"/>
        </w:rPr>
      </w:pPr>
    </w:p>
    <w:p>
      <w:pPr>
        <w:ind w:right="20" w:firstLine="556"/>
        <w:spacing w:after="0" w:line="276" w:lineRule="auto"/>
        <w:rPr>
          <w:sz w:val="20"/>
          <w:szCs w:val="20"/>
          <w:color w:val="auto"/>
        </w:rPr>
      </w:pPr>
      <w:r>
        <w:rPr>
          <w:rFonts w:ascii="Arial" w:cs="Arial" w:eastAsia="Arial" w:hAnsi="Arial"/>
          <w:sz w:val="18"/>
          <w:szCs w:val="18"/>
          <w:color w:val="auto"/>
        </w:rPr>
        <w:t>We are highly dependent on many of our key employees and members of our executive management team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5" w:lineRule="exact"/>
        <w:rPr>
          <w:sz w:val="20"/>
          <w:szCs w:val="20"/>
          <w:color w:val="auto"/>
        </w:rPr>
      </w:pPr>
    </w:p>
    <w:p>
      <w:pPr>
        <w:ind w:right="60" w:firstLine="556"/>
        <w:spacing w:after="0" w:line="272" w:lineRule="auto"/>
        <w:rPr>
          <w:sz w:val="20"/>
          <w:szCs w:val="20"/>
          <w:color w:val="auto"/>
        </w:rPr>
      </w:pPr>
      <w:r>
        <w:rPr>
          <w:rFonts w:ascii="Arial" w:cs="Arial" w:eastAsia="Arial" w:hAnsi="Arial"/>
          <w:sz w:val="18"/>
          <w:szCs w:val="18"/>
          <w:color w:val="auto"/>
        </w:rPr>
        <w:t>Recruiting and retaining qualified scientific, clinical, medical, regulatory, manufacturing and sales and marketing personnel is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and advance such candidates into registrational clinical trials, or delays experienced in such clinical trials, may make it more challenging to recruit and retain qualified scientific personnel.</w:t>
      </w:r>
    </w:p>
    <w:p>
      <w:pPr>
        <w:spacing w:after="0" w:line="185" w:lineRule="exact"/>
        <w:rPr>
          <w:sz w:val="20"/>
          <w:szCs w:val="20"/>
          <w:color w:val="auto"/>
        </w:rPr>
      </w:pPr>
    </w:p>
    <w:p>
      <w:pPr>
        <w:ind w:firstLine="556"/>
        <w:spacing w:after="0" w:line="280" w:lineRule="auto"/>
        <w:rPr>
          <w:sz w:val="20"/>
          <w:szCs w:val="20"/>
          <w:color w:val="auto"/>
        </w:rPr>
      </w:pPr>
      <w:r>
        <w:rPr>
          <w:rFonts w:ascii="Arial" w:cs="Arial" w:eastAsia="Arial" w:hAnsi="Arial"/>
          <w:sz w:val="18"/>
          <w:szCs w:val="18"/>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 quality personnel, the rate and success with which we can discover and develop product candidates and our business will be limited.</w:t>
      </w:r>
    </w:p>
    <w:p>
      <w:pPr>
        <w:spacing w:after="0" w:line="171" w:lineRule="exact"/>
        <w:rPr>
          <w:sz w:val="20"/>
          <w:szCs w:val="20"/>
          <w:color w:val="auto"/>
        </w:rPr>
      </w:pPr>
    </w:p>
    <w:p>
      <w:pPr>
        <w:ind w:right="520"/>
        <w:spacing w:after="0" w:line="278" w:lineRule="auto"/>
        <w:rPr>
          <w:sz w:val="20"/>
          <w:szCs w:val="20"/>
          <w:color w:val="auto"/>
        </w:rPr>
      </w:pPr>
      <w:r>
        <w:rPr>
          <w:rFonts w:ascii="Arial" w:cs="Arial" w:eastAsia="Arial" w:hAnsi="Arial"/>
          <w:sz w:val="19"/>
          <w:szCs w:val="19"/>
          <w:b w:val="1"/>
          <w:bCs w:val="1"/>
          <w:i w:val="1"/>
          <w:iCs w:val="1"/>
          <w:color w:val="auto"/>
        </w:rPr>
        <w:t>We may be unable to adequately protect our information technology systems from cyberattacks, cyber intrusions or otherwise which could result in damage to our information technology system and unauthorized disclosure or use of confidential or proprietary information, including personal data.</w:t>
      </w:r>
    </w:p>
    <w:p>
      <w:pPr>
        <w:spacing w:after="0" w:line="171" w:lineRule="exact"/>
        <w:rPr>
          <w:sz w:val="20"/>
          <w:szCs w:val="20"/>
          <w:color w:val="auto"/>
        </w:rPr>
      </w:pPr>
    </w:p>
    <w:p>
      <w:pPr>
        <w:ind w:right="120" w:firstLine="556"/>
        <w:spacing w:after="0" w:line="289"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health information in our day-to- day operations. In connection with our clinical trials, we (and our third party processors assisting with the clinical trials) may have access to or store clinical and health information of the patients participating in the trials and such information may be accessed as result of a cyberattack, cyber intrusion or otherwise.</w:t>
      </w:r>
    </w:p>
    <w:p>
      <w:pPr>
        <w:spacing w:after="0" w:line="163" w:lineRule="exact"/>
        <w:rPr>
          <w:sz w:val="20"/>
          <w:szCs w:val="20"/>
          <w:color w:val="auto"/>
        </w:rPr>
      </w:pPr>
    </w:p>
    <w:p>
      <w:pPr>
        <w:ind w:right="40" w:firstLine="556"/>
        <w:spacing w:after="0" w:line="272" w:lineRule="auto"/>
        <w:rPr>
          <w:sz w:val="20"/>
          <w:szCs w:val="20"/>
          <w:color w:val="auto"/>
        </w:rPr>
      </w:pPr>
      <w:r>
        <w:rPr>
          <w:rFonts w:ascii="Arial" w:cs="Arial" w:eastAsia="Arial" w:hAnsi="Arial"/>
          <w:sz w:val="18"/>
          <w:szCs w:val="18"/>
          <w:color w:val="auto"/>
        </w:rPr>
        <w:t>Like other companies in our industry, we, and our third-party vendors, have experienced threats and cybersecurity incidents relating to our information technology systems and infrastructure. A security breach, incident or compromise, whether through a successful cyberattack, cyber intrusion or otherwise,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ransomware, the theft, fraud, and subsequent misuse of employee credentials, wrongful conduct by insider employees or vendors, computer viruses, attacks enhanced or facilitated by AI, denial-of-service attacks, social engineering tactics (including phishing), wrongful intrusion, data breaches, or other means to threaten the security, confidentiality, integrity and availability of our information technology systems and data. A security incident, data breach, or compromise, whether through a successful cyberattack or otherwise, could cause serious negative consequences for us, including, without limitation, the disruption of operations, the misappropriation of confidential business information, including the compounds we are developing, our screening platform</w:t>
      </w:r>
    </w:p>
    <w:p>
      <w:pPr>
        <w:sectPr>
          <w:pgSz w:w="12240" w:h="15840" w:orient="portrait"/>
          <w:cols w:equalWidth="0" w:num="1">
            <w:col w:w="10080"/>
          </w:cols>
          <w:pgMar w:left="1000" w:top="1060" w:right="1160" w:bottom="210" w:gutter="0" w:footer="0" w:header="0"/>
        </w:sect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ectPr>
          <w:pgSz w:w="12240" w:h="15840" w:orient="portrait"/>
          <w:cols w:equalWidth="0" w:num="1">
            <w:col w:w="10080"/>
          </w:cols>
          <w:pgMar w:left="1000" w:top="1060" w:right="1160" w:bottom="210" w:gutter="0" w:footer="0" w:header="0"/>
          <w:type w:val="continuous"/>
        </w:sectPr>
      </w:pPr>
    </w:p>
    <w:bookmarkStart w:id="78" w:name="page79"/>
    <w:bookmarkEnd w:id="78"/>
    <w:p>
      <w:pPr>
        <w:spacing w:after="0" w:line="257" w:lineRule="auto"/>
        <w:rPr>
          <w:sz w:val="20"/>
          <w:szCs w:val="20"/>
          <w:color w:val="auto"/>
        </w:rPr>
      </w:pPr>
      <w:r>
        <w:rPr>
          <w:rFonts w:ascii="Arial" w:cs="Arial" w:eastAsia="Arial" w:hAnsi="Arial"/>
          <w:sz w:val="19"/>
          <w:szCs w:val="19"/>
          <w:color w:val="auto"/>
        </w:rPr>
        <w:t>technology, financial information, trade secrets, financial loss and the disclosure of corporate strategic plans. Attempts to disrupt or gain unauthorized access to our and our third-party service providers’ information systems from malicious third parties or insider threats may incorporate widely varying and frequently changing tactics, which may be enhanced or facilitated by AI. Although we have implemented various measures designed to protect our information technology systems, there can be no assurance that our efforts will prevent security breaches, incidents or other compromises that would result in business, legal, financial or reputational harm to us, or would have a material adverse effect on our results of operations and financial condition. Any failure to prevent or mitigate security breaches, incidents or compromises could lead to improper access to, use of, or disclosure of our proprietary or confidential information (including clinical data or patients’ personal data) and could result in significant liability under various data protection laws, including state (e.g., state breach notification laws), federal (e.g., HIPAA, as amended by HITECH), and international laws (e.g., the GDPR) and may cause a material adverse impact to our reputation, affect our ability to continue existing clinical trials and conduct new clinical trials and potentially disrupt our business.</w:t>
      </w:r>
    </w:p>
    <w:p>
      <w:pPr>
        <w:spacing w:after="0" w:line="192" w:lineRule="exact"/>
        <w:rPr>
          <w:sz w:val="20"/>
          <w:szCs w:val="20"/>
          <w:color w:val="auto"/>
        </w:rPr>
      </w:pPr>
    </w:p>
    <w:p>
      <w:pPr>
        <w:ind w:right="20" w:firstLine="557"/>
        <w:spacing w:after="0" w:line="271"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of our systems.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cyber-attacks and any such attacks could result in the losses described above as well as disputes with physicians, patients and our partners and collaborators, regulatory sanctions or penalties, increases in operating and other expenses or lost revenue or other adverse consequences, any of which could have a material adverse effect on our business, results of operations, financial condition, prospects and cash flows. Any failure by such third parties to prevent or mitigate security breaches, incidents or compromises, or any improper access to or disclosure of proprietary or confidential information, could have adverse consequences for our business and our reputation. If we are unable to prevent or mitigate the impact of such security breaches, incidents, or other compromises, we could be exposed to litigation and governmental investigations and related fines and penalties.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84" w:lineRule="exact"/>
        <w:rPr>
          <w:sz w:val="20"/>
          <w:szCs w:val="20"/>
          <w:color w:val="auto"/>
        </w:rPr>
      </w:pPr>
    </w:p>
    <w:p>
      <w:pPr>
        <w:ind w:right="20" w:firstLine="557"/>
        <w:spacing w:after="0" w:line="272" w:lineRule="auto"/>
        <w:rPr>
          <w:sz w:val="20"/>
          <w:szCs w:val="20"/>
          <w:color w:val="auto"/>
        </w:rPr>
      </w:pPr>
      <w:r>
        <w:rPr>
          <w:rFonts w:ascii="Arial" w:cs="Arial" w:eastAsia="Arial" w:hAnsi="Arial"/>
          <w:sz w:val="18"/>
          <w:szCs w:val="18"/>
          <w:color w:val="auto"/>
        </w:rPr>
        <w:t>Certain state laws govern the privacy and security of health information, many of which are not preempted by HIPAA and differ from each other in significant ways, thus complicating compliance efforts. In California, for example, the California Consumer Privacy Act, or CCPA (and its amendments), requires covered businesses to comply with specific privacy and security obligations regarding their handling of personal information of California residents, such as providing the ability to opt-out of certain sales or transfers of their personal information to third parties. The CCPA provides for civil penalties for violations, as well as a private right of action for certain types of data breaches. Similarly comprehensive privacy laws have been passed in numerous other U.S. states which contain several key differences in their scope, application and enforcement. Several states have passed laws specifically regulating consumer health information. For example, Washington State’s My Health My Data Act regulates the collection and sharing of consumer health data, which is broadly defined under the law, and includes a private right of action, which could increase the risk of litigation. Similar consumer health laws are in force in Connecticut and Nevada, while other states have proposed or passed legislation that regulates the privacy and security of certain specific types of personal information, including biometric data.</w:t>
      </w:r>
    </w:p>
    <w:p>
      <w:pPr>
        <w:spacing w:after="0" w:line="185" w:lineRule="exact"/>
        <w:rPr>
          <w:sz w:val="20"/>
          <w:szCs w:val="20"/>
          <w:color w:val="auto"/>
        </w:rPr>
      </w:pPr>
    </w:p>
    <w:p>
      <w:pPr>
        <w:ind w:firstLine="556"/>
        <w:spacing w:after="0" w:line="246" w:lineRule="auto"/>
        <w:rPr>
          <w:sz w:val="20"/>
          <w:szCs w:val="20"/>
          <w:color w:val="auto"/>
        </w:rPr>
      </w:pPr>
      <w:r>
        <w:rPr>
          <w:rFonts w:ascii="Arial" w:cs="Arial" w:eastAsia="Arial" w:hAnsi="Arial"/>
          <w:sz w:val="20"/>
          <w:szCs w:val="20"/>
          <w:color w:val="auto"/>
        </w:rPr>
        <w:t>Further, the collection and processing of personal information of individuals in the European Economic Area (EEA) and the UK is subject to the EU and UK General Data Protection Regulation (collectively, the “GDPR”). The GDPR applies to companies inside and outside the EEA/UK that offer goods or services to, or monitor the behavior of, individuals in those jurisdictions. It imposes extensive obligations relating to lawful processing, data security, individual rights, accountability, and cross-border data transfers. Violations may result in fines of up to €20 million (£17.5 million under the UK GDPR) or 4% of global annual revenue, whichever is greater, and may give rise to regulatory enforcement actions and private claims for damages.</w:t>
      </w:r>
    </w:p>
    <w:p>
      <w:pPr>
        <w:spacing w:after="0" w:line="199" w:lineRule="exact"/>
        <w:rPr>
          <w:sz w:val="20"/>
          <w:szCs w:val="20"/>
          <w:color w:val="auto"/>
        </w:rPr>
      </w:pPr>
    </w:p>
    <w:p>
      <w:pPr>
        <w:ind w:right="40" w:firstLine="556"/>
        <w:spacing w:after="0" w:line="275" w:lineRule="auto"/>
        <w:rPr>
          <w:sz w:val="20"/>
          <w:szCs w:val="20"/>
          <w:color w:val="auto"/>
        </w:rPr>
      </w:pPr>
      <w:r>
        <w:rPr>
          <w:rFonts w:ascii="Arial" w:cs="Arial" w:eastAsia="Arial" w:hAnsi="Arial"/>
          <w:sz w:val="18"/>
          <w:szCs w:val="18"/>
          <w:color w:val="auto"/>
        </w:rPr>
        <w:t>Additionally in the EU, the NIS 2 Directive, or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some countries have still not completed the</w:t>
      </w:r>
    </w:p>
    <w:p>
      <w:pPr>
        <w:sectPr>
          <w:pgSz w:w="12240" w:h="15840" w:orient="portrait"/>
          <w:cols w:equalWidth="0" w:num="1">
            <w:col w:w="10140"/>
          </w:cols>
          <w:pgMar w:left="1000" w:top="1060" w:right="1100" w:bottom="21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2240" w:h="15840" w:orient="portrait"/>
          <w:cols w:equalWidth="0" w:num="1">
            <w:col w:w="10140"/>
          </w:cols>
          <w:pgMar w:left="1000" w:top="1060" w:right="1100" w:bottom="210" w:gutter="0" w:footer="0" w:header="0"/>
          <w:type w:val="continuous"/>
        </w:sectPr>
      </w:pPr>
    </w:p>
    <w:bookmarkStart w:id="79" w:name="page80"/>
    <w:bookmarkEnd w:id="79"/>
    <w:p>
      <w:pPr>
        <w:ind w:right="180"/>
        <w:spacing w:after="0" w:line="252" w:lineRule="auto"/>
        <w:rPr>
          <w:sz w:val="20"/>
          <w:szCs w:val="20"/>
          <w:color w:val="auto"/>
        </w:rPr>
      </w:pPr>
      <w:r>
        <w:rPr>
          <w:rFonts w:ascii="Arial" w:cs="Arial" w:eastAsia="Arial" w:hAnsi="Arial"/>
          <w:sz w:val="20"/>
          <w:szCs w:val="20"/>
          <w:color w:val="auto"/>
        </w:rPr>
        <w:t>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92" w:lineRule="exact"/>
        <w:rPr>
          <w:sz w:val="20"/>
          <w:szCs w:val="20"/>
          <w:color w:val="auto"/>
        </w:rPr>
      </w:pPr>
    </w:p>
    <w:p>
      <w:pPr>
        <w:ind w:firstLine="557"/>
        <w:spacing w:after="0" w:line="275" w:lineRule="auto"/>
        <w:rPr>
          <w:sz w:val="20"/>
          <w:szCs w:val="20"/>
          <w:color w:val="auto"/>
        </w:rPr>
      </w:pPr>
      <w:r>
        <w:rPr>
          <w:rFonts w:ascii="Arial" w:cs="Arial" w:eastAsia="Arial" w:hAnsi="Arial"/>
          <w:sz w:val="18"/>
          <w:szCs w:val="18"/>
          <w:color w:val="auto"/>
        </w:rPr>
        <w:t>These various privacy and security laws may impact our business activities, including our identification of patients who meet the inclusion criteria for our clinical trials, relationships with business partners, and ultimately the marketing and distribution of our products (if approved by regulatory authorities). If we, third -party CMOs, CROs or other contractors or consultants fail to comply with U.S. and international data protection laws and regulations, we could face government enforcement actions (which could include civil or criminal penalties) or private litigation, which would require additional investment of resources, limit our ability to use personal data, and result in adverse publicity which could negatively affect our operating results and business. Claims that we or our third-party service providers have violated individuals’ privacy rights, failed to comply with data protection laws, or breached our contractual obligations, even if we are not found liable, could result in adverse publicity that could harm our business, increase our costs and negatively affect our reputation.</w:t>
      </w:r>
    </w:p>
    <w:p>
      <w:pPr>
        <w:spacing w:after="0" w:line="177" w:lineRule="exact"/>
        <w:rPr>
          <w:sz w:val="20"/>
          <w:szCs w:val="20"/>
          <w:color w:val="auto"/>
        </w:rPr>
      </w:pPr>
    </w:p>
    <w:p>
      <w:pPr>
        <w:ind w:right="160"/>
        <w:spacing w:after="0" w:line="278" w:lineRule="auto"/>
        <w:rPr>
          <w:sz w:val="20"/>
          <w:szCs w:val="20"/>
          <w:color w:val="auto"/>
        </w:rPr>
      </w:pPr>
      <w:r>
        <w:rPr>
          <w:rFonts w:ascii="Arial" w:cs="Arial" w:eastAsia="Arial" w:hAnsi="Arial"/>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68" w:lineRule="exact"/>
        <w:rPr>
          <w:sz w:val="20"/>
          <w:szCs w:val="20"/>
          <w:color w:val="auto"/>
        </w:rPr>
      </w:pPr>
    </w:p>
    <w:p>
      <w:pPr>
        <w:ind w:firstLine="557"/>
        <w:spacing w:after="0" w:line="257" w:lineRule="auto"/>
        <w:rPr>
          <w:sz w:val="20"/>
          <w:szCs w:val="20"/>
          <w:color w:val="auto"/>
        </w:rPr>
      </w:pPr>
      <w:r>
        <w:rPr>
          <w:rFonts w:ascii="Arial" w:cs="Arial" w:eastAsia="Arial" w:hAnsi="Arial"/>
          <w:sz w:val="19"/>
          <w:szCs w:val="19"/>
          <w:color w:val="auto"/>
        </w:rPr>
        <w:t>We may use, and our vendors may incorporate artificial intelligence, or AI, ,both in our own development and implementation of AI and through the adoption of commercially available tools. The use of AI presents risks and challenges that could adversely impact our business and reputation, including risks relating to cybersecurity, privacy, information technology, confidentiality, intellectual property and others. Specifically, risks related to accuracy, bias, AI hallucinations, discrimination, harmful content, misinformation, fraud, scams, targeted attacks, surveillance, data leakage, bias and inequality, environmental and other harms may flow from our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The rapid evolution of AI will require the application of significant resources to design, develop, test and maintain our products and services to help ensure that AI is implemented in accordance with applicable law and regulation and in a socially responsible manner.</w:t>
      </w:r>
    </w:p>
    <w:p>
      <w:pPr>
        <w:spacing w:after="0" w:line="196" w:lineRule="exact"/>
        <w:rPr>
          <w:sz w:val="20"/>
          <w:szCs w:val="20"/>
          <w:color w:val="auto"/>
        </w:rPr>
      </w:pPr>
    </w:p>
    <w:p>
      <w:pPr>
        <w:ind w:right="40" w:firstLine="557"/>
        <w:spacing w:after="0" w:line="271" w:lineRule="auto"/>
        <w:rPr>
          <w:sz w:val="20"/>
          <w:szCs w:val="20"/>
          <w:color w:val="auto"/>
        </w:rPr>
      </w:pPr>
      <w:r>
        <w:rPr>
          <w:rFonts w:ascii="Arial" w:cs="Arial" w:eastAsia="Arial" w:hAnsi="Arial"/>
          <w:sz w:val="18"/>
          <w:szCs w:val="18"/>
          <w:color w:val="auto"/>
        </w:rPr>
        <w:t>Regulation related to AI is evolving as new laws are implemented globally which could increase the burden and operational cost of compliance, including through requirements related to transparency, accountability, risk management, human oversight, and data governance. Development, use, and deployment of AI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entered into force in August 2024, with important sections scheduled to become effective in August 2026. As currently enacted, the AI Act imposes significant obligations on providers and deployers of high risk AI systems and general purpose AI models, and encourages providers and deployers of AI systems to account for EU ethical principles when developing and using AI technology. The scope of requirements depends on legal and risk determinations that rely on legal provisions that have not yet been fully interpreted by courts or regulators, and non-compliance can lead to significant fines.</w:t>
      </w:r>
    </w:p>
    <w:p>
      <w:pPr>
        <w:spacing w:after="0" w:line="184" w:lineRule="exact"/>
        <w:rPr>
          <w:sz w:val="20"/>
          <w:szCs w:val="20"/>
          <w:color w:val="auto"/>
        </w:rPr>
      </w:pPr>
    </w:p>
    <w:p>
      <w:pPr>
        <w:ind w:right="160" w:firstLine="557"/>
        <w:spacing w:after="0" w:line="272" w:lineRule="auto"/>
        <w:rPr>
          <w:sz w:val="20"/>
          <w:szCs w:val="20"/>
          <w:color w:val="auto"/>
        </w:rPr>
      </w:pPr>
      <w:r>
        <w:rPr>
          <w:rFonts w:ascii="Arial" w:cs="Arial" w:eastAsia="Arial" w:hAnsi="Arial"/>
          <w:sz w:val="18"/>
          <w:szCs w:val="18"/>
          <w:color w:val="auto"/>
        </w:rPr>
        <w:t>In the U.S.,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AI, and legal norms and market standards regarding AI continue to evolve. For example, various federal and state regulators have issued guidance and focused enforcement efforts on the use of AI in regulated sectors. The U.S. Food and Drug Administration, for example, issued guidance on the use of artificial intelligence in medical devices, requiring detailed risk management and review processes to obtain approvals. If we develop or use AI systems that are governed by the these laws or regulations, we will need to meet higher standards of data quality, transparency, and human oversight, and we would need to adhere to specific, potentially burdensome and costly ethical, accountability, and administrative requirements. We may also be subject</w:t>
      </w:r>
    </w:p>
    <w:p>
      <w:pPr>
        <w:sectPr>
          <w:pgSz w:w="12240" w:h="15840" w:orient="portrait"/>
          <w:cols w:equalWidth="0" w:num="1">
            <w:col w:w="10140"/>
          </w:cols>
          <w:pgMar w:left="1000" w:top="1060" w:right="1100" w:bottom="21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2240" w:h="15840" w:orient="portrait"/>
          <w:cols w:equalWidth="0" w:num="1">
            <w:col w:w="10140"/>
          </w:cols>
          <w:pgMar w:left="1000" w:top="1060" w:right="1100" w:bottom="210" w:gutter="0" w:footer="0" w:header="0"/>
          <w:type w:val="continuous"/>
        </w:sectPr>
      </w:pPr>
    </w:p>
    <w:bookmarkStart w:id="80" w:name="page81"/>
    <w:bookmarkEnd w:id="80"/>
    <w:p>
      <w:pPr>
        <w:jc w:val="both"/>
        <w:ind w:right="40"/>
        <w:spacing w:after="0" w:line="258" w:lineRule="auto"/>
        <w:rPr>
          <w:sz w:val="20"/>
          <w:szCs w:val="20"/>
          <w:color w:val="auto"/>
        </w:rPr>
      </w:pPr>
      <w:r>
        <w:rPr>
          <w:rFonts w:ascii="Arial" w:cs="Arial" w:eastAsia="Arial" w:hAnsi="Arial"/>
          <w:sz w:val="20"/>
          <w:szCs w:val="20"/>
          <w:color w:val="auto"/>
        </w:rPr>
        <w:t>to enforcement or litigation in the event of any perceived non-compliance. Our vendors may in turn incorporate AI tools into their offerings, and the providers of these AI tools may not meet existing or rapidly evolving regulatory or industry standards, including with respect to privacy and data security.</w:t>
      </w:r>
    </w:p>
    <w:p>
      <w:pPr>
        <w:spacing w:after="0" w:line="188" w:lineRule="exact"/>
        <w:rPr>
          <w:sz w:val="20"/>
          <w:szCs w:val="20"/>
          <w:color w:val="auto"/>
        </w:rPr>
      </w:pPr>
    </w:p>
    <w:p>
      <w:pPr>
        <w:ind w:right="40" w:firstLine="557"/>
        <w:spacing w:after="0" w:line="265" w:lineRule="auto"/>
        <w:rPr>
          <w:sz w:val="20"/>
          <w:szCs w:val="20"/>
          <w:color w:val="auto"/>
        </w:rPr>
      </w:pPr>
      <w:r>
        <w:rPr>
          <w:rFonts w:ascii="Arial" w:cs="Arial" w:eastAsia="Arial" w:hAnsi="Arial"/>
          <w:sz w:val="19"/>
          <w:szCs w:val="19"/>
          <w:color w:val="auto"/>
        </w:rPr>
        <w:t>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outcomes could damage our reputation, result in the loss of valuable property and information, and adversely impact our business.</w:t>
      </w:r>
    </w:p>
    <w:p>
      <w:pPr>
        <w:spacing w:after="0" w:line="183" w:lineRule="exact"/>
        <w:rPr>
          <w:sz w:val="20"/>
          <w:szCs w:val="20"/>
          <w:color w:val="auto"/>
        </w:rPr>
      </w:pPr>
    </w:p>
    <w:p>
      <w:pPr>
        <w:ind w:right="280" w:firstLine="557"/>
        <w:spacing w:after="0" w:line="258" w:lineRule="auto"/>
        <w:rPr>
          <w:sz w:val="20"/>
          <w:szCs w:val="20"/>
          <w:color w:val="auto"/>
        </w:rPr>
      </w:pPr>
      <w:r>
        <w:rPr>
          <w:rFonts w:ascii="Arial" w:cs="Arial" w:eastAsia="Arial" w:hAnsi="Arial"/>
          <w:sz w:val="20"/>
          <w:szCs w:val="20"/>
          <w:color w:val="auto"/>
        </w:rPr>
        <w:t>We are committed to implementing governance and control measures to mitigate these risks, but there can be no assurance that such measures will adequately prevent or mitigate the adverse effects that the integration and use of AI may have on our business, financial condition and results of operations.</w:t>
      </w:r>
    </w:p>
    <w:p>
      <w:pPr>
        <w:spacing w:after="0" w:line="188"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8" w:lineRule="exact"/>
        <w:rPr>
          <w:sz w:val="20"/>
          <w:szCs w:val="20"/>
          <w:color w:val="auto"/>
        </w:rPr>
      </w:pPr>
    </w:p>
    <w:p>
      <w:pPr>
        <w:ind w:right="60" w:firstLine="557"/>
        <w:spacing w:after="0" w:line="259" w:lineRule="auto"/>
        <w:rPr>
          <w:sz w:val="20"/>
          <w:szCs w:val="20"/>
          <w:color w:val="auto"/>
        </w:rPr>
      </w:pPr>
      <w:r>
        <w:rPr>
          <w:rFonts w:ascii="Arial" w:cs="Arial" w:eastAsia="Arial" w:hAnsi="Arial"/>
          <w:sz w:val="19"/>
          <w:szCs w:val="19"/>
          <w:color w:val="auto"/>
        </w:rPr>
        <w:t>As of December 31, 2025, we had 137 full-time employees. We expect to experience significant growth in the number of our employees and the scope of our operations, particularly in the areas of product development and strategy, clinical trial operations,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8" w:lineRule="exact"/>
        <w:rPr>
          <w:sz w:val="20"/>
          <w:szCs w:val="20"/>
          <w:color w:val="auto"/>
        </w:rPr>
      </w:pPr>
    </w:p>
    <w:p>
      <w:pPr>
        <w:ind w:right="40" w:firstLine="557"/>
        <w:spacing w:after="0" w:line="261" w:lineRule="auto"/>
        <w:rPr>
          <w:sz w:val="20"/>
          <w:szCs w:val="20"/>
          <w:color w:val="auto"/>
        </w:rPr>
      </w:pPr>
      <w:r>
        <w:rPr>
          <w:rFonts w:ascii="Arial" w:cs="Arial" w:eastAsia="Arial" w:hAnsi="Arial"/>
          <w:sz w:val="19"/>
          <w:szCs w:val="19"/>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123" w:lineRule="exact"/>
        <w:rPr>
          <w:sz w:val="20"/>
          <w:szCs w:val="20"/>
          <w:color w:val="auto"/>
        </w:rPr>
      </w:pPr>
    </w:p>
    <w:p>
      <w:pPr>
        <w:ind w:right="460"/>
        <w:spacing w:after="0" w:line="278" w:lineRule="auto"/>
        <w:rPr>
          <w:sz w:val="20"/>
          <w:szCs w:val="20"/>
          <w:color w:val="auto"/>
        </w:rPr>
      </w:pPr>
      <w:r>
        <w:rPr>
          <w:rFonts w:ascii="Arial" w:cs="Arial" w:eastAsia="Arial" w:hAnsi="Arial"/>
          <w:sz w:val="20"/>
          <w:szCs w:val="20"/>
          <w:b w:val="1"/>
          <w:bCs w:val="1"/>
          <w:i w:val="1"/>
          <w:iCs w:val="1"/>
          <w:color w:val="auto"/>
        </w:rPr>
        <w:t>Our principal stockholders own a significant percentage of our stock and will be able to exert significant control over matters subject to stockholder approval.</w:t>
      </w:r>
    </w:p>
    <w:p>
      <w:pPr>
        <w:spacing w:after="0" w:line="48" w:lineRule="exact"/>
        <w:rPr>
          <w:sz w:val="20"/>
          <w:szCs w:val="20"/>
          <w:color w:val="auto"/>
        </w:rPr>
      </w:pPr>
    </w:p>
    <w:p>
      <w:pPr>
        <w:ind w:right="80" w:firstLine="557"/>
        <w:spacing w:after="0" w:line="258" w:lineRule="auto"/>
        <w:rPr>
          <w:sz w:val="20"/>
          <w:szCs w:val="20"/>
          <w:color w:val="auto"/>
        </w:rPr>
      </w:pPr>
      <w:r>
        <w:rPr>
          <w:rFonts w:ascii="Arial" w:cs="Arial" w:eastAsia="Arial" w:hAnsi="Arial"/>
          <w:sz w:val="19"/>
          <w:szCs w:val="19"/>
          <w:color w:val="auto"/>
        </w:rPr>
        <w:t>Based on our common stock outstanding as of December 31, 2025, a limited number of shareholders hold greater than a majority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utilize our net operating loss carryforwards and certain other tax attributes may be limited.</w:t>
      </w:r>
    </w:p>
    <w:p>
      <w:pPr>
        <w:spacing w:after="0" w:line="120" w:lineRule="exact"/>
        <w:rPr>
          <w:sz w:val="20"/>
          <w:szCs w:val="20"/>
          <w:color w:val="auto"/>
        </w:rPr>
      </w:pPr>
    </w:p>
    <w:p>
      <w:pPr>
        <w:ind w:firstLine="557"/>
        <w:spacing w:after="0" w:line="278" w:lineRule="auto"/>
        <w:rPr>
          <w:sz w:val="20"/>
          <w:szCs w:val="20"/>
          <w:color w:val="auto"/>
        </w:rPr>
      </w:pPr>
      <w:r>
        <w:rPr>
          <w:rFonts w:ascii="Arial" w:cs="Arial" w:eastAsia="Arial" w:hAnsi="Arial"/>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w:t>
      </w:r>
    </w:p>
    <w:p>
      <w:pPr>
        <w:sectPr>
          <w:pgSz w:w="12240" w:h="15840" w:orient="portrait"/>
          <w:cols w:equalWidth="0" w:num="1">
            <w:col w:w="10100"/>
          </w:cols>
          <w:pgMar w:left="1000" w:top="1060" w:right="1140" w:bottom="210" w:gutter="0" w:footer="0" w:header="0"/>
        </w:sectPr>
      </w:pP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77</w:t>
      </w:r>
    </w:p>
    <w:p>
      <w:pPr>
        <w:sectPr>
          <w:pgSz w:w="12240" w:h="15840" w:orient="portrait"/>
          <w:cols w:equalWidth="0" w:num="1">
            <w:col w:w="10100"/>
          </w:cols>
          <w:pgMar w:left="1000" w:top="1060" w:right="1140" w:bottom="210" w:gutter="0" w:footer="0" w:header="0"/>
          <w:type w:val="continuous"/>
        </w:sectPr>
      </w:pPr>
    </w:p>
    <w:bookmarkStart w:id="81" w:name="page82"/>
    <w:bookmarkEnd w:id="81"/>
    <w:p>
      <w:pPr>
        <w:ind w:right="180"/>
        <w:spacing w:after="0" w:line="249" w:lineRule="auto"/>
        <w:rPr>
          <w:sz w:val="20"/>
          <w:szCs w:val="20"/>
          <w:color w:val="auto"/>
        </w:rPr>
      </w:pPr>
      <w:r>
        <w:rPr>
          <w:rFonts w:ascii="Arial" w:cs="Arial" w:eastAsia="Arial" w:hAnsi="Arial"/>
          <w:sz w:val="20"/>
          <w:szCs w:val="20"/>
          <w:color w:val="auto"/>
        </w:rPr>
        <w:t>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previously adjusted its deferred tax assets and valuation allowance balance for the affected tax attribute carryforwards to reflect the expiration of the attributes. There have been no changes to the limitations as of December 31, 2025.</w:t>
      </w:r>
    </w:p>
    <w:p>
      <w:pPr>
        <w:spacing w:after="0" w:line="197" w:lineRule="exact"/>
        <w:rPr>
          <w:sz w:val="20"/>
          <w:szCs w:val="20"/>
          <w:color w:val="auto"/>
        </w:rPr>
      </w:pPr>
    </w:p>
    <w:p>
      <w:pPr>
        <w:ind w:right="60" w:firstLine="557"/>
        <w:spacing w:after="0" w:line="258" w:lineRule="auto"/>
        <w:rPr>
          <w:sz w:val="20"/>
          <w:szCs w:val="20"/>
          <w:color w:val="auto"/>
        </w:rPr>
      </w:pPr>
      <w:r>
        <w:rPr>
          <w:rFonts w:ascii="Arial" w:cs="Arial" w:eastAsia="Arial" w:hAnsi="Arial"/>
          <w:sz w:val="19"/>
          <w:szCs w:val="19"/>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8" w:lineRule="exact"/>
        <w:rPr>
          <w:sz w:val="20"/>
          <w:szCs w:val="20"/>
          <w:color w:val="auto"/>
        </w:rPr>
      </w:pPr>
    </w:p>
    <w:p>
      <w:pPr>
        <w:ind w:right="280" w:firstLine="563"/>
        <w:spacing w:after="0" w:line="258" w:lineRule="auto"/>
        <w:rPr>
          <w:sz w:val="20"/>
          <w:szCs w:val="20"/>
          <w:color w:val="auto"/>
        </w:rPr>
      </w:pPr>
      <w:r>
        <w:rPr>
          <w:rFonts w:ascii="Arial" w:cs="Arial" w:eastAsia="Arial" w:hAnsi="Arial"/>
          <w:sz w:val="20"/>
          <w:szCs w:val="20"/>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83" w:lineRule="exact"/>
        <w:rPr>
          <w:sz w:val="20"/>
          <w:szCs w:val="20"/>
          <w:color w:val="auto"/>
        </w:rPr>
      </w:pPr>
    </w:p>
    <w:p>
      <w:pPr>
        <w:ind w:left="720" w:right="120" w:firstLine="8"/>
        <w:spacing w:after="0" w:line="278" w:lineRule="auto"/>
        <w:tabs>
          <w:tab w:leader="none" w:pos="9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board of directors divided into three classes serving staggered three-year terms, such that not all members of the board will be elected at one time;</w:t>
      </w:r>
    </w:p>
    <w:p>
      <w:pPr>
        <w:spacing w:after="0" w:line="61" w:lineRule="exact"/>
        <w:rPr>
          <w:rFonts w:ascii="Arial" w:cs="Arial" w:eastAsia="Arial" w:hAnsi="Arial"/>
          <w:sz w:val="20"/>
          <w:szCs w:val="20"/>
          <w:color w:val="auto"/>
        </w:rPr>
      </w:pPr>
    </w:p>
    <w:p>
      <w:pPr>
        <w:ind w:left="720" w:right="80" w:firstLine="8"/>
        <w:spacing w:after="0" w:line="279" w:lineRule="auto"/>
        <w:tabs>
          <w:tab w:leader="none" w:pos="9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prohibition on stockholder action through written consent, which requires that all stockholder actions be taken at a meeting of our stockholders;</w:t>
      </w:r>
    </w:p>
    <w:p>
      <w:pPr>
        <w:spacing w:after="0" w:line="59" w:lineRule="exact"/>
        <w:rPr>
          <w:rFonts w:ascii="Arial" w:cs="Arial" w:eastAsia="Arial" w:hAnsi="Arial"/>
          <w:sz w:val="20"/>
          <w:szCs w:val="20"/>
          <w:color w:val="auto"/>
        </w:rPr>
      </w:pPr>
    </w:p>
    <w:p>
      <w:pPr>
        <w:ind w:left="720" w:right="420" w:firstLine="8"/>
        <w:spacing w:after="0" w:line="280" w:lineRule="auto"/>
        <w:tabs>
          <w:tab w:leader="none" w:pos="912"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62" w:lineRule="exact"/>
        <w:rPr>
          <w:rFonts w:ascii="Arial" w:cs="Arial" w:eastAsia="Arial" w:hAnsi="Arial"/>
          <w:sz w:val="19"/>
          <w:szCs w:val="19"/>
          <w:color w:val="auto"/>
        </w:rPr>
      </w:pPr>
    </w:p>
    <w:p>
      <w:pPr>
        <w:ind w:left="920" w:hanging="192"/>
        <w:spacing w:after="0"/>
        <w:tabs>
          <w:tab w:leader="none" w:pos="9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advance notice requirements for stockholder proposals and nominations for election to our board of directors;</w:t>
      </w:r>
    </w:p>
    <w:p>
      <w:pPr>
        <w:spacing w:after="0" w:line="146" w:lineRule="exact"/>
        <w:rPr>
          <w:rFonts w:ascii="Arial" w:cs="Arial" w:eastAsia="Arial" w:hAnsi="Arial"/>
          <w:sz w:val="19"/>
          <w:szCs w:val="19"/>
          <w:color w:val="auto"/>
        </w:rPr>
      </w:pPr>
    </w:p>
    <w:p>
      <w:pPr>
        <w:ind w:left="720" w:firstLine="8"/>
        <w:spacing w:after="0" w:line="259" w:lineRule="auto"/>
        <w:tabs>
          <w:tab w:leader="none" w:pos="9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79" w:lineRule="exact"/>
        <w:rPr>
          <w:rFonts w:ascii="Arial" w:cs="Arial" w:eastAsia="Arial" w:hAnsi="Arial"/>
          <w:sz w:val="20"/>
          <w:szCs w:val="20"/>
          <w:color w:val="auto"/>
        </w:rPr>
      </w:pPr>
    </w:p>
    <w:p>
      <w:pPr>
        <w:ind w:left="720" w:right="120" w:firstLine="8"/>
        <w:spacing w:after="0" w:line="259" w:lineRule="auto"/>
        <w:tabs>
          <w:tab w:leader="none" w:pos="9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81" w:lineRule="exact"/>
        <w:rPr>
          <w:rFonts w:ascii="Arial" w:cs="Arial" w:eastAsia="Arial" w:hAnsi="Arial"/>
          <w:sz w:val="20"/>
          <w:szCs w:val="20"/>
          <w:color w:val="auto"/>
        </w:rPr>
      </w:pPr>
    </w:p>
    <w:p>
      <w:pPr>
        <w:jc w:val="both"/>
        <w:ind w:left="720" w:right="600" w:firstLine="8"/>
        <w:spacing w:after="0" w:line="259" w:lineRule="auto"/>
        <w:tabs>
          <w:tab w:leader="none" w:pos="9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5" w:lineRule="exact"/>
        <w:rPr>
          <w:sz w:val="20"/>
          <w:szCs w:val="20"/>
          <w:color w:val="auto"/>
        </w:rPr>
      </w:pPr>
    </w:p>
    <w:p>
      <w:pPr>
        <w:ind w:right="80" w:firstLine="557"/>
        <w:spacing w:after="0" w:line="280" w:lineRule="auto"/>
        <w:rPr>
          <w:sz w:val="20"/>
          <w:szCs w:val="20"/>
          <w:color w:val="auto"/>
        </w:rPr>
      </w:pPr>
      <w:r>
        <w:rPr>
          <w:rFonts w:ascii="Arial" w:cs="Arial" w:eastAsia="Arial" w:hAnsi="Arial"/>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1" w:lineRule="exact"/>
        <w:rPr>
          <w:sz w:val="20"/>
          <w:szCs w:val="20"/>
          <w:color w:val="auto"/>
        </w:rPr>
      </w:pPr>
    </w:p>
    <w:p>
      <w:pPr>
        <w:ind w:right="80"/>
        <w:spacing w:after="0" w:line="336"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right="40" w:firstLine="557"/>
        <w:spacing w:after="0" w:line="289" w:lineRule="auto"/>
        <w:rPr>
          <w:sz w:val="20"/>
          <w:szCs w:val="20"/>
          <w:color w:val="auto"/>
        </w:rPr>
      </w:pPr>
      <w:r>
        <w:rPr>
          <w:rFonts w:ascii="Arial" w:cs="Arial" w:eastAsia="Arial" w:hAnsi="Arial"/>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w:t>
      </w:r>
    </w:p>
    <w:p>
      <w:pPr>
        <w:sectPr>
          <w:pgSz w:w="12240" w:h="15840" w:orient="portrait"/>
          <w:cols w:equalWidth="0" w:num="1">
            <w:col w:w="10140"/>
          </w:cols>
          <w:pgMar w:left="1000" w:top="1060" w:right="1100" w:bottom="210" w:gutter="0" w:footer="0" w:header="0"/>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2240" w:h="15840" w:orient="portrait"/>
          <w:cols w:equalWidth="0" w:num="1">
            <w:col w:w="10140"/>
          </w:cols>
          <w:pgMar w:left="1000" w:top="1060" w:right="1100" w:bottom="210" w:gutter="0" w:footer="0" w:header="0"/>
          <w:type w:val="continuous"/>
        </w:sectPr>
      </w:pPr>
    </w:p>
    <w:bookmarkStart w:id="82" w:name="page83"/>
    <w:bookmarkEnd w:id="82"/>
    <w:p>
      <w:pPr>
        <w:ind w:right="40"/>
        <w:spacing w:after="0" w:line="274" w:lineRule="auto"/>
        <w:rPr>
          <w:sz w:val="20"/>
          <w:szCs w:val="20"/>
          <w:color w:val="auto"/>
        </w:rPr>
      </w:pPr>
      <w:r>
        <w:rPr>
          <w:rFonts w:ascii="Arial" w:cs="Arial" w:eastAsia="Arial" w:hAnsi="Arial"/>
          <w:sz w:val="18"/>
          <w:szCs w:val="18"/>
          <w:color w:val="auto"/>
        </w:rPr>
        <w:t>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6" w:lineRule="exact"/>
        <w:rPr>
          <w:sz w:val="20"/>
          <w:szCs w:val="20"/>
          <w:color w:val="auto"/>
        </w:rPr>
      </w:pPr>
    </w:p>
    <w:p>
      <w:pPr>
        <w:ind w:right="20" w:firstLine="557"/>
        <w:spacing w:after="0" w:line="273" w:lineRule="auto"/>
        <w:rPr>
          <w:sz w:val="20"/>
          <w:szCs w:val="20"/>
          <w:color w:val="auto"/>
        </w:rPr>
      </w:pPr>
      <w:r>
        <w:rPr>
          <w:rFonts w:ascii="Arial" w:cs="Arial" w:eastAsia="Arial" w:hAnsi="Arial"/>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5" w:lineRule="exact"/>
        <w:rPr>
          <w:sz w:val="20"/>
          <w:szCs w:val="20"/>
          <w:color w:val="auto"/>
        </w:rPr>
      </w:pPr>
    </w:p>
    <w:p>
      <w:pPr>
        <w:ind w:right="340"/>
        <w:spacing w:after="0" w:line="278" w:lineRule="auto"/>
        <w:rPr>
          <w:sz w:val="20"/>
          <w:szCs w:val="20"/>
          <w:color w:val="auto"/>
        </w:rPr>
      </w:pPr>
      <w:r>
        <w:rPr>
          <w:rFonts w:ascii="Arial" w:cs="Arial" w:eastAsia="Arial" w:hAnsi="Arial"/>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8" w:lineRule="exact"/>
        <w:rPr>
          <w:sz w:val="20"/>
          <w:szCs w:val="20"/>
          <w:color w:val="auto"/>
        </w:rPr>
      </w:pPr>
    </w:p>
    <w:p>
      <w:pPr>
        <w:ind w:firstLine="556"/>
        <w:spacing w:after="0" w:line="257" w:lineRule="auto"/>
        <w:rPr>
          <w:sz w:val="20"/>
          <w:szCs w:val="20"/>
          <w:color w:val="auto"/>
        </w:rPr>
      </w:pPr>
      <w:r>
        <w:rPr>
          <w:rFonts w:ascii="Arial" w:cs="Arial" w:eastAsia="Arial" w:hAnsi="Arial"/>
          <w:sz w:val="19"/>
          <w:szCs w:val="19"/>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 -U.S. activities to further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192" w:lineRule="exact"/>
        <w:rPr>
          <w:sz w:val="20"/>
          <w:szCs w:val="20"/>
          <w:color w:val="auto"/>
        </w:rPr>
      </w:pPr>
    </w:p>
    <w:p>
      <w:pPr>
        <w:ind w:right="440"/>
        <w:spacing w:after="0" w:line="334"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3" w:lineRule="exact"/>
        <w:rPr>
          <w:sz w:val="20"/>
          <w:szCs w:val="20"/>
          <w:color w:val="auto"/>
        </w:rPr>
      </w:pPr>
    </w:p>
    <w:p>
      <w:pPr>
        <w:ind w:right="40" w:firstLine="556"/>
        <w:spacing w:after="0" w:line="271" w:lineRule="auto"/>
        <w:rPr>
          <w:sz w:val="20"/>
          <w:szCs w:val="20"/>
          <w:color w:val="auto"/>
        </w:rPr>
      </w:pPr>
      <w:r>
        <w:rPr>
          <w:rFonts w:ascii="Arial" w:cs="Arial" w:eastAsia="Arial" w:hAnsi="Arial"/>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w:t>
      </w:r>
    </w:p>
    <w:p>
      <w:pPr>
        <w:sectPr>
          <w:pgSz w:w="12240" w:h="15840" w:orient="portrait"/>
          <w:cols w:equalWidth="0" w:num="1">
            <w:col w:w="10140"/>
          </w:cols>
          <w:pgMar w:left="1000" w:top="1060" w:right="1100" w:bottom="21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2240" w:h="15840" w:orient="portrait"/>
          <w:cols w:equalWidth="0" w:num="1">
            <w:col w:w="10140"/>
          </w:cols>
          <w:pgMar w:left="1000" w:top="1060" w:right="1100" w:bottom="210" w:gutter="0" w:footer="0" w:header="0"/>
          <w:type w:val="continuous"/>
        </w:sectPr>
      </w:pPr>
    </w:p>
    <w:bookmarkStart w:id="83" w:name="page84"/>
    <w:bookmarkEnd w:id="83"/>
    <w:p>
      <w:pPr>
        <w:ind w:right="100"/>
        <w:spacing w:after="0" w:line="252" w:lineRule="auto"/>
        <w:rPr>
          <w:sz w:val="20"/>
          <w:szCs w:val="20"/>
          <w:color w:val="auto"/>
        </w:rPr>
      </w:pPr>
      <w:r>
        <w:rPr>
          <w:rFonts w:ascii="Arial" w:cs="Arial" w:eastAsia="Arial" w:hAnsi="Arial"/>
          <w:sz w:val="20"/>
          <w:szCs w:val="20"/>
          <w:color w:val="auto"/>
        </w:rPr>
        <w:t>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20"/>
          <w:szCs w:val="20"/>
          <w:b w:val="1"/>
          <w:bCs w:val="1"/>
          <w:i w:val="1"/>
          <w:iCs w:val="1"/>
          <w:color w:val="auto"/>
        </w:rPr>
        <w:t>Because we do not anticipate paying any cash dividends on our capital stock in the foreseeable future, capital appreciation, if any, will be your sole source of gain.</w:t>
      </w:r>
    </w:p>
    <w:p>
      <w:pPr>
        <w:spacing w:after="0" w:line="47" w:lineRule="exact"/>
        <w:rPr>
          <w:sz w:val="20"/>
          <w:szCs w:val="20"/>
          <w:color w:val="auto"/>
        </w:rPr>
      </w:pPr>
    </w:p>
    <w:p>
      <w:pPr>
        <w:ind w:right="20" w:firstLine="557"/>
        <w:spacing w:after="0" w:line="252" w:lineRule="auto"/>
        <w:rPr>
          <w:sz w:val="20"/>
          <w:szCs w:val="20"/>
          <w:color w:val="auto"/>
        </w:rPr>
      </w:pPr>
      <w:r>
        <w:rPr>
          <w:rFonts w:ascii="Arial" w:cs="Arial" w:eastAsia="Arial" w:hAnsi="Arial"/>
          <w:sz w:val="20"/>
          <w:szCs w:val="20"/>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3" w:lineRule="exact"/>
        <w:rPr>
          <w:sz w:val="20"/>
          <w:szCs w:val="20"/>
          <w:color w:val="auto"/>
        </w:rPr>
      </w:pPr>
    </w:p>
    <w:p>
      <w:pPr>
        <w:ind w:right="440"/>
        <w:spacing w:after="0" w:line="278" w:lineRule="auto"/>
        <w:rPr>
          <w:sz w:val="20"/>
          <w:szCs w:val="20"/>
          <w:color w:val="auto"/>
        </w:rPr>
      </w:pPr>
      <w:r>
        <w:rPr>
          <w:rFonts w:ascii="Arial" w:cs="Arial" w:eastAsia="Arial" w:hAnsi="Arial"/>
          <w:sz w:val="20"/>
          <w:szCs w:val="20"/>
          <w:b w:val="1"/>
          <w:bCs w:val="1"/>
          <w:i w:val="1"/>
          <w:iCs w:val="1"/>
          <w:color w:val="auto"/>
        </w:rPr>
        <w:t>The price of our common stock may be volatile and fluctuate substantially, which could result in substantial losses for purchasers of our common stock.</w:t>
      </w:r>
    </w:p>
    <w:p>
      <w:pPr>
        <w:spacing w:after="0" w:line="48" w:lineRule="exact"/>
        <w:rPr>
          <w:sz w:val="20"/>
          <w:szCs w:val="20"/>
          <w:color w:val="auto"/>
        </w:rPr>
      </w:pPr>
    </w:p>
    <w:p>
      <w:pPr>
        <w:ind w:firstLine="563"/>
        <w:spacing w:after="0" w:line="252" w:lineRule="auto"/>
        <w:rPr>
          <w:sz w:val="20"/>
          <w:szCs w:val="20"/>
          <w:color w:val="auto"/>
        </w:rPr>
      </w:pPr>
      <w:r>
        <w:rPr>
          <w:rFonts w:ascii="Arial" w:cs="Arial" w:eastAsia="Arial" w:hAnsi="Arial"/>
          <w:sz w:val="20"/>
          <w:szCs w:val="20"/>
          <w:color w:val="auto"/>
        </w:rPr>
        <w:t>Our stock price has been and is likely to continue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88" w:lineRule="exact"/>
        <w:rPr>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success or failure of competitive products or technologies;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advancement of our preclinical programs into clinical testing;</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 of our initial, interim, or final results of clinical trials of our product candidates or those of our competitors;</w:t>
      </w:r>
    </w:p>
    <w:p>
      <w:pPr>
        <w:spacing w:after="0" w:line="157" w:lineRule="exact"/>
        <w:rPr>
          <w:rFonts w:ascii="Arial" w:cs="Arial" w:eastAsia="Arial" w:hAnsi="Arial"/>
          <w:sz w:val="18"/>
          <w:szCs w:val="18"/>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regulatory or legal developments in the United States and other countries;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developments or disputes concerning patent applications, issued patents or other proprietary rights;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recruitment or departure of key personnel;</w:t>
      </w:r>
    </w:p>
    <w:p>
      <w:pPr>
        <w:spacing w:after="0" w:line="133" w:lineRule="exact"/>
        <w:rPr>
          <w:rFonts w:ascii="Arial" w:cs="Arial" w:eastAsia="Arial" w:hAnsi="Arial"/>
          <w:sz w:val="20"/>
          <w:szCs w:val="20"/>
          <w:color w:val="auto"/>
        </w:rPr>
      </w:pPr>
    </w:p>
    <w:p>
      <w:pPr>
        <w:ind w:left="720" w:right="20" w:firstLine="8"/>
        <w:spacing w:after="0" w:line="279" w:lineRule="auto"/>
        <w:tabs>
          <w:tab w:leader="none" w:pos="912"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level of expenses related to any of our programs and product candidates or preclinical and clinical development programs;</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results of our efforts to discover, develop, acquire or in-license additional product candidates or products;</w:t>
      </w:r>
    </w:p>
    <w:p>
      <w:pPr>
        <w:spacing w:after="0" w:line="145" w:lineRule="exact"/>
        <w:rPr>
          <w:rFonts w:ascii="Arial" w:cs="Arial" w:eastAsia="Arial" w:hAnsi="Arial"/>
          <w:sz w:val="19"/>
          <w:szCs w:val="19"/>
          <w:color w:val="auto"/>
        </w:rPr>
      </w:pPr>
    </w:p>
    <w:p>
      <w:pPr>
        <w:ind w:left="720" w:right="920" w:firstLine="8"/>
        <w:spacing w:after="0" w:line="279" w:lineRule="auto"/>
        <w:tabs>
          <w:tab w:leader="none" w:pos="912"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actual or anticipated changes in estimates as to financial results, development timelines, data releases or recommendations by securities analysts;</w:t>
      </w:r>
    </w:p>
    <w:p>
      <w:pPr>
        <w:spacing w:after="0" w:line="61"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variations in our financial results or those of companies that are perceived to be similar to us;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changes in the structure of healthcare payment systems and third-party reimbursement decisions;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market conditions in the pharmaceutical and biotechnology sectors;</w:t>
      </w:r>
    </w:p>
    <w:p>
      <w:pPr>
        <w:spacing w:after="0" w:line="136"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purchases or sales of our securities by our officers, directors or significant shareholders;</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limited trading volume;</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general economic, industry and market conditions; and</w:t>
      </w:r>
    </w:p>
    <w:p>
      <w:pPr>
        <w:spacing w:after="0" w:line="134" w:lineRule="exact"/>
        <w:rPr>
          <w:rFonts w:ascii="Arial" w:cs="Arial" w:eastAsia="Arial" w:hAnsi="Arial"/>
          <w:sz w:val="20"/>
          <w:szCs w:val="20"/>
          <w:color w:val="auto"/>
        </w:rPr>
      </w:pPr>
    </w:p>
    <w:p>
      <w:pPr>
        <w:ind w:left="920" w:hanging="192"/>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other factors described in this “</w:t>
      </w:r>
      <w:r>
        <w:rPr>
          <w:rFonts w:ascii="Arial" w:cs="Arial" w:eastAsia="Arial" w:hAnsi="Arial"/>
          <w:sz w:val="20"/>
          <w:szCs w:val="20"/>
          <w:i w:val="1"/>
          <w:iCs w:val="1"/>
          <w:color w:val="auto"/>
        </w:rPr>
        <w:t>Risk Factors</w:t>
      </w:r>
      <w:r>
        <w:rPr>
          <w:rFonts w:ascii="Arial" w:cs="Arial" w:eastAsia="Arial" w:hAnsi="Arial"/>
          <w:sz w:val="20"/>
          <w:szCs w:val="20"/>
          <w:color w:val="auto"/>
        </w:rPr>
        <w:t>” section.</w:t>
      </w:r>
    </w:p>
    <w:p>
      <w:pPr>
        <w:spacing w:after="0" w:line="240"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b w:val="1"/>
          <w:bCs w:val="1"/>
          <w:i w:val="1"/>
          <w:iCs w:val="1"/>
          <w:color w:val="auto"/>
        </w:rPr>
        <w:t>We will incur increased costs as a result of operating as a public company, and our management will be required to devote substantial time to compliance initiatives.</w:t>
      </w:r>
    </w:p>
    <w:p>
      <w:pPr>
        <w:spacing w:after="0" w:line="48" w:lineRule="exact"/>
        <w:rPr>
          <w:sz w:val="20"/>
          <w:szCs w:val="20"/>
          <w:color w:val="auto"/>
        </w:rPr>
      </w:pPr>
    </w:p>
    <w:p>
      <w:pPr>
        <w:ind w:right="40" w:firstLine="557"/>
        <w:spacing w:after="0" w:line="260" w:lineRule="auto"/>
        <w:rPr>
          <w:sz w:val="20"/>
          <w:szCs w:val="20"/>
          <w:color w:val="auto"/>
        </w:rPr>
      </w:pPr>
      <w:r>
        <w:rPr>
          <w:rFonts w:ascii="Arial" w:cs="Arial" w:eastAsia="Arial" w:hAnsi="Arial"/>
          <w:sz w:val="19"/>
          <w:szCs w:val="19"/>
          <w:color w:val="auto"/>
        </w:rPr>
        <w:t>As a public company, and particularly now that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ectPr>
          <w:pgSz w:w="12240" w:h="15840" w:orient="portrait"/>
          <w:cols w:equalWidth="0" w:num="1">
            <w:col w:w="10140"/>
          </w:cols>
          <w:pgMar w:left="1000" w:top="1060" w:right="1100" w:bottom="21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2240" w:h="15840" w:orient="portrait"/>
          <w:cols w:equalWidth="0" w:num="1">
            <w:col w:w="10140"/>
          </w:cols>
          <w:pgMar w:left="1000" w:top="1060" w:right="1100" w:bottom="210" w:gutter="0" w:footer="0" w:header="0"/>
          <w:type w:val="continuous"/>
        </w:sectPr>
      </w:pPr>
    </w:p>
    <w:bookmarkStart w:id="84" w:name="page85"/>
    <w:bookmarkEnd w:id="84"/>
    <w:p>
      <w:pPr>
        <w:ind w:right="20" w:firstLine="557"/>
        <w:spacing w:after="0" w:line="257" w:lineRule="auto"/>
        <w:rPr>
          <w:sz w:val="20"/>
          <w:szCs w:val="20"/>
          <w:color w:val="auto"/>
        </w:rPr>
      </w:pPr>
      <w:r>
        <w:rPr>
          <w:rFonts w:ascii="Arial" w:cs="Arial" w:eastAsia="Arial" w:hAnsi="Arial"/>
          <w:sz w:val="19"/>
          <w:szCs w:val="19"/>
          <w:color w:val="auto"/>
        </w:rPr>
        <w:t xml:space="preserve">Pursuant to Section 404 of the Sarbanes-Oxley Act, we are required to furnish a report by our management on our internal control over financial reporting, </w:t>
      </w:r>
      <w:r>
        <w:rPr>
          <w:rFonts w:ascii="Arial" w:cs="Arial" w:eastAsia="Arial" w:hAnsi="Arial"/>
          <w:sz w:val="18"/>
          <w:szCs w:val="18"/>
          <w:color w:val="auto"/>
        </w:rPr>
        <w:t>including an attestation report on internal control over financial reporting issued by</w:t>
      </w:r>
      <w:r>
        <w:rPr>
          <w:rFonts w:ascii="Arial" w:cs="Arial" w:eastAsia="Arial" w:hAnsi="Arial"/>
          <w:sz w:val="19"/>
          <w:szCs w:val="19"/>
          <w:color w:val="auto"/>
        </w:rPr>
        <w:t xml:space="preserve"> </w:t>
      </w:r>
      <w:r>
        <w:rPr>
          <w:rFonts w:ascii="Arial" w:cs="Arial" w:eastAsia="Arial" w:hAnsi="Arial"/>
          <w:sz w:val="18"/>
          <w:szCs w:val="18"/>
          <w:color w:val="auto"/>
        </w:rPr>
        <w:t>our independent registered public accounting firm</w:t>
      </w:r>
      <w:r>
        <w:rPr>
          <w:rFonts w:ascii="Arial" w:cs="Arial" w:eastAsia="Arial" w:hAnsi="Arial"/>
          <w:sz w:val="19"/>
          <w:szCs w:val="19"/>
          <w:color w:val="auto"/>
        </w:rPr>
        <w:t>.</w:t>
      </w:r>
      <w:r>
        <w:rPr>
          <w:rFonts w:ascii="Arial" w:cs="Arial" w:eastAsia="Arial" w:hAnsi="Arial"/>
          <w:sz w:val="18"/>
          <w:szCs w:val="18"/>
          <w:color w:val="auto"/>
        </w:rPr>
        <w:t xml:space="preserve"> However, as we are now a smaller reporting company, we will not be required to include an attestation report on internal control over financial reporting issued by our independent registered public accounting firm</w:t>
      </w:r>
      <w:r>
        <w:rPr>
          <w:rFonts w:ascii="Arial" w:cs="Arial" w:eastAsia="Arial" w:hAnsi="Arial"/>
          <w:sz w:val="19"/>
          <w:szCs w:val="19"/>
          <w:color w:val="auto"/>
        </w:rPr>
        <w:t>. To achieve compliance with Section 404 within the prescribed period, we will be engaged in a process to</w:t>
      </w:r>
      <w:r>
        <w:rPr>
          <w:rFonts w:ascii="Arial" w:cs="Arial" w:eastAsia="Arial" w:hAnsi="Arial"/>
          <w:sz w:val="18"/>
          <w:szCs w:val="18"/>
          <w:color w:val="auto"/>
        </w:rPr>
        <w:t xml:space="preserve"> </w:t>
      </w:r>
      <w:r>
        <w:rPr>
          <w:rFonts w:ascii="Arial" w:cs="Arial" w:eastAsia="Arial" w:hAnsi="Arial"/>
          <w:sz w:val="19"/>
          <w:szCs w:val="19"/>
          <w:color w:val="auto"/>
        </w:rPr>
        <w:t>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disclosure controls and procedures may not prevent or detect all errors or acts of fraud.</w:t>
      </w:r>
    </w:p>
    <w:p>
      <w:pPr>
        <w:spacing w:after="0" w:line="120" w:lineRule="exact"/>
        <w:rPr>
          <w:sz w:val="20"/>
          <w:szCs w:val="20"/>
          <w:color w:val="auto"/>
        </w:rPr>
      </w:pPr>
    </w:p>
    <w:p>
      <w:pPr>
        <w:ind w:firstLine="557"/>
        <w:spacing w:after="0" w:line="258" w:lineRule="auto"/>
        <w:rPr>
          <w:sz w:val="20"/>
          <w:szCs w:val="20"/>
          <w:color w:val="auto"/>
        </w:rPr>
      </w:pPr>
      <w:r>
        <w:rPr>
          <w:rFonts w:ascii="Arial" w:cs="Arial" w:eastAsia="Arial" w:hAnsi="Arial"/>
          <w:sz w:val="19"/>
          <w:szCs w:val="19"/>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22" w:lineRule="exact"/>
        <w:rPr>
          <w:sz w:val="20"/>
          <w:szCs w:val="20"/>
          <w:color w:val="auto"/>
        </w:rPr>
      </w:pPr>
    </w:p>
    <w:p>
      <w:pPr>
        <w:ind w:right="200" w:firstLine="52"/>
        <w:spacing w:after="0" w:line="276" w:lineRule="auto"/>
        <w:rPr>
          <w:sz w:val="20"/>
          <w:szCs w:val="20"/>
          <w:color w:val="auto"/>
        </w:rPr>
      </w:pPr>
      <w:r>
        <w:rPr>
          <w:rFonts w:ascii="Arial" w:cs="Arial" w:eastAsia="Arial" w:hAnsi="Arial"/>
          <w:sz w:val="20"/>
          <w:szCs w:val="20"/>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40" w:firstLine="557"/>
        <w:spacing w:after="0" w:line="261" w:lineRule="auto"/>
        <w:rPr>
          <w:sz w:val="20"/>
          <w:szCs w:val="20"/>
          <w:color w:val="auto"/>
        </w:rPr>
      </w:pPr>
      <w:r>
        <w:rPr>
          <w:rFonts w:ascii="Arial" w:cs="Arial" w:eastAsia="Arial" w:hAnsi="Arial"/>
          <w:sz w:val="19"/>
          <w:szCs w:val="19"/>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subject to securities litigation, which is expensive and could divert management attention.</w:t>
      </w:r>
    </w:p>
    <w:p>
      <w:pPr>
        <w:spacing w:after="0" w:line="119" w:lineRule="exact"/>
        <w:rPr>
          <w:sz w:val="20"/>
          <w:szCs w:val="20"/>
          <w:color w:val="auto"/>
        </w:rPr>
      </w:pPr>
    </w:p>
    <w:p>
      <w:pPr>
        <w:ind w:right="200" w:firstLine="557"/>
        <w:spacing w:after="0" w:line="280" w:lineRule="auto"/>
        <w:rPr>
          <w:sz w:val="20"/>
          <w:szCs w:val="20"/>
          <w:color w:val="auto"/>
        </w:rPr>
      </w:pPr>
      <w:r>
        <w:rPr>
          <w:rFonts w:ascii="Arial" w:cs="Arial" w:eastAsia="Arial" w:hAnsi="Arial"/>
          <w:sz w:val="18"/>
          <w:szCs w:val="18"/>
          <w:color w:val="auto"/>
        </w:rPr>
        <w:t>The market price of our common stock has been and may continue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4" w:lineRule="exact"/>
        <w:rPr>
          <w:sz w:val="20"/>
          <w:szCs w:val="20"/>
          <w:color w:val="auto"/>
        </w:rPr>
      </w:pPr>
    </w:p>
    <w:p>
      <w:pPr>
        <w:ind w:right="60"/>
        <w:spacing w:after="0" w:line="305" w:lineRule="auto"/>
        <w:rPr>
          <w:sz w:val="20"/>
          <w:szCs w:val="20"/>
          <w:color w:val="auto"/>
        </w:rPr>
      </w:pPr>
      <w:r>
        <w:rPr>
          <w:rFonts w:ascii="Arial" w:cs="Arial" w:eastAsia="Arial" w:hAnsi="Arial"/>
          <w:sz w:val="19"/>
          <w:szCs w:val="19"/>
          <w:b w:val="1"/>
          <w:bCs w:val="1"/>
          <w:i w:val="1"/>
          <w:iCs w:val="1"/>
          <w:color w:val="auto"/>
        </w:rPr>
        <w:t>Adverse developments affecting the financial services industry, such as actual events or concerns involving liquidity, could adversely affect our business operations, financial condition and results of operations.</w:t>
      </w:r>
    </w:p>
    <w:p>
      <w:pPr>
        <w:spacing w:after="0" w:line="24" w:lineRule="exact"/>
        <w:rPr>
          <w:sz w:val="20"/>
          <w:szCs w:val="20"/>
          <w:color w:val="auto"/>
        </w:rPr>
      </w:pPr>
    </w:p>
    <w:p>
      <w:pPr>
        <w:ind w:right="20" w:firstLine="557"/>
        <w:spacing w:after="0" w:line="261" w:lineRule="auto"/>
        <w:rPr>
          <w:sz w:val="20"/>
          <w:szCs w:val="20"/>
          <w:color w:val="auto"/>
        </w:rPr>
      </w:pPr>
      <w:r>
        <w:rPr>
          <w:rFonts w:ascii="Arial" w:cs="Arial" w:eastAsia="Arial" w:hAnsi="Arial"/>
          <w:sz w:val="19"/>
          <w:szCs w:val="19"/>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or SVB, was closed by the California Department of Financial Protection and Innovation, and Signature Bank and Silvergate Capital Corp. were each swept into receivership. We held certain funds in a deposit account with SVB, and while we were ultimately able to access those funds, we did not have access for a short time leading up to the events in March 2023.</w:t>
      </w:r>
    </w:p>
    <w:p>
      <w:pPr>
        <w:sectPr>
          <w:pgSz w:w="12240" w:h="15840" w:orient="portrait"/>
          <w:cols w:equalWidth="0" w:num="1">
            <w:col w:w="10140"/>
          </w:cols>
          <w:pgMar w:left="1000" w:top="1060" w:right="1100" w:bottom="21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2240" w:h="15840" w:orient="portrait"/>
          <w:cols w:equalWidth="0" w:num="1">
            <w:col w:w="10140"/>
          </w:cols>
          <w:pgMar w:left="1000" w:top="1060" w:right="1100" w:bottom="210" w:gutter="0" w:footer="0" w:header="0"/>
          <w:type w:val="continuous"/>
        </w:sectPr>
      </w:pPr>
    </w:p>
    <w:bookmarkStart w:id="85" w:name="page86"/>
    <w:bookmarkEnd w:id="85"/>
    <w:p>
      <w:pPr>
        <w:ind w:right="80" w:firstLine="551"/>
        <w:spacing w:after="0" w:line="280" w:lineRule="auto"/>
        <w:rPr>
          <w:sz w:val="20"/>
          <w:szCs w:val="20"/>
          <w:color w:val="auto"/>
        </w:rPr>
      </w:pPr>
      <w:r>
        <w:rPr>
          <w:rFonts w:ascii="Arial" w:cs="Arial" w:eastAsia="Arial" w:hAnsi="Arial"/>
          <w:sz w:val="18"/>
          <w:szCs w:val="18"/>
          <w:color w:val="auto"/>
        </w:rPr>
        <w:t>Although we assess our banking relationships as we believe necessary or appropriate, our access to funding sources in amounts adequate to finance or capitalize our current and projected future business operations could be significantly impaired by factors caused by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71" w:lineRule="exact"/>
        <w:rPr>
          <w:sz w:val="20"/>
          <w:szCs w:val="20"/>
          <w:color w:val="auto"/>
        </w:rPr>
      </w:pPr>
    </w:p>
    <w:p>
      <w:pPr>
        <w:ind w:right="80" w:firstLine="557"/>
        <w:spacing w:after="0" w:line="278" w:lineRule="auto"/>
        <w:rPr>
          <w:sz w:val="20"/>
          <w:szCs w:val="20"/>
          <w:color w:val="auto"/>
        </w:rPr>
      </w:pPr>
      <w:r>
        <w:rPr>
          <w:rFonts w:ascii="Arial" w:cs="Arial" w:eastAsia="Arial" w:hAnsi="Arial"/>
          <w:sz w:val="19"/>
          <w:szCs w:val="19"/>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tax reform legislation could adversely affect our business and financial condition.</w:t>
      </w:r>
    </w:p>
    <w:p>
      <w:pPr>
        <w:spacing w:after="0" w:line="119" w:lineRule="exact"/>
        <w:rPr>
          <w:sz w:val="20"/>
          <w:szCs w:val="20"/>
          <w:color w:val="auto"/>
        </w:rPr>
      </w:pPr>
    </w:p>
    <w:p>
      <w:pPr>
        <w:ind w:right="80" w:firstLine="557"/>
        <w:spacing w:after="0" w:line="270" w:lineRule="auto"/>
        <w:rPr>
          <w:sz w:val="20"/>
          <w:szCs w:val="20"/>
          <w:color w:val="auto"/>
        </w:rPr>
      </w:pPr>
      <w:r>
        <w:rPr>
          <w:rFonts w:ascii="Arial" w:cs="Arial" w:eastAsia="Arial" w:hAnsi="Arial"/>
          <w:sz w:val="18"/>
          <w:szCs w:val="18"/>
          <w:color w:val="auto"/>
        </w:rPr>
        <w:t>The tax regimes we are subject to or operate under are unsettled and may be subject to significant change. Changes in tax laws or tax rulings, or changes in interpretations of existing laws, could cause us to be subject to additional income-based taxes and non - income taxes (such as payroll, sales, use, value-added, digital tax, net worth, property, and goods and services taxes), which in turn could materially affect our cash and financial position and results of operations. For example, the OBBB was signed into law on July 4, 2025 and made significant changes to U.S. federal tax law. Additionally, new, changed, modified, or newly interpreted or applied tax laws could increase our potential future customers’ and our compliance, operating and other costs, as well as the costs of our products, if approved. For example, under Section 174 of the Internal Revenue Code of 1986, as amended (the “IRC”), in taxable years beginning after December 31, 2021, expenses that are incurred for research and development performed outside the U.S. will be capitalized and amortized, which may have an adverse effect on our cash flow. The OBBB provides that for taxable years beginning after December 31, 2024, expenses that are incurred for research and development performed in the U.S. may, at the taxpayer’s election, be immediately deducted or capitalized and amortized. In addition, the OBBB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155" w:lineRule="exact"/>
        <w:rPr>
          <w:sz w:val="20"/>
          <w:szCs w:val="20"/>
          <w:color w:val="auto"/>
        </w:rPr>
      </w:pPr>
    </w:p>
    <w:p>
      <w:pPr>
        <w:ind w:firstLine="556"/>
        <w:spacing w:after="0" w:line="27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United States and other countries recently experienced increased inflation and interest 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For example, this presidential administration has initiated or is considering imposing tariffs on certain foreign goods (and we do import certain goods from foreign countries and certain services are performed for our benefit in foreign countries). In response to this action, certain foreign governments, including China’s, have instituted or are considering imposing tariffs on certain U.S. goods, which could impact inflation rate, increase the costs of goods, and adversely affect our business. It remains unclear what the administration or foreign governments will or will not do with respect to tariffs or other international trade agreements and policies.</w:t>
      </w:r>
    </w:p>
    <w:p>
      <w:pPr>
        <w:spacing w:after="0" w:line="61" w:lineRule="exact"/>
        <w:rPr>
          <w:sz w:val="20"/>
          <w:szCs w:val="20"/>
          <w:color w:val="auto"/>
        </w:rPr>
      </w:pPr>
    </w:p>
    <w:p>
      <w:pPr>
        <w:ind w:right="20" w:firstLine="557"/>
        <w:spacing w:after="0" w:line="280" w:lineRule="auto"/>
        <w:rPr>
          <w:sz w:val="20"/>
          <w:szCs w:val="20"/>
          <w:color w:val="auto"/>
        </w:rPr>
      </w:pPr>
      <w:r>
        <w:rPr>
          <w:rFonts w:ascii="Arial" w:cs="Arial" w:eastAsia="Arial" w:hAnsi="Arial"/>
          <w:sz w:val="18"/>
          <w:szCs w:val="18"/>
          <w:color w:val="auto"/>
        </w:rPr>
        <w:t>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w:t>
      </w:r>
    </w:p>
    <w:p>
      <w:pPr>
        <w:sectPr>
          <w:pgSz w:w="12240" w:h="15840" w:orient="portrait"/>
          <w:cols w:equalWidth="0" w:num="1">
            <w:col w:w="10140"/>
          </w:cols>
          <w:pgMar w:left="1000" w:top="1060" w:right="1100" w:bottom="21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2240" w:h="15840" w:orient="portrait"/>
          <w:cols w:equalWidth="0" w:num="1">
            <w:col w:w="10140"/>
          </w:cols>
          <w:pgMar w:left="1000" w:top="1060" w:right="1100" w:bottom="210" w:gutter="0" w:footer="0" w:header="0"/>
          <w:type w:val="continuous"/>
        </w:sectPr>
      </w:pPr>
    </w:p>
    <w:bookmarkStart w:id="86" w:name="page87"/>
    <w:bookmarkEnd w:id="86"/>
    <w:p>
      <w:pPr>
        <w:ind w:right="80"/>
        <w:spacing w:after="0" w:line="249" w:lineRule="auto"/>
        <w:rPr>
          <w:sz w:val="20"/>
          <w:szCs w:val="20"/>
          <w:color w:val="auto"/>
        </w:rPr>
      </w:pPr>
      <w:r>
        <w:rPr>
          <w:rFonts w:ascii="Arial" w:cs="Arial" w:eastAsia="Arial" w:hAnsi="Arial"/>
          <w:sz w:val="20"/>
          <w:szCs w:val="20"/>
          <w:color w:val="auto"/>
        </w:rPr>
        <w:t>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97" w:lineRule="exact"/>
        <w:rPr>
          <w:sz w:val="20"/>
          <w:szCs w:val="20"/>
          <w:color w:val="auto"/>
        </w:rPr>
      </w:pPr>
    </w:p>
    <w:p>
      <w:pPr>
        <w:ind w:right="120"/>
        <w:spacing w:after="0" w:line="278" w:lineRule="auto"/>
        <w:rPr>
          <w:sz w:val="20"/>
          <w:szCs w:val="20"/>
          <w:color w:val="auto"/>
        </w:rPr>
      </w:pPr>
      <w:r>
        <w:rPr>
          <w:rFonts w:ascii="Arial" w:cs="Arial" w:eastAsia="Arial" w:hAnsi="Arial"/>
          <w:sz w:val="20"/>
          <w:szCs w:val="20"/>
          <w:b w:val="1"/>
          <w:bCs w:val="1"/>
          <w:i w:val="1"/>
          <w:iCs w:val="1"/>
          <w:color w:val="auto"/>
        </w:rPr>
        <w:t>An active trading market for our common stock may not be sustained, and you may not be able to resell your shares at the price you paid.</w:t>
      </w:r>
    </w:p>
    <w:p>
      <w:pPr>
        <w:spacing w:after="0" w:line="47" w:lineRule="exact"/>
        <w:rPr>
          <w:sz w:val="20"/>
          <w:szCs w:val="20"/>
          <w:color w:val="auto"/>
        </w:rPr>
      </w:pPr>
    </w:p>
    <w:p>
      <w:pPr>
        <w:ind w:right="20" w:firstLine="557"/>
        <w:spacing w:after="0" w:line="336"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Risk Management and Strategy</w:t>
      </w:r>
    </w:p>
    <w:p>
      <w:pPr>
        <w:spacing w:after="0" w:line="123" w:lineRule="exact"/>
        <w:rPr>
          <w:sz w:val="20"/>
          <w:szCs w:val="20"/>
          <w:color w:val="auto"/>
        </w:rPr>
      </w:pPr>
    </w:p>
    <w:p>
      <w:pPr>
        <w:ind w:right="40" w:firstLine="557"/>
        <w:spacing w:after="0" w:line="265" w:lineRule="auto"/>
        <w:rPr>
          <w:sz w:val="20"/>
          <w:szCs w:val="20"/>
          <w:color w:val="auto"/>
        </w:rPr>
      </w:pPr>
      <w:r>
        <w:rPr>
          <w:rFonts w:ascii="Arial" w:cs="Arial" w:eastAsia="Arial" w:hAnsi="Arial"/>
          <w:sz w:val="19"/>
          <w:szCs w:val="19"/>
          <w:color w:val="auto"/>
        </w:rPr>
        <w:t>In an effort to protect our business from cybersecurity threats, we maintain and utilize various tools and processes that are designed to identify, assess, and manage cybersecurity risks. Our cybersecurity risk management program, which has been integrated into our enterprise risk management program, is based on the National Institute of Standards and Technology (NIST) Cybersecurity Framework. Our cybersecurity risk management program focuses on monitoring the prevention, detection, mitigation, and remediation of cybersecurity risks and incidents.</w:t>
      </w:r>
    </w:p>
    <w:p>
      <w:pPr>
        <w:spacing w:after="0" w:line="65" w:lineRule="exact"/>
        <w:rPr>
          <w:sz w:val="20"/>
          <w:szCs w:val="20"/>
          <w:color w:val="auto"/>
        </w:rPr>
      </w:pPr>
    </w:p>
    <w:p>
      <w:pPr>
        <w:ind w:right="20" w:firstLine="557"/>
        <w:spacing w:after="0" w:line="273" w:lineRule="auto"/>
        <w:rPr>
          <w:sz w:val="20"/>
          <w:szCs w:val="20"/>
          <w:color w:val="auto"/>
        </w:rPr>
      </w:pPr>
      <w:r>
        <w:rPr>
          <w:rFonts w:ascii="Arial" w:cs="Arial" w:eastAsia="Arial" w:hAnsi="Arial"/>
          <w:sz w:val="18"/>
          <w:szCs w:val="18"/>
          <w:color w:val="auto"/>
        </w:rPr>
        <w:t>There are a number of components of our risk management program. We leverage external third parties for security testing on an annual basis, including penetration testing. We consistently monitor critical risks from cybersecurity threats using automated tools and have a process to implement mitigation plans. Our Security Committee, headed by the Vice President of IT and the Vice President, Legal assesses and monitors any identified security incidents that impact us or our external partners. Furthermore, we assess and review the cybersecurity practices of third parties who have access to our systems and/or process our sensitive information. This assessment may involve requesting Systems and Organization Controls Type 2 reports (SOC2 reports), conversations with our Vice President of IT, and the inclusion of contractual requirements to maintain data protection safeguards and timely notification if the third party experiences a security incident which may have a critical impact on our business or our data. Additionally, we conduct cybersecurity awareness training for employees during onboarding and throughout the year, and we conduct regular phishing simulations in an effort to raise awareness of spoofed or manipulated electronic communications and other cybersecurity threats.</w:t>
      </w:r>
    </w:p>
    <w:p>
      <w:pPr>
        <w:spacing w:after="0" w:line="60" w:lineRule="exact"/>
        <w:rPr>
          <w:sz w:val="20"/>
          <w:szCs w:val="20"/>
          <w:color w:val="auto"/>
        </w:rPr>
      </w:pPr>
    </w:p>
    <w:p>
      <w:pPr>
        <w:ind w:firstLine="557"/>
        <w:spacing w:after="0" w:line="261" w:lineRule="auto"/>
        <w:rPr>
          <w:sz w:val="20"/>
          <w:szCs w:val="20"/>
          <w:color w:val="auto"/>
        </w:rPr>
      </w:pPr>
      <w:r>
        <w:rPr>
          <w:rFonts w:ascii="Arial" w:cs="Arial" w:eastAsia="Arial" w:hAnsi="Arial"/>
          <w:sz w:val="19"/>
          <w:szCs w:val="19"/>
          <w:color w:val="auto"/>
        </w:rPr>
        <w:t>We face a number of cybersecurity risks in connection with our business. Although such risks have not materially affected us, and we do not believe they are reasonably likely to materially affect us, our business strategy, results of operations or financial condition, we could from time to time, experience threats to and security incidents related to our third-party vendors’ information systems. For more information about the cybersecurity risks we face, see the risk factor entitled “We may be unable to adequately protect our information technology systems from cyberattacks, cyber intrusions or otherwise which could result in damage to our information technology systems and unauthorized disclosure or use of confidential or proprietary information, including personal data” in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Governance</w:t>
      </w:r>
    </w:p>
    <w:p>
      <w:pPr>
        <w:spacing w:after="0" w:line="123" w:lineRule="exact"/>
        <w:rPr>
          <w:sz w:val="20"/>
          <w:szCs w:val="20"/>
          <w:color w:val="auto"/>
        </w:rPr>
      </w:pPr>
    </w:p>
    <w:p>
      <w:pPr>
        <w:ind w:right="60" w:firstLine="557"/>
        <w:spacing w:after="0" w:line="245" w:lineRule="auto"/>
        <w:rPr>
          <w:sz w:val="20"/>
          <w:szCs w:val="20"/>
          <w:color w:val="auto"/>
        </w:rPr>
      </w:pPr>
      <w:r>
        <w:rPr>
          <w:rFonts w:ascii="Arial" w:cs="Arial" w:eastAsia="Arial" w:hAnsi="Arial"/>
          <w:sz w:val="20"/>
          <w:szCs w:val="20"/>
          <w:color w:val="auto"/>
        </w:rPr>
        <w:t>Our Board of Directors has delegated responsibility for overseeing our policies, practices and assessments with respect to cybersecurity and other information technology risks to the Audit Committee. Our Vice President of IT, under the supervision of our Chief Financial Officer, is responsible for the establishment and maintenance of our cybersecurity risk management program, including the day-to-day oversight of the assessment and management of cybersecurity risks. The Vice President of IT will regularly consult with outside security experts and management to evaluate certain aspects of the cybersecurity risk management program. The Vice President of IT has approximately 15 years of experience in information security and cybersecurity risk management. The IT team also institutes and maintains controls for our systems, applications, and databases.</w:t>
      </w:r>
    </w:p>
    <w:p>
      <w:pPr>
        <w:spacing w:after="0" w:line="83" w:lineRule="exact"/>
        <w:rPr>
          <w:sz w:val="20"/>
          <w:szCs w:val="20"/>
          <w:color w:val="auto"/>
        </w:rPr>
      </w:pPr>
    </w:p>
    <w:p>
      <w:pPr>
        <w:ind w:firstLine="557"/>
        <w:spacing w:after="0" w:line="258" w:lineRule="auto"/>
        <w:rPr>
          <w:sz w:val="20"/>
          <w:szCs w:val="20"/>
          <w:color w:val="auto"/>
        </w:rPr>
      </w:pPr>
      <w:r>
        <w:rPr>
          <w:rFonts w:ascii="Arial" w:cs="Arial" w:eastAsia="Arial" w:hAnsi="Arial"/>
          <w:sz w:val="20"/>
          <w:szCs w:val="20"/>
          <w:color w:val="auto"/>
        </w:rPr>
        <w:t>The Vice President of IT reports on the status of our cybersecurity risk management program to management and our Audit Committee on a periodic basis, which may include a discussion of the results of our annual third party cybersecurity risk assessments and critical updates to our mitigation and remediation efforts.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2240" w:h="15840" w:orient="portrait"/>
          <w:cols w:equalWidth="0" w:num="1">
            <w:col w:w="10140"/>
          </w:cols>
          <w:pgMar w:left="1000" w:top="1060" w:right="1100" w:bottom="21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Item 2. Properties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corporate headquarters is located at 201 Brookline Avenue, Boston, Massachusetts, where we lease approximately</w:t>
      </w:r>
    </w:p>
    <w:p>
      <w:pPr>
        <w:spacing w:after="0" w:line="63" w:lineRule="exact"/>
        <w:rPr>
          <w:sz w:val="20"/>
          <w:szCs w:val="20"/>
          <w:color w:val="auto"/>
        </w:rPr>
      </w:pPr>
    </w:p>
    <w:p>
      <w:pPr>
        <w:ind w:right="520"/>
        <w:spacing w:after="0" w:line="275" w:lineRule="auto"/>
        <w:rPr>
          <w:sz w:val="20"/>
          <w:szCs w:val="20"/>
          <w:color w:val="auto"/>
        </w:rPr>
      </w:pPr>
      <w:r>
        <w:rPr>
          <w:rFonts w:ascii="Arial" w:cs="Arial" w:eastAsia="Arial" w:hAnsi="Arial"/>
          <w:sz w:val="19"/>
          <w:szCs w:val="19"/>
          <w:color w:val="auto"/>
        </w:rPr>
        <w:t>64,805 square feet of office and laboratory space. The term of our amended lease with respect to this facility expires on January 31, 2033, however, under certain circumstances, this lease may terminate on an earlier date.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24" w:lineRule="exact"/>
        <w:rPr>
          <w:sz w:val="20"/>
          <w:szCs w:val="20"/>
          <w:color w:val="auto"/>
        </w:rPr>
      </w:pPr>
    </w:p>
    <w:p>
      <w:pPr>
        <w:ind w:right="40" w:firstLine="557"/>
        <w:spacing w:after="0" w:line="258" w:lineRule="auto"/>
        <w:rPr>
          <w:sz w:val="20"/>
          <w:szCs w:val="20"/>
          <w:color w:val="auto"/>
        </w:rPr>
      </w:pPr>
      <w:r>
        <w:rPr>
          <w:rFonts w:ascii="Arial" w:cs="Arial" w:eastAsia="Arial" w:hAnsi="Arial"/>
          <w:sz w:val="20"/>
          <w:szCs w:val="20"/>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ind w:firstLine="557"/>
        <w:spacing w:after="0" w:line="278" w:lineRule="auto"/>
        <w:rPr>
          <w:sz w:val="20"/>
          <w:szCs w:val="20"/>
          <w:color w:val="auto"/>
        </w:rPr>
      </w:pPr>
      <w:r>
        <w:rPr>
          <w:rFonts w:ascii="Arial" w:cs="Arial" w:eastAsia="Arial" w:hAnsi="Arial"/>
          <w:sz w:val="20"/>
          <w:szCs w:val="20"/>
          <w:color w:val="auto"/>
        </w:rPr>
        <w:t>We are not currently a party to any litigation or legal proceedings that, in the opinion of our management, are probable to have a material adverse effect on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060"/>
          </w:cols>
          <w:pgMar w:left="1000" w:top="1056" w:right="11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84</w:t>
      </w:r>
    </w:p>
    <w:p>
      <w:pPr>
        <w:sectPr>
          <w:pgSz w:w="12240" w:h="15840" w:orient="portrait"/>
          <w:cols w:equalWidth="0" w:num="1">
            <w:col w:w="10060"/>
          </w:cols>
          <w:pgMar w:left="1000" w:top="1056" w:right="1180" w:bottom="210" w:gutter="0" w:footer="0" w:header="0"/>
          <w:type w:val="continuous"/>
        </w:sectPr>
      </w:pPr>
    </w:p>
    <w:bookmarkStart w:id="88" w:name="page89"/>
    <w:bookmarkEnd w:id="88"/>
    <w:p>
      <w:pPr>
        <w:jc w:val="center"/>
        <w:ind w:right="-39"/>
        <w:spacing w:after="0"/>
        <w:rPr>
          <w:sz w:val="20"/>
          <w:szCs w:val="20"/>
          <w:color w:val="auto"/>
        </w:rPr>
      </w:pPr>
      <w:r>
        <w:rPr>
          <w:rFonts w:ascii="Arial" w:cs="Arial" w:eastAsia="Arial" w:hAnsi="Arial"/>
          <w:sz w:val="20"/>
          <w:szCs w:val="20"/>
          <w:b w:val="1"/>
          <w:bCs w:val="1"/>
          <w:color w:val="auto"/>
        </w:rPr>
        <w:t>PART II</w:t>
      </w:r>
    </w:p>
    <w:p>
      <w:pPr>
        <w:spacing w:after="0" w:line="359" w:lineRule="exact"/>
        <w:rPr>
          <w:sz w:val="20"/>
          <w:szCs w:val="20"/>
          <w:color w:val="auto"/>
        </w:rPr>
      </w:pPr>
    </w:p>
    <w:p>
      <w:pPr>
        <w:ind w:right="700"/>
        <w:spacing w:after="0" w:line="286"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Our common stock currently trades on The Nasdaq Global Market under the symbol "TNGX".</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Common Stock</w:t>
      </w:r>
    </w:p>
    <w:p>
      <w:pPr>
        <w:spacing w:after="0" w:line="124" w:lineRule="exact"/>
        <w:rPr>
          <w:sz w:val="20"/>
          <w:szCs w:val="20"/>
          <w:color w:val="auto"/>
        </w:rPr>
      </w:pPr>
    </w:p>
    <w:p>
      <w:pPr>
        <w:ind w:right="80" w:firstLine="557"/>
        <w:spacing w:after="0" w:line="258" w:lineRule="auto"/>
        <w:rPr>
          <w:sz w:val="20"/>
          <w:szCs w:val="20"/>
          <w:color w:val="auto"/>
        </w:rPr>
      </w:pPr>
      <w:r>
        <w:rPr>
          <w:rFonts w:ascii="Arial" w:cs="Arial" w:eastAsia="Arial" w:hAnsi="Arial"/>
          <w:sz w:val="20"/>
          <w:szCs w:val="20"/>
          <w:color w:val="auto"/>
        </w:rPr>
        <w:t>As of February 26, 2026, there were approximately 15 stockholders of record of our common stock. Certain shares are held in “street” name and accordingly, the number of beneficial owners of such shares is not known or included in the foregoing number of stockholders of record.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23" w:lineRule="exact"/>
        <w:rPr>
          <w:sz w:val="20"/>
          <w:szCs w:val="20"/>
          <w:color w:val="auto"/>
        </w:rPr>
      </w:pPr>
    </w:p>
    <w:p>
      <w:pPr>
        <w:ind w:firstLine="557"/>
        <w:spacing w:after="0" w:line="284" w:lineRule="auto"/>
        <w:rPr>
          <w:sz w:val="20"/>
          <w:szCs w:val="20"/>
          <w:color w:val="auto"/>
        </w:rPr>
      </w:pPr>
      <w:r>
        <w:rPr>
          <w:rFonts w:ascii="Arial" w:cs="Arial" w:eastAsia="Arial" w:hAnsi="Arial"/>
          <w:sz w:val="18"/>
          <w:szCs w:val="18"/>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23" w:lineRule="exact"/>
        <w:rPr>
          <w:sz w:val="20"/>
          <w:szCs w:val="20"/>
          <w:color w:val="auto"/>
        </w:rPr>
      </w:pPr>
    </w:p>
    <w:p>
      <w:pPr>
        <w:ind w:right="60" w:firstLine="557"/>
        <w:spacing w:after="0" w:line="252" w:lineRule="auto"/>
        <w:rPr>
          <w:sz w:val="20"/>
          <w:szCs w:val="20"/>
          <w:color w:val="auto"/>
        </w:rPr>
      </w:pPr>
      <w:r>
        <w:rPr>
          <w:rFonts w:ascii="Arial" w:cs="Arial" w:eastAsia="Arial" w:hAnsi="Arial"/>
          <w:sz w:val="20"/>
          <w:szCs w:val="20"/>
          <w:color w:val="auto"/>
        </w:rPr>
        <w:t>The following performance graph and related information shall not be deemed to be “soliciting material” or to be “filed” with the SEC for purposes of Section 18 of the Exchange Act, nor shall such information be incorporated by reference into any future filing under the Exchange Act or the Securities Act, except to the extent that we specifically incorporate it by reference into such filing.</w:t>
      </w:r>
    </w:p>
    <w:p>
      <w:pPr>
        <w:spacing w:after="0" w:line="114" w:lineRule="exact"/>
        <w:rPr>
          <w:sz w:val="20"/>
          <w:szCs w:val="20"/>
          <w:color w:val="auto"/>
        </w:rPr>
      </w:pPr>
    </w:p>
    <w:p>
      <w:pPr>
        <w:ind w:right="20" w:firstLine="556"/>
        <w:spacing w:after="0" w:line="261" w:lineRule="auto"/>
        <w:rPr>
          <w:sz w:val="20"/>
          <w:szCs w:val="20"/>
          <w:color w:val="auto"/>
        </w:rPr>
      </w:pPr>
      <w:r>
        <w:rPr>
          <w:rFonts w:ascii="Arial" w:cs="Arial" w:eastAsia="Arial" w:hAnsi="Arial"/>
          <w:sz w:val="19"/>
          <w:szCs w:val="19"/>
          <w:color w:val="auto"/>
        </w:rPr>
        <w:t>The following performance graph compares the performance of our common stock to the Nasdaq Composite Index and to the Nasdaq Biotechnology Index from September 3, 2020, the date on which our common stock first began trading on the Nasdaq Global Market, through December 31, 2025. The comparison assumes $100 was invested in our common stock and in each of the foregoing indices after the market closed on September 3, 2020. We have not paid any dividends on our common stock, and no dividends are included in the representation of the performance of our common stock. The stock price performances included in this graph are based on historical results and are not necessarily indicative of, nor intended to, forecast future stock price performance.</w:t>
      </w:r>
    </w:p>
    <w:p>
      <w:pPr>
        <w:spacing w:after="0" w:line="187" w:lineRule="exact"/>
        <w:rPr>
          <w:sz w:val="20"/>
          <w:szCs w:val="20"/>
          <w:color w:val="auto"/>
        </w:rPr>
      </w:pPr>
    </w:p>
    <w:p>
      <w:pPr>
        <w:ind w:right="20" w:firstLine="563"/>
        <w:spacing w:after="0" w:line="280" w:lineRule="auto"/>
        <w:rPr>
          <w:sz w:val="20"/>
          <w:szCs w:val="20"/>
          <w:color w:val="auto"/>
        </w:rPr>
      </w:pPr>
      <w:r>
        <w:rPr>
          <w:rFonts w:ascii="Arial" w:cs="Arial" w:eastAsia="Arial" w:hAnsi="Arial"/>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BCTG closed its initial public offering on September 3, 2020 and began trading on the Nasdaq Market on such date. On August 10, 2021, we consummated a merger, pursuant to the Agreement and Plan of Merger, dated as of April 13, 2021, by and among BCTG, BCTG Merger Sub Inc. and Tango Therapeutics Sub, Inc. Upon the consummation of the merger, we changed our name to Tango Therapeutics, Inc.</w:t>
      </w:r>
    </w:p>
    <w:p>
      <w:pPr>
        <w:sectPr>
          <w:pgSz w:w="12240" w:h="15840" w:orient="portrait"/>
          <w:cols w:equalWidth="0" w:num="1">
            <w:col w:w="10120"/>
          </w:cols>
          <w:pgMar w:left="1000" w:top="1056" w:right="11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ectPr>
          <w:pgSz w:w="12240" w:h="15840" w:orient="portrait"/>
          <w:cols w:equalWidth="0" w:num="1">
            <w:col w:w="10120"/>
          </w:cols>
          <w:pgMar w:left="1000" w:top="1056" w:right="1120" w:bottom="21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991870</wp:posOffset>
            </wp:positionH>
            <wp:positionV relativeFrom="page">
              <wp:posOffset>685165</wp:posOffset>
            </wp:positionV>
            <wp:extent cx="6440170" cy="5344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6440170" cy="534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24" w:lineRule="exact"/>
        <w:rPr>
          <w:sz w:val="20"/>
          <w:szCs w:val="20"/>
          <w:color w:val="auto"/>
        </w:rPr>
      </w:pPr>
    </w:p>
    <w:p>
      <w:pPr>
        <w:ind w:right="480" w:firstLine="557"/>
        <w:spacing w:after="0" w:line="277" w:lineRule="auto"/>
        <w:rPr>
          <w:sz w:val="20"/>
          <w:szCs w:val="20"/>
          <w:color w:val="auto"/>
        </w:rPr>
      </w:pPr>
      <w:r>
        <w:rPr>
          <w:rFonts w:ascii="Arial" w:cs="Arial" w:eastAsia="Arial" w:hAnsi="Arial"/>
          <w:sz w:val="20"/>
          <w:szCs w:val="20"/>
          <w:color w:val="auto"/>
        </w:rPr>
        <w:t>The information required by Item 5 of Form 10-K regarding equity compensation plans is incorporated herein by reference to Item 12 of Part III of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Unregistered Sales of Equity Securities</w:t>
      </w:r>
    </w:p>
    <w:p>
      <w:pPr>
        <w:spacing w:after="0" w:line="124" w:lineRule="exact"/>
        <w:rPr>
          <w:sz w:val="20"/>
          <w:szCs w:val="20"/>
          <w:color w:val="auto"/>
        </w:rPr>
      </w:pPr>
    </w:p>
    <w:p>
      <w:pPr>
        <w:ind w:firstLine="557"/>
        <w:spacing w:after="0" w:line="277" w:lineRule="auto"/>
        <w:rPr>
          <w:sz w:val="20"/>
          <w:szCs w:val="20"/>
          <w:color w:val="auto"/>
        </w:rPr>
      </w:pPr>
      <w:r>
        <w:rPr>
          <w:rFonts w:ascii="Arial" w:cs="Arial" w:eastAsia="Arial" w:hAnsi="Arial"/>
          <w:sz w:val="20"/>
          <w:szCs w:val="20"/>
          <w:color w:val="auto"/>
        </w:rPr>
        <w:t>During the year ended December 31, 2025, we did not issue or sell any unregistered securities not previously disclosed in an Annual Report on Form 10-K or in a Current Report on Form 8-K.</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080"/>
          </w:cols>
          <w:pgMar w:left="1000" w:top="1440" w:right="116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86</w:t>
      </w:r>
    </w:p>
    <w:p>
      <w:pPr>
        <w:sectPr>
          <w:pgSz w:w="12240" w:h="15840" w:orient="portrait"/>
          <w:cols w:equalWidth="0" w:num="1">
            <w:col w:w="10080"/>
          </w:cols>
          <w:pgMar w:left="1000" w:top="1440" w:right="1160" w:bottom="210" w:gutter="0" w:footer="0" w:header="0"/>
          <w:type w:val="continuous"/>
        </w:sectPr>
      </w:pPr>
    </w:p>
    <w:bookmarkStart w:id="90" w:name="page91"/>
    <w:bookmarkEnd w:id="90"/>
    <w:p>
      <w:pPr>
        <w:ind w:left="720"/>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5" w:lineRule="exact"/>
        <w:rPr>
          <w:sz w:val="20"/>
          <w:szCs w:val="20"/>
          <w:color w:val="auto"/>
        </w:rPr>
      </w:pPr>
    </w:p>
    <w:p>
      <w:pPr>
        <w:ind w:right="40" w:firstLine="491"/>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on Form 10-K for the year ended December 31, 2025. Some of the information contained in this discussion and analysis or set forth elsewhere in this Annual Report on Form 10- 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4" w:lineRule="exact"/>
        <w:rPr>
          <w:sz w:val="20"/>
          <w:szCs w:val="20"/>
          <w:color w:val="auto"/>
        </w:rPr>
      </w:pPr>
    </w:p>
    <w:p>
      <w:pPr>
        <w:ind w:right="20" w:firstLine="721"/>
        <w:spacing w:after="0" w:line="280" w:lineRule="auto"/>
        <w:rPr>
          <w:sz w:val="20"/>
          <w:szCs w:val="20"/>
          <w:color w:val="auto"/>
        </w:rPr>
      </w:pPr>
      <w:r>
        <w:rPr>
          <w:rFonts w:ascii="Arial" w:cs="Arial" w:eastAsia="Arial" w:hAnsi="Arial"/>
          <w:sz w:val="18"/>
          <w:szCs w:val="18"/>
          <w:color w:val="auto"/>
        </w:rPr>
        <w:t>Tango Therapeutics was founded with a clear mission: to discover the next wave of targeted therapies in oncology by addressing the specific genetic alterations that drive cancer. We leverage our state- 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71" w:lineRule="exact"/>
        <w:rPr>
          <w:sz w:val="20"/>
          <w:szCs w:val="20"/>
          <w:color w:val="auto"/>
        </w:rPr>
      </w:pPr>
    </w:p>
    <w:p>
      <w:pPr>
        <w:ind w:right="220" w:firstLine="721"/>
        <w:spacing w:after="0" w:line="278" w:lineRule="auto"/>
        <w:rPr>
          <w:sz w:val="20"/>
          <w:szCs w:val="20"/>
          <w:color w:val="auto"/>
        </w:rPr>
      </w:pPr>
      <w:r>
        <w:rPr>
          <w:rFonts w:ascii="Arial" w:cs="Arial" w:eastAsia="Arial" w:hAnsi="Arial"/>
          <w:sz w:val="19"/>
          <w:szCs w:val="19"/>
          <w:color w:val="auto"/>
        </w:rPr>
        <w:t>We are currently focused on clinical development of two MTAP-deleted selective PRMT5 inhibitors: vopimetostat (TNG462) for non-CNS cancers, both as a monotherapy and in combination with RAS inhibitors, and TNG456, our next-generation, brain-penetrant PRMT5 inhibitor, for CNS cancers, including glioblastoma (GBM).</w:t>
      </w:r>
    </w:p>
    <w:p>
      <w:pPr>
        <w:spacing w:after="0" w:line="171" w:lineRule="exact"/>
        <w:rPr>
          <w:sz w:val="20"/>
          <w:szCs w:val="20"/>
          <w:color w:val="auto"/>
        </w:rPr>
      </w:pPr>
    </w:p>
    <w:p>
      <w:pPr>
        <w:ind w:firstLine="721"/>
        <w:spacing w:after="0" w:line="244" w:lineRule="auto"/>
        <w:rPr>
          <w:sz w:val="20"/>
          <w:szCs w:val="20"/>
          <w:color w:val="auto"/>
        </w:rPr>
      </w:pPr>
      <w:r>
        <w:rPr>
          <w:rFonts w:ascii="Arial" w:cs="Arial" w:eastAsia="Arial" w:hAnsi="Arial"/>
          <w:sz w:val="20"/>
          <w:szCs w:val="20"/>
          <w:color w:val="auto"/>
        </w:rPr>
        <w:t>In October 2025, we reported positive data from the ongoing Phase 1/2 clinical trial of vopimetostat monotherapy in patients with MTAP-deleted selective cancers, illustrating clinical activity across multiple cancer types with a favorable safety and tolerability profile. Specifically, the data in second-line MTAP-deleted pancreatic cancer demonstrated a median progression free survival (mPFS) of 7.2 months and 25% objective response rate (ORR), supporting the planned initiation of a 2L pivotal trial in this patient population in 2026. The histology selective cohort, which excludes sarcoma, pancreatic and lung cancer patients, also showed positive data, with a mPFS of 9.1 months and 49% ORR. We are evaluating the development path for the histology selective cohort, as well as for selected indications as stand-alone development opportunities. Lastly, emerging data from the lung cancer cohort are consistent with expectations, and we anticipate providing a safety and efficacy update in 2026.</w:t>
      </w:r>
    </w:p>
    <w:p>
      <w:pPr>
        <w:spacing w:after="0" w:line="206" w:lineRule="exact"/>
        <w:rPr>
          <w:sz w:val="20"/>
          <w:szCs w:val="20"/>
          <w:color w:val="auto"/>
        </w:rPr>
      </w:pPr>
    </w:p>
    <w:p>
      <w:pPr>
        <w:ind w:right="80" w:firstLine="721"/>
        <w:spacing w:after="0" w:line="257" w:lineRule="auto"/>
        <w:rPr>
          <w:sz w:val="20"/>
          <w:szCs w:val="20"/>
          <w:color w:val="auto"/>
        </w:rPr>
      </w:pPr>
      <w:r>
        <w:rPr>
          <w:rFonts w:ascii="Arial" w:cs="Arial" w:eastAsia="Arial" w:hAnsi="Arial"/>
          <w:sz w:val="19"/>
          <w:szCs w:val="19"/>
          <w:color w:val="auto"/>
        </w:rPr>
        <w:t>We are focused on evaluating the combination of vopimetostat with RAS inhibitors, given the overlap in patient populations, robust preclinical data supporting potential strong combination effect in clinical trials, and favorable clinical efficacy, durability, and safety profiles observed with each drug individually. We believe this approach may enable a development path for chemotherapy-free first-line and potentially second-line therapies for MTAP-deleted/RAS-mutated patients with pancreatic and lung cancer. In June 2025, we treated the first patient in our combination clinical trial evaluating vopimetostat with the RAS(ON) multi-selective inhibitor, daraxonrasib, and RAS(ON) G12D-selective inhibitor, zoldonrasib (Revolution Medicines), which enrolled 30 patients as of December 24, 2025. Both combinations have been well-tolerated to date with exposures in the active range for all compounds with encouraging early efficacy data. We anticipate providing a safety and efficacy update from this trial in 2026. Given the differentiated profile of vopimetostat enabling the potential for efficacious and tolerable RAS inhibitor combinations, in March 2026, we entered into a clinical trial collaboration and supply agreement (CTCSA) with Erasca, Inc., or Erasca, to evaluate vopimetostat in combination with Erasca’s pan-RAS molecular glue, ERAS-0015. Under the terms of the agreement, Tango is the sponsor of the trial and Erasca is supplying ERAS-0015 at no cost.</w:t>
      </w:r>
    </w:p>
    <w:p>
      <w:pPr>
        <w:spacing w:after="0" w:line="188" w:lineRule="exact"/>
        <w:rPr>
          <w:sz w:val="20"/>
          <w:szCs w:val="20"/>
          <w:color w:val="auto"/>
        </w:rPr>
      </w:pPr>
    </w:p>
    <w:p>
      <w:pPr>
        <w:ind w:right="140" w:firstLine="721"/>
        <w:spacing w:after="0" w:line="270" w:lineRule="auto"/>
        <w:rPr>
          <w:sz w:val="20"/>
          <w:szCs w:val="20"/>
          <w:color w:val="auto"/>
        </w:rPr>
      </w:pPr>
      <w:r>
        <w:rPr>
          <w:rFonts w:ascii="Arial" w:cs="Arial" w:eastAsia="Arial" w:hAnsi="Arial"/>
          <w:sz w:val="19"/>
          <w:szCs w:val="19"/>
          <w:color w:val="auto"/>
        </w:rPr>
        <w:t>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a safety and efficacy update from this trial in 2026.</w:t>
      </w:r>
    </w:p>
    <w:p>
      <w:pPr>
        <w:spacing w:after="0" w:line="177" w:lineRule="exact"/>
        <w:rPr>
          <w:sz w:val="20"/>
          <w:szCs w:val="20"/>
          <w:color w:val="auto"/>
        </w:rPr>
      </w:pPr>
    </w:p>
    <w:p>
      <w:pPr>
        <w:ind w:right="20" w:firstLine="721"/>
        <w:spacing w:after="0" w:line="247" w:lineRule="auto"/>
        <w:rPr>
          <w:sz w:val="20"/>
          <w:szCs w:val="20"/>
          <w:color w:val="auto"/>
        </w:rPr>
      </w:pPr>
      <w:r>
        <w:rPr>
          <w:rFonts w:ascii="Arial" w:cs="Arial" w:eastAsia="Arial" w:hAnsi="Arial"/>
          <w:sz w:val="20"/>
          <w:szCs w:val="20"/>
          <w:color w:val="auto"/>
        </w:rPr>
        <w:t>TNG961 is a novel, potent and selective molecular glue development candidate targeting HBS1L for degradation in solid tumors in FOCAD-deleted/MTAP-deleted cancers. FOCAD deletion occurs in 20-40% of all MTAP-deleted cancers due to the collateral loss with the tumor suppressor gene CDKN2A/B on chromosome 9p21. Cancers with FOCAD loss are dependent on HBS1L for mRNA processing, thus protein synthesis. By degrading HBS1L and disrupting the HBS1L/PELO complex, TNG961 causes tumor regression in FOCAD-deleted preclinical models of multiple histologies. TNG961 is in the IND-enabling phase of development.</w:t>
      </w:r>
    </w:p>
    <w:p>
      <w:pPr>
        <w:sectPr>
          <w:pgSz w:w="12240" w:h="15840" w:orient="portrait"/>
          <w:cols w:equalWidth="0" w:num="1">
            <w:col w:w="10140"/>
          </w:cols>
          <w:pgMar w:left="1000" w:top="1056" w:right="1100" w:bottom="21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2240" w:h="15840" w:orient="portrait"/>
          <w:cols w:equalWidth="0" w:num="1">
            <w:col w:w="10140"/>
          </w:cols>
          <w:pgMar w:left="1000" w:top="1056" w:right="1100" w:bottom="210" w:gutter="0" w:footer="0" w:header="0"/>
          <w:type w:val="continuous"/>
        </w:sectPr>
      </w:pPr>
    </w:p>
    <w:bookmarkStart w:id="91" w:name="page92"/>
    <w:bookmarkEnd w:id="91"/>
    <w:p>
      <w:pPr>
        <w:ind w:right="60" w:firstLine="721"/>
        <w:spacing w:after="0" w:line="252" w:lineRule="auto"/>
        <w:rPr>
          <w:sz w:val="20"/>
          <w:szCs w:val="20"/>
          <w:color w:val="auto"/>
        </w:rPr>
      </w:pPr>
      <w:r>
        <w:rPr>
          <w:rFonts w:ascii="Arial" w:cs="Arial" w:eastAsia="Arial" w:hAnsi="Arial"/>
          <w:sz w:val="20"/>
          <w:szCs w:val="20"/>
          <w:color w:val="auto"/>
        </w:rPr>
        <w:t>TNG260 is a first-in-class CoREST inhibitor. In November 2025, we announced that patients with checkpoint inhibitor resistant STK11 mutant/KRAS wild-type NSCLC receiving clinically active doses of TNG260 plus pembrolizumab had a mPFS of 29 weeks (n=5), more than double the standard of care PFS of ~10 weeks. 80 mg QD of TNG260 was selected for dose expansion, which is ongoing for patients.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Overview</w:t>
      </w:r>
    </w:p>
    <w:p>
      <w:pPr>
        <w:spacing w:after="0" w:line="246" w:lineRule="exact"/>
        <w:rPr>
          <w:sz w:val="20"/>
          <w:szCs w:val="20"/>
          <w:color w:val="auto"/>
        </w:rPr>
      </w:pPr>
    </w:p>
    <w:p>
      <w:pPr>
        <w:ind w:right="40" w:firstLine="491"/>
        <w:spacing w:after="0" w:line="244" w:lineRule="auto"/>
        <w:rPr>
          <w:sz w:val="20"/>
          <w:szCs w:val="20"/>
          <w:color w:val="auto"/>
        </w:rPr>
      </w:pPr>
      <w:r>
        <w:rPr>
          <w:rFonts w:ascii="Arial" w:cs="Arial" w:eastAsia="Arial" w:hAnsi="Arial"/>
          <w:sz w:val="20"/>
          <w:szCs w:val="20"/>
          <w:color w:val="auto"/>
        </w:rPr>
        <w:t xml:space="preserve">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Through December 31, 2025, we have raised an aggregate of $1.1 billion from such transactions, including $857.0 million in aggregate gross proceeds from the sale of preferred shares, the closing of our Business Combination, follow -on public and private offerings, and through our "at-the-market" stock offering programs, and $237.1 million through our collaboration with Gilead. Additionally, during the first quarter of 2026, and through March 2, 2026, we have received gross proceeds of </w:t>
      </w:r>
      <w:r>
        <w:rPr>
          <w:rFonts w:ascii="Arial" w:cs="Arial" w:eastAsia="Arial" w:hAnsi="Arial"/>
          <w:sz w:val="19"/>
          <w:szCs w:val="19"/>
          <w:color w:val="auto"/>
        </w:rPr>
        <w:t>$62.1 million from our "at-the-market" stock</w:t>
      </w:r>
      <w:r>
        <w:rPr>
          <w:rFonts w:ascii="Arial" w:cs="Arial" w:eastAsia="Arial" w:hAnsi="Arial"/>
          <w:sz w:val="20"/>
          <w:szCs w:val="20"/>
          <w:color w:val="auto"/>
        </w:rPr>
        <w:t xml:space="preserve"> </w:t>
      </w:r>
      <w:r>
        <w:rPr>
          <w:rFonts w:ascii="Arial" w:cs="Arial" w:eastAsia="Arial" w:hAnsi="Arial"/>
          <w:sz w:val="19"/>
          <w:szCs w:val="19"/>
          <w:color w:val="auto"/>
        </w:rPr>
        <w:t>offering program</w:t>
      </w:r>
      <w:r>
        <w:rPr>
          <w:rFonts w:ascii="Arial" w:cs="Arial" w:eastAsia="Arial" w:hAnsi="Arial"/>
          <w:sz w:val="20"/>
          <w:szCs w:val="20"/>
          <w:color w:val="auto"/>
        </w:rPr>
        <w: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We expect that our existing cash, cash equivalents and marketable securities on hand as of December 31, 2025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$343.1 million, will enable us to fund our operating expenses and capital expenditure requirements into 2028. Since inception,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significant operating losses. For the years ended December 31, 2025, 2024, and 2023 our net losses were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$101.6 million, $130.3 million, and $101.7 million, respectively. We had an accumulated deficit of $603.2 million as of</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December 31, 2025. We expect to continue to incur significant and increasing expenses and operating losses for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foreseeable future, as we advance our product candidates through preclinical and clinical development and seek regulatory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approvals, manufacture drug product and drug supply, and maintain and expand our intellectual property portfolio. We also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expect to hire additional personnel, incur accounting, audit, legal, regulatory, consulting, and other costs associated with</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maintaining compliance with Nasdaq listing rules and the requirements of the 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and officer liability insurance, investor and public relations activities and other expenses associated with operating as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 public company. Our net losses may fluctuate significantly from quarter-to-quarter and year-to-year, depending on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timing of our preclinical studies, our clinical trials, and our expenditures on other research and development activities.</w:t>
      </w:r>
    </w:p>
    <w:p>
      <w:pPr>
        <w:spacing w:after="0" w:line="224" w:lineRule="exact"/>
        <w:rPr>
          <w:sz w:val="20"/>
          <w:szCs w:val="20"/>
          <w:color w:val="auto"/>
        </w:rPr>
      </w:pPr>
    </w:p>
    <w:p>
      <w:pPr>
        <w:ind w:firstLine="491"/>
        <w:spacing w:after="0" w:line="273" w:lineRule="auto"/>
        <w:rPr>
          <w:sz w:val="20"/>
          <w:szCs w:val="20"/>
          <w:color w:val="auto"/>
        </w:rPr>
      </w:pPr>
      <w:r>
        <w:rPr>
          <w:rFonts w:ascii="Arial" w:cs="Arial" w:eastAsia="Arial" w:hAnsi="Arial"/>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0" w:lineRule="exact"/>
        <w:rPr>
          <w:sz w:val="20"/>
          <w:szCs w:val="20"/>
          <w:color w:val="auto"/>
        </w:rPr>
      </w:pPr>
    </w:p>
    <w:p>
      <w:pPr>
        <w:jc w:val="both"/>
        <w:ind w:right="140" w:firstLine="491"/>
        <w:spacing w:after="0" w:line="249" w:lineRule="auto"/>
        <w:rPr>
          <w:sz w:val="20"/>
          <w:szCs w:val="20"/>
          <w:color w:val="auto"/>
        </w:rPr>
      </w:pPr>
      <w:r>
        <w:rPr>
          <w:rFonts w:ascii="Arial" w:cs="Arial" w:eastAsia="Arial" w:hAnsi="Arial"/>
          <w:sz w:val="20"/>
          <w:szCs w:val="20"/>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239" w:lineRule="exact"/>
        <w:rPr>
          <w:sz w:val="20"/>
          <w:szCs w:val="20"/>
          <w:color w:val="auto"/>
        </w:rPr>
      </w:pPr>
    </w:p>
    <w:p>
      <w:pPr>
        <w:ind w:firstLine="491"/>
        <w:spacing w:after="0" w:line="278" w:lineRule="auto"/>
        <w:rPr>
          <w:sz w:val="20"/>
          <w:szCs w:val="20"/>
          <w:color w:val="auto"/>
        </w:rPr>
      </w:pPr>
      <w:r>
        <w:rPr>
          <w:rFonts w:ascii="Arial" w:cs="Arial" w:eastAsia="Arial" w:hAnsi="Arial"/>
          <w:sz w:val="18"/>
          <w:szCs w:val="18"/>
          <w:color w:val="auto"/>
        </w:rPr>
        <w:t xml:space="preserve">In October 2025, we completed an underwritten offering and a concurrent private placement for the issuance of a total of 22,755,438 shares of common stock at a price of $8.66 per share and pre-funded warrants to purchase 3,226,458 shares of common stock at a purchase price of $8.659 per pre-funded warrant, resulting in gross proceeds of $225.0 million. The pre-funded warrants have an exercise price of $0.001 per share of common stock, are immediately exercisable and will remain exercisable until exercised in full. After deducting expenses related to the offering and private placement of $13.2 million, net proceeds were $211.8 million. Both transactions closed on October 24, 2025. </w:t>
      </w:r>
      <w:r>
        <w:rPr>
          <w:rFonts w:ascii="Arial" w:cs="Arial" w:eastAsia="Arial" w:hAnsi="Arial"/>
          <w:sz w:val="17"/>
          <w:szCs w:val="17"/>
          <w:color w:val="auto"/>
        </w:rPr>
        <w:t>Net proceeds from all financing activities will be</w:t>
      </w:r>
      <w:r>
        <w:rPr>
          <w:rFonts w:ascii="Arial" w:cs="Arial" w:eastAsia="Arial" w:hAnsi="Arial"/>
          <w:sz w:val="18"/>
          <w:szCs w:val="18"/>
          <w:color w:val="auto"/>
        </w:rPr>
        <w:t xml:space="preserve"> </w:t>
      </w:r>
      <w:r>
        <w:rPr>
          <w:rFonts w:ascii="Arial" w:cs="Arial" w:eastAsia="Arial" w:hAnsi="Arial"/>
          <w:sz w:val="17"/>
          <w:szCs w:val="17"/>
          <w:color w:val="auto"/>
        </w:rPr>
        <w:t>used to advance our pipeline and for working capital and other general corporate purposes.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2240" w:h="15840" w:orient="portrait"/>
          <w:cols w:equalWidth="0" w:num="1">
            <w:col w:w="10140"/>
          </w:cols>
          <w:pgMar w:left="1000" w:top="1060" w:right="1100" w:bottom="210" w:gutter="0" w:footer="0" w:header="0"/>
          <w:type w:val="continuous"/>
        </w:sectPr>
      </w:pPr>
    </w:p>
    <w:bookmarkStart w:id="92" w:name="page93"/>
    <w:bookmarkEnd w:id="92"/>
    <w:p>
      <w:pPr>
        <w:ind w:right="20" w:firstLine="491"/>
        <w:spacing w:after="0" w:line="246" w:lineRule="auto"/>
        <w:rPr>
          <w:sz w:val="20"/>
          <w:szCs w:val="20"/>
          <w:color w:val="auto"/>
        </w:rPr>
      </w:pPr>
      <w:r>
        <w:rPr>
          <w:rFonts w:ascii="Arial" w:cs="Arial" w:eastAsia="Arial" w:hAnsi="Arial"/>
          <w:sz w:val="20"/>
          <w:szCs w:val="20"/>
          <w:color w:val="auto"/>
        </w:rPr>
        <w:t>In November 2025, we entered into a sales agreement (the Leerink Sales Agreement) with Leerink Partners LLC (Leerink) which permitted us to sell from time to time, at its option, up to an aggregate of $100.0 million of shares of its common stock through Leerink, as sales agent. Sales of the common stock, if any, will be made by methods deemed to be "at-the-market" stock offerings. The Leerink Sales Agreement will terminate upon the earliest of: (a) the sale of $100.0 million of shares of the Company's common stock or (b) the termination of the Leerink Sales Agreement by the Company or Leerink. As of March 2, 2026, we had sold 4,953,078 shares of common stock under this stock offering program for gross proceeds of $62.1 million.</w:t>
      </w:r>
    </w:p>
    <w:p>
      <w:pPr>
        <w:spacing w:after="0" w:line="199" w:lineRule="exact"/>
        <w:rPr>
          <w:sz w:val="20"/>
          <w:szCs w:val="20"/>
          <w:color w:val="auto"/>
        </w:rPr>
      </w:pPr>
    </w:p>
    <w:p>
      <w:pPr>
        <w:ind w:right="20" w:firstLine="491"/>
        <w:spacing w:after="0" w:line="270" w:lineRule="auto"/>
        <w:rPr>
          <w:sz w:val="20"/>
          <w:szCs w:val="20"/>
          <w:color w:val="auto"/>
        </w:rPr>
      </w:pPr>
      <w:r>
        <w:rPr>
          <w:rFonts w:ascii="Arial" w:cs="Arial" w:eastAsia="Arial" w:hAnsi="Arial"/>
          <w:sz w:val="19"/>
          <w:szCs w:val="19"/>
          <w:color w:val="auto"/>
        </w:rPr>
        <w:t>In September 2022, we entered into a sales agreement (the Jefferies Sales Agreement) with Jefferies LLC (Jefferies) which permitted us to sell shares of our common stock through Jefferies, as sales agent. In November 2025, the Jefferies Sales Agreement was terminated. At the time of the termination of the Jefferies Sales Agreement, we had sold 4,001,200 shares of common stock under this stock offering program for gross proceeds of $43.0 million.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Revenue</w:t>
      </w:r>
    </w:p>
    <w:p>
      <w:pPr>
        <w:spacing w:after="0" w:line="240" w:lineRule="exact"/>
        <w:rPr>
          <w:sz w:val="20"/>
          <w:szCs w:val="20"/>
          <w:color w:val="auto"/>
        </w:rPr>
      </w:pPr>
    </w:p>
    <w:p>
      <w:pPr>
        <w:ind w:firstLine="491"/>
        <w:spacing w:after="0" w:line="270" w:lineRule="auto"/>
        <w:rPr>
          <w:sz w:val="20"/>
          <w:szCs w:val="20"/>
          <w:color w:val="auto"/>
        </w:rPr>
      </w:pPr>
      <w:r>
        <w:rPr>
          <w:rFonts w:ascii="Arial" w:cs="Arial" w:eastAsia="Arial" w:hAnsi="Arial"/>
          <w:sz w:val="19"/>
          <w:szCs w:val="19"/>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Collaboration Agreements with Gilead Sciences</w:t>
      </w:r>
    </w:p>
    <w:p>
      <w:pPr>
        <w:spacing w:after="0" w:line="238" w:lineRule="exact"/>
        <w:rPr>
          <w:sz w:val="20"/>
          <w:szCs w:val="20"/>
          <w:color w:val="auto"/>
        </w:rPr>
      </w:pPr>
    </w:p>
    <w:p>
      <w:pPr>
        <w:ind w:firstLine="491"/>
        <w:spacing w:after="0" w:line="278" w:lineRule="auto"/>
        <w:rPr>
          <w:sz w:val="20"/>
          <w:szCs w:val="20"/>
          <w:color w:val="auto"/>
        </w:rPr>
      </w:pPr>
      <w:r>
        <w:rPr>
          <w:rFonts w:ascii="Arial" w:cs="Arial" w:eastAsia="Arial" w:hAnsi="Arial"/>
          <w:sz w:val="18"/>
          <w:szCs w:val="18"/>
          <w:color w:val="auto"/>
        </w:rPr>
        <w:t>In October 2018, we entered into a collaboration agreement (the 2018 Gilead Agreement) with Gilead Sciences, Inc. (Gilead), under which we received an initial upfront payment of $50.0 million. In August 2020, the 2018 Gilead Agreement was expanded into a broader collaboration via an amended and restated research collaboration and license agreement (the Gilead Agreement), under which we received an upfront payment of $125.0 million. Upfront payments totaling $175.0 million and subsequent research extension fees totaling $24.0 million were recorded as deferred revenue on our balance sheet and recognized as revenue as or when the performance obligation under the contract was satisfied. In June 2024, Gilead licensed a program for a $12.0 million fee, which was recognized as license revenue in the second quarter of 2024.</w:t>
      </w:r>
    </w:p>
    <w:p>
      <w:pPr>
        <w:spacing w:after="0" w:line="172" w:lineRule="exact"/>
        <w:rPr>
          <w:sz w:val="20"/>
          <w:szCs w:val="20"/>
          <w:color w:val="auto"/>
        </w:rPr>
      </w:pPr>
    </w:p>
    <w:p>
      <w:pPr>
        <w:ind w:right="20" w:firstLine="491"/>
        <w:spacing w:after="0" w:line="263" w:lineRule="auto"/>
        <w:rPr>
          <w:sz w:val="20"/>
          <w:szCs w:val="20"/>
          <w:color w:val="auto"/>
        </w:rPr>
      </w:pPr>
      <w:r>
        <w:rPr>
          <w:rFonts w:ascii="Arial" w:cs="Arial" w:eastAsia="Arial" w:hAnsi="Arial"/>
          <w:sz w:val="19"/>
          <w:szCs w:val="19"/>
          <w:color w:val="auto"/>
        </w:rPr>
        <w:t>In August 2025, the Company and Gilead mutually agreed to truncate the research term of the collaboration and license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w:t>
      </w:r>
    </w:p>
    <w:p>
      <w:pPr>
        <w:spacing w:after="0" w:line="183" w:lineRule="exact"/>
        <w:rPr>
          <w:sz w:val="20"/>
          <w:szCs w:val="20"/>
          <w:color w:val="auto"/>
        </w:rPr>
      </w:pPr>
    </w:p>
    <w:p>
      <w:pPr>
        <w:ind w:right="340" w:firstLine="491"/>
        <w:spacing w:after="0" w:line="277" w:lineRule="auto"/>
        <w:rPr>
          <w:sz w:val="20"/>
          <w:szCs w:val="20"/>
          <w:color w:val="auto"/>
        </w:rPr>
      </w:pPr>
      <w:r>
        <w:rPr>
          <w:rFonts w:ascii="Arial" w:cs="Arial" w:eastAsia="Arial" w:hAnsi="Arial"/>
          <w:sz w:val="20"/>
          <w:szCs w:val="20"/>
          <w:color w:val="auto"/>
        </w:rPr>
        <w:t xml:space="preserve">As of December 31, 2025, </w:t>
      </w:r>
      <w:r>
        <w:rPr>
          <w:rFonts w:ascii="Arial" w:cs="Arial" w:eastAsia="Arial" w:hAnsi="Arial"/>
          <w:sz w:val="19"/>
          <w:szCs w:val="19"/>
          <w:color w:val="auto"/>
        </w:rPr>
        <w:t>all $199.0 million has been recognized as collaboration revenue related to the upfront and</w:t>
      </w:r>
      <w:r>
        <w:rPr>
          <w:rFonts w:ascii="Arial" w:cs="Arial" w:eastAsia="Arial" w:hAnsi="Arial"/>
          <w:sz w:val="20"/>
          <w:szCs w:val="20"/>
          <w:color w:val="auto"/>
        </w:rPr>
        <w:t xml:space="preserve"> </w:t>
      </w:r>
      <w:r>
        <w:rPr>
          <w:rFonts w:ascii="Arial" w:cs="Arial" w:eastAsia="Arial" w:hAnsi="Arial"/>
          <w:sz w:val="19"/>
          <w:szCs w:val="19"/>
          <w:color w:val="auto"/>
        </w:rPr>
        <w:t>research option-extension payments from the Gilead Agreements</w:t>
      </w:r>
      <w:r>
        <w:rPr>
          <w:rFonts w:ascii="Arial" w:cs="Arial" w:eastAsia="Arial" w:hAnsi="Arial"/>
          <w:sz w:val="20"/>
          <w:szCs w:val="20"/>
          <w:color w:val="auto"/>
        </w:rPr>
        <w:t>.</w:t>
      </w:r>
    </w:p>
    <w:p>
      <w:pPr>
        <w:spacing w:after="0" w:line="169" w:lineRule="exact"/>
        <w:rPr>
          <w:sz w:val="20"/>
          <w:szCs w:val="20"/>
          <w:color w:val="auto"/>
        </w:rPr>
      </w:pPr>
    </w:p>
    <w:p>
      <w:pPr>
        <w:ind w:right="60" w:firstLine="491"/>
        <w:spacing w:after="0" w:line="258" w:lineRule="auto"/>
        <w:rPr>
          <w:sz w:val="20"/>
          <w:szCs w:val="20"/>
          <w:color w:val="auto"/>
        </w:rPr>
      </w:pPr>
      <w:r>
        <w:rPr>
          <w:rFonts w:ascii="Arial" w:cs="Arial" w:eastAsia="Arial" w:hAnsi="Arial"/>
          <w:sz w:val="20"/>
          <w:szCs w:val="20"/>
          <w:color w:val="auto"/>
        </w:rPr>
        <w:t>During the years ended December 31, 2025, 2024, and 2023, we recognized $62.4 million, $30.0 million, and $31.5 million, respectively, of collaboration revenue associated with the Gilead agreements based on performance completed during each period.</w:t>
      </w:r>
    </w:p>
    <w:p>
      <w:pPr>
        <w:spacing w:after="0" w:line="188" w:lineRule="exact"/>
        <w:rPr>
          <w:sz w:val="20"/>
          <w:szCs w:val="20"/>
          <w:color w:val="auto"/>
        </w:rPr>
      </w:pPr>
    </w:p>
    <w:p>
      <w:pPr>
        <w:ind w:firstLine="491"/>
        <w:spacing w:after="0" w:line="258" w:lineRule="auto"/>
        <w:rPr>
          <w:sz w:val="20"/>
          <w:szCs w:val="20"/>
          <w:color w:val="auto"/>
        </w:rPr>
      </w:pPr>
      <w:r>
        <w:rPr>
          <w:rFonts w:ascii="Arial" w:cs="Arial" w:eastAsia="Arial" w:hAnsi="Arial"/>
          <w:sz w:val="20"/>
          <w:szCs w:val="20"/>
          <w:color w:val="auto"/>
        </w:rPr>
        <w:t>Refer to Note 2 and Note 3 to our audited consolidated financial statements included elsewhere in this Annual Report on Form 10-K for additional information regarding our revenue recognition accounting policy and our collaboration agreement with Gilead.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Research and Development Expenses</w:t>
      </w:r>
    </w:p>
    <w:p>
      <w:pPr>
        <w:spacing w:after="0" w:line="237" w:lineRule="exact"/>
        <w:rPr>
          <w:sz w:val="20"/>
          <w:szCs w:val="20"/>
          <w:color w:val="auto"/>
        </w:rPr>
      </w:pPr>
    </w:p>
    <w:p>
      <w:pPr>
        <w:ind w:right="900" w:firstLine="491"/>
        <w:spacing w:after="0" w:line="336" w:lineRule="auto"/>
        <w:rPr>
          <w:sz w:val="20"/>
          <w:szCs w:val="20"/>
          <w:color w:val="auto"/>
        </w:rPr>
      </w:pPr>
      <w:r>
        <w:rPr>
          <w:rFonts w:ascii="Arial" w:cs="Arial" w:eastAsia="Arial" w:hAnsi="Arial"/>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16" w:lineRule="exact"/>
        <w:rPr>
          <w:sz w:val="20"/>
          <w:szCs w:val="20"/>
          <w:color w:val="auto"/>
        </w:rPr>
      </w:pPr>
    </w:p>
    <w:p>
      <w:pPr>
        <w:ind w:left="1080" w:right="160" w:hanging="352"/>
        <w:spacing w:after="0" w:line="277" w:lineRule="auto"/>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employee-related expenses, including salaries, bonuses, benefits, stock-based compensation, other related costs for those employees involved in research and development efforts;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2240" w:h="15840" w:orient="portrait"/>
          <w:cols w:equalWidth="0" w:num="1">
            <w:col w:w="10140"/>
          </w:cols>
          <w:pgMar w:left="1000" w:top="1060" w:right="1100" w:bottom="210" w:gutter="0" w:footer="0" w:header="0"/>
          <w:type w:val="continuous"/>
        </w:sectPr>
      </w:pPr>
    </w:p>
    <w:bookmarkStart w:id="93" w:name="page94"/>
    <w:bookmarkEnd w:id="93"/>
    <w:p>
      <w:pPr>
        <w:ind w:left="1080" w:right="140" w:hanging="352"/>
        <w:spacing w:after="0" w:line="258" w:lineRule="auto"/>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external research and development expenses incurred under agreements with contract research organizations, or CROs, vendors and consultants that conduct our preclinical and clinical studies, as well as other development activities related to our product candidates;</w:t>
      </w:r>
    </w:p>
    <w:p>
      <w:pPr>
        <w:spacing w:after="0" w:line="81" w:lineRule="exact"/>
        <w:rPr>
          <w:rFonts w:ascii="Arial" w:cs="Arial" w:eastAsia="Arial" w:hAnsi="Arial"/>
          <w:sz w:val="20"/>
          <w:szCs w:val="20"/>
          <w:color w:val="auto"/>
        </w:rPr>
      </w:pPr>
    </w:p>
    <w:p>
      <w:pPr>
        <w:ind w:left="1080" w:hanging="352"/>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costs related to manufacturing material for our preclinical and clinical studies;</w:t>
      </w:r>
    </w:p>
    <w:p>
      <w:pPr>
        <w:spacing w:after="0" w:line="134" w:lineRule="exact"/>
        <w:rPr>
          <w:rFonts w:ascii="Arial" w:cs="Arial" w:eastAsia="Arial" w:hAnsi="Arial"/>
          <w:sz w:val="20"/>
          <w:szCs w:val="20"/>
          <w:color w:val="auto"/>
        </w:rPr>
      </w:pPr>
    </w:p>
    <w:p>
      <w:pPr>
        <w:ind w:left="1080" w:hanging="352"/>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laboratory supplies and research materials;</w:t>
      </w:r>
    </w:p>
    <w:p>
      <w:pPr>
        <w:spacing w:after="0" w:line="134" w:lineRule="exact"/>
        <w:rPr>
          <w:rFonts w:ascii="Arial" w:cs="Arial" w:eastAsia="Arial" w:hAnsi="Arial"/>
          <w:sz w:val="20"/>
          <w:szCs w:val="20"/>
          <w:color w:val="auto"/>
        </w:rPr>
      </w:pPr>
    </w:p>
    <w:p>
      <w:pPr>
        <w:ind w:left="1080" w:hanging="352"/>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costs to fulfill our obligations under the collaboration with Gilead through August 2025;</w:t>
      </w:r>
    </w:p>
    <w:p>
      <w:pPr>
        <w:spacing w:after="0" w:line="134" w:lineRule="exact"/>
        <w:rPr>
          <w:rFonts w:ascii="Arial" w:cs="Arial" w:eastAsia="Arial" w:hAnsi="Arial"/>
          <w:sz w:val="20"/>
          <w:szCs w:val="20"/>
          <w:color w:val="auto"/>
        </w:rPr>
      </w:pPr>
    </w:p>
    <w:p>
      <w:pPr>
        <w:ind w:left="1080" w:hanging="352"/>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costs related to compliance with regulatory requirements; and</w:t>
      </w:r>
    </w:p>
    <w:p>
      <w:pPr>
        <w:spacing w:after="0" w:line="133" w:lineRule="exact"/>
        <w:rPr>
          <w:rFonts w:ascii="Arial" w:cs="Arial" w:eastAsia="Arial" w:hAnsi="Arial"/>
          <w:sz w:val="20"/>
          <w:szCs w:val="20"/>
          <w:color w:val="auto"/>
        </w:rPr>
      </w:pPr>
    </w:p>
    <w:p>
      <w:pPr>
        <w:ind w:left="1080" w:right="220" w:hanging="352"/>
        <w:spacing w:after="0" w:line="278" w:lineRule="auto"/>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facilities, information technology systems, depreciation and other allocated expenses, which include direct and allocated expenses for rent, utilities and insurance.</w:t>
      </w:r>
    </w:p>
    <w:p>
      <w:pPr>
        <w:spacing w:after="0" w:line="168" w:lineRule="exact"/>
        <w:rPr>
          <w:sz w:val="20"/>
          <w:szCs w:val="20"/>
          <w:color w:val="auto"/>
        </w:rPr>
      </w:pPr>
    </w:p>
    <w:p>
      <w:pPr>
        <w:ind w:right="160" w:firstLine="491"/>
        <w:spacing w:after="0" w:line="252" w:lineRule="auto"/>
        <w:rPr>
          <w:sz w:val="20"/>
          <w:szCs w:val="20"/>
          <w:color w:val="auto"/>
        </w:rPr>
      </w:pPr>
      <w:r>
        <w:rPr>
          <w:rFonts w:ascii="Arial" w:cs="Arial" w:eastAsia="Arial" w:hAnsi="Arial"/>
          <w:sz w:val="20"/>
          <w:szCs w:val="20"/>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93" w:lineRule="exact"/>
        <w:rPr>
          <w:sz w:val="20"/>
          <w:szCs w:val="20"/>
          <w:color w:val="auto"/>
        </w:rPr>
      </w:pPr>
    </w:p>
    <w:p>
      <w:pPr>
        <w:ind w:right="280" w:firstLine="491"/>
        <w:spacing w:after="0" w:line="326" w:lineRule="auto"/>
        <w:rPr>
          <w:sz w:val="20"/>
          <w:szCs w:val="20"/>
          <w:color w:val="auto"/>
        </w:rPr>
      </w:pPr>
      <w:r>
        <w:rPr>
          <w:rFonts w:ascii="Arial" w:cs="Arial" w:eastAsia="Arial" w:hAnsi="Arial"/>
          <w:sz w:val="17"/>
          <w:szCs w:val="17"/>
          <w:color w:val="auto"/>
        </w:rPr>
        <w:t>Our direct external research and development expenses consist primarily of fees paid to CROs, as well as outside vendors and consultants in connection with our preclinical and clinical development and manufacturing activities. We track these external research and development costs on a program-by-program basis once we have identified a product candidate.</w:t>
      </w:r>
    </w:p>
    <w:p>
      <w:pPr>
        <w:spacing w:after="0" w:line="133" w:lineRule="exact"/>
        <w:rPr>
          <w:sz w:val="20"/>
          <w:szCs w:val="20"/>
          <w:color w:val="auto"/>
        </w:rPr>
      </w:pPr>
    </w:p>
    <w:p>
      <w:pPr>
        <w:ind w:right="120" w:firstLine="491"/>
        <w:spacing w:after="0" w:line="284" w:lineRule="auto"/>
        <w:rPr>
          <w:sz w:val="20"/>
          <w:szCs w:val="20"/>
          <w:color w:val="auto"/>
        </w:rPr>
      </w:pPr>
      <w:r>
        <w:rPr>
          <w:rFonts w:ascii="Arial" w:cs="Arial" w:eastAsia="Arial" w:hAnsi="Arial"/>
          <w:sz w:val="18"/>
          <w:szCs w:val="18"/>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our research and development expenses: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180" w:type="dxa"/>
            <w:vAlign w:val="bottom"/>
            <w:gridSpan w:val="3"/>
          </w:tcPr>
          <w:p>
            <w:pPr>
              <w:jc w:val="right"/>
              <w:ind w:right="822"/>
              <w:spacing w:after="0"/>
              <w:rPr>
                <w:sz w:val="20"/>
                <w:szCs w:val="20"/>
                <w:color w:val="auto"/>
              </w:rPr>
            </w:pPr>
            <w:r>
              <w:rPr>
                <w:rFonts w:ascii="Arial" w:cs="Arial" w:eastAsia="Arial" w:hAnsi="Arial"/>
                <w:sz w:val="16"/>
                <w:szCs w:val="16"/>
                <w:b w:val="1"/>
                <w:bCs w:val="1"/>
                <w:color w:val="auto"/>
              </w:rPr>
              <w:t>Year Ended December 31,</w:t>
            </w:r>
          </w:p>
        </w:tc>
      </w:tr>
      <w:tr>
        <w:trPr>
          <w:trHeight w:val="258"/>
        </w:trPr>
        <w:tc>
          <w:tcPr>
            <w:tcW w:w="5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40" w:type="dxa"/>
            <w:vAlign w:val="bottom"/>
          </w:tcPr>
          <w:p>
            <w:pPr>
              <w:jc w:val="right"/>
              <w:ind w:right="545"/>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22"/>
                <w:szCs w:val="22"/>
                <w:color w:val="auto"/>
              </w:rPr>
            </w:pPr>
          </w:p>
        </w:tc>
        <w:tc>
          <w:tcPr>
            <w:tcW w:w="1180" w:type="dxa"/>
            <w:vAlign w:val="bottom"/>
          </w:tcPr>
          <w:p>
            <w:pPr>
              <w:jc w:val="right"/>
              <w:ind w:right="622"/>
              <w:spacing w:after="0"/>
              <w:rPr>
                <w:sz w:val="20"/>
                <w:szCs w:val="20"/>
                <w:color w:val="auto"/>
              </w:rPr>
            </w:pPr>
            <w:r>
              <w:rPr>
                <w:rFonts w:ascii="Arial" w:cs="Arial" w:eastAsia="Arial" w:hAnsi="Arial"/>
                <w:sz w:val="16"/>
                <w:szCs w:val="16"/>
                <w:b w:val="1"/>
                <w:bCs w:val="1"/>
                <w:color w:val="auto"/>
              </w:rPr>
              <w:t>2024</w:t>
            </w:r>
          </w:p>
        </w:tc>
      </w:tr>
      <w:tr>
        <w:trPr>
          <w:trHeight w:val="242"/>
        </w:trPr>
        <w:tc>
          <w:tcPr>
            <w:tcW w:w="5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21"/>
                <w:szCs w:val="21"/>
                <w:color w:val="auto"/>
              </w:rPr>
            </w:pPr>
          </w:p>
        </w:tc>
      </w:tr>
      <w:tr>
        <w:trPr>
          <w:trHeight w:val="244"/>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vopimetostat direct program expenses</w:t>
            </w:r>
          </w:p>
        </w:tc>
        <w:tc>
          <w:tcPr>
            <w:tcW w:w="170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26,522</w:t>
            </w:r>
          </w:p>
        </w:tc>
        <w:tc>
          <w:tcPr>
            <w:tcW w:w="760" w:type="dxa"/>
            <w:vAlign w:val="bottom"/>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16,161</w:t>
            </w:r>
          </w:p>
        </w:tc>
      </w:tr>
      <w:tr>
        <w:trPr>
          <w:trHeight w:val="245"/>
        </w:trPr>
        <w:tc>
          <w:tcPr>
            <w:tcW w:w="5280" w:type="dxa"/>
            <w:vAlign w:val="bottom"/>
          </w:tcPr>
          <w:p>
            <w:pPr>
              <w:spacing w:after="0"/>
              <w:rPr>
                <w:sz w:val="20"/>
                <w:szCs w:val="20"/>
                <w:color w:val="auto"/>
              </w:rPr>
            </w:pPr>
            <w:r>
              <w:rPr>
                <w:rFonts w:ascii="Arial" w:cs="Arial" w:eastAsia="Arial" w:hAnsi="Arial"/>
                <w:sz w:val="20"/>
                <w:szCs w:val="20"/>
                <w:color w:val="auto"/>
              </w:rPr>
              <w:t>TNG456 direct program expenses</w:t>
            </w:r>
          </w:p>
        </w:tc>
        <w:tc>
          <w:tcPr>
            <w:tcW w:w="1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6,557</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4,531</w:t>
            </w:r>
          </w:p>
        </w:tc>
      </w:tr>
      <w:tr>
        <w:trPr>
          <w:trHeight w:val="242"/>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TNG260 direct program expenses</w:t>
            </w:r>
          </w:p>
        </w:tc>
        <w:tc>
          <w:tcPr>
            <w:tcW w:w="17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6,278</w:t>
            </w: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9,382</w:t>
            </w:r>
          </w:p>
        </w:tc>
      </w:tr>
      <w:tr>
        <w:trPr>
          <w:trHeight w:val="245"/>
        </w:trPr>
        <w:tc>
          <w:tcPr>
            <w:tcW w:w="5280" w:type="dxa"/>
            <w:vAlign w:val="bottom"/>
          </w:tcPr>
          <w:p>
            <w:pPr>
              <w:spacing w:after="0"/>
              <w:rPr>
                <w:sz w:val="20"/>
                <w:szCs w:val="20"/>
                <w:color w:val="auto"/>
              </w:rPr>
            </w:pPr>
            <w:r>
              <w:rPr>
                <w:rFonts w:ascii="Arial" w:cs="Arial" w:eastAsia="Arial" w:hAnsi="Arial"/>
                <w:sz w:val="20"/>
                <w:szCs w:val="20"/>
                <w:color w:val="auto"/>
              </w:rPr>
              <w:t>TNG961 direct program expenses</w:t>
            </w:r>
          </w:p>
        </w:tc>
        <w:tc>
          <w:tcPr>
            <w:tcW w:w="1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5,675</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5"/>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TNG908 direct program expenses*</w:t>
            </w:r>
          </w:p>
        </w:tc>
        <w:tc>
          <w:tcPr>
            <w:tcW w:w="17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5,027</w:t>
            </w: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13,587</w:t>
            </w:r>
          </w:p>
        </w:tc>
      </w:tr>
      <w:tr>
        <w:trPr>
          <w:trHeight w:val="244"/>
        </w:trPr>
        <w:tc>
          <w:tcPr>
            <w:tcW w:w="5280" w:type="dxa"/>
            <w:vAlign w:val="bottom"/>
          </w:tcPr>
          <w:p>
            <w:pPr>
              <w:spacing w:after="0"/>
              <w:rPr>
                <w:sz w:val="20"/>
                <w:szCs w:val="20"/>
                <w:color w:val="auto"/>
              </w:rPr>
            </w:pPr>
            <w:r>
              <w:rPr>
                <w:rFonts w:ascii="Arial" w:cs="Arial" w:eastAsia="Arial" w:hAnsi="Arial"/>
                <w:sz w:val="20"/>
                <w:szCs w:val="20"/>
                <w:color w:val="auto"/>
              </w:rPr>
              <w:t>TNG348 direct program expenses**</w:t>
            </w:r>
          </w:p>
        </w:tc>
        <w:tc>
          <w:tcPr>
            <w:tcW w:w="1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5,476</w:t>
            </w:r>
          </w:p>
        </w:tc>
      </w:tr>
      <w:tr>
        <w:trPr>
          <w:trHeight w:val="244"/>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Discovery direct program expenses</w:t>
            </w:r>
          </w:p>
        </w:tc>
        <w:tc>
          <w:tcPr>
            <w:tcW w:w="17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10,167</w:t>
            </w: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24,440</w:t>
            </w:r>
          </w:p>
        </w:tc>
      </w:tr>
      <w:tr>
        <w:trPr>
          <w:trHeight w:val="245"/>
        </w:trPr>
        <w:tc>
          <w:tcPr>
            <w:tcW w:w="5280" w:type="dxa"/>
            <w:vAlign w:val="bottom"/>
          </w:tcPr>
          <w:p>
            <w:pPr>
              <w:spacing w:after="0"/>
              <w:rPr>
                <w:sz w:val="20"/>
                <w:szCs w:val="20"/>
                <w:color w:val="auto"/>
              </w:rPr>
            </w:pPr>
            <w:r>
              <w:rPr>
                <w:rFonts w:ascii="Arial" w:cs="Arial" w:eastAsia="Arial" w:hAnsi="Arial"/>
                <w:sz w:val="20"/>
                <w:szCs w:val="20"/>
                <w:color w:val="auto"/>
              </w:rPr>
              <w:t>Unallocated research and development expenses:</w:t>
            </w:r>
          </w:p>
        </w:tc>
        <w:tc>
          <w:tcPr>
            <w:tcW w:w="1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4"/>
        </w:trPr>
        <w:tc>
          <w:tcPr>
            <w:tcW w:w="5280" w:type="dxa"/>
            <w:vAlign w:val="bottom"/>
            <w:shd w:val="clear" w:color="auto" w:fill="CFF0FC"/>
          </w:tcPr>
          <w:p>
            <w:pPr>
              <w:ind w:left="360"/>
              <w:spacing w:after="0"/>
              <w:rPr>
                <w:sz w:val="20"/>
                <w:szCs w:val="20"/>
                <w:color w:val="auto"/>
              </w:rPr>
            </w:pPr>
            <w:r>
              <w:rPr>
                <w:rFonts w:ascii="Arial" w:cs="Arial" w:eastAsia="Arial" w:hAnsi="Arial"/>
                <w:sz w:val="20"/>
                <w:szCs w:val="20"/>
                <w:color w:val="auto"/>
              </w:rPr>
              <w:t>Personnel-related expenses</w:t>
            </w:r>
          </w:p>
        </w:tc>
        <w:tc>
          <w:tcPr>
            <w:tcW w:w="17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51,474</w:t>
            </w: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51,457</w:t>
            </w:r>
          </w:p>
        </w:tc>
      </w:tr>
      <w:tr>
        <w:trPr>
          <w:trHeight w:val="244"/>
        </w:trPr>
        <w:tc>
          <w:tcPr>
            <w:tcW w:w="5280" w:type="dxa"/>
            <w:vAlign w:val="bottom"/>
          </w:tcPr>
          <w:p>
            <w:pPr>
              <w:ind w:left="360"/>
              <w:spacing w:after="0"/>
              <w:rPr>
                <w:sz w:val="20"/>
                <w:szCs w:val="20"/>
                <w:color w:val="auto"/>
              </w:rPr>
            </w:pPr>
            <w:r>
              <w:rPr>
                <w:rFonts w:ascii="Arial" w:cs="Arial" w:eastAsia="Arial" w:hAnsi="Arial"/>
                <w:sz w:val="20"/>
                <w:szCs w:val="20"/>
                <w:color w:val="auto"/>
              </w:rPr>
              <w:t>Facilities and other related expenses</w:t>
            </w:r>
          </w:p>
        </w:tc>
        <w:tc>
          <w:tcPr>
            <w:tcW w:w="1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20,465</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18,884</w:t>
            </w:r>
          </w:p>
        </w:tc>
      </w:tr>
      <w:tr>
        <w:trPr>
          <w:trHeight w:val="260"/>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Total research and development expenses</w:t>
            </w:r>
          </w:p>
        </w:tc>
        <w:tc>
          <w:tcPr>
            <w:tcW w:w="170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132,165</w:t>
            </w:r>
          </w:p>
        </w:tc>
        <w:tc>
          <w:tcPr>
            <w:tcW w:w="760" w:type="dxa"/>
            <w:vAlign w:val="bottom"/>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-2055495</wp:posOffset>
            </wp:positionV>
            <wp:extent cx="2233930" cy="2097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2233930" cy="2097405"/>
                    </a:xfrm>
                    <a:prstGeom prst="rect">
                      <a:avLst/>
                    </a:prstGeom>
                    <a:noFill/>
                  </pic:spPr>
                </pic:pic>
              </a:graphicData>
            </a:graphic>
          </wp:anchor>
        </w:drawing>
      </w:r>
    </w:p>
    <w:p>
      <w:pPr>
        <w:spacing w:after="0" w:line="125"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68" w:lineRule="exact"/>
        <w:rPr>
          <w:sz w:val="20"/>
          <w:szCs w:val="20"/>
          <w:color w:val="auto"/>
        </w:rPr>
      </w:pPr>
    </w:p>
    <w:p>
      <w:pPr>
        <w:ind w:right="740"/>
        <w:spacing w:after="0" w:line="336" w:lineRule="auto"/>
        <w:rPr>
          <w:sz w:val="20"/>
          <w:szCs w:val="20"/>
          <w:color w:val="auto"/>
        </w:rPr>
      </w:pPr>
      <w:r>
        <w:rPr>
          <w:rFonts w:ascii="Arial" w:cs="Arial" w:eastAsia="Arial" w:hAnsi="Arial"/>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20" w:lineRule="exact"/>
        <w:rPr>
          <w:sz w:val="20"/>
          <w:szCs w:val="20"/>
          <w:color w:val="auto"/>
        </w:rPr>
      </w:pPr>
    </w:p>
    <w:p>
      <w:pPr>
        <w:ind w:right="80" w:firstLine="491"/>
        <w:spacing w:after="0" w:line="280" w:lineRule="auto"/>
        <w:rPr>
          <w:sz w:val="20"/>
          <w:szCs w:val="20"/>
          <w:color w:val="auto"/>
        </w:rPr>
      </w:pPr>
      <w:r>
        <w:rPr>
          <w:rFonts w:ascii="Arial" w:cs="Arial" w:eastAsia="Arial" w:hAnsi="Arial"/>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w:t>
      </w:r>
    </w:p>
    <w:p>
      <w:pPr>
        <w:sectPr>
          <w:pgSz w:w="12240" w:h="15840" w:orient="portrait"/>
          <w:cols w:equalWidth="0" w:num="1">
            <w:col w:w="10160"/>
          </w:cols>
          <w:pgMar w:left="1000" w:top="1075" w:right="1080" w:bottom="21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2240" w:h="15840" w:orient="portrait"/>
          <w:cols w:equalWidth="0" w:num="1">
            <w:col w:w="10160"/>
          </w:cols>
          <w:pgMar w:left="1000" w:top="1075" w:right="1080" w:bottom="210" w:gutter="0" w:footer="0" w:header="0"/>
          <w:type w:val="continuous"/>
        </w:sectPr>
      </w:pPr>
    </w:p>
    <w:bookmarkStart w:id="94" w:name="page95"/>
    <w:bookmarkEnd w:id="94"/>
    <w:p>
      <w:pPr>
        <w:ind w:right="140"/>
        <w:spacing w:after="0" w:line="278" w:lineRule="auto"/>
        <w:rPr>
          <w:sz w:val="20"/>
          <w:szCs w:val="20"/>
          <w:color w:val="auto"/>
        </w:rPr>
      </w:pPr>
      <w:r>
        <w:rPr>
          <w:rFonts w:ascii="Arial" w:cs="Arial" w:eastAsia="Arial" w:hAnsi="Arial"/>
          <w:sz w:val="18"/>
          <w:szCs w:val="18"/>
          <w:color w:val="auto"/>
        </w:rPr>
        <w:t>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We anticipate that our expenses will increase substantially, particularly due to the numerous risks and uncertainties associated with developing product candidates, including the uncertainty of:</w:t>
      </w:r>
    </w:p>
    <w:p>
      <w:pPr>
        <w:spacing w:after="0" w:line="65" w:lineRule="exact"/>
        <w:rPr>
          <w:sz w:val="20"/>
          <w:szCs w:val="20"/>
          <w:color w:val="auto"/>
        </w:rPr>
      </w:pPr>
    </w:p>
    <w:p>
      <w:pPr>
        <w:ind w:left="1080" w:right="300" w:hanging="352"/>
        <w:spacing w:after="0" w:line="278" w:lineRule="auto"/>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20"/>
          <w:szCs w:val="20"/>
          <w:color w:val="auto"/>
        </w:rPr>
      </w:pPr>
    </w:p>
    <w:p>
      <w:pPr>
        <w:ind w:left="1080" w:hanging="352"/>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establishing an appropriate safety profile with IND-enabling studies;</w:t>
      </w:r>
    </w:p>
    <w:p>
      <w:pPr>
        <w:spacing w:after="0" w:line="133" w:lineRule="exact"/>
        <w:rPr>
          <w:rFonts w:ascii="Arial" w:cs="Arial" w:eastAsia="Arial" w:hAnsi="Arial"/>
          <w:sz w:val="20"/>
          <w:szCs w:val="20"/>
          <w:color w:val="auto"/>
        </w:rPr>
      </w:pPr>
    </w:p>
    <w:p>
      <w:pPr>
        <w:ind w:left="1080" w:hanging="352"/>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successful enrollment in and completion of our clinical trials, including our combination clinical trials;</w:t>
      </w:r>
    </w:p>
    <w:p>
      <w:pPr>
        <w:spacing w:after="0" w:line="134" w:lineRule="exact"/>
        <w:rPr>
          <w:rFonts w:ascii="Arial" w:cs="Arial" w:eastAsia="Arial" w:hAnsi="Arial"/>
          <w:sz w:val="20"/>
          <w:szCs w:val="20"/>
          <w:color w:val="auto"/>
        </w:rPr>
      </w:pPr>
    </w:p>
    <w:p>
      <w:pPr>
        <w:ind w:left="1080" w:hanging="352"/>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whether our product candidates show safety and efficacy in our clinical trials;</w:t>
      </w:r>
    </w:p>
    <w:p>
      <w:pPr>
        <w:spacing w:after="0" w:line="134" w:lineRule="exact"/>
        <w:rPr>
          <w:rFonts w:ascii="Arial" w:cs="Arial" w:eastAsia="Arial" w:hAnsi="Arial"/>
          <w:sz w:val="20"/>
          <w:szCs w:val="20"/>
          <w:color w:val="auto"/>
        </w:rPr>
      </w:pPr>
    </w:p>
    <w:p>
      <w:pPr>
        <w:ind w:left="1080" w:hanging="352"/>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receipt of marketing approvals from applicable regulatory authorities;</w:t>
      </w:r>
    </w:p>
    <w:p>
      <w:pPr>
        <w:spacing w:after="0" w:line="133" w:lineRule="exact"/>
        <w:rPr>
          <w:rFonts w:ascii="Arial" w:cs="Arial" w:eastAsia="Arial" w:hAnsi="Arial"/>
          <w:sz w:val="20"/>
          <w:szCs w:val="20"/>
          <w:color w:val="auto"/>
        </w:rPr>
      </w:pPr>
    </w:p>
    <w:p>
      <w:pPr>
        <w:ind w:left="1080" w:hanging="35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57" w:lineRule="exact"/>
        <w:rPr>
          <w:rFonts w:ascii="Arial" w:cs="Arial" w:eastAsia="Arial" w:hAnsi="Arial"/>
          <w:sz w:val="18"/>
          <w:szCs w:val="18"/>
          <w:color w:val="auto"/>
        </w:rPr>
      </w:pPr>
    </w:p>
    <w:p>
      <w:pPr>
        <w:ind w:left="1080" w:right="800" w:hanging="352"/>
        <w:spacing w:after="0" w:line="278" w:lineRule="auto"/>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obtaining and maintaining patent and trade secret protection and regulatory exclusivity for our product candidates;</w:t>
      </w:r>
    </w:p>
    <w:p>
      <w:pPr>
        <w:spacing w:after="0" w:line="61" w:lineRule="exact"/>
        <w:rPr>
          <w:rFonts w:ascii="Arial" w:cs="Arial" w:eastAsia="Arial" w:hAnsi="Arial"/>
          <w:sz w:val="20"/>
          <w:szCs w:val="20"/>
          <w:color w:val="auto"/>
        </w:rPr>
      </w:pPr>
    </w:p>
    <w:p>
      <w:pPr>
        <w:ind w:left="1080" w:hanging="35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57" w:lineRule="exact"/>
        <w:rPr>
          <w:rFonts w:ascii="Arial" w:cs="Arial" w:eastAsia="Arial" w:hAnsi="Arial"/>
          <w:sz w:val="18"/>
          <w:szCs w:val="18"/>
          <w:color w:val="auto"/>
        </w:rPr>
      </w:pPr>
    </w:p>
    <w:p>
      <w:pPr>
        <w:ind w:left="1080" w:hanging="352"/>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continued acceptable safety profile of products following any regulatory approval.</w:t>
      </w:r>
    </w:p>
    <w:p>
      <w:pPr>
        <w:spacing w:after="0" w:line="240" w:lineRule="exact"/>
        <w:rPr>
          <w:sz w:val="20"/>
          <w:szCs w:val="20"/>
          <w:color w:val="auto"/>
        </w:rPr>
      </w:pPr>
    </w:p>
    <w:p>
      <w:pPr>
        <w:ind w:right="40" w:firstLine="491"/>
        <w:spacing w:after="0" w:line="265" w:lineRule="auto"/>
        <w:rPr>
          <w:sz w:val="20"/>
          <w:szCs w:val="20"/>
          <w:color w:val="auto"/>
        </w:rPr>
      </w:pPr>
      <w:r>
        <w:rPr>
          <w:rFonts w:ascii="Arial" w:cs="Arial" w:eastAsia="Arial" w:hAnsi="Arial"/>
          <w:sz w:val="19"/>
          <w:szCs w:val="19"/>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 Expenses</w:t>
      </w:r>
    </w:p>
    <w:p>
      <w:pPr>
        <w:spacing w:after="0" w:line="238" w:lineRule="exact"/>
        <w:rPr>
          <w:sz w:val="20"/>
          <w:szCs w:val="20"/>
          <w:color w:val="auto"/>
        </w:rPr>
      </w:pPr>
    </w:p>
    <w:p>
      <w:pPr>
        <w:ind w:right="140" w:firstLine="491"/>
        <w:spacing w:after="0" w:line="270" w:lineRule="auto"/>
        <w:rPr>
          <w:sz w:val="20"/>
          <w:szCs w:val="20"/>
          <w:color w:val="auto"/>
        </w:rPr>
      </w:pPr>
      <w:r>
        <w:rPr>
          <w:rFonts w:ascii="Arial" w:cs="Arial" w:eastAsia="Arial" w:hAnsi="Arial"/>
          <w:sz w:val="19"/>
          <w:szCs w:val="19"/>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right="180" w:firstLine="491"/>
        <w:spacing w:after="0" w:line="270" w:lineRule="auto"/>
        <w:rPr>
          <w:sz w:val="20"/>
          <w:szCs w:val="20"/>
          <w:color w:val="auto"/>
        </w:rPr>
      </w:pPr>
      <w:r>
        <w:rPr>
          <w:rFonts w:ascii="Arial" w:cs="Arial" w:eastAsia="Arial" w:hAnsi="Arial"/>
          <w:sz w:val="19"/>
          <w:szCs w:val="19"/>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Interest Income</w:t>
      </w:r>
    </w:p>
    <w:p>
      <w:pPr>
        <w:spacing w:after="0" w:line="237" w:lineRule="exact"/>
        <w:rPr>
          <w:sz w:val="20"/>
          <w:szCs w:val="20"/>
          <w:color w:val="auto"/>
        </w:rPr>
      </w:pPr>
    </w:p>
    <w:p>
      <w:pPr>
        <w:ind w:right="380" w:firstLine="491"/>
        <w:spacing w:after="0" w:line="278" w:lineRule="auto"/>
        <w:rPr>
          <w:sz w:val="20"/>
          <w:szCs w:val="20"/>
          <w:color w:val="auto"/>
        </w:rPr>
      </w:pPr>
      <w:r>
        <w:rPr>
          <w:rFonts w:ascii="Arial" w:cs="Arial" w:eastAsia="Arial" w:hAnsi="Arial"/>
          <w:sz w:val="20"/>
          <w:szCs w:val="20"/>
          <w:color w:val="auto"/>
        </w:rPr>
        <w:t>Interest income consists of income earned and losses incurred in connection with our investments in money market funds, U.S. Treasury bills and U.S. government agency bonds.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Other Income, Net</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Other income, net consists of miscellaneous income and expense unrelated to our core operations.</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40" w:lineRule="exact"/>
        <w:rPr>
          <w:sz w:val="20"/>
          <w:szCs w:val="20"/>
          <w:color w:val="auto"/>
        </w:rPr>
      </w:pPr>
    </w:p>
    <w:p>
      <w:pPr>
        <w:ind w:firstLine="491"/>
        <w:spacing w:after="0" w:line="300" w:lineRule="auto"/>
        <w:rPr>
          <w:sz w:val="20"/>
          <w:szCs w:val="20"/>
          <w:color w:val="auto"/>
        </w:rPr>
      </w:pPr>
      <w:r>
        <w:rPr>
          <w:rFonts w:ascii="Arial" w:cs="Arial" w:eastAsia="Arial" w:hAnsi="Arial"/>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years ended December 31, 2025 and 2024.</w:t>
      </w:r>
    </w:p>
    <w:p>
      <w:pPr>
        <w:sectPr>
          <w:pgSz w:w="12240" w:h="15840" w:orient="portrait"/>
          <w:cols w:equalWidth="0" w:num="1">
            <w:col w:w="10080"/>
          </w:cols>
          <w:pgMar w:left="1000" w:top="1060" w:right="1160" w:bottom="21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91</w:t>
      </w:r>
    </w:p>
    <w:p>
      <w:pPr>
        <w:sectPr>
          <w:pgSz w:w="12240" w:h="15840" w:orient="portrait"/>
          <w:cols w:equalWidth="0" w:num="1">
            <w:col w:w="10080"/>
          </w:cols>
          <w:pgMar w:left="1000" w:top="1060" w:right="1160" w:bottom="21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Results of Operations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Comparison of the Years Ended December 31, 2025 and 2024</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our results of operations for the years ended December 31, 2025 and 2024:</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6"/>
          </w:tcPr>
          <w:p>
            <w:pPr>
              <w:ind w:left="44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3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523"/>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503"/>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Change</w:t>
            </w:r>
          </w:p>
        </w:tc>
      </w:tr>
      <w:tr>
        <w:trPr>
          <w:trHeight w:val="202"/>
        </w:trPr>
        <w:tc>
          <w:tcPr>
            <w:tcW w:w="3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20"/>
                <w:szCs w:val="20"/>
                <w:color w:val="auto"/>
              </w:rPr>
              <w:t>Collaboration revenue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62,384</w:t>
            </w:r>
          </w:p>
        </w:tc>
        <w:tc>
          <w:tcPr>
            <w:tcW w:w="1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29,969</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32,415</w:t>
            </w:r>
          </w:p>
        </w:tc>
        <w:tc>
          <w:tcPr>
            <w:tcW w:w="80" w:type="dxa"/>
            <w:vAlign w:val="bottom"/>
            <w:shd w:val="clear" w:color="auto" w:fill="CFF0FC"/>
          </w:tcPr>
          <w:p>
            <w:pPr>
              <w:spacing w:after="0"/>
              <w:rPr>
                <w:sz w:val="20"/>
                <w:szCs w:val="20"/>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auto"/>
              </w:rPr>
              <w:t>License revenue</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(12,100)</w:t>
            </w:r>
          </w:p>
        </w:tc>
      </w:tr>
      <w:tr>
        <w:trPr>
          <w:trHeight w:val="245"/>
        </w:trPr>
        <w:tc>
          <w:tcPr>
            <w:tcW w:w="36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Total revenue</w:t>
            </w: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62,384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42,069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20,315</w:t>
            </w:r>
          </w:p>
        </w:tc>
        <w:tc>
          <w:tcPr>
            <w:tcW w:w="80" w:type="dxa"/>
            <w:vAlign w:val="bottom"/>
            <w:shd w:val="clear" w:color="auto" w:fill="CFF0FC"/>
          </w:tcPr>
          <w:p>
            <w:pPr>
              <w:spacing w:after="0"/>
              <w:rPr>
                <w:sz w:val="21"/>
                <w:szCs w:val="2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20"/>
                <w:szCs w:val="20"/>
                <w:color w:val="auto"/>
              </w:rPr>
              <w:t>Operating expenses: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6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Research and development</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132,165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143,918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(11,753)</w:t>
            </w:r>
          </w:p>
        </w:tc>
      </w:tr>
      <w:tr>
        <w:trPr>
          <w:trHeight w:val="232"/>
        </w:trPr>
        <w:tc>
          <w:tcPr>
            <w:tcW w:w="3620" w:type="dxa"/>
            <w:vAlign w:val="bottom"/>
          </w:tcPr>
          <w:p>
            <w:pPr>
              <w:ind w:left="200"/>
              <w:spacing w:after="0"/>
              <w:rPr>
                <w:sz w:val="20"/>
                <w:szCs w:val="20"/>
                <w:color w:val="auto"/>
              </w:rPr>
            </w:pPr>
            <w:r>
              <w:rPr>
                <w:rFonts w:ascii="Arial" w:cs="Arial" w:eastAsia="Arial" w:hAnsi="Arial"/>
                <w:sz w:val="20"/>
                <w:szCs w:val="20"/>
                <w:color w:val="auto"/>
              </w:rPr>
              <w:t>General and administrative</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41,508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43,746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(2,238)</w:t>
            </w:r>
          </w:p>
        </w:tc>
      </w:tr>
      <w:tr>
        <w:trPr>
          <w:trHeight w:val="245"/>
        </w:trPr>
        <w:tc>
          <w:tcPr>
            <w:tcW w:w="3620" w:type="dxa"/>
            <w:vAlign w:val="bottom"/>
            <w:shd w:val="clear" w:color="auto" w:fill="CFF0FC"/>
          </w:tcPr>
          <w:p>
            <w:pPr>
              <w:spacing w:after="0"/>
              <w:rPr>
                <w:sz w:val="20"/>
                <w:szCs w:val="20"/>
                <w:color w:val="auto"/>
              </w:rPr>
            </w:pPr>
            <w:r>
              <w:rPr>
                <w:rFonts w:ascii="Arial" w:cs="Arial" w:eastAsia="Arial" w:hAnsi="Arial"/>
                <w:sz w:val="20"/>
                <w:szCs w:val="20"/>
                <w:color w:val="auto"/>
              </w:rPr>
              <w:t>Total operating expenses</w:t>
            </w:r>
          </w:p>
        </w:tc>
        <w:tc>
          <w:tcPr>
            <w:tcW w:w="1260" w:type="dxa"/>
            <w:vAlign w:val="bottom"/>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173,673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187,664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(13,991)</w:t>
            </w:r>
          </w:p>
        </w:tc>
        <w:tc>
          <w:tcPr>
            <w:tcW w:w="80" w:type="dxa"/>
            <w:vAlign w:val="bottom"/>
            <w:shd w:val="clear" w:color="auto" w:fill="CFF0FC"/>
          </w:tcPr>
          <w:p>
            <w:pPr>
              <w:spacing w:after="0"/>
              <w:rPr>
                <w:sz w:val="21"/>
                <w:szCs w:val="21"/>
                <w:color w:val="auto"/>
              </w:rPr>
            </w:pPr>
          </w:p>
        </w:tc>
      </w:tr>
      <w:tr>
        <w:trPr>
          <w:trHeight w:val="225"/>
        </w:trPr>
        <w:tc>
          <w:tcPr>
            <w:tcW w:w="3620" w:type="dxa"/>
            <w:vAlign w:val="bottom"/>
          </w:tcPr>
          <w:p>
            <w:pPr>
              <w:spacing w:after="0" w:line="225" w:lineRule="exact"/>
              <w:rPr>
                <w:sz w:val="20"/>
                <w:szCs w:val="20"/>
                <w:color w:val="auto"/>
              </w:rPr>
            </w:pPr>
            <w:r>
              <w:rPr>
                <w:rFonts w:ascii="Arial" w:cs="Arial" w:eastAsia="Arial" w:hAnsi="Arial"/>
                <w:sz w:val="20"/>
                <w:szCs w:val="20"/>
                <w:color w:val="auto"/>
              </w:rPr>
              <w:t>Loss from operations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5" w:lineRule="exact"/>
              <w:rPr>
                <w:sz w:val="20"/>
                <w:szCs w:val="20"/>
                <w:color w:val="auto"/>
              </w:rPr>
            </w:pPr>
            <w:r>
              <w:rPr>
                <w:rFonts w:ascii="Arial" w:cs="Arial" w:eastAsia="Arial" w:hAnsi="Arial"/>
                <w:sz w:val="20"/>
                <w:szCs w:val="20"/>
                <w:color w:val="auto"/>
              </w:rPr>
              <w:t>(111,289)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line="225" w:lineRule="exact"/>
              <w:rPr>
                <w:sz w:val="20"/>
                <w:szCs w:val="20"/>
                <w:color w:val="auto"/>
              </w:rPr>
            </w:pPr>
            <w:r>
              <w:rPr>
                <w:rFonts w:ascii="Arial" w:cs="Arial" w:eastAsia="Arial" w:hAnsi="Arial"/>
                <w:sz w:val="20"/>
                <w:szCs w:val="20"/>
                <w:color w:val="auto"/>
              </w:rPr>
              <w:t>(145,595)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line="225" w:lineRule="exact"/>
              <w:rPr>
                <w:sz w:val="20"/>
                <w:szCs w:val="20"/>
                <w:color w:val="auto"/>
              </w:rPr>
            </w:pPr>
            <w:r>
              <w:rPr>
                <w:rFonts w:ascii="Arial" w:cs="Arial" w:eastAsia="Arial" w:hAnsi="Arial"/>
                <w:sz w:val="20"/>
                <w:szCs w:val="20"/>
                <w:color w:val="auto"/>
              </w:rPr>
              <w:t>34,306</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20"/>
                <w:szCs w:val="20"/>
                <w:color w:val="auto"/>
              </w:rPr>
              <w:t>Other income:</w:t>
            </w: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20"/>
                <w:szCs w:val="20"/>
                <w:color w:val="auto"/>
              </w:rPr>
              <w:t>Interest income</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7,890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(2,260)</w:t>
            </w:r>
          </w:p>
        </w:tc>
      </w:tr>
      <w:tr>
        <w:trPr>
          <w:trHeight w:val="229"/>
        </w:trPr>
        <w:tc>
          <w:tcPr>
            <w:tcW w:w="36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Other income, net</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(3,542)</w:t>
            </w:r>
          </w:p>
        </w:tc>
      </w:tr>
      <w:tr>
        <w:trPr>
          <w:trHeight w:val="225"/>
        </w:trPr>
        <w:tc>
          <w:tcPr>
            <w:tcW w:w="3620" w:type="dxa"/>
            <w:vAlign w:val="bottom"/>
          </w:tcPr>
          <w:p>
            <w:pPr>
              <w:spacing w:after="0" w:line="225" w:lineRule="exact"/>
              <w:rPr>
                <w:sz w:val="20"/>
                <w:szCs w:val="20"/>
                <w:color w:val="auto"/>
              </w:rPr>
            </w:pPr>
            <w:r>
              <w:rPr>
                <w:rFonts w:ascii="Arial" w:cs="Arial" w:eastAsia="Arial" w:hAnsi="Arial"/>
                <w:sz w:val="20"/>
                <w:szCs w:val="20"/>
                <w:color w:val="auto"/>
              </w:rPr>
              <w:t>Total other income, net</w:t>
            </w:r>
          </w:p>
        </w:tc>
        <w:tc>
          <w:tcPr>
            <w:tcW w:w="1260" w:type="dxa"/>
            <w:vAlign w:val="bottom"/>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200" w:type="dxa"/>
            <w:vAlign w:val="bottom"/>
            <w:tcBorders>
              <w:top w:val="single" w:sz="8" w:color="CFF0FC"/>
            </w:tcBorders>
          </w:tcPr>
          <w:p>
            <w:pPr>
              <w:jc w:val="right"/>
              <w:spacing w:after="0" w:line="225" w:lineRule="exact"/>
              <w:rPr>
                <w:sz w:val="20"/>
                <w:szCs w:val="20"/>
                <w:color w:val="auto"/>
              </w:rPr>
            </w:pPr>
            <w:r>
              <w:rPr>
                <w:rFonts w:ascii="Arial" w:cs="Arial" w:eastAsia="Arial" w:hAnsi="Arial"/>
                <w:sz w:val="20"/>
                <w:szCs w:val="20"/>
                <w:color w:val="auto"/>
              </w:rPr>
              <w:t>9,699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jc w:val="right"/>
              <w:spacing w:after="0" w:line="225" w:lineRule="exact"/>
              <w:rPr>
                <w:sz w:val="20"/>
                <w:szCs w:val="20"/>
                <w:color w:val="auto"/>
              </w:rPr>
            </w:pPr>
            <w:r>
              <w:rPr>
                <w:rFonts w:ascii="Arial" w:cs="Arial" w:eastAsia="Arial" w:hAnsi="Arial"/>
                <w:sz w:val="20"/>
                <w:szCs w:val="20"/>
                <w:color w:val="auto"/>
              </w:rPr>
              <w:t>15,501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260" w:type="dxa"/>
            <w:vAlign w:val="bottom"/>
            <w:tcBorders>
              <w:top w:val="single" w:sz="8" w:color="CFF0FC"/>
            </w:tcBorders>
          </w:tcPr>
          <w:p>
            <w:pPr>
              <w:jc w:val="right"/>
              <w:spacing w:after="0" w:line="225" w:lineRule="exact"/>
              <w:rPr>
                <w:sz w:val="20"/>
                <w:szCs w:val="20"/>
                <w:color w:val="auto"/>
              </w:rPr>
            </w:pPr>
            <w:r>
              <w:rPr>
                <w:rFonts w:ascii="Arial" w:cs="Arial" w:eastAsia="Arial" w:hAnsi="Arial"/>
                <w:sz w:val="20"/>
                <w:szCs w:val="20"/>
                <w:color w:val="auto"/>
              </w:rPr>
              <w:t>(5,802)</w:t>
            </w:r>
          </w:p>
        </w:tc>
        <w:tc>
          <w:tcPr>
            <w:tcW w:w="80" w:type="dxa"/>
            <w:vAlign w:val="bottom"/>
          </w:tcPr>
          <w:p>
            <w:pPr>
              <w:spacing w:after="0"/>
              <w:rPr>
                <w:sz w:val="19"/>
                <w:szCs w:val="19"/>
                <w:color w:val="auto"/>
              </w:rPr>
            </w:pPr>
          </w:p>
        </w:tc>
      </w:tr>
      <w:tr>
        <w:trPr>
          <w:trHeight w:val="246"/>
        </w:trPr>
        <w:tc>
          <w:tcPr>
            <w:tcW w:w="3620" w:type="dxa"/>
            <w:vAlign w:val="bottom"/>
            <w:shd w:val="clear" w:color="auto" w:fill="CFF0FC"/>
          </w:tcPr>
          <w:p>
            <w:pPr>
              <w:spacing w:after="0"/>
              <w:rPr>
                <w:sz w:val="20"/>
                <w:szCs w:val="20"/>
                <w:color w:val="auto"/>
              </w:rPr>
            </w:pPr>
            <w:r>
              <w:rPr>
                <w:rFonts w:ascii="Arial" w:cs="Arial" w:eastAsia="Arial" w:hAnsi="Arial"/>
                <w:sz w:val="20"/>
                <w:szCs w:val="20"/>
                <w:color w:val="auto"/>
              </w:rPr>
              <w:t>Loss before income taxes</w:t>
            </w: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(101,590)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(130,094)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28,504</w:t>
            </w:r>
          </w:p>
        </w:tc>
        <w:tc>
          <w:tcPr>
            <w:tcW w:w="80" w:type="dxa"/>
            <w:vAlign w:val="bottom"/>
            <w:shd w:val="clear" w:color="auto" w:fill="CFF0FC"/>
          </w:tcPr>
          <w:p>
            <w:pPr>
              <w:spacing w:after="0"/>
              <w:rPr>
                <w:sz w:val="21"/>
                <w:szCs w:val="2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20"/>
                <w:szCs w:val="20"/>
                <w:color w:val="auto"/>
              </w:rPr>
              <w:t>Provision for income taxes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19"/>
                <w:szCs w:val="19"/>
                <w:color w:val="auto"/>
              </w:rPr>
            </w:pPr>
          </w:p>
        </w:tc>
      </w:tr>
      <w:tr>
        <w:trPr>
          <w:trHeight w:val="246"/>
        </w:trPr>
        <w:tc>
          <w:tcPr>
            <w:tcW w:w="3620" w:type="dxa"/>
            <w:vAlign w:val="bottom"/>
            <w:shd w:val="clear" w:color="auto" w:fill="CFF0FC"/>
          </w:tcPr>
          <w:p>
            <w:pPr>
              <w:spacing w:after="0"/>
              <w:rPr>
                <w:sz w:val="20"/>
                <w:szCs w:val="20"/>
                <w:color w:val="auto"/>
              </w:rPr>
            </w:pPr>
            <w:r>
              <w:rPr>
                <w:rFonts w:ascii="Arial" w:cs="Arial" w:eastAsia="Arial" w:hAnsi="Arial"/>
                <w:sz w:val="20"/>
                <w:szCs w:val="20"/>
                <w:color w:val="auto"/>
              </w:rPr>
              <w:t>Net loss</w:t>
            </w: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(101,594)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(130,302)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28,708</w:t>
            </w:r>
          </w:p>
        </w:tc>
        <w:tc>
          <w:tcPr>
            <w:tcW w:w="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-2512695</wp:posOffset>
            </wp:positionV>
            <wp:extent cx="3331845" cy="2078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3331845" cy="2078990"/>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-168275</wp:posOffset>
            </wp:positionV>
            <wp:extent cx="3331845" cy="191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3331845" cy="191770"/>
                    </a:xfrm>
                    <a:prstGeom prst="rect">
                      <a:avLst/>
                    </a:prstGeom>
                    <a:noFill/>
                  </pic:spPr>
                </pic:pic>
              </a:graphicData>
            </a:graphic>
          </wp:anchor>
        </w:drawing>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Collaboration Revenue</w:t>
      </w:r>
    </w:p>
    <w:p>
      <w:pPr>
        <w:spacing w:after="0" w:line="238" w:lineRule="exact"/>
        <w:rPr>
          <w:sz w:val="20"/>
          <w:szCs w:val="20"/>
          <w:color w:val="auto"/>
        </w:rPr>
      </w:pPr>
    </w:p>
    <w:p>
      <w:pPr>
        <w:ind w:right="60" w:firstLine="491"/>
        <w:spacing w:after="0" w:line="252" w:lineRule="auto"/>
        <w:rPr>
          <w:sz w:val="20"/>
          <w:szCs w:val="20"/>
          <w:color w:val="auto"/>
        </w:rPr>
      </w:pPr>
      <w:r>
        <w:rPr>
          <w:rFonts w:ascii="Arial" w:cs="Arial" w:eastAsia="Arial" w:hAnsi="Arial"/>
          <w:sz w:val="20"/>
          <w:szCs w:val="20"/>
          <w:color w:val="auto"/>
        </w:rPr>
        <w:t xml:space="preserve">Collaboration revenue of $62.4 million and $30.0 million for the years ended December 31, 2025 and 2024, respectively, was derived from the Gilead collaboration. </w:t>
      </w:r>
      <w:r>
        <w:rPr>
          <w:rFonts w:ascii="Arial" w:cs="Arial" w:eastAsia="Arial" w:hAnsi="Arial"/>
          <w:sz w:val="19"/>
          <w:szCs w:val="19"/>
          <w:color w:val="auto"/>
        </w:rPr>
        <w:t xml:space="preserve">All remaining deferred revenue from the upfront and research option-extension payments under the collaboration were recognized as revenue during </w:t>
      </w:r>
      <w:r>
        <w:rPr>
          <w:rFonts w:ascii="Arial" w:cs="Arial" w:eastAsia="Arial" w:hAnsi="Arial"/>
          <w:sz w:val="20"/>
          <w:szCs w:val="20"/>
          <w:color w:val="auto"/>
        </w:rPr>
        <w:t>the year ended December 31, 2025</w:t>
      </w:r>
      <w:r>
        <w:rPr>
          <w:rFonts w:ascii="Arial" w:cs="Arial" w:eastAsia="Arial" w:hAnsi="Arial"/>
          <w:sz w:val="19"/>
          <w:szCs w:val="19"/>
          <w:color w:val="auto"/>
        </w:rPr>
        <w:t xml:space="preserve"> as a result of the truncation of the collaboration agreement which concluded all research activities</w:t>
      </w:r>
      <w:r>
        <w:rPr>
          <w:rFonts w:ascii="Arial" w:cs="Arial" w:eastAsia="Arial" w:hAnsi="Arial"/>
          <w:sz w:val="20"/>
          <w:szCs w:val="20"/>
          <w:color w:val="auto"/>
        </w:rPr>
        <w:t>.</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License Revenue</w:t>
      </w:r>
    </w:p>
    <w:p>
      <w:pPr>
        <w:spacing w:after="0" w:line="237" w:lineRule="exact"/>
        <w:rPr>
          <w:sz w:val="20"/>
          <w:szCs w:val="20"/>
          <w:color w:val="auto"/>
        </w:rPr>
      </w:pPr>
    </w:p>
    <w:p>
      <w:pPr>
        <w:jc w:val="both"/>
        <w:ind w:right="160" w:firstLine="491"/>
        <w:spacing w:after="0" w:line="258" w:lineRule="auto"/>
        <w:rPr>
          <w:sz w:val="20"/>
          <w:szCs w:val="20"/>
          <w:color w:val="auto"/>
        </w:rPr>
      </w:pPr>
      <w:r>
        <w:rPr>
          <w:rFonts w:ascii="Arial" w:cs="Arial" w:eastAsia="Arial" w:hAnsi="Arial"/>
          <w:sz w:val="20"/>
          <w:szCs w:val="20"/>
          <w:color w:val="auto"/>
        </w:rPr>
        <w:t>License revenue was $0 and $12.1 million for the years ended December 31, 2025 and 2024, respectively. The revenue recognized during the second quarter of 2024 was primarily due to licensing a program to Gilead for $12.0 million during the period.</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Research and Development Expenses</w:t>
      </w:r>
    </w:p>
    <w:p>
      <w:pPr>
        <w:spacing w:after="0" w:line="238" w:lineRule="exact"/>
        <w:rPr>
          <w:sz w:val="20"/>
          <w:szCs w:val="20"/>
          <w:color w:val="auto"/>
        </w:rPr>
      </w:pPr>
    </w:p>
    <w:p>
      <w:pPr>
        <w:ind w:right="80" w:firstLine="491"/>
        <w:spacing w:after="0" w:line="252" w:lineRule="auto"/>
        <w:rPr>
          <w:sz w:val="20"/>
          <w:szCs w:val="20"/>
          <w:color w:val="auto"/>
        </w:rPr>
      </w:pPr>
      <w:r>
        <w:rPr>
          <w:rFonts w:ascii="Arial" w:cs="Arial" w:eastAsia="Arial" w:hAnsi="Arial"/>
          <w:sz w:val="20"/>
          <w:szCs w:val="20"/>
          <w:color w:val="auto"/>
        </w:rPr>
        <w:t xml:space="preserve">Research and development expense was $132.2 million for the year ended December 31, 2025 compared to $143.9 million for the year ended December 31, 2024. </w:t>
      </w:r>
      <w:r>
        <w:rPr>
          <w:rFonts w:ascii="Arial" w:cs="Arial" w:eastAsia="Arial" w:hAnsi="Arial"/>
          <w:sz w:val="19"/>
          <w:szCs w:val="19"/>
          <w:color w:val="auto"/>
        </w:rPr>
        <w:t>The decrease of $11.7 million was mainly driven by a $14.0 million decrease</w:t>
      </w:r>
      <w:r>
        <w:rPr>
          <w:rFonts w:ascii="Arial" w:cs="Arial" w:eastAsia="Arial" w:hAnsi="Arial"/>
          <w:sz w:val="20"/>
          <w:szCs w:val="20"/>
          <w:color w:val="auto"/>
        </w:rPr>
        <w:t xml:space="preserve"> </w:t>
      </w:r>
      <w:r>
        <w:rPr>
          <w:rFonts w:ascii="Arial" w:cs="Arial" w:eastAsia="Arial" w:hAnsi="Arial"/>
          <w:sz w:val="19"/>
          <w:szCs w:val="19"/>
          <w:color w:val="auto"/>
        </w:rPr>
        <w:t>due to the discontinuation of the TNG908 and TNG348 clinical programs, a $3.1 million decrease in TNG260 clinical trial costs and lower discovery program expenses. This decrease was partially offset by increased spend related to the advancement of the vopimetostat, TNG456 and TNG961 clinical programs</w:t>
      </w:r>
      <w:r>
        <w:rPr>
          <w:rFonts w:ascii="Arial" w:cs="Arial" w:eastAsia="Arial" w:hAnsi="Arial"/>
          <w:sz w:val="20"/>
          <w:szCs w:val="20"/>
          <w:color w:val="auto"/>
        </w:rPr>
        <w:t>.</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 Expenses</w:t>
      </w:r>
    </w:p>
    <w:p>
      <w:pPr>
        <w:spacing w:after="0" w:line="237" w:lineRule="exact"/>
        <w:rPr>
          <w:sz w:val="20"/>
          <w:szCs w:val="20"/>
          <w:color w:val="auto"/>
        </w:rPr>
      </w:pPr>
    </w:p>
    <w:p>
      <w:pPr>
        <w:ind w:right="40" w:firstLine="491"/>
        <w:spacing w:after="0" w:line="259" w:lineRule="auto"/>
        <w:rPr>
          <w:sz w:val="20"/>
          <w:szCs w:val="20"/>
          <w:color w:val="auto"/>
        </w:rPr>
      </w:pPr>
      <w:r>
        <w:rPr>
          <w:rFonts w:ascii="Arial" w:cs="Arial" w:eastAsia="Arial" w:hAnsi="Arial"/>
          <w:sz w:val="20"/>
          <w:szCs w:val="20"/>
          <w:color w:val="auto"/>
        </w:rPr>
        <w:t xml:space="preserve">General and administrative expense was $41.5 million for the year ended December 31, 2025 compared to $43.7 million for the year ended December 31, 2024. The decrease of $2.2 million was </w:t>
      </w:r>
      <w:r>
        <w:rPr>
          <w:rFonts w:ascii="Arial" w:cs="Arial" w:eastAsia="Arial" w:hAnsi="Arial"/>
          <w:sz w:val="19"/>
          <w:szCs w:val="19"/>
          <w:color w:val="auto"/>
        </w:rPr>
        <w:t>primarily due to a decrease in personnel-related</w:t>
      </w:r>
      <w:r>
        <w:rPr>
          <w:rFonts w:ascii="Arial" w:cs="Arial" w:eastAsia="Arial" w:hAnsi="Arial"/>
          <w:sz w:val="20"/>
          <w:szCs w:val="20"/>
          <w:color w:val="auto"/>
        </w:rPr>
        <w:t xml:space="preserve"> </w:t>
      </w:r>
      <w:r>
        <w:rPr>
          <w:rFonts w:ascii="Arial" w:cs="Arial" w:eastAsia="Arial" w:hAnsi="Arial"/>
          <w:sz w:val="19"/>
          <w:szCs w:val="19"/>
          <w:color w:val="auto"/>
        </w:rPr>
        <w:t>costs, including share-based compensation expense</w:t>
      </w:r>
      <w:r>
        <w:rPr>
          <w:rFonts w:ascii="Arial" w:cs="Arial" w:eastAsia="Arial" w:hAnsi="Arial"/>
          <w:sz w:val="20"/>
          <w:szCs w:val="20"/>
          <w:color w:val="auto"/>
        </w:rPr>
        <w: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Interest Income</w:t>
      </w:r>
    </w:p>
    <w:p>
      <w:pPr>
        <w:spacing w:after="0" w:line="238" w:lineRule="exact"/>
        <w:rPr>
          <w:sz w:val="20"/>
          <w:szCs w:val="20"/>
          <w:color w:val="auto"/>
        </w:rPr>
      </w:pPr>
    </w:p>
    <w:p>
      <w:pPr>
        <w:ind w:right="20" w:firstLine="491"/>
        <w:spacing w:after="0" w:line="258" w:lineRule="auto"/>
        <w:rPr>
          <w:sz w:val="20"/>
          <w:szCs w:val="20"/>
          <w:color w:val="auto"/>
        </w:rPr>
      </w:pPr>
      <w:r>
        <w:rPr>
          <w:rFonts w:ascii="Arial" w:cs="Arial" w:eastAsia="Arial" w:hAnsi="Arial"/>
          <w:sz w:val="20"/>
          <w:szCs w:val="20"/>
          <w:color w:val="auto"/>
        </w:rPr>
        <w:t>Interest income was $5.6 million for the year ended December 31, 2025 compared to $7.9 million for the year ended December 31, 2024. The decrease of $2.3 million was primarily due to a higher average portfolio balance in 2024 compared to 2025 combined with declining rates throughout 2025.</w:t>
      </w:r>
    </w:p>
    <w:p>
      <w:pPr>
        <w:sectPr>
          <w:pgSz w:w="12240" w:h="15840" w:orient="portrait"/>
          <w:cols w:equalWidth="0" w:num="1">
            <w:col w:w="10160"/>
          </w:cols>
          <w:pgMar w:left="1000" w:top="1056" w:right="1080" w:bottom="21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2240" w:h="15840" w:orient="portrait"/>
          <w:cols w:equalWidth="0" w:num="1">
            <w:col w:w="10160"/>
          </w:cols>
          <w:pgMar w:left="1000" w:top="1056" w:right="1080" w:bottom="210" w:gutter="0" w:footer="0" w:header="0"/>
          <w:type w:val="continuous"/>
        </w:sectPr>
      </w:pPr>
    </w:p>
    <w:bookmarkStart w:id="96" w:name="page97"/>
    <w:bookmarkEnd w:id="96"/>
    <w:p>
      <w:pPr>
        <w:ind w:left="500"/>
        <w:spacing w:after="0"/>
        <w:rPr>
          <w:sz w:val="20"/>
          <w:szCs w:val="20"/>
          <w:color w:val="auto"/>
        </w:rPr>
      </w:pPr>
      <w:r>
        <w:rPr>
          <w:rFonts w:ascii="Arial" w:cs="Arial" w:eastAsia="Arial" w:hAnsi="Arial"/>
          <w:sz w:val="20"/>
          <w:szCs w:val="20"/>
          <w:i w:val="1"/>
          <w:iCs w:val="1"/>
          <w:color w:val="auto"/>
        </w:rPr>
        <w:t>Other Income, Net</w:t>
      </w:r>
    </w:p>
    <w:p>
      <w:pPr>
        <w:spacing w:after="0" w:line="237" w:lineRule="exact"/>
        <w:rPr>
          <w:sz w:val="20"/>
          <w:szCs w:val="20"/>
          <w:color w:val="auto"/>
        </w:rPr>
      </w:pPr>
    </w:p>
    <w:p>
      <w:pPr>
        <w:ind w:right="160" w:firstLine="491"/>
        <w:spacing w:after="0" w:line="336" w:lineRule="auto"/>
        <w:rPr>
          <w:sz w:val="20"/>
          <w:szCs w:val="20"/>
          <w:color w:val="auto"/>
        </w:rPr>
      </w:pPr>
      <w:r>
        <w:rPr>
          <w:rFonts w:ascii="Arial" w:cs="Arial" w:eastAsia="Arial" w:hAnsi="Arial"/>
          <w:sz w:val="18"/>
          <w:szCs w:val="18"/>
          <w:color w:val="auto"/>
        </w:rPr>
        <w:t xml:space="preserve">Other income, net was $4.1 million for the year ended December 31, 2025 compared to $7.6 million for the year ended December 31, 2024, </w:t>
      </w:r>
      <w:r>
        <w:rPr>
          <w:rFonts w:ascii="Arial" w:cs="Arial" w:eastAsia="Arial" w:hAnsi="Arial"/>
          <w:sz w:val="17"/>
          <w:szCs w:val="17"/>
          <w:color w:val="auto"/>
        </w:rPr>
        <w:t>with the decrease primarily attributed to lower accretion from investments purchased at a discount</w:t>
      </w:r>
      <w:r>
        <w:rPr>
          <w:rFonts w:ascii="Arial" w:cs="Arial" w:eastAsia="Arial" w:hAnsi="Arial"/>
          <w:sz w:val="18"/>
          <w:szCs w:val="18"/>
          <w:color w:val="auto"/>
        </w:rPr>
        <w:t>.</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Provision for Income Taxes</w:t>
      </w:r>
    </w:p>
    <w:p>
      <w:pPr>
        <w:spacing w:after="0" w:line="237" w:lineRule="exact"/>
        <w:rPr>
          <w:sz w:val="20"/>
          <w:szCs w:val="20"/>
          <w:color w:val="auto"/>
        </w:rPr>
      </w:pPr>
    </w:p>
    <w:p>
      <w:pPr>
        <w:ind w:right="200" w:firstLine="491"/>
        <w:spacing w:after="0" w:line="259" w:lineRule="auto"/>
        <w:rPr>
          <w:sz w:val="20"/>
          <w:szCs w:val="20"/>
          <w:color w:val="auto"/>
        </w:rPr>
      </w:pPr>
      <w:r>
        <w:rPr>
          <w:rFonts w:ascii="Arial" w:cs="Arial" w:eastAsia="Arial" w:hAnsi="Arial"/>
          <w:sz w:val="20"/>
          <w:szCs w:val="20"/>
          <w:color w:val="auto"/>
        </w:rPr>
        <w:t>Provision for income taxes was less than $0.1 million for the year ended December 31, 2025 compared to $0.2 million for the year ended December 31, 2024. The income tax provision amount for both periods is primarily attributable to state taxes on interest income earned on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240" w:lineRule="exact"/>
        <w:rPr>
          <w:sz w:val="20"/>
          <w:szCs w:val="20"/>
          <w:color w:val="auto"/>
        </w:rPr>
      </w:pPr>
    </w:p>
    <w:p>
      <w:pPr>
        <w:jc w:val="both"/>
        <w:ind w:right="240" w:firstLine="491"/>
        <w:spacing w:after="0" w:line="293" w:lineRule="auto"/>
        <w:rPr>
          <w:sz w:val="20"/>
          <w:szCs w:val="20"/>
          <w:color w:val="auto"/>
        </w:rPr>
      </w:pPr>
      <w:r>
        <w:rPr>
          <w:rFonts w:ascii="Arial" w:cs="Arial" w:eastAsia="Arial" w:hAnsi="Arial"/>
          <w:sz w:val="17"/>
          <w:szCs w:val="17"/>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former collaboration agreement with Gilead.</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 xml:space="preserve">Through December 31, 2025, we have raised an aggregate of $1.1 billion from such transactions, including $857.0 million in aggregate gross proceeds from the sale of pre-public entity preferred shares, the closing of our Business Combination, follow-on public and private offerings, and through our "at-the-market" stock offering programs, and $237.1 million through our former collaboration with Gilead. Additionally, during the first quarter of 2026, and through March 2, 2026, we have received gross proceeds of </w:t>
      </w:r>
      <w:r>
        <w:rPr>
          <w:rFonts w:ascii="Arial" w:cs="Arial" w:eastAsia="Arial" w:hAnsi="Arial"/>
          <w:sz w:val="18"/>
          <w:szCs w:val="18"/>
          <w:color w:val="auto"/>
        </w:rPr>
        <w:t>$62.1 million from our "at-the-market" stock offering program</w:t>
      </w:r>
      <w:r>
        <w:rPr>
          <w:rFonts w:ascii="Arial" w:cs="Arial" w:eastAsia="Arial" w:hAnsi="Arial"/>
          <w:sz w:val="19"/>
          <w:szCs w:val="19"/>
          <w:color w:val="auto"/>
        </w:rPr>
        <w:t>. As of December 31, 2025, we had cash and cash equivalents and marketable securities of $343.1 million.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Funding Requirements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9"/>
          <w:szCs w:val="19"/>
          <w:color w:val="auto"/>
        </w:rPr>
        <w:t>We expect that our existing cash, cash equivalents and marketable securities on hand as of December 31, 2025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$343.1 million will enable us to fund our operating expenses and capital expenditure requirements into 2028. We have based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estimate on assumptions that may prove to be wrong, and we could expend our capital resources sooner than we expect.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154940</wp:posOffset>
            </wp:positionV>
            <wp:extent cx="6107430" cy="2211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6107430" cy="2211705"/>
                    </a:xfrm>
                    <a:prstGeom prst="rect">
                      <a:avLst/>
                    </a:prstGeom>
                    <a:noFill/>
                  </pic:spPr>
                </pic:pic>
              </a:graphicData>
            </a:graphic>
          </wp:anchor>
        </w:drawing>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Comparison of the Years Ended December 31, 2025 and 2024</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table summarizes our cash flows for each of the years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w w:val="99"/>
              </w:rPr>
              <w:t>Year Ended December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364"/>
              <w:spacing w:after="0"/>
              <w:rPr>
                <w:sz w:val="20"/>
                <w:szCs w:val="20"/>
                <w:color w:val="auto"/>
              </w:rPr>
            </w:pPr>
            <w:r>
              <w:rPr>
                <w:rFonts w:ascii="Arial" w:cs="Arial" w:eastAsia="Arial" w:hAnsi="Arial"/>
                <w:sz w:val="16"/>
                <w:szCs w:val="16"/>
                <w:b w:val="1"/>
                <w:bCs w:val="1"/>
                <w:color w:val="auto"/>
                <w:w w:val="95"/>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Change</w:t>
            </w:r>
          </w:p>
        </w:tc>
      </w:tr>
      <w:tr>
        <w:trPr>
          <w:trHeight w:val="202"/>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20"/>
                <w:szCs w:val="20"/>
                <w:color w:val="auto"/>
              </w:rPr>
              <w:t>Net cash used in operating activities</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(138,886)</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(131,501)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(7,385)</w:t>
            </w:r>
          </w:p>
        </w:tc>
      </w:tr>
      <w:tr>
        <w:trPr>
          <w:trHeight w:val="229"/>
        </w:trPr>
        <w:tc>
          <w:tcPr>
            <w:tcW w:w="5900" w:type="dxa"/>
            <w:vAlign w:val="bottom"/>
          </w:tcPr>
          <w:p>
            <w:pPr>
              <w:spacing w:after="0"/>
              <w:rPr>
                <w:sz w:val="20"/>
                <w:szCs w:val="20"/>
                <w:color w:val="auto"/>
              </w:rPr>
            </w:pPr>
            <w:r>
              <w:rPr>
                <w:rFonts w:ascii="Arial" w:cs="Arial" w:eastAsia="Arial" w:hAnsi="Arial"/>
                <w:sz w:val="20"/>
                <w:szCs w:val="20"/>
                <w:color w:val="auto"/>
              </w:rPr>
              <w:t>Net cash (used in) provided by investing activities</w:t>
            </w: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0"/>
                <w:szCs w:val="20"/>
                <w:color w:val="auto"/>
              </w:rPr>
              <w:t>(40,865)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86,126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(126,991)</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20"/>
                <w:szCs w:val="20"/>
                <w:color w:val="auto"/>
              </w:rPr>
              <w:t>Net cash provided by financing activities</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222,500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47,664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174,836</w:t>
            </w:r>
          </w:p>
        </w:tc>
        <w:tc>
          <w:tcPr>
            <w:tcW w:w="80" w:type="dxa"/>
            <w:vAlign w:val="bottom"/>
            <w:shd w:val="clear" w:color="auto" w:fill="CFF0FC"/>
          </w:tcPr>
          <w:p>
            <w:pPr>
              <w:spacing w:after="0"/>
              <w:rPr>
                <w:sz w:val="20"/>
                <w:szCs w:val="20"/>
                <w:color w:val="auto"/>
              </w:rPr>
            </w:pPr>
          </w:p>
        </w:tc>
      </w:tr>
      <w:tr>
        <w:trPr>
          <w:trHeight w:val="226"/>
        </w:trPr>
        <w:tc>
          <w:tcPr>
            <w:tcW w:w="5900" w:type="dxa"/>
            <w:vAlign w:val="bottom"/>
          </w:tcPr>
          <w:p>
            <w:pPr>
              <w:spacing w:after="0" w:line="226" w:lineRule="exact"/>
              <w:rPr>
                <w:sz w:val="20"/>
                <w:szCs w:val="20"/>
                <w:color w:val="auto"/>
              </w:rPr>
            </w:pPr>
            <w:r>
              <w:rPr>
                <w:rFonts w:ascii="Arial" w:cs="Arial" w:eastAsia="Arial" w:hAnsi="Arial"/>
                <w:sz w:val="20"/>
                <w:szCs w:val="20"/>
                <w:color w:val="auto"/>
              </w:rPr>
              <w:t>Net increase in cash, cash equivalents and restricted cash</w:t>
            </w:r>
          </w:p>
        </w:tc>
        <w:tc>
          <w:tcPr>
            <w:tcW w:w="280" w:type="dxa"/>
            <w:vAlign w:val="bottom"/>
          </w:tcPr>
          <w:p>
            <w:pPr>
              <w:jc w:val="right"/>
              <w:ind w:right="80"/>
              <w:spacing w:after="0" w:line="226" w:lineRule="exact"/>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line="226" w:lineRule="exact"/>
              <w:rPr>
                <w:sz w:val="20"/>
                <w:szCs w:val="20"/>
                <w:color w:val="auto"/>
              </w:rPr>
            </w:pPr>
            <w:r>
              <w:rPr>
                <w:rFonts w:ascii="Arial" w:cs="Arial" w:eastAsia="Arial" w:hAnsi="Arial"/>
                <w:sz w:val="20"/>
                <w:szCs w:val="20"/>
                <w:color w:val="auto"/>
              </w:rPr>
              <w:t>42,749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00"/>
              <w:spacing w:after="0" w:line="226" w:lineRule="exact"/>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line="226" w:lineRule="exact"/>
              <w:rPr>
                <w:sz w:val="20"/>
                <w:szCs w:val="20"/>
                <w:color w:val="auto"/>
              </w:rPr>
            </w:pPr>
            <w:r>
              <w:rPr>
                <w:rFonts w:ascii="Arial" w:cs="Arial" w:eastAsia="Arial" w:hAnsi="Arial"/>
                <w:sz w:val="20"/>
                <w:szCs w:val="20"/>
                <w:color w:val="auto"/>
              </w:rPr>
              <w:t>2,289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40"/>
              <w:spacing w:after="0" w:line="226" w:lineRule="exact"/>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line="226" w:lineRule="exact"/>
              <w:rPr>
                <w:sz w:val="20"/>
                <w:szCs w:val="20"/>
                <w:color w:val="auto"/>
              </w:rPr>
            </w:pPr>
            <w:r>
              <w:rPr>
                <w:rFonts w:ascii="Arial" w:cs="Arial" w:eastAsia="Arial" w:hAnsi="Arial"/>
                <w:sz w:val="20"/>
                <w:szCs w:val="20"/>
                <w:color w:val="auto"/>
              </w:rPr>
              <w:t>40,460</w:t>
            </w:r>
          </w:p>
        </w:tc>
        <w:tc>
          <w:tcPr>
            <w:tcW w:w="80" w:type="dxa"/>
            <w:vAlign w:val="bottom"/>
          </w:tcPr>
          <w:p>
            <w:pPr>
              <w:spacing w:after="0"/>
              <w:rPr>
                <w:sz w:val="19"/>
                <w:szCs w:val="19"/>
                <w:color w:val="auto"/>
              </w:rPr>
            </w:pPr>
          </w:p>
        </w:tc>
      </w:tr>
    </w:tbl>
    <w:p>
      <w:pPr>
        <w:spacing w:after="0" w:line="26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Operating Activities</w:t>
      </w:r>
    </w:p>
    <w:p>
      <w:pPr>
        <w:spacing w:after="0" w:line="238" w:lineRule="exact"/>
        <w:rPr>
          <w:sz w:val="20"/>
          <w:szCs w:val="20"/>
          <w:color w:val="auto"/>
        </w:rPr>
      </w:pPr>
    </w:p>
    <w:p>
      <w:pPr>
        <w:ind w:right="60" w:firstLine="491"/>
        <w:spacing w:after="0" w:line="252" w:lineRule="auto"/>
        <w:rPr>
          <w:sz w:val="20"/>
          <w:szCs w:val="20"/>
          <w:color w:val="auto"/>
        </w:rPr>
      </w:pPr>
      <w:r>
        <w:rPr>
          <w:rFonts w:ascii="Arial" w:cs="Arial" w:eastAsia="Arial" w:hAnsi="Arial"/>
          <w:sz w:val="20"/>
          <w:szCs w:val="20"/>
          <w:color w:val="auto"/>
        </w:rPr>
        <w:t xml:space="preserve">Net cash used in operating activities was $ 138.9 million for the year ended December 31, 2025 compared to net cash </w:t>
      </w:r>
      <w:r>
        <w:rPr>
          <w:rFonts w:ascii="Arial" w:cs="Arial" w:eastAsia="Arial" w:hAnsi="Arial"/>
          <w:sz w:val="20"/>
          <w:szCs w:val="20"/>
          <w:color w:val="auto"/>
          <w:highlight w:val="white"/>
        </w:rPr>
        <w:t xml:space="preserve">used in operating activities of $131.5 million for the year ended December 31, 2024. The increase in net cash used in operating activities for the twelve months ended December 31, 2025 </w:t>
      </w:r>
      <w:r>
        <w:rPr>
          <w:rFonts w:ascii="Arial" w:cs="Arial" w:eastAsia="Arial" w:hAnsi="Arial"/>
          <w:sz w:val="19"/>
          <w:szCs w:val="19"/>
          <w:color w:val="auto"/>
        </w:rPr>
        <w:t>was primarily due to a decrease in operating assets and</w:t>
      </w:r>
      <w:r>
        <w:rPr>
          <w:rFonts w:ascii="Arial" w:cs="Arial" w:eastAsia="Arial" w:hAnsi="Arial"/>
          <w:sz w:val="20"/>
          <w:szCs w:val="20"/>
          <w:color w:val="auto"/>
          <w:highlight w:val="white"/>
        </w:rPr>
        <w:t xml:space="preserve"> </w:t>
      </w:r>
      <w:r>
        <w:rPr>
          <w:rFonts w:ascii="Arial" w:cs="Arial" w:eastAsia="Arial" w:hAnsi="Arial"/>
          <w:sz w:val="19"/>
          <w:szCs w:val="19"/>
          <w:color w:val="auto"/>
        </w:rPr>
        <w:t>liabilities, including a deferred revenue decrease driven by the truncation of the Gilead collaboration in August of 2025, which was partially offset by a decrease in net loss.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Investing Activities</w:t>
      </w:r>
    </w:p>
    <w:p>
      <w:pPr>
        <w:spacing w:after="0" w:line="238" w:lineRule="exact"/>
        <w:rPr>
          <w:sz w:val="20"/>
          <w:szCs w:val="20"/>
          <w:color w:val="auto"/>
        </w:rPr>
      </w:pPr>
    </w:p>
    <w:p>
      <w:pPr>
        <w:ind w:right="220" w:firstLine="491"/>
        <w:spacing w:after="0" w:line="334" w:lineRule="auto"/>
        <w:rPr>
          <w:sz w:val="20"/>
          <w:szCs w:val="20"/>
          <w:color w:val="auto"/>
        </w:rPr>
      </w:pPr>
      <w:r>
        <w:rPr>
          <w:rFonts w:ascii="Arial" w:cs="Arial" w:eastAsia="Arial" w:hAnsi="Arial"/>
          <w:sz w:val="18"/>
          <w:szCs w:val="18"/>
          <w:color w:val="auto"/>
        </w:rPr>
        <w:t xml:space="preserve">Net cash used in investing activities was $40.9 million for the year ended December 31, 2025 compared to net cash provided by investing activities of $86.1 million for the year ended December 31, 2024. </w:t>
      </w:r>
      <w:r>
        <w:rPr>
          <w:rFonts w:ascii="Arial" w:cs="Arial" w:eastAsia="Arial" w:hAnsi="Arial"/>
          <w:sz w:val="17"/>
          <w:szCs w:val="17"/>
          <w:color w:val="auto"/>
        </w:rPr>
        <w:t>The change was primarily due to an</w:t>
      </w:r>
    </w:p>
    <w:p>
      <w:pPr>
        <w:sectPr>
          <w:pgSz w:w="12240" w:h="15840" w:orient="portrait"/>
          <w:cols w:equalWidth="0" w:num="1">
            <w:col w:w="10160"/>
          </w:cols>
          <w:pgMar w:left="1000" w:top="1062" w:right="1080" w:bottom="21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2240" w:h="15840" w:orient="portrait"/>
          <w:cols w:equalWidth="0" w:num="1">
            <w:col w:w="10160"/>
          </w:cols>
          <w:pgMar w:left="1000" w:top="1062" w:right="1080" w:bottom="210" w:gutter="0" w:footer="0" w:header="0"/>
          <w:type w:val="continuous"/>
        </w:sectPr>
      </w:pPr>
    </w:p>
    <w:bookmarkStart w:id="97" w:name="page98"/>
    <w:bookmarkEnd w:id="97"/>
    <w:p>
      <w:pPr>
        <w:ind w:right="260"/>
        <w:spacing w:after="0" w:line="277" w:lineRule="auto"/>
        <w:rPr>
          <w:sz w:val="20"/>
          <w:szCs w:val="20"/>
          <w:color w:val="auto"/>
        </w:rPr>
      </w:pPr>
      <w:r>
        <w:rPr>
          <w:rFonts w:ascii="Arial" w:cs="Arial" w:eastAsia="Arial" w:hAnsi="Arial"/>
          <w:sz w:val="20"/>
          <w:szCs w:val="20"/>
          <w:color w:val="auto"/>
        </w:rPr>
        <w:t>increase in purchases of marketable securities and a decrease in sales and maturities of marketable securities as compared to the year ended December 31, 2024.</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Financing Activities</w:t>
      </w:r>
    </w:p>
    <w:p>
      <w:pPr>
        <w:spacing w:after="0" w:line="238" w:lineRule="exact"/>
        <w:rPr>
          <w:sz w:val="20"/>
          <w:szCs w:val="20"/>
          <w:color w:val="auto"/>
        </w:rPr>
      </w:pPr>
    </w:p>
    <w:p>
      <w:pPr>
        <w:ind w:right="120" w:firstLine="491"/>
        <w:spacing w:after="0" w:line="262" w:lineRule="auto"/>
        <w:rPr>
          <w:sz w:val="20"/>
          <w:szCs w:val="20"/>
          <w:color w:val="auto"/>
        </w:rPr>
      </w:pPr>
      <w:r>
        <w:rPr>
          <w:rFonts w:ascii="Arial" w:cs="Arial" w:eastAsia="Arial" w:hAnsi="Arial"/>
          <w:sz w:val="19"/>
          <w:szCs w:val="19"/>
          <w:color w:val="auto"/>
        </w:rPr>
        <w:t xml:space="preserve">Net cash provided by financing activities was $222.5 million for the year ended December 31, 2025 compared to net cash provided by financing activities of $47.7 million for the year ended December 31, 2024. The cash provided by financing activities for the twelve months ended December 31, 2025 </w:t>
      </w:r>
      <w:r>
        <w:rPr>
          <w:rFonts w:ascii="Arial" w:cs="Arial" w:eastAsia="Arial" w:hAnsi="Arial"/>
          <w:sz w:val="18"/>
          <w:szCs w:val="18"/>
          <w:color w:val="auto"/>
        </w:rPr>
        <w:t>consisted of the net proceeds received from our underwritten</w:t>
      </w:r>
      <w:r>
        <w:rPr>
          <w:rFonts w:ascii="Arial" w:cs="Arial" w:eastAsia="Arial" w:hAnsi="Arial"/>
          <w:sz w:val="19"/>
          <w:szCs w:val="19"/>
          <w:color w:val="auto"/>
        </w:rPr>
        <w:t xml:space="preserve"> </w:t>
      </w:r>
      <w:r>
        <w:rPr>
          <w:rFonts w:ascii="Arial" w:cs="Arial" w:eastAsia="Arial" w:hAnsi="Arial"/>
          <w:sz w:val="18"/>
          <w:szCs w:val="18"/>
          <w:color w:val="auto"/>
        </w:rPr>
        <w:t>offering and concurrent private placement of common shares and pre-funded warrants to purchase common shares in October 2025 of $211.8 million, as well as the cash provided from the exercises of stock options and ESPP purchases</w:t>
      </w:r>
      <w:r>
        <w:rPr>
          <w:rFonts w:ascii="Arial" w:cs="Arial" w:eastAsia="Arial" w:hAnsi="Arial"/>
          <w:sz w:val="19"/>
          <w:szCs w:val="19"/>
          <w:color w:val="auto"/>
        </w:rPr>
        <w:t>. The cash</w:t>
      </w:r>
      <w:r>
        <w:rPr>
          <w:rFonts w:ascii="Arial" w:cs="Arial" w:eastAsia="Arial" w:hAnsi="Arial"/>
          <w:sz w:val="18"/>
          <w:szCs w:val="18"/>
          <w:color w:val="auto"/>
        </w:rPr>
        <w:t xml:space="preserve"> </w:t>
      </w:r>
      <w:r>
        <w:rPr>
          <w:rFonts w:ascii="Arial" w:cs="Arial" w:eastAsia="Arial" w:hAnsi="Arial"/>
          <w:sz w:val="19"/>
          <w:szCs w:val="19"/>
          <w:color w:val="auto"/>
        </w:rPr>
        <w:t xml:space="preserve">provided by financing activities for the twelve months ended December 31, 2024 </w:t>
      </w:r>
      <w:r>
        <w:rPr>
          <w:rFonts w:ascii="Arial" w:cs="Arial" w:eastAsia="Arial" w:hAnsi="Arial"/>
          <w:sz w:val="18"/>
          <w:szCs w:val="18"/>
          <w:color w:val="auto"/>
        </w:rPr>
        <w:t>consisted of the $41.7 million in net</w:t>
      </w:r>
      <w:r>
        <w:rPr>
          <w:rFonts w:ascii="Arial" w:cs="Arial" w:eastAsia="Arial" w:hAnsi="Arial"/>
          <w:sz w:val="19"/>
          <w:szCs w:val="19"/>
          <w:color w:val="auto"/>
        </w:rPr>
        <w:t xml:space="preserve"> </w:t>
      </w:r>
      <w:r>
        <w:rPr>
          <w:rFonts w:ascii="Arial" w:cs="Arial" w:eastAsia="Arial" w:hAnsi="Arial"/>
          <w:sz w:val="18"/>
          <w:szCs w:val="18"/>
          <w:color w:val="auto"/>
        </w:rPr>
        <w:t xml:space="preserve">proceeds received from our "at-the-market" stock offering program in January 2024, as well as the cash provided from the exercises of stock options and ESPP purchases </w:t>
      </w:r>
      <w:r>
        <w:rPr>
          <w:rFonts w:ascii="Arial" w:cs="Arial" w:eastAsia="Arial" w:hAnsi="Arial"/>
          <w:sz w:val="19"/>
          <w:szCs w:val="19"/>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43" w:lineRule="exact"/>
        <w:rPr>
          <w:sz w:val="20"/>
          <w:szCs w:val="20"/>
          <w:color w:val="auto"/>
        </w:rPr>
      </w:pPr>
    </w:p>
    <w:p>
      <w:pPr>
        <w:ind w:right="160" w:firstLine="491"/>
        <w:spacing w:after="0" w:line="278" w:lineRule="auto"/>
        <w:rPr>
          <w:sz w:val="20"/>
          <w:szCs w:val="20"/>
          <w:color w:val="auto"/>
        </w:rPr>
      </w:pPr>
      <w:r>
        <w:rPr>
          <w:rFonts w:ascii="Arial" w:cs="Arial" w:eastAsia="Arial" w:hAnsi="Arial"/>
          <w:sz w:val="20"/>
          <w:szCs w:val="20"/>
          <w:color w:val="auto"/>
        </w:rPr>
        <w:t>The following table summarizes our contractual obligations at December 31, 2025 and the effects that such obligations are expected to have on our liquidity and cash flows in future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7"/>
          </w:tcPr>
          <w:p>
            <w:pPr>
              <w:jc w:val="center"/>
              <w:ind w:left="532"/>
              <w:spacing w:after="0"/>
              <w:rPr>
                <w:sz w:val="20"/>
                <w:szCs w:val="20"/>
                <w:color w:val="auto"/>
              </w:rPr>
            </w:pPr>
            <w:r>
              <w:rPr>
                <w:rFonts w:ascii="Arial" w:cs="Arial" w:eastAsia="Arial" w:hAnsi="Arial"/>
                <w:sz w:val="16"/>
                <w:szCs w:val="16"/>
                <w:b w:val="1"/>
                <w:bCs w:val="1"/>
                <w:color w:val="auto"/>
                <w:w w:val="90"/>
              </w:rPr>
              <w:t>Payments Due by Period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5"/>
        </w:trPr>
        <w:tc>
          <w:tcPr>
            <w:tcW w:w="3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6"/>
                <w:szCs w:val="16"/>
                <w:b w:val="1"/>
                <w:bCs w:val="1"/>
                <w:color w:val="auto"/>
                <w:w w:val="88"/>
              </w:rPr>
              <w:t>Less than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More than</w:t>
            </w:r>
          </w:p>
        </w:tc>
      </w:tr>
      <w:tr>
        <w:trPr>
          <w:trHeight w:val="199"/>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07"/>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1 Year</w:t>
            </w:r>
          </w:p>
        </w:tc>
        <w:tc>
          <w:tcPr>
            <w:tcW w:w="20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1 – 3 Years</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3</w:t>
            </w: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 5 Years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5 Years</w:t>
            </w:r>
          </w:p>
        </w:tc>
      </w:tr>
      <w:tr>
        <w:trPr>
          <w:trHeight w:val="202"/>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gridSpan w:val="4"/>
          </w:tcPr>
          <w:p>
            <w:pPr>
              <w:jc w:val="center"/>
              <w:ind w:left="1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 commitments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44,367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5,308</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12,077</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12,813</w:t>
            </w:r>
          </w:p>
        </w:tc>
        <w:tc>
          <w:tcPr>
            <w:tcW w:w="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14,169</w:t>
            </w:r>
          </w:p>
        </w:tc>
        <w:tc>
          <w:tcPr>
            <w:tcW w:w="60" w:type="dxa"/>
            <w:vAlign w:val="bottom"/>
            <w:shd w:val="clear" w:color="auto" w:fill="CFF0FC"/>
          </w:tcPr>
          <w:p>
            <w:pPr>
              <w:spacing w:after="0"/>
              <w:rPr>
                <w:sz w:val="20"/>
                <w:szCs w:val="20"/>
                <w:color w:val="auto"/>
              </w:rPr>
            </w:pPr>
          </w:p>
        </w:tc>
      </w:tr>
      <w:tr>
        <w:trPr>
          <w:trHeight w:val="226"/>
        </w:trPr>
        <w:tc>
          <w:tcPr>
            <w:tcW w:w="3480" w:type="dxa"/>
            <w:vAlign w:val="bottom"/>
          </w:tcPr>
          <w:p>
            <w:pPr>
              <w:spacing w:after="0" w:line="226" w:lineRule="exact"/>
              <w:rPr>
                <w:sz w:val="20"/>
                <w:szCs w:val="20"/>
                <w:color w:val="auto"/>
              </w:rPr>
            </w:pPr>
            <w:r>
              <w:rPr>
                <w:rFonts w:ascii="Arial" w:cs="Arial" w:eastAsia="Arial" w:hAnsi="Arial"/>
                <w:sz w:val="20"/>
                <w:szCs w:val="20"/>
                <w:color w:val="auto"/>
              </w:rPr>
              <w:t>Total</w:t>
            </w:r>
          </w:p>
        </w:tc>
        <w:tc>
          <w:tcPr>
            <w:tcW w:w="1080" w:type="dxa"/>
            <w:vAlign w:val="bottom"/>
          </w:tcPr>
          <w:p>
            <w:pPr>
              <w:spacing w:after="0"/>
              <w:rPr>
                <w:sz w:val="19"/>
                <w:szCs w:val="19"/>
                <w:color w:val="auto"/>
              </w:rPr>
            </w:pPr>
          </w:p>
        </w:tc>
        <w:tc>
          <w:tcPr>
            <w:tcW w:w="20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w w:val="71"/>
              </w:rPr>
              <w:t>$</w:t>
            </w:r>
          </w:p>
        </w:tc>
        <w:tc>
          <w:tcPr>
            <w:tcW w:w="76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rPr>
              <w:t>44,367</w:t>
            </w:r>
          </w:p>
        </w:tc>
        <w:tc>
          <w:tcPr>
            <w:tcW w:w="200" w:type="dxa"/>
            <w:vAlign w:val="bottom"/>
          </w:tcPr>
          <w:p>
            <w:pPr>
              <w:spacing w:after="0"/>
              <w:rPr>
                <w:sz w:val="19"/>
                <w:szCs w:val="19"/>
                <w:color w:val="auto"/>
              </w:rPr>
            </w:pPr>
          </w:p>
        </w:tc>
        <w:tc>
          <w:tcPr>
            <w:tcW w:w="12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rPr>
              <w:t>5,308</w:t>
            </w:r>
          </w:p>
        </w:tc>
        <w:tc>
          <w:tcPr>
            <w:tcW w:w="200" w:type="dxa"/>
            <w:vAlign w:val="bottom"/>
          </w:tcPr>
          <w:p>
            <w:pPr>
              <w:spacing w:after="0"/>
              <w:rPr>
                <w:sz w:val="19"/>
                <w:szCs w:val="19"/>
                <w:color w:val="auto"/>
              </w:rPr>
            </w:pPr>
          </w:p>
        </w:tc>
        <w:tc>
          <w:tcPr>
            <w:tcW w:w="240" w:type="dxa"/>
            <w:vAlign w:val="bottom"/>
            <w:tcBorders>
              <w:top w:val="single" w:sz="8" w:color="CFF0FC"/>
            </w:tcBorders>
          </w:tcPr>
          <w:p>
            <w:pPr>
              <w:jc w:val="right"/>
              <w:ind w:right="50"/>
              <w:spacing w:after="0" w:line="226" w:lineRule="exact"/>
              <w:rPr>
                <w:sz w:val="20"/>
                <w:szCs w:val="20"/>
                <w:color w:val="auto"/>
              </w:rPr>
            </w:pPr>
            <w:r>
              <w:rPr>
                <w:rFonts w:ascii="Arial" w:cs="Arial" w:eastAsia="Arial" w:hAnsi="Arial"/>
                <w:sz w:val="20"/>
                <w:szCs w:val="20"/>
                <w:color w:val="auto"/>
                <w:highlight w:val="white"/>
                <w:w w:val="71"/>
              </w:rPr>
              <w:t>$</w:t>
            </w:r>
          </w:p>
        </w:tc>
        <w:tc>
          <w:tcPr>
            <w:tcW w:w="70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rPr>
              <w:t>12,077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w w:val="71"/>
              </w:rPr>
              <w:t>$</w:t>
            </w:r>
          </w:p>
        </w:tc>
        <w:tc>
          <w:tcPr>
            <w:tcW w:w="74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rPr>
              <w:t>12,813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w w:val="71"/>
              </w:rPr>
              <w:t>$</w:t>
            </w:r>
          </w:p>
        </w:tc>
        <w:tc>
          <w:tcPr>
            <w:tcW w:w="840" w:type="dxa"/>
            <w:vAlign w:val="bottom"/>
            <w:tcBorders>
              <w:top w:val="single" w:sz="8" w:color="CFF0FC"/>
            </w:tcBorders>
          </w:tcPr>
          <w:p>
            <w:pPr>
              <w:jc w:val="right"/>
              <w:spacing w:after="0" w:line="226" w:lineRule="exact"/>
              <w:rPr>
                <w:sz w:val="20"/>
                <w:szCs w:val="20"/>
                <w:color w:val="auto"/>
              </w:rPr>
            </w:pPr>
            <w:r>
              <w:rPr>
                <w:rFonts w:ascii="Arial" w:cs="Arial" w:eastAsia="Arial" w:hAnsi="Arial"/>
                <w:sz w:val="20"/>
                <w:szCs w:val="20"/>
                <w:color w:val="auto"/>
                <w:highlight w:val="white"/>
              </w:rPr>
              <w:t>14,169</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-683895</wp:posOffset>
            </wp:positionV>
            <wp:extent cx="3535045" cy="279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3535045" cy="279400"/>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-168275</wp:posOffset>
            </wp:positionV>
            <wp:extent cx="3535045" cy="190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3535045" cy="190500"/>
                    </a:xfrm>
                    <a:prstGeom prst="rect">
                      <a:avLst/>
                    </a:prstGeom>
                    <a:noFill/>
                  </pic:spPr>
                </pic:pic>
              </a:graphicData>
            </a:graphic>
          </wp:anchor>
        </w:drawing>
      </w:r>
    </w:p>
    <w:p>
      <w:pPr>
        <w:spacing w:after="0" w:line="214" w:lineRule="exact"/>
        <w:rPr>
          <w:sz w:val="20"/>
          <w:szCs w:val="20"/>
          <w:color w:val="auto"/>
        </w:rPr>
      </w:pPr>
    </w:p>
    <w:p>
      <w:pPr>
        <w:ind w:right="80" w:firstLine="491"/>
        <w:spacing w:after="0" w:line="249" w:lineRule="auto"/>
        <w:rPr>
          <w:sz w:val="20"/>
          <w:szCs w:val="20"/>
          <w:color w:val="auto"/>
        </w:rPr>
      </w:pPr>
      <w:r>
        <w:rPr>
          <w:rFonts w:ascii="Arial" w:cs="Arial" w:eastAsia="Arial" w:hAnsi="Arial"/>
          <w:sz w:val="20"/>
          <w:szCs w:val="20"/>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December 31, 2025. Refer to Note 7 to our audited consolidated financial statements and related notes included in this Annual Report on Form 10-K for additional discussion of the lease.</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Purchase Obligations</w:t>
      </w:r>
    </w:p>
    <w:p>
      <w:pPr>
        <w:spacing w:after="0" w:line="237" w:lineRule="exact"/>
        <w:rPr>
          <w:sz w:val="20"/>
          <w:szCs w:val="20"/>
          <w:color w:val="auto"/>
        </w:rPr>
      </w:pPr>
    </w:p>
    <w:p>
      <w:pPr>
        <w:ind w:right="60" w:firstLine="491"/>
        <w:spacing w:after="0" w:line="289" w:lineRule="auto"/>
        <w:rPr>
          <w:sz w:val="20"/>
          <w:szCs w:val="20"/>
          <w:color w:val="auto"/>
        </w:rPr>
      </w:pPr>
      <w:r>
        <w:rPr>
          <w:rFonts w:ascii="Arial" w:cs="Arial" w:eastAsia="Arial" w:hAnsi="Arial"/>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December 31, 2025.</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License Agreement Obligations</w:t>
      </w:r>
    </w:p>
    <w:p>
      <w:pPr>
        <w:spacing w:after="0" w:line="238" w:lineRule="exact"/>
        <w:rPr>
          <w:sz w:val="20"/>
          <w:szCs w:val="20"/>
          <w:color w:val="auto"/>
        </w:rPr>
      </w:pPr>
    </w:p>
    <w:p>
      <w:pPr>
        <w:ind w:right="220" w:firstLine="491"/>
        <w:spacing w:after="0" w:line="261" w:lineRule="auto"/>
        <w:rPr>
          <w:sz w:val="20"/>
          <w:szCs w:val="20"/>
          <w:color w:val="auto"/>
        </w:rPr>
      </w:pPr>
      <w:r>
        <w:rPr>
          <w:rFonts w:ascii="Arial" w:cs="Arial" w:eastAsia="Arial" w:hAnsi="Arial"/>
          <w:sz w:val="19"/>
          <w:szCs w:val="19"/>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December 31, 2025 and December 31, 2024, we were unable to estimate the timing or likelihood of achieving these milestones or generating future product sales. Refer to Note 8 of our audited consolidated financial statements and related notes for the year ended December 31, 2025 included in this Annual Report on Form 10-K for a description of our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Judgments and Estimates</w:t>
      </w:r>
    </w:p>
    <w:p>
      <w:pPr>
        <w:spacing w:after="0" w:line="244" w:lineRule="exact"/>
        <w:rPr>
          <w:sz w:val="20"/>
          <w:szCs w:val="20"/>
          <w:color w:val="auto"/>
        </w:rPr>
      </w:pPr>
    </w:p>
    <w:p>
      <w:pPr>
        <w:ind w:right="60" w:firstLine="491"/>
        <w:spacing w:after="0" w:line="276"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w:t>
      </w:r>
    </w:p>
    <w:p>
      <w:pPr>
        <w:sectPr>
          <w:pgSz w:w="12240" w:h="15840" w:orient="portrait"/>
          <w:cols w:equalWidth="0" w:num="1">
            <w:col w:w="10160"/>
          </w:cols>
          <w:pgMar w:left="1000" w:top="1060" w:right="1080" w:bottom="21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2240" w:h="15840" w:orient="portrait"/>
          <w:cols w:equalWidth="0" w:num="1">
            <w:col w:w="10160"/>
          </w:cols>
          <w:pgMar w:left="1000" w:top="1060" w:right="1080" w:bottom="210" w:gutter="0" w:footer="0" w:header="0"/>
          <w:type w:val="continuous"/>
        </w:sectPr>
      </w:pPr>
    </w:p>
    <w:bookmarkStart w:id="98" w:name="page99"/>
    <w:bookmarkEnd w:id="98"/>
    <w:p>
      <w:pPr>
        <w:ind w:right="120"/>
        <w:spacing w:after="0" w:line="334" w:lineRule="auto"/>
        <w:rPr>
          <w:sz w:val="20"/>
          <w:szCs w:val="20"/>
          <w:color w:val="auto"/>
        </w:rPr>
      </w:pPr>
      <w:r>
        <w:rPr>
          <w:rFonts w:ascii="Arial" w:cs="Arial" w:eastAsia="Arial" w:hAnsi="Arial"/>
          <w:sz w:val="18"/>
          <w:szCs w:val="18"/>
          <w:color w:val="auto"/>
        </w:rPr>
        <w:t>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23" w:lineRule="exact"/>
        <w:rPr>
          <w:sz w:val="20"/>
          <w:szCs w:val="20"/>
          <w:color w:val="auto"/>
        </w:rPr>
      </w:pPr>
    </w:p>
    <w:p>
      <w:pPr>
        <w:ind w:right="120" w:firstLine="491"/>
        <w:spacing w:after="0" w:line="252" w:lineRule="auto"/>
        <w:rPr>
          <w:sz w:val="20"/>
          <w:szCs w:val="20"/>
          <w:color w:val="auto"/>
        </w:rPr>
      </w:pPr>
      <w:r>
        <w:rPr>
          <w:rFonts w:ascii="Arial" w:cs="Arial" w:eastAsia="Arial" w:hAnsi="Arial"/>
          <w:sz w:val="20"/>
          <w:szCs w:val="20"/>
          <w:color w:val="auto"/>
        </w:rPr>
        <w:t>While our significant accounting policies are described in more detail in Note 2 to our audited consolidated financial statements and related notes included in this Annual Report on Form 10-K for the year ended December 31, 2025, we believe that the following accounting policies are those most critical to the judgments and estimates used in the preparation of our financial statements.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39" w:lineRule="exact"/>
        <w:rPr>
          <w:sz w:val="20"/>
          <w:szCs w:val="20"/>
          <w:color w:val="auto"/>
        </w:rPr>
      </w:pPr>
    </w:p>
    <w:p>
      <w:pPr>
        <w:ind w:right="20" w:firstLine="491"/>
        <w:spacing w:after="0" w:line="336"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21" w:lineRule="exact"/>
        <w:rPr>
          <w:sz w:val="20"/>
          <w:szCs w:val="20"/>
          <w:color w:val="auto"/>
        </w:rPr>
      </w:pPr>
    </w:p>
    <w:p>
      <w:pPr>
        <w:ind w:firstLine="491"/>
        <w:spacing w:after="0" w:line="270" w:lineRule="auto"/>
        <w:rPr>
          <w:sz w:val="20"/>
          <w:szCs w:val="20"/>
          <w:color w:val="auto"/>
        </w:rPr>
      </w:pPr>
      <w:r>
        <w:rPr>
          <w:rFonts w:ascii="Arial" w:cs="Arial" w:eastAsia="Arial" w:hAnsi="Arial"/>
          <w:sz w:val="18"/>
          <w:szCs w:val="18"/>
          <w:color w:val="auto"/>
        </w:rPr>
        <w:t xml:space="preserve">We recognize revenue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89" w:lineRule="exact"/>
        <w:rPr>
          <w:sz w:val="20"/>
          <w:szCs w:val="20"/>
          <w:color w:val="auto"/>
        </w:rPr>
      </w:pPr>
    </w:p>
    <w:p>
      <w:pPr>
        <w:ind w:right="40" w:firstLine="491"/>
        <w:spacing w:after="0" w:line="276"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75" w:lineRule="exact"/>
        <w:rPr>
          <w:sz w:val="20"/>
          <w:szCs w:val="20"/>
          <w:color w:val="auto"/>
        </w:rPr>
      </w:pPr>
    </w:p>
    <w:p>
      <w:pPr>
        <w:ind w:right="40" w:firstLine="491"/>
        <w:spacing w:after="0" w:line="257" w:lineRule="auto"/>
        <w:rPr>
          <w:sz w:val="20"/>
          <w:szCs w:val="20"/>
          <w:color w:val="auto"/>
        </w:rPr>
      </w:pPr>
      <w:r>
        <w:rPr>
          <w:rFonts w:ascii="Arial" w:cs="Arial" w:eastAsia="Arial" w:hAnsi="Arial"/>
          <w:sz w:val="19"/>
          <w:szCs w:val="19"/>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89" w:lineRule="exact"/>
        <w:rPr>
          <w:sz w:val="20"/>
          <w:szCs w:val="20"/>
          <w:color w:val="auto"/>
        </w:rPr>
      </w:pPr>
    </w:p>
    <w:p>
      <w:pPr>
        <w:ind w:right="180" w:firstLine="491"/>
        <w:spacing w:after="0" w:line="289" w:lineRule="auto"/>
        <w:rPr>
          <w:sz w:val="20"/>
          <w:szCs w:val="20"/>
          <w:color w:val="auto"/>
        </w:rPr>
      </w:pPr>
      <w:r>
        <w:rPr>
          <w:rFonts w:ascii="Arial" w:cs="Arial" w:eastAsia="Arial" w:hAnsi="Arial"/>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w:t>
      </w:r>
    </w:p>
    <w:p>
      <w:pPr>
        <w:sectPr>
          <w:pgSz w:w="12240" w:h="15840" w:orient="portrait"/>
          <w:cols w:equalWidth="0" w:num="1">
            <w:col w:w="10160"/>
          </w:cols>
          <w:pgMar w:left="1000" w:top="1060" w:right="1080" w:bottom="21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2240" w:h="15840" w:orient="portrait"/>
          <w:cols w:equalWidth="0" w:num="1">
            <w:col w:w="10160"/>
          </w:cols>
          <w:pgMar w:left="1000" w:top="1060" w:right="1080" w:bottom="210" w:gutter="0" w:footer="0" w:header="0"/>
          <w:type w:val="continuous"/>
        </w:sectPr>
      </w:pPr>
    </w:p>
    <w:bookmarkStart w:id="99" w:name="page100"/>
    <w:bookmarkEnd w:id="99"/>
    <w:p>
      <w:pPr>
        <w:ind w:right="160"/>
        <w:spacing w:after="0" w:line="252" w:lineRule="auto"/>
        <w:rPr>
          <w:sz w:val="20"/>
          <w:szCs w:val="20"/>
          <w:color w:val="auto"/>
        </w:rPr>
      </w:pPr>
      <w:r>
        <w:rPr>
          <w:rFonts w:ascii="Arial" w:cs="Arial" w:eastAsia="Arial" w:hAnsi="Arial"/>
          <w:sz w:val="20"/>
          <w:szCs w:val="20"/>
          <w:color w:val="auto"/>
        </w:rPr>
        <w:t>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92" w:lineRule="exact"/>
        <w:rPr>
          <w:sz w:val="20"/>
          <w:szCs w:val="20"/>
          <w:color w:val="auto"/>
        </w:rPr>
      </w:pPr>
    </w:p>
    <w:p>
      <w:pPr>
        <w:ind w:firstLine="491"/>
        <w:spacing w:after="0" w:line="249" w:lineRule="auto"/>
        <w:rPr>
          <w:sz w:val="20"/>
          <w:szCs w:val="20"/>
          <w:color w:val="auto"/>
        </w:rPr>
      </w:pPr>
      <w:r>
        <w:rPr>
          <w:rFonts w:ascii="Arial" w:cs="Arial" w:eastAsia="Arial" w:hAnsi="Arial"/>
          <w:sz w:val="20"/>
          <w:szCs w:val="20"/>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99" w:lineRule="exact"/>
        <w:rPr>
          <w:sz w:val="20"/>
          <w:szCs w:val="20"/>
          <w:color w:val="auto"/>
        </w:rPr>
      </w:pPr>
    </w:p>
    <w:p>
      <w:pPr>
        <w:ind w:right="80" w:firstLine="491"/>
        <w:spacing w:after="0" w:line="283" w:lineRule="auto"/>
        <w:rPr>
          <w:sz w:val="20"/>
          <w:szCs w:val="20"/>
          <w:color w:val="auto"/>
        </w:rPr>
      </w:pPr>
      <w:r>
        <w:rPr>
          <w:rFonts w:ascii="Arial" w:cs="Arial" w:eastAsia="Arial" w:hAnsi="Arial"/>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69" w:lineRule="exact"/>
        <w:rPr>
          <w:sz w:val="20"/>
          <w:szCs w:val="20"/>
          <w:color w:val="auto"/>
        </w:rPr>
      </w:pPr>
    </w:p>
    <w:p>
      <w:pPr>
        <w:ind w:right="20" w:firstLine="491"/>
        <w:spacing w:after="0" w:line="252" w:lineRule="auto"/>
        <w:rPr>
          <w:sz w:val="20"/>
          <w:szCs w:val="20"/>
          <w:color w:val="auto"/>
        </w:rPr>
      </w:pPr>
      <w:r>
        <w:rPr>
          <w:rFonts w:ascii="Arial" w:cs="Arial" w:eastAsia="Arial" w:hAnsi="Arial"/>
          <w:sz w:val="20"/>
          <w:szCs w:val="20"/>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94" w:lineRule="exact"/>
        <w:rPr>
          <w:sz w:val="20"/>
          <w:szCs w:val="20"/>
          <w:color w:val="auto"/>
        </w:rPr>
      </w:pPr>
    </w:p>
    <w:p>
      <w:pPr>
        <w:ind w:right="20" w:firstLine="491"/>
        <w:spacing w:after="0" w:line="259" w:lineRule="auto"/>
        <w:rPr>
          <w:sz w:val="20"/>
          <w:szCs w:val="20"/>
          <w:color w:val="auto"/>
        </w:rPr>
      </w:pPr>
      <w:r>
        <w:rPr>
          <w:rFonts w:ascii="Arial" w:cs="Arial" w:eastAsia="Arial" w:hAnsi="Arial"/>
          <w:sz w:val="19"/>
          <w:szCs w:val="19"/>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Accrued Research and Development Expenses</w:t>
      </w:r>
    </w:p>
    <w:p>
      <w:pPr>
        <w:spacing w:after="0" w:line="239" w:lineRule="exact"/>
        <w:rPr>
          <w:sz w:val="20"/>
          <w:szCs w:val="20"/>
          <w:color w:val="auto"/>
        </w:rPr>
      </w:pPr>
    </w:p>
    <w:p>
      <w:pPr>
        <w:ind w:firstLine="491"/>
        <w:spacing w:after="0" w:line="294"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65" w:lineRule="exact"/>
        <w:rPr>
          <w:sz w:val="20"/>
          <w:szCs w:val="20"/>
          <w:color w:val="auto"/>
        </w:rPr>
      </w:pPr>
    </w:p>
    <w:p>
      <w:pPr>
        <w:ind w:firstLine="491"/>
        <w:spacing w:after="0" w:line="272" w:lineRule="auto"/>
        <w:rPr>
          <w:sz w:val="20"/>
          <w:szCs w:val="20"/>
          <w:color w:val="auto"/>
        </w:rPr>
      </w:pPr>
      <w:r>
        <w:rPr>
          <w:rFonts w:ascii="Arial" w:cs="Arial" w:eastAsia="Arial" w:hAnsi="Arial"/>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ectPr>
          <w:pgSz w:w="12240" w:h="15840" w:orient="portrait"/>
          <w:cols w:equalWidth="0" w:num="1">
            <w:col w:w="10140"/>
          </w:cols>
          <w:pgMar w:left="100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2240" w:h="15840" w:orient="portrait"/>
          <w:cols w:equalWidth="0" w:num="1">
            <w:col w:w="10140"/>
          </w:cols>
          <w:pgMar w:left="1000" w:top="1060" w:right="1100" w:bottom="21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243" w:lineRule="exact"/>
        <w:rPr>
          <w:sz w:val="20"/>
          <w:szCs w:val="20"/>
          <w:color w:val="auto"/>
        </w:rPr>
      </w:pPr>
    </w:p>
    <w:p>
      <w:pPr>
        <w:ind w:right="80" w:firstLine="491"/>
        <w:spacing w:after="0" w:line="259" w:lineRule="auto"/>
        <w:rPr>
          <w:sz w:val="20"/>
          <w:szCs w:val="20"/>
          <w:color w:val="auto"/>
        </w:rPr>
      </w:pPr>
      <w:r>
        <w:rPr>
          <w:rFonts w:ascii="Arial" w:cs="Arial" w:eastAsia="Arial" w:hAnsi="Arial"/>
          <w:sz w:val="20"/>
          <w:szCs w:val="20"/>
          <w:color w:val="auto"/>
        </w:rPr>
        <w:t>A description of recently issued and adopted accounting pronouncements that may potentially impact our financial position, results of operations or cash flows is disclosed in Note 2 to our audited consolidated financial statements and related notes in this Annual Report on Form 10-K for the year ended December 31, 2025.</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Smaller Reporting Company Status</w:t>
      </w:r>
    </w:p>
    <w:p>
      <w:pPr>
        <w:spacing w:after="0" w:line="244" w:lineRule="exact"/>
        <w:rPr>
          <w:sz w:val="20"/>
          <w:szCs w:val="20"/>
          <w:color w:val="auto"/>
        </w:rPr>
      </w:pPr>
    </w:p>
    <w:p>
      <w:pPr>
        <w:ind w:right="20" w:firstLine="491"/>
        <w:spacing w:after="0" w:line="272" w:lineRule="auto"/>
        <w:rPr>
          <w:sz w:val="20"/>
          <w:szCs w:val="20"/>
          <w:color w:val="auto"/>
        </w:rPr>
      </w:pPr>
      <w:r>
        <w:rPr>
          <w:rFonts w:ascii="Arial" w:cs="Arial" w:eastAsia="Arial" w:hAnsi="Arial"/>
          <w:sz w:val="18"/>
          <w:szCs w:val="18"/>
          <w:color w:val="auto"/>
        </w:rPr>
        <w:t>As of June 30, 2025, the last business day of our most recently completed second fiscal quarter, the aggregate market value of the our voting and non-voting common equity held by non-affiliates, based on the closing price of the shares of common stock on The Nasdaq Stock Market LLC on June 30, 2025, was approximately $528.4 million. As the market value of our stock held by non-affiliates was less than $560 million on the measurement date and our annual revenue was less than $100 million during the most recently completed fiscal year, our filer status changed to non-accelerated filer and we again qualify as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a smaller reporting company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4" w:lineRule="exact"/>
        <w:rPr>
          <w:sz w:val="20"/>
          <w:szCs w:val="20"/>
          <w:color w:val="auto"/>
        </w:rPr>
      </w:pPr>
    </w:p>
    <w:p>
      <w:pPr>
        <w:ind w:right="20" w:firstLine="491"/>
        <w:spacing w:after="0" w:line="277"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Interest Rate Risk</w:t>
      </w:r>
    </w:p>
    <w:p>
      <w:pPr>
        <w:spacing w:after="0" w:line="238" w:lineRule="exact"/>
        <w:rPr>
          <w:sz w:val="20"/>
          <w:szCs w:val="20"/>
          <w:color w:val="auto"/>
        </w:rPr>
      </w:pPr>
    </w:p>
    <w:p>
      <w:pPr>
        <w:ind w:right="60" w:firstLine="491"/>
        <w:spacing w:after="0" w:line="261" w:lineRule="auto"/>
        <w:rPr>
          <w:sz w:val="20"/>
          <w:szCs w:val="20"/>
          <w:color w:val="auto"/>
        </w:rPr>
      </w:pPr>
      <w:r>
        <w:rPr>
          <w:rFonts w:ascii="Arial" w:cs="Arial" w:eastAsia="Arial" w:hAnsi="Arial"/>
          <w:sz w:val="19"/>
          <w:szCs w:val="19"/>
          <w:color w:val="auto"/>
        </w:rPr>
        <w:t>We had cash, cash equivalents and marketable securities of $343.1 million and $257.9 million as of December 31, 2025 and December 31, 2024,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Foreign Currency Exchange Risk</w:t>
      </w:r>
    </w:p>
    <w:p>
      <w:pPr>
        <w:spacing w:after="0" w:line="238" w:lineRule="exact"/>
        <w:rPr>
          <w:sz w:val="20"/>
          <w:szCs w:val="20"/>
          <w:color w:val="auto"/>
        </w:rPr>
      </w:pPr>
    </w:p>
    <w:p>
      <w:pPr>
        <w:ind w:right="100" w:firstLine="491"/>
        <w:spacing w:after="0" w:line="258" w:lineRule="auto"/>
        <w:rPr>
          <w:sz w:val="20"/>
          <w:szCs w:val="20"/>
          <w:color w:val="auto"/>
        </w:rPr>
      </w:pPr>
      <w:r>
        <w:rPr>
          <w:rFonts w:ascii="Arial" w:cs="Arial" w:eastAsia="Arial" w:hAnsi="Arial"/>
          <w:sz w:val="20"/>
          <w:szCs w:val="20"/>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Effects of Inflation</w:t>
      </w:r>
    </w:p>
    <w:p>
      <w:pPr>
        <w:spacing w:after="0" w:line="238" w:lineRule="exact"/>
        <w:rPr>
          <w:sz w:val="20"/>
          <w:szCs w:val="20"/>
          <w:color w:val="auto"/>
        </w:rPr>
      </w:pPr>
    </w:p>
    <w:p>
      <w:pPr>
        <w:ind w:right="60" w:firstLine="491"/>
        <w:spacing w:after="0" w:line="247" w:lineRule="auto"/>
        <w:rPr>
          <w:sz w:val="20"/>
          <w:szCs w:val="20"/>
          <w:color w:val="auto"/>
        </w:rPr>
      </w:pPr>
      <w:r>
        <w:rPr>
          <w:rFonts w:ascii="Arial" w:cs="Arial" w:eastAsia="Arial" w:hAnsi="Arial"/>
          <w:sz w:val="20"/>
          <w:szCs w:val="20"/>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We have not seen a significant impact from inflation on our business, financial condition or results of operations during the twelve months ended December 31, 2025. However, if inflation were to increase, or remain at an elevated level for an extended period of time, our costs are likely to increase, which may negatively impact our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3"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20"/>
          <w:szCs w:val="20"/>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ectPr>
          <w:pgSz w:w="12240" w:h="15840" w:orient="portrait"/>
          <w:cols w:equalWidth="0" w:num="1">
            <w:col w:w="10140"/>
          </w:cols>
          <w:pgMar w:left="1000" w:top="1056"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2240" w:h="15840" w:orient="portrait"/>
          <w:cols w:equalWidth="0" w:num="1">
            <w:col w:w="10140"/>
          </w:cols>
          <w:pgMar w:left="1000" w:top="1056" w:right="1100" w:bottom="21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4" w:lineRule="exact"/>
        <w:rPr>
          <w:sz w:val="20"/>
          <w:szCs w:val="20"/>
          <w:color w:val="auto"/>
        </w:rPr>
      </w:pPr>
    </w:p>
    <w:p>
      <w:pPr>
        <w:ind w:right="60" w:firstLine="491"/>
        <w:spacing w:after="0" w:line="27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4" w:lineRule="exact"/>
        <w:rPr>
          <w:sz w:val="20"/>
          <w:szCs w:val="20"/>
          <w:color w:val="auto"/>
        </w:rPr>
      </w:pPr>
    </w:p>
    <w:p>
      <w:pPr>
        <w:ind w:right="160" w:firstLine="491"/>
        <w:spacing w:after="0" w:line="252" w:lineRule="auto"/>
        <w:rPr>
          <w:sz w:val="20"/>
          <w:szCs w:val="20"/>
          <w:color w:val="auto"/>
        </w:rPr>
      </w:pPr>
      <w:r>
        <w:rPr>
          <w:rFonts w:ascii="Arial" w:cs="Arial" w:eastAsia="Arial" w:hAnsi="Arial"/>
          <w:sz w:val="20"/>
          <w:szCs w:val="20"/>
          <w:color w:val="auto"/>
        </w:rPr>
        <w:t>There were no changes in the Company’s internal control over financial reporting identified in connection with the evaluation required by paragraph (d) of Rules 13a- 15 and 15d-15(d) under the Exchange Act that occurred during the quarter ended December 31, 2025 that materially affected, or were reasonably likely to materially affect, the Company’s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3" w:lineRule="exact"/>
        <w:rPr>
          <w:sz w:val="20"/>
          <w:szCs w:val="20"/>
          <w:color w:val="auto"/>
        </w:rPr>
      </w:pPr>
    </w:p>
    <w:p>
      <w:pPr>
        <w:ind w:firstLine="491"/>
        <w:spacing w:after="0" w:line="263" w:lineRule="auto"/>
        <w:rPr>
          <w:sz w:val="20"/>
          <w:szCs w:val="20"/>
          <w:color w:val="auto"/>
        </w:rPr>
      </w:pPr>
      <w:r>
        <w:rPr>
          <w:rFonts w:ascii="Arial" w:cs="Arial" w:eastAsia="Arial" w:hAnsi="Arial"/>
          <w:sz w:val="19"/>
          <w:szCs w:val="19"/>
          <w:color w:val="auto"/>
        </w:rPr>
        <w:t xml:space="preserve">Management is responsible for establishing and maintaining adequate internal control over financial reporting, as such term is defined in Rules 13a -15(f) and 1t5d-15(f) under the Exchange Act. Our management, including our Chief Executive Officer and Chief Financial Officer, conducted an assessment of the effectiveness of the Company's internal control over financial reporting based on the criteria set forth in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xml:space="preserve"> (2013) issued by the Committee of Sponsoring Organization of the Treadway Commission. Based on this assessment, management concluded that, as of December 31, 2025, our internal control over financial reporting was effective.</w:t>
      </w:r>
    </w:p>
    <w:p>
      <w:pPr>
        <w:spacing w:after="0" w:line="186" w:lineRule="exact"/>
        <w:rPr>
          <w:sz w:val="20"/>
          <w:szCs w:val="20"/>
          <w:color w:val="auto"/>
        </w:rPr>
      </w:pPr>
    </w:p>
    <w:p>
      <w:pPr>
        <w:ind w:right="60" w:firstLine="491"/>
        <w:spacing w:after="0" w:line="258" w:lineRule="auto"/>
        <w:rPr>
          <w:sz w:val="20"/>
          <w:szCs w:val="20"/>
          <w:color w:val="auto"/>
        </w:rPr>
      </w:pPr>
      <w:r>
        <w:rPr>
          <w:rFonts w:ascii="Arial" w:cs="Arial" w:eastAsia="Arial" w:hAnsi="Arial"/>
          <w:sz w:val="20"/>
          <w:szCs w:val="20"/>
          <w:color w:val="auto"/>
        </w:rPr>
        <w:t>This Annual Report on Form 10-K does not include an attestation report of the independent registered public accounting firm due to our filer status changing to non-accelerated filer and we again qualify for exemption as a smaller reporting company.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Insider Adoption or Termination of Trading Arrangements</w:t>
      </w:r>
    </w:p>
    <w:p>
      <w:pPr>
        <w:spacing w:after="0" w:line="237" w:lineRule="exact"/>
        <w:rPr>
          <w:sz w:val="20"/>
          <w:szCs w:val="20"/>
          <w:color w:val="auto"/>
        </w:rPr>
      </w:pPr>
    </w:p>
    <w:p>
      <w:pPr>
        <w:ind w:right="140" w:firstLine="491"/>
        <w:spacing w:after="0" w:line="259" w:lineRule="auto"/>
        <w:rPr>
          <w:sz w:val="20"/>
          <w:szCs w:val="20"/>
          <w:color w:val="auto"/>
        </w:rPr>
      </w:pPr>
      <w:r>
        <w:rPr>
          <w:rFonts w:ascii="Arial" w:cs="Arial" w:eastAsia="Arial" w:hAnsi="Arial"/>
          <w:sz w:val="20"/>
          <w:szCs w:val="20"/>
          <w:color w:val="auto"/>
        </w:rPr>
        <w:t>During the fiscal quarter ended December 31, 2025, none of our directors or officers informed us of the adoption or termination of a “Rule 10b5-1 trading arrangement” or “non-Rule 10b5-1 trading arrangement,” as those terms are defined in Item 408 under Regulation S-K, except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117475</wp:posOffset>
            </wp:positionV>
            <wp:extent cx="6472555" cy="9785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6472555" cy="978535"/>
                    </a:xfrm>
                    <a:prstGeom prst="rect">
                      <a:avLst/>
                    </a:prstGeom>
                    <a:noFill/>
                  </pic:spPr>
                </pic:pic>
              </a:graphicData>
            </a:graphic>
          </wp:anchor>
        </w:drawing>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Character of</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89"/>
              </w:rPr>
              <w:t>Aggregate Number of Shares</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89"/>
              </w:rPr>
              <w:t>of Common Stock to be</w:t>
            </w:r>
          </w:p>
        </w:tc>
        <w:tc>
          <w:tcPr>
            <w:tcW w:w="10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1300" w:type="dxa"/>
            <w:vAlign w:val="bottom"/>
          </w:tcPr>
          <w:p>
            <w:pPr>
              <w:jc w:val="center"/>
              <w:ind w:left="133"/>
              <w:spacing w:after="0"/>
              <w:rPr>
                <w:sz w:val="20"/>
                <w:szCs w:val="20"/>
                <w:color w:val="auto"/>
              </w:rPr>
            </w:pPr>
            <w:r>
              <w:rPr>
                <w:rFonts w:ascii="Arial" w:cs="Arial" w:eastAsia="Arial" w:hAnsi="Arial"/>
                <w:sz w:val="16"/>
                <w:szCs w:val="16"/>
                <w:b w:val="1"/>
                <w:bCs w:val="1"/>
                <w:color w:val="auto"/>
                <w:w w:val="92"/>
              </w:rPr>
              <w:t>Date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Trading</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or Sold Pursuant to</w:t>
            </w:r>
          </w:p>
        </w:tc>
        <w:tc>
          <w:tcPr>
            <w:tcW w:w="10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Material</w:t>
            </w:r>
          </w:p>
        </w:tc>
        <w:tc>
          <w:tcPr>
            <w:tcW w:w="940" w:type="dxa"/>
            <w:vAlign w:val="bottom"/>
          </w:tcPr>
          <w:p>
            <w:pPr>
              <w:jc w:val="center"/>
              <w:ind w:left="53"/>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1"/>
        </w:trPr>
        <w:tc>
          <w:tcPr>
            <w:tcW w:w="2440" w:type="dxa"/>
            <w:vAlign w:val="bottom"/>
          </w:tcPr>
          <w:p>
            <w:pPr>
              <w:ind w:left="840"/>
              <w:spacing w:after="0"/>
              <w:rPr>
                <w:sz w:val="20"/>
                <w:szCs w:val="20"/>
                <w:color w:val="auto"/>
              </w:rPr>
            </w:pPr>
            <w:r>
              <w:rPr>
                <w:rFonts w:ascii="Arial" w:cs="Arial" w:eastAsia="Arial" w:hAnsi="Arial"/>
                <w:sz w:val="16"/>
                <w:szCs w:val="16"/>
                <w:b w:val="1"/>
                <w:bCs w:val="1"/>
                <w:color w:val="auto"/>
              </w:rPr>
              <w:t>Name and Title</w:t>
            </w:r>
          </w:p>
        </w:tc>
        <w:tc>
          <w:tcPr>
            <w:tcW w:w="1300" w:type="dxa"/>
            <w:vAlign w:val="bottom"/>
          </w:tcPr>
          <w:p>
            <w:pPr>
              <w:jc w:val="center"/>
              <w:ind w:left="133"/>
              <w:spacing w:after="0"/>
              <w:rPr>
                <w:sz w:val="20"/>
                <w:szCs w:val="20"/>
                <w:color w:val="auto"/>
              </w:rPr>
            </w:pPr>
            <w:r>
              <w:rPr>
                <w:rFonts w:ascii="Arial" w:cs="Arial" w:eastAsia="Arial" w:hAnsi="Arial"/>
                <w:sz w:val="16"/>
                <w:szCs w:val="16"/>
                <w:b w:val="1"/>
                <w:bCs w:val="1"/>
                <w:color w:val="auto"/>
                <w:w w:val="92"/>
              </w:rPr>
              <w:t>Adopted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Arrangement (1)</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3"/>
              </w:rPr>
              <w:t>Trading Arrangement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Duration (2)</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Terms</w:t>
            </w:r>
          </w:p>
        </w:tc>
        <w:tc>
          <w:tcPr>
            <w:tcW w:w="940" w:type="dxa"/>
            <w:vAlign w:val="bottom"/>
          </w:tcPr>
          <w:p>
            <w:pPr>
              <w:jc w:val="center"/>
              <w:ind w:left="53"/>
              <w:spacing w:after="0"/>
              <w:rPr>
                <w:sz w:val="20"/>
                <w:szCs w:val="20"/>
                <w:color w:val="auto"/>
              </w:rPr>
            </w:pPr>
            <w:r>
              <w:rPr>
                <w:rFonts w:ascii="Arial" w:cs="Arial" w:eastAsia="Arial" w:hAnsi="Arial"/>
                <w:sz w:val="16"/>
                <w:szCs w:val="16"/>
                <w:b w:val="1"/>
                <w:bCs w:val="1"/>
                <w:color w:val="auto"/>
                <w:w w:val="92"/>
              </w:rPr>
              <w:t>Terminated</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20"/>
                <w:szCs w:val="20"/>
                <w:color w:val="auto"/>
              </w:rPr>
              <w:t>Adam Crystal,</w:t>
            </w:r>
          </w:p>
        </w:tc>
        <w:tc>
          <w:tcPr>
            <w:tcW w:w="1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20"/>
                <w:szCs w:val="20"/>
                <w:color w:val="auto"/>
                <w:w w:val="91"/>
              </w:rPr>
              <w:t>Rule 10b5-1</w:t>
            </w:r>
          </w:p>
        </w:tc>
        <w:tc>
          <w:tcPr>
            <w:tcW w:w="2180" w:type="dxa"/>
            <w:vAlign w:val="bottom"/>
            <w:vMerge w:val="restart"/>
          </w:tcPr>
          <w:p>
            <w:pPr>
              <w:jc w:val="center"/>
              <w:spacing w:after="0"/>
              <w:rPr>
                <w:sz w:val="20"/>
                <w:szCs w:val="20"/>
                <w:color w:val="auto"/>
              </w:rPr>
            </w:pPr>
            <w:r>
              <w:rPr>
                <w:rFonts w:ascii="Arial" w:cs="Arial" w:eastAsia="Arial" w:hAnsi="Arial"/>
                <w:sz w:val="20"/>
                <w:szCs w:val="20"/>
                <w:color w:val="auto"/>
                <w:w w:val="88"/>
              </w:rPr>
              <w:t>Up to 355,506 shares to</w:t>
            </w:r>
          </w:p>
        </w:tc>
        <w:tc>
          <w:tcPr>
            <w:tcW w:w="1040" w:type="dxa"/>
            <w:vAlign w:val="bottom"/>
            <w:vMerge w:val="restart"/>
          </w:tcPr>
          <w:p>
            <w:pPr>
              <w:jc w:val="right"/>
              <w:ind w:right="10"/>
              <w:spacing w:after="0"/>
              <w:rPr>
                <w:sz w:val="20"/>
                <w:szCs w:val="20"/>
                <w:color w:val="auto"/>
              </w:rPr>
            </w:pPr>
            <w:r>
              <w:rPr>
                <w:rFonts w:ascii="Arial" w:cs="Arial" w:eastAsia="Arial" w:hAnsi="Arial"/>
                <w:sz w:val="20"/>
                <w:szCs w:val="20"/>
                <w:color w:val="auto"/>
                <w:w w:val="91"/>
              </w:rPr>
              <w:t>10/31/2026</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rPr>
              <w:t>N/A</w:t>
            </w:r>
          </w:p>
        </w:tc>
        <w:tc>
          <w:tcPr>
            <w:tcW w:w="940" w:type="dxa"/>
            <w:vAlign w:val="bottom"/>
            <w:vMerge w:val="restart"/>
          </w:tcPr>
          <w:p>
            <w:pPr>
              <w:jc w:val="center"/>
              <w:ind w:left="73"/>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07"/>
        </w:trPr>
        <w:tc>
          <w:tcPr>
            <w:tcW w:w="2440" w:type="dxa"/>
            <w:vAlign w:val="bottom"/>
          </w:tcPr>
          <w:p>
            <w:pPr>
              <w:spacing w:after="0" w:line="207" w:lineRule="exact"/>
              <w:rPr>
                <w:sz w:val="20"/>
                <w:szCs w:val="20"/>
                <w:color w:val="auto"/>
              </w:rPr>
            </w:pPr>
            <w:r>
              <w:rPr>
                <w:rFonts w:ascii="Arial" w:cs="Arial" w:eastAsia="Arial" w:hAnsi="Arial"/>
                <w:sz w:val="20"/>
                <w:szCs w:val="20"/>
                <w:i w:val="1"/>
                <w:iCs w:val="1"/>
                <w:color w:val="auto"/>
              </w:rPr>
              <w:t>President of Research and</w:t>
            </w:r>
          </w:p>
        </w:tc>
        <w:tc>
          <w:tcPr>
            <w:tcW w:w="1300" w:type="dxa"/>
            <w:vAlign w:val="bottom"/>
          </w:tcPr>
          <w:p>
            <w:pPr>
              <w:jc w:val="center"/>
              <w:ind w:left="133"/>
              <w:spacing w:after="0" w:line="207" w:lineRule="exact"/>
              <w:rPr>
                <w:sz w:val="20"/>
                <w:szCs w:val="20"/>
                <w:color w:val="auto"/>
              </w:rPr>
            </w:pPr>
            <w:r>
              <w:rPr>
                <w:rFonts w:ascii="Arial" w:cs="Arial" w:eastAsia="Arial" w:hAnsi="Arial"/>
                <w:sz w:val="20"/>
                <w:szCs w:val="20"/>
                <w:color w:val="auto"/>
                <w:w w:val="91"/>
              </w:rPr>
              <w:t>10/27/2025</w:t>
            </w:r>
          </w:p>
        </w:tc>
        <w:tc>
          <w:tcPr>
            <w:tcW w:w="1300" w:type="dxa"/>
            <w:vAlign w:val="bottom"/>
          </w:tcPr>
          <w:p>
            <w:pPr>
              <w:jc w:val="center"/>
              <w:spacing w:after="0" w:line="207" w:lineRule="exact"/>
              <w:rPr>
                <w:sz w:val="20"/>
                <w:szCs w:val="20"/>
                <w:color w:val="auto"/>
              </w:rPr>
            </w:pPr>
            <w:r>
              <w:rPr>
                <w:rFonts w:ascii="Arial" w:cs="Arial" w:eastAsia="Arial" w:hAnsi="Arial"/>
                <w:sz w:val="20"/>
                <w:szCs w:val="20"/>
                <w:color w:val="auto"/>
                <w:w w:val="91"/>
              </w:rPr>
              <w:t>Trading</w:t>
            </w:r>
          </w:p>
        </w:tc>
        <w:tc>
          <w:tcPr>
            <w:tcW w:w="2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40" w:type="dxa"/>
            <w:vAlign w:val="bottom"/>
            <w:vMerge w:val="restart"/>
          </w:tcPr>
          <w:p>
            <w:pPr>
              <w:spacing w:after="0"/>
              <w:rPr>
                <w:sz w:val="20"/>
                <w:szCs w:val="20"/>
                <w:color w:val="auto"/>
              </w:rPr>
            </w:pPr>
            <w:r>
              <w:rPr>
                <w:rFonts w:ascii="Arial" w:cs="Arial" w:eastAsia="Arial" w:hAnsi="Arial"/>
                <w:sz w:val="20"/>
                <w:szCs w:val="20"/>
                <w:i w:val="1"/>
                <w:iCs w:val="1"/>
                <w:color w:val="auto"/>
              </w:rPr>
              <w:t>Development</w:t>
            </w:r>
          </w:p>
        </w:tc>
        <w:tc>
          <w:tcPr>
            <w:tcW w:w="1300" w:type="dxa"/>
            <w:vAlign w:val="bottom"/>
          </w:tcPr>
          <w:p>
            <w:pPr>
              <w:spacing w:after="0"/>
              <w:rPr>
                <w:sz w:val="19"/>
                <w:szCs w:val="19"/>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color w:val="auto"/>
                <w:w w:val="91"/>
              </w:rPr>
              <w:t>Arrangement</w:t>
            </w:r>
          </w:p>
        </w:tc>
        <w:tc>
          <w:tcPr>
            <w:tcW w:w="2180" w:type="dxa"/>
            <w:vAlign w:val="bottom"/>
          </w:tcPr>
          <w:p>
            <w:pPr>
              <w:jc w:val="center"/>
              <w:spacing w:after="0"/>
              <w:rPr>
                <w:sz w:val="20"/>
                <w:szCs w:val="20"/>
                <w:color w:val="auto"/>
              </w:rPr>
            </w:pPr>
            <w:r>
              <w:rPr>
                <w:rFonts w:ascii="Arial" w:cs="Arial" w:eastAsia="Arial" w:hAnsi="Arial"/>
                <w:sz w:val="20"/>
                <w:szCs w:val="20"/>
                <w:color w:val="auto"/>
                <w:w w:val="86"/>
              </w:rPr>
              <w:t>be sold</w:t>
            </w: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4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2240" w:h="15840" w:orient="portrait"/>
          <w:cols w:equalWidth="0" w:num="1">
            <w:col w:w="10160"/>
          </w:cols>
          <w:pgMar w:left="1000" w:top="1056" w:right="1080" w:bottom="210" w:gutter="0" w:footer="0" w:header="0"/>
        </w:sectPr>
      </w:pPr>
    </w:p>
    <w:p>
      <w:pPr>
        <w:jc w:val="center"/>
        <w:spacing w:after="0"/>
        <w:rPr>
          <w:sz w:val="20"/>
          <w:szCs w:val="20"/>
          <w:color w:val="auto"/>
        </w:rPr>
      </w:pPr>
      <w:r>
        <w:rPr>
          <w:rFonts w:ascii="Arial" w:cs="Arial" w:eastAsia="Arial" w:hAnsi="Arial"/>
          <w:sz w:val="17"/>
          <w:szCs w:val="17"/>
          <w:color w:val="auto"/>
        </w:rPr>
        <w:t>98</w:t>
      </w:r>
    </w:p>
    <w:p>
      <w:pPr>
        <w:sectPr>
          <w:pgSz w:w="12240" w:h="15840" w:orient="portrait"/>
          <w:cols w:equalWidth="0" w:num="1">
            <w:col w:w="10160"/>
          </w:cols>
          <w:pgMar w:left="1000" w:top="1056" w:right="1080" w:bottom="210" w:gutter="0" w:footer="0" w:header="0"/>
          <w:type w:val="continuous"/>
        </w:sectPr>
      </w:pPr>
    </w:p>
    <w:bookmarkStart w:id="102" w:name="page103"/>
    <w:bookmarkEnd w:id="102"/>
    <w:p>
      <w:pPr>
        <w:ind w:left="500" w:right="60" w:hanging="2"/>
        <w:spacing w:after="0" w:line="277" w:lineRule="auto"/>
        <w:tabs>
          <w:tab w:leader="none" w:pos="78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trading arrangement, identified as a “Rule 10b5-1 Trading Arrangement” is intended to satisfy the affirmative defense of Rule 10b5-1(c).</w:t>
      </w:r>
    </w:p>
    <w:p>
      <w:pPr>
        <w:spacing w:after="0" w:line="48" w:lineRule="exact"/>
        <w:rPr>
          <w:rFonts w:ascii="Arial" w:cs="Arial" w:eastAsia="Arial" w:hAnsi="Arial"/>
          <w:sz w:val="20"/>
          <w:szCs w:val="20"/>
          <w:color w:val="auto"/>
        </w:rPr>
      </w:pPr>
    </w:p>
    <w:p>
      <w:pPr>
        <w:ind w:left="500" w:hanging="2"/>
        <w:spacing w:after="0" w:line="252" w:lineRule="auto"/>
        <w:tabs>
          <w:tab w:leader="none" w:pos="78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This trading arrangement permits transactions through and including the earlier to occur of (a) the completion of all purchases or sales or (b) the date listed in the table. This trading arrangement, identified as a “Rule 10b5-1 Trading Arrangement” only permits transactions upon expiration of the applicable mandatory cooling-off period under Rule 10b5-1.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10020"/>
          </w:cols>
          <w:pgMar w:left="1000" w:top="1060" w:right="12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99</w:t>
      </w:r>
    </w:p>
    <w:p>
      <w:pPr>
        <w:sectPr>
          <w:pgSz w:w="12240" w:h="15840" w:orient="portrait"/>
          <w:cols w:equalWidth="0" w:num="1">
            <w:col w:w="10020"/>
          </w:cols>
          <w:pgMar w:left="1000" w:top="1060" w:right="1220" w:bottom="210" w:gutter="0" w:footer="0" w:header="0"/>
          <w:type w:val="continuous"/>
        </w:sectPr>
      </w:pPr>
    </w:p>
    <w:bookmarkStart w:id="103" w:name="page104"/>
    <w:bookmarkEnd w:id="103"/>
    <w:p>
      <w:pPr>
        <w:jc w:val="center"/>
        <w:ind w:right="-59"/>
        <w:spacing w:after="0"/>
        <w:rPr>
          <w:sz w:val="20"/>
          <w:szCs w:val="20"/>
          <w:color w:val="auto"/>
        </w:rPr>
      </w:pPr>
      <w:r>
        <w:rPr>
          <w:rFonts w:ascii="Arial" w:cs="Arial" w:eastAsia="Arial" w:hAnsi="Arial"/>
          <w:sz w:val="20"/>
          <w:szCs w:val="20"/>
          <w:b w:val="1"/>
          <w:bCs w:val="1"/>
          <w:color w:val="auto"/>
        </w:rPr>
        <w:t>PART III</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4" w:lineRule="exact"/>
        <w:rPr>
          <w:sz w:val="20"/>
          <w:szCs w:val="20"/>
          <w:color w:val="auto"/>
        </w:rPr>
      </w:pPr>
    </w:p>
    <w:p>
      <w:pPr>
        <w:ind w:right="60" w:firstLine="491"/>
        <w:spacing w:after="0" w:line="300" w:lineRule="auto"/>
        <w:rPr>
          <w:sz w:val="20"/>
          <w:szCs w:val="20"/>
          <w:color w:val="auto"/>
        </w:rPr>
      </w:pPr>
      <w:r>
        <w:rPr>
          <w:rFonts w:ascii="Arial" w:cs="Arial" w:eastAsia="Arial" w:hAnsi="Arial"/>
          <w:sz w:val="18"/>
          <w:szCs w:val="18"/>
          <w:color w:val="auto"/>
        </w:rPr>
        <w:t>Except as set forth below, the information required by this Item 10 will be included in our definitive proxy statement to be filed with the Securities and Exchange Commission, or SEC, within 120 days after the end of the fiscal year ended December 31, 2025, with respect to our 2025 Annual Meeting of Stockholders and is incorporated herein by reference.</w:t>
      </w:r>
    </w:p>
    <w:p>
      <w:pPr>
        <w:spacing w:after="0" w:line="154" w:lineRule="exact"/>
        <w:rPr>
          <w:sz w:val="20"/>
          <w:szCs w:val="20"/>
          <w:color w:val="auto"/>
        </w:rPr>
      </w:pPr>
    </w:p>
    <w:p>
      <w:pPr>
        <w:ind w:firstLine="491"/>
        <w:spacing w:after="0" w:line="280" w:lineRule="auto"/>
        <w:rPr>
          <w:sz w:val="20"/>
          <w:szCs w:val="20"/>
          <w:color w:val="auto"/>
        </w:rPr>
      </w:pPr>
      <w:r>
        <w:rPr>
          <w:rFonts w:ascii="Arial" w:cs="Arial" w:eastAsia="Arial" w:hAnsi="Arial"/>
          <w:sz w:val="18"/>
          <w:szCs w:val="18"/>
          <w:color w:val="auto"/>
        </w:rPr>
        <w:t>We have adopted a Code of Conduct that applies to all of our directors, officers and employees, including our principal executive officer and principal financial officer. The Code of Conduct is posted on our website at https://ir.tangotx.com/corporate-governance/governance-overview. We intend to satisfy the disclosure requirement under Item 5.05 of Form 8 -K regarding an amendment to, or waiver from, a provision of this Code of Conduct by posting such information on our website, at the address and location specified above and, to the extent required by the listing standards of The Nasdaq Global Stock Market, by filing a Current Report on Form 8-K with the SEC, disclosing such information.</w:t>
      </w:r>
    </w:p>
    <w:p>
      <w:pPr>
        <w:spacing w:after="0" w:line="172" w:lineRule="exact"/>
        <w:rPr>
          <w:sz w:val="20"/>
          <w:szCs w:val="20"/>
          <w:color w:val="auto"/>
        </w:rPr>
      </w:pPr>
    </w:p>
    <w:p>
      <w:pPr>
        <w:ind w:right="140" w:firstLine="491"/>
        <w:spacing w:after="0" w:line="248" w:lineRule="auto"/>
        <w:rPr>
          <w:sz w:val="20"/>
          <w:szCs w:val="20"/>
          <w:color w:val="auto"/>
        </w:rPr>
      </w:pPr>
      <w:r>
        <w:rPr>
          <w:rFonts w:ascii="Arial" w:cs="Arial" w:eastAsia="Arial" w:hAnsi="Arial"/>
          <w:sz w:val="20"/>
          <w:szCs w:val="20"/>
          <w:color w:val="auto"/>
        </w:rPr>
        <w:t>Information concerning our policies and procedures governing the purchase and sale or other disposition of Company securities by directors, officers and employees, as required by this Item, is set forth under the caption “Policy on Trading, Pledging and Hedging of Company Stock” in the definitive proxy materials that we will file with respect to our 2025 Annual Meeting of Shareholders and is incorporated herein by reference. Our Insider Trading Policy is filed as Exhibit 19 to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4" w:lineRule="exact"/>
        <w:rPr>
          <w:sz w:val="20"/>
          <w:szCs w:val="20"/>
          <w:color w:val="auto"/>
        </w:rPr>
      </w:pPr>
    </w:p>
    <w:p>
      <w:pPr>
        <w:ind w:right="300" w:firstLine="491"/>
        <w:spacing w:after="0" w:line="258" w:lineRule="auto"/>
        <w:rPr>
          <w:sz w:val="20"/>
          <w:szCs w:val="20"/>
          <w:color w:val="auto"/>
        </w:rPr>
      </w:pPr>
      <w:r>
        <w:rPr>
          <w:rFonts w:ascii="Arial" w:cs="Arial" w:eastAsia="Arial" w:hAnsi="Arial"/>
          <w:sz w:val="20"/>
          <w:szCs w:val="20"/>
          <w:color w:val="auto"/>
        </w:rPr>
        <w:t>The information required by this Item 11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55" w:lineRule="exact"/>
        <w:rPr>
          <w:sz w:val="20"/>
          <w:szCs w:val="20"/>
          <w:color w:val="auto"/>
        </w:rPr>
      </w:pPr>
    </w:p>
    <w:p>
      <w:pPr>
        <w:ind w:right="300" w:firstLine="491"/>
        <w:spacing w:after="0" w:line="259" w:lineRule="auto"/>
        <w:rPr>
          <w:sz w:val="20"/>
          <w:szCs w:val="20"/>
          <w:color w:val="auto"/>
        </w:rPr>
      </w:pPr>
      <w:r>
        <w:rPr>
          <w:rFonts w:ascii="Arial" w:cs="Arial" w:eastAsia="Arial" w:hAnsi="Arial"/>
          <w:sz w:val="20"/>
          <w:szCs w:val="20"/>
          <w:color w:val="auto"/>
        </w:rPr>
        <w:t>The information required by this Item 12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3" w:lineRule="exact"/>
        <w:rPr>
          <w:sz w:val="20"/>
          <w:szCs w:val="20"/>
          <w:color w:val="auto"/>
        </w:rPr>
      </w:pPr>
    </w:p>
    <w:p>
      <w:pPr>
        <w:ind w:right="300" w:firstLine="491"/>
        <w:spacing w:after="0" w:line="259" w:lineRule="auto"/>
        <w:rPr>
          <w:sz w:val="20"/>
          <w:szCs w:val="20"/>
          <w:color w:val="auto"/>
        </w:rPr>
      </w:pPr>
      <w:r>
        <w:rPr>
          <w:rFonts w:ascii="Arial" w:cs="Arial" w:eastAsia="Arial" w:hAnsi="Arial"/>
          <w:sz w:val="20"/>
          <w:szCs w:val="20"/>
          <w:color w:val="auto"/>
        </w:rPr>
        <w:t>The information required by this Item 13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independent public accounting firm is PricewaterhouseCoopers LLP, Boston, Massachusetts, PCAOB Auditor ID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238.</w:t>
      </w:r>
    </w:p>
    <w:p>
      <w:pPr>
        <w:spacing w:after="0" w:line="212" w:lineRule="exact"/>
        <w:rPr>
          <w:sz w:val="20"/>
          <w:szCs w:val="20"/>
          <w:color w:val="auto"/>
        </w:rPr>
      </w:pPr>
    </w:p>
    <w:p>
      <w:pPr>
        <w:ind w:right="300" w:firstLine="491"/>
        <w:spacing w:after="0" w:line="258" w:lineRule="auto"/>
        <w:rPr>
          <w:sz w:val="20"/>
          <w:szCs w:val="20"/>
          <w:color w:val="auto"/>
        </w:rPr>
      </w:pPr>
      <w:r>
        <w:rPr>
          <w:rFonts w:ascii="Arial" w:cs="Arial" w:eastAsia="Arial" w:hAnsi="Arial"/>
          <w:sz w:val="20"/>
          <w:szCs w:val="20"/>
          <w:color w:val="auto"/>
        </w:rPr>
        <w:t>The information required by this Item 14 will be included in our definitive proxy statement to be filed with the SEC, within 120 days after the end of the fiscal year ended December 31, 2025, with respect to our 2026 Annual Meeting of Stockholders and is incorporated herein by reference.</w:t>
      </w:r>
    </w:p>
    <w:p>
      <w:pPr>
        <w:sectPr>
          <w:pgSz w:w="12240" w:h="15840" w:orient="portrait"/>
          <w:cols w:equalWidth="0" w:num="1">
            <w:col w:w="10100"/>
          </w:cols>
          <w:pgMar w:left="1000" w:top="1056" w:right="114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ectPr>
          <w:pgSz w:w="12240" w:h="15840" w:orient="portrait"/>
          <w:cols w:equalWidth="0" w:num="1">
            <w:col w:w="10100"/>
          </w:cols>
          <w:pgMar w:left="1000" w:top="1056" w:right="1140" w:bottom="210" w:gutter="0" w:footer="0" w:header="0"/>
          <w:type w:val="continuous"/>
        </w:sectPr>
      </w:pPr>
    </w:p>
    <w:bookmarkStart w:id="104" w:name="page105"/>
    <w:bookmarkEnd w:id="104"/>
    <w:p>
      <w:pPr>
        <w:jc w:val="center"/>
        <w:ind w:right="-79"/>
        <w:spacing w:after="0"/>
        <w:rPr>
          <w:sz w:val="20"/>
          <w:szCs w:val="20"/>
          <w:color w:val="auto"/>
        </w:rPr>
      </w:pPr>
      <w:r>
        <w:rPr>
          <w:rFonts w:ascii="Arial" w:cs="Arial" w:eastAsia="Arial" w:hAnsi="Arial"/>
          <w:sz w:val="20"/>
          <w:szCs w:val="20"/>
          <w:b w:val="1"/>
          <w:bCs w:val="1"/>
          <w:color w:val="auto"/>
        </w:rPr>
        <w:t>PART IV</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(1) Financial Statements</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Index to the Consolidated Financial Statements section beginning on page F-1 of this Annual Report on Form</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10-K.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(2) Financial Statement Schedules</w:t>
      </w:r>
    </w:p>
    <w:p>
      <w:pPr>
        <w:spacing w:after="0" w:line="240" w:lineRule="exact"/>
        <w:rPr>
          <w:sz w:val="20"/>
          <w:szCs w:val="20"/>
          <w:color w:val="auto"/>
        </w:rPr>
      </w:pPr>
    </w:p>
    <w:p>
      <w:pPr>
        <w:ind w:firstLine="491"/>
        <w:spacing w:after="0" w:line="277" w:lineRule="auto"/>
        <w:rPr>
          <w:sz w:val="20"/>
          <w:szCs w:val="20"/>
          <w:color w:val="auto"/>
        </w:rPr>
      </w:pPr>
      <w:r>
        <w:rPr>
          <w:rFonts w:ascii="Arial" w:cs="Arial" w:eastAsia="Arial" w:hAnsi="Arial"/>
          <w:sz w:val="20"/>
          <w:szCs w:val="20"/>
          <w:color w:val="auto"/>
        </w:rPr>
        <w:t>All financial statement schedules have been omitted as they are not required, not applicable, or the required information is included in the financial statements or notes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(3) Exhibits</w:t>
      </w:r>
    </w:p>
    <w:p>
      <w:pPr>
        <w:spacing w:after="0" w:line="240" w:lineRule="exact"/>
        <w:rPr>
          <w:sz w:val="20"/>
          <w:szCs w:val="20"/>
          <w:color w:val="auto"/>
        </w:rPr>
      </w:pPr>
    </w:p>
    <w:p>
      <w:pPr>
        <w:ind w:right="140" w:firstLine="491"/>
        <w:spacing w:after="0" w:line="277" w:lineRule="auto"/>
        <w:rPr>
          <w:sz w:val="20"/>
          <w:szCs w:val="20"/>
          <w:color w:val="auto"/>
        </w:rPr>
      </w:pPr>
      <w:r>
        <w:rPr>
          <w:rFonts w:ascii="Arial" w:cs="Arial" w:eastAsia="Arial" w:hAnsi="Arial"/>
          <w:sz w:val="20"/>
          <w:szCs w:val="20"/>
          <w:color w:val="auto"/>
        </w:rPr>
        <w:t>The exhibits required by Item 601 of Regulation S-K and Item 15(b) of this Annual Report on Form 10-K are listed in the Exhibit Index below.</w:t>
      </w:r>
    </w:p>
    <w:p>
      <w:pPr>
        <w:sectPr>
          <w:pgSz w:w="12240" w:h="15840" w:orient="portrait"/>
          <w:cols w:equalWidth="0" w:num="1">
            <w:col w:w="10080"/>
          </w:cols>
          <w:pgMar w:left="1000" w:top="1056" w:right="116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101</w:t>
      </w:r>
    </w:p>
    <w:p>
      <w:pPr>
        <w:sectPr>
          <w:pgSz w:w="12240" w:h="15840" w:orient="portrait"/>
          <w:cols w:equalWidth="0" w:num="1">
            <w:col w:w="10080"/>
          </w:cols>
          <w:pgMar w:left="1000" w:top="1056" w:right="1160" w:bottom="21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75"/>
        </w:trPr>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340" w:type="dxa"/>
            <w:vAlign w:val="bottom"/>
            <w:gridSpan w:val="6"/>
          </w:tcPr>
          <w:p>
            <w:pPr>
              <w:ind w:left="168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435"/>
        </w:trPr>
        <w:tc>
          <w:tcPr>
            <w:tcW w:w="1120" w:type="dxa"/>
            <w:vAlign w:val="bottom"/>
          </w:tcPr>
          <w:p>
            <w:pPr>
              <w:ind w:left="300"/>
              <w:spacing w:after="0"/>
              <w:rPr>
                <w:sz w:val="20"/>
                <w:szCs w:val="20"/>
                <w:color w:val="auto"/>
              </w:rPr>
            </w:pPr>
            <w:r>
              <w:rPr>
                <w:rFonts w:ascii="Arial" w:cs="Arial" w:eastAsia="Arial" w:hAnsi="Arial"/>
                <w:sz w:val="16"/>
                <w:szCs w:val="16"/>
                <w:b w:val="1"/>
                <w:bCs w:val="1"/>
                <w:color w:val="auto"/>
              </w:rPr>
              <w:t>Exhibit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340" w:type="dxa"/>
            <w:vAlign w:val="bottom"/>
            <w:tcBorders>
              <w:bottom w:val="single" w:sz="8" w:color="auto"/>
            </w:tcBorders>
            <w:gridSpan w:val="6"/>
          </w:tcPr>
          <w:p>
            <w:pPr>
              <w:ind w:left="25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r>
              <w:rPr>
                <w:rFonts w:ascii="Arial" w:cs="Arial" w:eastAsia="Arial" w:hAnsi="Arial"/>
                <w:sz w:val="20"/>
                <w:szCs w:val="20"/>
                <w:color w:val="auto"/>
              </w:rPr>
              <w:t>3.1</w:t>
            </w:r>
          </w:p>
        </w:tc>
        <w:tc>
          <w:tcPr>
            <w:tcW w:w="200" w:type="dxa"/>
            <w:vAlign w:val="bottom"/>
          </w:tcPr>
          <w:p>
            <w:pPr>
              <w:spacing w:after="0"/>
              <w:rPr>
                <w:sz w:val="20"/>
                <w:szCs w:val="20"/>
                <w:color w:val="auto"/>
              </w:rPr>
            </w:pPr>
          </w:p>
        </w:tc>
        <w:tc>
          <w:tcPr>
            <w:tcW w:w="8100" w:type="dxa"/>
            <w:vAlign w:val="bottom"/>
            <w:gridSpan w:val="5"/>
          </w:tcPr>
          <w:p>
            <w:pPr>
              <w:ind w:left="20"/>
              <w:spacing w:after="0"/>
              <w:rPr>
                <w:sz w:val="20"/>
                <w:szCs w:val="20"/>
                <w:color w:val="auto"/>
              </w:rPr>
            </w:pPr>
            <w:r>
              <w:rPr>
                <w:rFonts w:ascii="Arial" w:cs="Arial" w:eastAsia="Arial" w:hAnsi="Arial"/>
                <w:sz w:val="20"/>
                <w:szCs w:val="20"/>
                <w:color w:val="0000FF"/>
                <w:highlight w:val="white"/>
                <w:w w:val="90"/>
              </w:rPr>
              <w:t>Second Amended and Restated Certificate of Incorporation of Tango Therapeutics, Inc., as amended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20" w:type="dxa"/>
            <w:vAlign w:val="bottom"/>
            <w:gridSpan w:val="4"/>
            <w:vMerge w:val="restart"/>
          </w:tcPr>
          <w:p>
            <w:pPr>
              <w:spacing w:after="0"/>
              <w:rPr>
                <w:sz w:val="20"/>
                <w:szCs w:val="20"/>
                <w:color w:val="auto"/>
              </w:rPr>
            </w:pPr>
            <w:r>
              <w:rPr>
                <w:rFonts w:ascii="Arial" w:cs="Arial" w:eastAsia="Arial" w:hAnsi="Arial"/>
                <w:sz w:val="20"/>
                <w:szCs w:val="20"/>
                <w:color w:val="0000FF"/>
                <w:highlight w:val="white"/>
                <w:w w:val="92"/>
              </w:rPr>
              <w:t>by reference to Exhibit 3.1 to the Registrant’s Quarterly Report on Form 10-Q filed with the</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20"/>
              <w:spacing w:after="0" w:line="209" w:lineRule="exact"/>
              <w:rPr>
                <w:sz w:val="20"/>
                <w:szCs w:val="20"/>
                <w:color w:val="auto"/>
              </w:rPr>
            </w:pPr>
            <w:r>
              <w:rPr>
                <w:rFonts w:ascii="Arial" w:cs="Arial" w:eastAsia="Arial" w:hAnsi="Arial"/>
                <w:sz w:val="20"/>
                <w:szCs w:val="20"/>
                <w:color w:val="0000FF"/>
                <w:highlight w:val="white"/>
                <w:w w:val="93"/>
              </w:rPr>
              <w:t>(incorporated</w:t>
            </w:r>
          </w:p>
        </w:tc>
        <w:tc>
          <w:tcPr>
            <w:tcW w:w="74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20"/>
                <w:szCs w:val="20"/>
                <w:color w:val="0000FF"/>
                <w:highlight w:val="white"/>
                <w:w w:val="80"/>
              </w:rPr>
              <w:t>SEC on August</w:t>
            </w:r>
          </w:p>
        </w:tc>
        <w:tc>
          <w:tcPr>
            <w:tcW w:w="360" w:type="dxa"/>
            <w:vAlign w:val="bottom"/>
            <w:vMerge w:val="restart"/>
          </w:tcPr>
          <w:p>
            <w:pPr>
              <w:jc w:val="right"/>
              <w:spacing w:after="0"/>
              <w:rPr>
                <w:sz w:val="20"/>
                <w:szCs w:val="20"/>
                <w:color w:val="auto"/>
              </w:rPr>
            </w:pPr>
            <w:r>
              <w:rPr>
                <w:rFonts w:ascii="Arial" w:cs="Arial" w:eastAsia="Arial" w:hAnsi="Arial"/>
                <w:sz w:val="20"/>
                <w:szCs w:val="20"/>
                <w:color w:val="0000FF"/>
                <w:highlight w:val="white"/>
              </w:rPr>
              <w:t>7,</w:t>
            </w:r>
          </w:p>
        </w:tc>
        <w:tc>
          <w:tcPr>
            <w:tcW w:w="5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20" w:type="dxa"/>
            <w:vAlign w:val="bottom"/>
            <w:vMerge w:val="restart"/>
          </w:tcPr>
          <w:p>
            <w:pPr>
              <w:spacing w:after="0"/>
              <w:rPr>
                <w:sz w:val="20"/>
                <w:szCs w:val="20"/>
                <w:color w:val="auto"/>
              </w:rPr>
            </w:pPr>
            <w:r>
              <w:rPr>
                <w:rFonts w:ascii="Arial" w:cs="Arial" w:eastAsia="Arial" w:hAnsi="Arial"/>
                <w:sz w:val="20"/>
                <w:szCs w:val="20"/>
                <w:color w:val="auto"/>
              </w:rPr>
              <w:t>3.2</w:t>
            </w: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5660" w:type="dxa"/>
            <w:vAlign w:val="bottom"/>
          </w:tcPr>
          <w:p>
            <w:pPr>
              <w:jc w:val="right"/>
              <w:ind w:right="5047"/>
              <w:spacing w:after="0" w:line="211" w:lineRule="exact"/>
              <w:rPr>
                <w:sz w:val="20"/>
                <w:szCs w:val="20"/>
                <w:color w:val="auto"/>
              </w:rPr>
            </w:pPr>
            <w:r>
              <w:rPr>
                <w:rFonts w:ascii="Arial" w:cs="Arial" w:eastAsia="Arial" w:hAnsi="Arial"/>
                <w:sz w:val="20"/>
                <w:szCs w:val="20"/>
                <w:color w:val="0000FF"/>
                <w:w w:val="88"/>
              </w:rPr>
              <w:t>2024).</w:t>
            </w:r>
          </w:p>
        </w:tc>
        <w:tc>
          <w:tcPr>
            <w:tcW w:w="1400" w:type="dxa"/>
            <w:vAlign w:val="bottom"/>
            <w:gridSpan w:val="2"/>
          </w:tcPr>
          <w:p>
            <w:pPr>
              <w:spacing w:after="0"/>
              <w:rPr>
                <w:sz w:val="18"/>
                <w:szCs w:val="18"/>
                <w:color w:val="auto"/>
              </w:rPr>
            </w:pPr>
          </w:p>
        </w:tc>
        <w:tc>
          <w:tcPr>
            <w:tcW w:w="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highlight w:val="white"/>
                <w:w w:val="91"/>
              </w:rPr>
              <w:t>Certificate of Amendment to the Second Amended and Restated Certificate of Incorporation of the Registrant</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20"/>
                <w:szCs w:val="20"/>
                <w:color w:val="0000FF"/>
                <w:highlight w:val="white"/>
                <w:w w:val="93"/>
              </w:rPr>
              <w:t>(incorporated</w:t>
            </w:r>
          </w:p>
        </w:tc>
        <w:tc>
          <w:tcPr>
            <w:tcW w:w="7560" w:type="dxa"/>
            <w:vAlign w:val="bottom"/>
            <w:gridSpan w:val="6"/>
          </w:tcPr>
          <w:p>
            <w:pPr>
              <w:spacing w:after="0"/>
              <w:rPr>
                <w:sz w:val="20"/>
                <w:szCs w:val="20"/>
                <w:color w:val="auto"/>
              </w:rPr>
            </w:pPr>
            <w:r>
              <w:rPr>
                <w:rFonts w:ascii="Arial" w:cs="Arial" w:eastAsia="Arial" w:hAnsi="Arial"/>
                <w:sz w:val="20"/>
                <w:szCs w:val="20"/>
                <w:color w:val="0000FF"/>
                <w:highlight w:val="white"/>
                <w:w w:val="92"/>
              </w:rPr>
              <w:t>by reference to Exhibit 3.1 to the Registrant's Current Report on Form 8-K filed with the SEC</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vMerge w:val="restart"/>
          </w:tcPr>
          <w:p>
            <w:pPr>
              <w:ind w:left="20"/>
              <w:spacing w:after="0"/>
              <w:rPr>
                <w:sz w:val="20"/>
                <w:szCs w:val="20"/>
                <w:color w:val="auto"/>
              </w:rPr>
            </w:pPr>
            <w:r>
              <w:rPr>
                <w:rFonts w:ascii="Arial" w:cs="Arial" w:eastAsia="Arial" w:hAnsi="Arial"/>
                <w:sz w:val="20"/>
                <w:szCs w:val="20"/>
                <w:color w:val="0000FF"/>
                <w:highlight w:val="white"/>
                <w:w w:val="89"/>
              </w:rPr>
              <w:t>on June 6,</w:t>
            </w: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restart"/>
          </w:tcPr>
          <w:p>
            <w:pPr>
              <w:spacing w:after="0"/>
              <w:rPr>
                <w:sz w:val="20"/>
                <w:szCs w:val="20"/>
                <w:color w:val="auto"/>
              </w:rPr>
            </w:pPr>
            <w:r>
              <w:rPr>
                <w:rFonts w:ascii="Arial" w:cs="Arial" w:eastAsia="Arial" w:hAnsi="Arial"/>
                <w:sz w:val="20"/>
                <w:szCs w:val="20"/>
                <w:color w:val="auto"/>
              </w:rPr>
              <w:t>3.3</w:t>
            </w: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280" w:type="dxa"/>
            <w:vAlign w:val="bottom"/>
            <w:gridSpan w:val="3"/>
          </w:tcPr>
          <w:p>
            <w:pPr>
              <w:spacing w:after="0" w:line="210" w:lineRule="exact"/>
              <w:rPr>
                <w:sz w:val="20"/>
                <w:szCs w:val="20"/>
                <w:color w:val="auto"/>
              </w:rPr>
            </w:pPr>
            <w:r>
              <w:rPr>
                <w:rFonts w:ascii="Arial" w:cs="Arial" w:eastAsia="Arial" w:hAnsi="Arial"/>
                <w:sz w:val="20"/>
                <w:szCs w:val="20"/>
                <w:color w:val="0000FF"/>
              </w:rPr>
              <w:t>2025).</w:t>
            </w:r>
          </w:p>
        </w:tc>
        <w:tc>
          <w:tcPr>
            <w:tcW w:w="14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20"/>
                <w:szCs w:val="20"/>
                <w:color w:val="0000FF"/>
                <w:highlight w:val="white"/>
                <w:w w:val="98"/>
              </w:rPr>
              <w:t>Amended</w:t>
            </w:r>
          </w:p>
        </w:tc>
        <w:tc>
          <w:tcPr>
            <w:tcW w:w="7760" w:type="dxa"/>
            <w:vAlign w:val="bottom"/>
            <w:gridSpan w:val="6"/>
          </w:tcPr>
          <w:p>
            <w:pPr>
              <w:spacing w:after="0"/>
              <w:rPr>
                <w:sz w:val="20"/>
                <w:szCs w:val="20"/>
                <w:color w:val="auto"/>
              </w:rPr>
            </w:pPr>
            <w:r>
              <w:rPr>
                <w:rFonts w:ascii="Arial" w:cs="Arial" w:eastAsia="Arial" w:hAnsi="Arial"/>
                <w:sz w:val="20"/>
                <w:szCs w:val="20"/>
                <w:color w:val="0000FF"/>
                <w:highlight w:val="white"/>
                <w:w w:val="90"/>
              </w:rPr>
              <w:t>and Restated Bylaws of Tango Therapeutics, Inc. (incorporated by reference to Exhibit 4.2 to the</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20" w:type="dxa"/>
            <w:vAlign w:val="bottom"/>
            <w:vMerge w:val="restart"/>
          </w:tcPr>
          <w:p>
            <w:pPr>
              <w:spacing w:after="0"/>
              <w:rPr>
                <w:sz w:val="20"/>
                <w:szCs w:val="20"/>
                <w:color w:val="auto"/>
              </w:rPr>
            </w:pPr>
            <w:r>
              <w:rPr>
                <w:rFonts w:ascii="Arial" w:cs="Arial" w:eastAsia="Arial" w:hAnsi="Arial"/>
                <w:sz w:val="20"/>
                <w:szCs w:val="20"/>
                <w:color w:val="auto"/>
              </w:rPr>
              <w:t>4.1</w:t>
            </w:r>
          </w:p>
        </w:tc>
        <w:tc>
          <w:tcPr>
            <w:tcW w:w="200" w:type="dxa"/>
            <w:vAlign w:val="bottom"/>
          </w:tcPr>
          <w:p>
            <w:pPr>
              <w:spacing w:after="0"/>
              <w:rPr>
                <w:sz w:val="19"/>
                <w:szCs w:val="19"/>
                <w:color w:val="auto"/>
              </w:rPr>
            </w:pPr>
          </w:p>
        </w:tc>
        <w:tc>
          <w:tcPr>
            <w:tcW w:w="7160" w:type="dxa"/>
            <w:vAlign w:val="bottom"/>
            <w:gridSpan w:val="4"/>
          </w:tcPr>
          <w:p>
            <w:pPr>
              <w:ind w:left="20"/>
              <w:spacing w:after="0"/>
              <w:rPr>
                <w:sz w:val="20"/>
                <w:szCs w:val="20"/>
                <w:color w:val="auto"/>
              </w:rPr>
            </w:pPr>
            <w:r>
              <w:rPr>
                <w:rFonts w:ascii="Arial" w:cs="Arial" w:eastAsia="Arial" w:hAnsi="Arial"/>
                <w:sz w:val="20"/>
                <w:szCs w:val="20"/>
                <w:color w:val="0000FF"/>
                <w:highlight w:val="white"/>
                <w:w w:val="90"/>
              </w:rPr>
              <w:t>Registrant’s registration statement on Form S-8 filed with the SEC on October 14, 2021).</w:t>
            </w:r>
          </w:p>
        </w:tc>
        <w:tc>
          <w:tcPr>
            <w:tcW w:w="1480" w:type="dxa"/>
            <w:vAlign w:val="bottom"/>
            <w:gridSpan w:val="3"/>
          </w:tcPr>
          <w:p>
            <w:pPr>
              <w:spacing w:after="0"/>
              <w:rPr>
                <w:sz w:val="19"/>
                <w:szCs w:val="19"/>
                <w:color w:val="auto"/>
              </w:rPr>
            </w:pP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40" w:type="dxa"/>
            <w:vAlign w:val="bottom"/>
            <w:gridSpan w:val="9"/>
          </w:tcPr>
          <w:p>
            <w:pPr>
              <w:ind w:left="20"/>
              <w:spacing w:after="0" w:line="225" w:lineRule="exact"/>
              <w:rPr>
                <w:sz w:val="20"/>
                <w:szCs w:val="20"/>
                <w:color w:val="auto"/>
              </w:rPr>
            </w:pPr>
            <w:r>
              <w:rPr>
                <w:rFonts w:ascii="Arial" w:cs="Arial" w:eastAsia="Arial" w:hAnsi="Arial"/>
                <w:sz w:val="20"/>
                <w:szCs w:val="20"/>
                <w:color w:val="0000FF"/>
                <w:w w:val="98"/>
              </w:rPr>
              <w:t>Specimen Common Stock Certificate of the Registrant (incorporated by reference to Exhibit 4.5 to the</w:t>
            </w: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Registration Statement on Form S-4/A filed by the Registrant on July 15, 2021).</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4.2</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4"/>
              </w:rPr>
              <w:t>Description of Securities (incorporated by reference to Exhibit 4.2 to the Annual Report on Form 10-K filed</w:t>
            </w: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by the Registrant on March 27, 2023).</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4.3</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9"/>
              </w:rPr>
              <w:t>Tango Therapeutics, Inc. Form of Pre-Funded Warrant to Purchase Common Stock (incorporated by</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7"/>
              </w:rPr>
              <w:t>reference to Exhibit 4.1 to the Current Report on Form 8-K filed by the Registrant on August 10, 2023).</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10.1</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5"/>
              </w:rPr>
              <w:t>Amended and Restated Registration and Stockholder Rights Agreement, dated August 10, 2021, by and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0"/>
              </w:rPr>
              <w:t>among Tango Therapeutics, Inc. and the stockholders party thereto (incorporated by reference to Exhibit 10.2</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to the Current Report on Form 8-K filed by the Registrant on August 13, 2021).</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10.2#</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2"/>
              </w:rPr>
              <w:t>Tango Therapeutics, Inc. 2021 Stock Option and Incentive Plan (incorporated by reference to Exhibit 10.4 to</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the Current Report on Form 8-K filed by the Registrant on August 13, 2021).</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10.3#</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3"/>
              </w:rPr>
              <w:t>Tango Therapeutics, Inc. 2017 Stock Option and Grant Plan, as amended, and forms of award agreements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5"/>
              </w:rPr>
              <w:t>thereunder (incorporated by reference to Exhibit 99.4 to Form S-8 filed by the Registrant on October 14,</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Arial" w:cs="Arial" w:eastAsia="Arial" w:hAnsi="Arial"/>
                <w:sz w:val="20"/>
                <w:szCs w:val="20"/>
                <w:color w:val="0000FF"/>
              </w:rPr>
              <w:t>2021).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6"/>
              </w:rPr>
              <w:t>Forms of Award Agreements under the Tango Therapeutics, Inc. 2021 Stock Option and Incentive Plan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7"/>
              </w:rPr>
              <w:t>(incorporated by reference to Exhibit 10.5 to the Current Report on Form 8-K filed by the Registrant on</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August 13, 2021).</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10.5#</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2"/>
              </w:rPr>
              <w:t>Tango Therapeutics, Inc. 2021 Employee Stock Purchase Plan (incorporated by reference to Exhibit 10.6 to</w:t>
            </w: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the Current Report on Form 8-K filed by the Registrant on August 13, 2021).</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10.6</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2"/>
              </w:rPr>
              <w:t>Amended and Restated Research Collaboration and License Agreement between Tango Therapeutics, Inc.</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and Gilead Sciences, Inc., dated August 17, 2020 (incorporated by reference to Exhibit 10.19 to the</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Registration Statement on Form S-4/A filed by the Registrant on June 17, 2021).</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Arial" w:cs="Arial" w:eastAsia="Arial" w:hAnsi="Arial"/>
                <w:sz w:val="20"/>
                <w:szCs w:val="20"/>
                <w:color w:val="auto"/>
              </w:rPr>
              <w:t>10.7#</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2"/>
              </w:rPr>
              <w:t>Form of Executive Employment Agreement (incorporated by reference to Exhibit 10.7 to the Current Report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on Form 8-K filed by the Registrant on August 13, 2021).</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r>
              <w:rPr>
                <w:rFonts w:ascii="Arial" w:cs="Arial" w:eastAsia="Arial" w:hAnsi="Arial"/>
                <w:sz w:val="20"/>
                <w:szCs w:val="20"/>
                <w:color w:val="auto"/>
              </w:rPr>
              <w:t>10.8</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6"/>
              </w:rPr>
              <w:t>Form of Indemnification Agreement (Directors) (incorporated by reference to Exhibit 10.9 to the Current</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Report on Form 8-K filed by the Registrant on August 13, 2021).</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10.9#</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6"/>
              </w:rPr>
              <w:t>Form of Indemnification Agreement (Officers) (incorporated by reference to Exhibit 10.10 to the Current</w:t>
            </w: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Report on Form 8-K filed by the Registrant on August 13, 2021).</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10.10#</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6"/>
              </w:rPr>
              <w:t>Senior Executive Cash Annual Incentive Plan (incorporated by reference to Exhibit 10.11 to the Current</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Report on Form 8-K filed by the Registrant on August 13, 2021).</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10.11</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1"/>
              </w:rPr>
              <w:t>Lease Agreement between the Company and ARE-MA Region No. 87 Tenant, LLC dated as of November 4,</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3"/>
              </w:rPr>
              <w:t>2021 (incorporated by reference to Exhibit 10.14 to the Annual Report on Form 10-K filed by the Registrant</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on March 28, 2022).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10.12</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0"/>
              </w:rPr>
              <w:t>Tango Therapeutics, Inc. 2023 Inducement Plan and forms of award agreements thereunder (incorporated by</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4"/>
              </w:rPr>
              <w:t>reference to Exhibit 99.1 to the Registration Statement on Form S-8 filed by the Registrant on February 7,</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Arial" w:cs="Arial" w:eastAsia="Arial" w:hAnsi="Arial"/>
                <w:sz w:val="20"/>
                <w:szCs w:val="20"/>
                <w:color w:val="0000FF"/>
              </w:rPr>
              <w:t>2023).</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10.13#</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3"/>
              </w:rPr>
              <w:t>Amended and Restated Non-Employee Director Compensation Policy (incorporated by reference to Exhibit</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10.1 to the Quarterly Report on Form 10-Q filed by the Registrant on August 7, 2024).</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10.14</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3"/>
              </w:rPr>
              <w:t>Securities Purchase Agreement between Tango Therapeutics, Inc. and the parties thereto (incorporated by</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5"/>
              </w:rPr>
              <w:t>reference to Exhibit 10.1 to the Current Report on Form 8-K filed by the Registrant on August 10, 2023).</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10.15#</w:t>
            </w: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1"/>
              </w:rPr>
              <w:t>Amended and Restated Employment Agreement, dated as of January 8, 2026 by and between the Company</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1"/>
              </w:rPr>
              <w:t>and Barbara Weber (incorporated by reference to Exhibit 10.1 to the Current Report on Form 8-K filed by the</w:t>
            </w: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Registrant on January 8, 2026).</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20"/>
                <w:szCs w:val="20"/>
                <w:color w:val="auto"/>
              </w:rPr>
              <w:t>10.16#</w:t>
            </w:r>
          </w:p>
        </w:tc>
        <w:tc>
          <w:tcPr>
            <w:tcW w:w="200" w:type="dxa"/>
            <w:vAlign w:val="bottom"/>
          </w:tcPr>
          <w:p>
            <w:pPr>
              <w:spacing w:after="0"/>
              <w:rPr>
                <w:sz w:val="19"/>
                <w:szCs w:val="19"/>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7"/>
              </w:rPr>
              <w:t>Employment Agreement, dated as of January 8, 2026 by and between the Company and Malte Peters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w w:val="97"/>
              </w:rPr>
              <w:t>(incorporated by reference to Exhibit 10.3 to the Current Report on Form 8-K filed by the Registrant on</w:t>
            </w: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40" w:type="dxa"/>
            <w:vAlign w:val="bottom"/>
            <w:gridSpan w:val="9"/>
          </w:tcPr>
          <w:p>
            <w:pPr>
              <w:ind w:left="20"/>
              <w:spacing w:after="0"/>
              <w:rPr>
                <w:sz w:val="20"/>
                <w:szCs w:val="20"/>
                <w:color w:val="auto"/>
              </w:rPr>
            </w:pPr>
            <w:r>
              <w:rPr>
                <w:rFonts w:ascii="Arial" w:cs="Arial" w:eastAsia="Arial" w:hAnsi="Arial"/>
                <w:sz w:val="20"/>
                <w:szCs w:val="20"/>
                <w:color w:val="0000FF"/>
              </w:rPr>
              <w:t>January 8,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-8239125</wp:posOffset>
            </wp:positionV>
            <wp:extent cx="6441440" cy="8238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6441440" cy="8238490"/>
                    </a:xfrm>
                    <a:prstGeom prst="rect">
                      <a:avLst/>
                    </a:prstGeom>
                    <a:noFill/>
                  </pic:spPr>
                </pic:pic>
              </a:graphicData>
            </a:graphic>
          </wp:anchor>
        </w:drawing>
      </w:r>
    </w:p>
    <w:p>
      <w:pPr>
        <w:sectPr>
          <w:pgSz w:w="12240" w:h="15840" w:orient="portrait"/>
          <w:cols w:equalWidth="0" w:num="1">
            <w:col w:w="10160"/>
          </w:cols>
          <w:pgMar w:left="1000" w:top="1056" w:right="1080" w:bottom="21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2240" w:h="15840" w:orient="portrait"/>
          <w:cols w:equalWidth="0" w:num="1">
            <w:col w:w="10160"/>
          </w:cols>
          <w:pgMar w:left="1000" w:top="1056" w:right="1080" w:bottom="21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19.1</w:t>
            </w:r>
          </w:p>
        </w:tc>
        <w:tc>
          <w:tcPr>
            <w:tcW w:w="8900" w:type="dxa"/>
            <w:vAlign w:val="bottom"/>
          </w:tcPr>
          <w:p>
            <w:pPr>
              <w:ind w:left="300"/>
              <w:spacing w:after="0"/>
              <w:rPr>
                <w:sz w:val="20"/>
                <w:szCs w:val="20"/>
                <w:color w:val="auto"/>
              </w:rPr>
            </w:pPr>
            <w:r>
              <w:rPr>
                <w:rFonts w:ascii="Arial" w:cs="Arial" w:eastAsia="Arial" w:hAnsi="Arial"/>
                <w:sz w:val="20"/>
                <w:szCs w:val="20"/>
                <w:color w:val="0000FF"/>
                <w:w w:val="91"/>
              </w:rPr>
              <w:t>Insider Trading Policy of Tango Therapeutics, Inc. (incorporated by reference to Exhibit 19.1 to the Annual</w:t>
            </w:r>
          </w:p>
        </w:tc>
      </w:tr>
      <w:tr>
        <w:trPr>
          <w:trHeight w:val="245"/>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Report on Form 10-K filed by the Registrant on February 27, 2025).</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21.1</w:t>
            </w:r>
          </w:p>
        </w:tc>
        <w:tc>
          <w:tcPr>
            <w:tcW w:w="8900" w:type="dxa"/>
            <w:vAlign w:val="bottom"/>
          </w:tcPr>
          <w:p>
            <w:pPr>
              <w:ind w:left="300"/>
              <w:spacing w:after="0"/>
              <w:rPr>
                <w:sz w:val="20"/>
                <w:szCs w:val="20"/>
                <w:color w:val="auto"/>
              </w:rPr>
            </w:pPr>
            <w:r>
              <w:rPr>
                <w:rFonts w:ascii="Arial" w:cs="Arial" w:eastAsia="Arial" w:hAnsi="Arial"/>
                <w:sz w:val="20"/>
                <w:szCs w:val="20"/>
                <w:color w:val="0000FF"/>
                <w:w w:val="94"/>
              </w:rPr>
              <w:t>List of subsidiaries of Tango Therapeutics, Inc. (incorporated by reference to Exhibit 21.1 to the Annual</w:t>
            </w:r>
          </w:p>
        </w:tc>
      </w:tr>
      <w:tr>
        <w:trPr>
          <w:trHeight w:val="245"/>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Report on Form 10-K filed by the Registrant on March 18, 2024)</w:t>
            </w:r>
            <w:r>
              <w:rPr>
                <w:rFonts w:ascii="Arial" w:cs="Arial" w:eastAsia="Arial" w:hAnsi="Arial"/>
                <w:sz w:val="20"/>
                <w:szCs w:val="20"/>
                <w:color w:val="000000"/>
              </w:rPr>
              <w:t>.</w:t>
            </w:r>
          </w:p>
        </w:tc>
      </w:tr>
      <w:tr>
        <w:trPr>
          <w:trHeight w:val="229"/>
        </w:trPr>
        <w:tc>
          <w:tcPr>
            <w:tcW w:w="1040" w:type="dxa"/>
            <w:vAlign w:val="bottom"/>
          </w:tcPr>
          <w:p>
            <w:pPr>
              <w:spacing w:after="0"/>
              <w:rPr>
                <w:sz w:val="20"/>
                <w:szCs w:val="20"/>
                <w:color w:val="auto"/>
              </w:rPr>
            </w:pPr>
            <w:r>
              <w:rPr>
                <w:rFonts w:ascii="Arial" w:cs="Arial" w:eastAsia="Arial" w:hAnsi="Arial"/>
                <w:sz w:val="20"/>
                <w:szCs w:val="20"/>
                <w:color w:val="auto"/>
              </w:rPr>
              <w:t>23.1*</w:t>
            </w:r>
          </w:p>
        </w:tc>
        <w:tc>
          <w:tcPr>
            <w:tcW w:w="8900" w:type="dxa"/>
            <w:vAlign w:val="bottom"/>
          </w:tcPr>
          <w:p>
            <w:pPr>
              <w:ind w:left="300"/>
              <w:spacing w:after="0"/>
              <w:rPr>
                <w:sz w:val="20"/>
                <w:szCs w:val="20"/>
                <w:color w:val="auto"/>
              </w:rPr>
            </w:pPr>
            <w:r>
              <w:rPr>
                <w:rFonts w:ascii="Arial" w:cs="Arial" w:eastAsia="Arial" w:hAnsi="Arial"/>
                <w:sz w:val="20"/>
                <w:szCs w:val="20"/>
                <w:color w:val="0000FF"/>
                <w:w w:val="98"/>
              </w:rPr>
              <w:t>Consent of PricewaterhouseCoopers LLP, independent registered public accounting firm of Tango</w:t>
            </w:r>
          </w:p>
        </w:tc>
      </w:tr>
      <w:tr>
        <w:trPr>
          <w:trHeight w:val="246"/>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Therapeutics, Inc.</w:t>
            </w:r>
          </w:p>
        </w:tc>
      </w:tr>
      <w:tr>
        <w:trPr>
          <w:trHeight w:val="229"/>
        </w:trPr>
        <w:tc>
          <w:tcPr>
            <w:tcW w:w="1040" w:type="dxa"/>
            <w:vAlign w:val="bottom"/>
          </w:tcPr>
          <w:p>
            <w:pPr>
              <w:spacing w:after="0"/>
              <w:rPr>
                <w:sz w:val="20"/>
                <w:szCs w:val="20"/>
                <w:color w:val="auto"/>
              </w:rPr>
            </w:pPr>
            <w:r>
              <w:rPr>
                <w:rFonts w:ascii="Arial" w:cs="Arial" w:eastAsia="Arial" w:hAnsi="Arial"/>
                <w:sz w:val="20"/>
                <w:szCs w:val="20"/>
                <w:color w:val="auto"/>
              </w:rPr>
              <w:t>31.1*</w:t>
            </w:r>
          </w:p>
        </w:tc>
        <w:tc>
          <w:tcPr>
            <w:tcW w:w="8900" w:type="dxa"/>
            <w:vAlign w:val="bottom"/>
          </w:tcPr>
          <w:p>
            <w:pPr>
              <w:ind w:left="300"/>
              <w:spacing w:after="0"/>
              <w:rPr>
                <w:sz w:val="20"/>
                <w:szCs w:val="20"/>
                <w:color w:val="auto"/>
              </w:rPr>
            </w:pPr>
            <w:r>
              <w:rPr>
                <w:rFonts w:ascii="Arial" w:cs="Arial" w:eastAsia="Arial" w:hAnsi="Arial"/>
                <w:sz w:val="20"/>
                <w:szCs w:val="20"/>
                <w:color w:val="0000FF"/>
                <w:w w:val="91"/>
              </w:rPr>
              <w:t>Certification of Principal Executive Officer Pursuant to Rules 13a-14(a) and 15d-14(a) under the Securities</w:t>
            </w:r>
          </w:p>
        </w:tc>
      </w:tr>
      <w:tr>
        <w:trPr>
          <w:trHeight w:val="245"/>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Exchange Act of 1934, as Adopted Pursuant to Section 302 of the Sarbanes-Oxley Act of 2002.</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31.2*</w:t>
            </w:r>
          </w:p>
        </w:tc>
        <w:tc>
          <w:tcPr>
            <w:tcW w:w="8900" w:type="dxa"/>
            <w:vAlign w:val="bottom"/>
          </w:tcPr>
          <w:p>
            <w:pPr>
              <w:ind w:left="300"/>
              <w:spacing w:after="0"/>
              <w:rPr>
                <w:sz w:val="20"/>
                <w:szCs w:val="20"/>
                <w:color w:val="auto"/>
              </w:rPr>
            </w:pPr>
            <w:r>
              <w:rPr>
                <w:rFonts w:ascii="Arial" w:cs="Arial" w:eastAsia="Arial" w:hAnsi="Arial"/>
                <w:sz w:val="20"/>
                <w:szCs w:val="20"/>
                <w:color w:val="0000FF"/>
                <w:w w:val="92"/>
              </w:rPr>
              <w:t>Certification of Principal Financial Officer Pursuant to Rules 13a-14(a) and 15d-14(a) under the Securities</w:t>
            </w:r>
          </w:p>
        </w:tc>
      </w:tr>
      <w:tr>
        <w:trPr>
          <w:trHeight w:val="245"/>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Exchange Act of 1934, as Adopted Pursuant to Section 302 of the Sarbanes-Oxley Act of 2002.</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32.1**</w:t>
            </w:r>
          </w:p>
        </w:tc>
        <w:tc>
          <w:tcPr>
            <w:tcW w:w="8900" w:type="dxa"/>
            <w:vAlign w:val="bottom"/>
          </w:tcPr>
          <w:p>
            <w:pPr>
              <w:ind w:left="300"/>
              <w:spacing w:after="0"/>
              <w:rPr>
                <w:sz w:val="20"/>
                <w:szCs w:val="20"/>
                <w:color w:val="auto"/>
              </w:rPr>
            </w:pPr>
            <w:r>
              <w:rPr>
                <w:rFonts w:ascii="Arial" w:cs="Arial" w:eastAsia="Arial" w:hAnsi="Arial"/>
                <w:sz w:val="20"/>
                <w:szCs w:val="20"/>
                <w:color w:val="0000FF"/>
                <w:w w:val="94"/>
              </w:rPr>
              <w:t>Certification of Principal Executive Officer Pursuant to 18 U.S.C. Section 1350, as Adopted Pursuant to</w:t>
            </w:r>
          </w:p>
        </w:tc>
      </w:tr>
      <w:tr>
        <w:trPr>
          <w:trHeight w:val="245"/>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Section 906 of the Sarbanes-Oxley Act of 2002.</w:t>
            </w:r>
          </w:p>
        </w:tc>
      </w:tr>
      <w:tr>
        <w:trPr>
          <w:trHeight w:val="229"/>
        </w:trPr>
        <w:tc>
          <w:tcPr>
            <w:tcW w:w="1040" w:type="dxa"/>
            <w:vAlign w:val="bottom"/>
          </w:tcPr>
          <w:p>
            <w:pPr>
              <w:spacing w:after="0"/>
              <w:rPr>
                <w:sz w:val="20"/>
                <w:szCs w:val="20"/>
                <w:color w:val="auto"/>
              </w:rPr>
            </w:pPr>
            <w:r>
              <w:rPr>
                <w:rFonts w:ascii="Arial" w:cs="Arial" w:eastAsia="Arial" w:hAnsi="Arial"/>
                <w:sz w:val="20"/>
                <w:szCs w:val="20"/>
                <w:color w:val="auto"/>
              </w:rPr>
              <w:t>32.2**</w:t>
            </w:r>
          </w:p>
        </w:tc>
        <w:tc>
          <w:tcPr>
            <w:tcW w:w="8900" w:type="dxa"/>
            <w:vAlign w:val="bottom"/>
          </w:tcPr>
          <w:p>
            <w:pPr>
              <w:ind w:left="300"/>
              <w:spacing w:after="0"/>
              <w:rPr>
                <w:sz w:val="20"/>
                <w:szCs w:val="20"/>
                <w:color w:val="auto"/>
              </w:rPr>
            </w:pPr>
            <w:r>
              <w:rPr>
                <w:rFonts w:ascii="Arial" w:cs="Arial" w:eastAsia="Arial" w:hAnsi="Arial"/>
                <w:sz w:val="20"/>
                <w:szCs w:val="20"/>
                <w:color w:val="0000FF"/>
                <w:w w:val="95"/>
              </w:rPr>
              <w:t>Certification of Principal Financial Officer Pursuant to 18 U.S.C. Section 1350, as Adopted Pursuant to</w:t>
            </w:r>
          </w:p>
        </w:tc>
      </w:tr>
      <w:tr>
        <w:trPr>
          <w:trHeight w:val="246"/>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Section 906 of the Sarbanes-Oxley Act of 2002.</w:t>
            </w:r>
          </w:p>
        </w:tc>
      </w:t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97.1</w:t>
            </w:r>
          </w:p>
        </w:tc>
        <w:tc>
          <w:tcPr>
            <w:tcW w:w="8900" w:type="dxa"/>
            <w:vAlign w:val="bottom"/>
          </w:tcPr>
          <w:p>
            <w:pPr>
              <w:ind w:left="300"/>
              <w:spacing w:after="0"/>
              <w:rPr>
                <w:sz w:val="20"/>
                <w:szCs w:val="20"/>
                <w:color w:val="auto"/>
              </w:rPr>
            </w:pPr>
            <w:r>
              <w:rPr>
                <w:rFonts w:ascii="Arial" w:cs="Arial" w:eastAsia="Arial" w:hAnsi="Arial"/>
                <w:sz w:val="20"/>
                <w:szCs w:val="20"/>
                <w:color w:val="0000FF"/>
                <w:w w:val="91"/>
              </w:rPr>
              <w:t>Tango Therapeutics, Inc. Compensation Recovery Policy (incorporated by reference to Exhibit 97.1 to the</w:t>
            </w:r>
          </w:p>
        </w:tc>
      </w:tr>
      <w:tr>
        <w:trPr>
          <w:trHeight w:val="245"/>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0000FF"/>
              </w:rPr>
              <w:t>Annual Report on Form 10-K filed by the Registrant on March 18, 2024).</w:t>
            </w:r>
          </w:p>
        </w:tc>
      </w:tr>
      <w:tr>
        <w:trPr>
          <w:trHeight w:val="229"/>
        </w:trPr>
        <w:tc>
          <w:tcPr>
            <w:tcW w:w="1040" w:type="dxa"/>
            <w:vAlign w:val="bottom"/>
          </w:tcPr>
          <w:p>
            <w:pPr>
              <w:spacing w:after="0"/>
              <w:rPr>
                <w:sz w:val="20"/>
                <w:szCs w:val="20"/>
                <w:color w:val="auto"/>
              </w:rPr>
            </w:pPr>
            <w:r>
              <w:rPr>
                <w:rFonts w:ascii="Arial" w:cs="Arial" w:eastAsia="Arial" w:hAnsi="Arial"/>
                <w:sz w:val="20"/>
                <w:szCs w:val="20"/>
                <w:color w:val="auto"/>
              </w:rPr>
              <w:t>101.INS</w:t>
            </w:r>
          </w:p>
        </w:tc>
        <w:tc>
          <w:tcPr>
            <w:tcW w:w="8900" w:type="dxa"/>
            <w:vAlign w:val="bottom"/>
          </w:tcPr>
          <w:p>
            <w:pPr>
              <w:ind w:left="280"/>
              <w:spacing w:after="0"/>
              <w:rPr>
                <w:sz w:val="20"/>
                <w:szCs w:val="20"/>
                <w:color w:val="auto"/>
              </w:rPr>
            </w:pPr>
            <w:r>
              <w:rPr>
                <w:rFonts w:ascii="Arial" w:cs="Arial" w:eastAsia="Arial" w:hAnsi="Arial"/>
                <w:sz w:val="20"/>
                <w:szCs w:val="20"/>
                <w:color w:val="auto"/>
                <w:w w:val="96"/>
              </w:rPr>
              <w:t>Inline XBRL Instance Document – the instance document does not appear in the Interactive Data File</w:t>
            </w:r>
          </w:p>
        </w:tc>
      </w:tr>
      <w:tr>
        <w:trPr>
          <w:trHeight w:val="246"/>
        </w:trPr>
        <w:tc>
          <w:tcPr>
            <w:tcW w:w="1040" w:type="dxa"/>
            <w:vAlign w:val="bottom"/>
          </w:tcPr>
          <w:p>
            <w:pPr>
              <w:spacing w:after="0"/>
              <w:rPr>
                <w:sz w:val="21"/>
                <w:szCs w:val="21"/>
                <w:color w:val="auto"/>
              </w:rPr>
            </w:pPr>
          </w:p>
        </w:tc>
        <w:tc>
          <w:tcPr>
            <w:tcW w:w="8900" w:type="dxa"/>
            <w:vAlign w:val="bottom"/>
          </w:tcPr>
          <w:p>
            <w:pPr>
              <w:ind w:left="300"/>
              <w:spacing w:after="0"/>
              <w:rPr>
                <w:sz w:val="20"/>
                <w:szCs w:val="20"/>
                <w:color w:val="auto"/>
              </w:rPr>
            </w:pPr>
            <w:r>
              <w:rPr>
                <w:rFonts w:ascii="Arial" w:cs="Arial" w:eastAsia="Arial" w:hAnsi="Arial"/>
                <w:sz w:val="20"/>
                <w:szCs w:val="20"/>
                <w:color w:val="auto"/>
              </w:rPr>
              <w:t>because XBRL tags are embedded within the Inline XBRL document.</w:t>
            </w:r>
          </w:p>
        </w:tc>
      </w:tr>
      <w:tr>
        <w:trPr>
          <w:trHeight w:val="245"/>
        </w:trPr>
        <w:tc>
          <w:tcPr>
            <w:tcW w:w="1040" w:type="dxa"/>
            <w:vAlign w:val="bottom"/>
          </w:tcPr>
          <w:p>
            <w:pPr>
              <w:spacing w:after="0"/>
              <w:rPr>
                <w:sz w:val="20"/>
                <w:szCs w:val="20"/>
                <w:color w:val="auto"/>
              </w:rPr>
            </w:pPr>
            <w:r>
              <w:rPr>
                <w:rFonts w:ascii="Arial" w:cs="Arial" w:eastAsia="Arial" w:hAnsi="Arial"/>
                <w:sz w:val="20"/>
                <w:szCs w:val="20"/>
                <w:color w:val="auto"/>
              </w:rPr>
              <w:t>101.SCH</w:t>
            </w:r>
          </w:p>
        </w:tc>
        <w:tc>
          <w:tcPr>
            <w:tcW w:w="8900" w:type="dxa"/>
            <w:vAlign w:val="bottom"/>
          </w:tcPr>
          <w:p>
            <w:pPr>
              <w:ind w:left="280"/>
              <w:spacing w:after="0"/>
              <w:rPr>
                <w:sz w:val="20"/>
                <w:szCs w:val="20"/>
                <w:color w:val="auto"/>
              </w:rPr>
            </w:pPr>
            <w:r>
              <w:rPr>
                <w:rFonts w:ascii="Arial" w:cs="Arial" w:eastAsia="Arial" w:hAnsi="Arial"/>
                <w:sz w:val="20"/>
                <w:szCs w:val="20"/>
                <w:color w:val="auto"/>
              </w:rPr>
              <w:t>Inline XBRL Taxonomy Extension Schema Document</w:t>
            </w:r>
          </w:p>
        </w:tc>
      </w:tr>
      <w:tr>
        <w:trPr>
          <w:trHeight w:val="245"/>
        </w:trPr>
        <w:tc>
          <w:tcPr>
            <w:tcW w:w="1040" w:type="dxa"/>
            <w:vAlign w:val="bottom"/>
          </w:tcPr>
          <w:p>
            <w:pPr>
              <w:spacing w:after="0"/>
              <w:rPr>
                <w:sz w:val="20"/>
                <w:szCs w:val="20"/>
                <w:color w:val="auto"/>
              </w:rPr>
            </w:pPr>
            <w:r>
              <w:rPr>
                <w:rFonts w:ascii="Arial" w:cs="Arial" w:eastAsia="Arial" w:hAnsi="Arial"/>
                <w:sz w:val="20"/>
                <w:szCs w:val="20"/>
                <w:color w:val="auto"/>
              </w:rPr>
              <w:t>101.CAL</w:t>
            </w:r>
          </w:p>
        </w:tc>
        <w:tc>
          <w:tcPr>
            <w:tcW w:w="8900" w:type="dxa"/>
            <w:vAlign w:val="bottom"/>
          </w:tcPr>
          <w:p>
            <w:pPr>
              <w:ind w:left="28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245"/>
        </w:trPr>
        <w:tc>
          <w:tcPr>
            <w:tcW w:w="1040" w:type="dxa"/>
            <w:vAlign w:val="bottom"/>
          </w:tcPr>
          <w:p>
            <w:pPr>
              <w:spacing w:after="0"/>
              <w:rPr>
                <w:sz w:val="20"/>
                <w:szCs w:val="20"/>
                <w:color w:val="auto"/>
              </w:rPr>
            </w:pPr>
            <w:r>
              <w:rPr>
                <w:rFonts w:ascii="Arial" w:cs="Arial" w:eastAsia="Arial" w:hAnsi="Arial"/>
                <w:sz w:val="20"/>
                <w:szCs w:val="20"/>
                <w:color w:val="auto"/>
              </w:rPr>
              <w:t>101.DEF</w:t>
            </w:r>
          </w:p>
        </w:tc>
        <w:tc>
          <w:tcPr>
            <w:tcW w:w="8900" w:type="dxa"/>
            <w:vAlign w:val="bottom"/>
          </w:tcPr>
          <w:p>
            <w:pPr>
              <w:ind w:left="280"/>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45"/>
        </w:trPr>
        <w:tc>
          <w:tcPr>
            <w:tcW w:w="1040" w:type="dxa"/>
            <w:vAlign w:val="bottom"/>
          </w:tcPr>
          <w:p>
            <w:pPr>
              <w:spacing w:after="0"/>
              <w:rPr>
                <w:sz w:val="20"/>
                <w:szCs w:val="20"/>
                <w:color w:val="auto"/>
              </w:rPr>
            </w:pPr>
            <w:r>
              <w:rPr>
                <w:rFonts w:ascii="Arial" w:cs="Arial" w:eastAsia="Arial" w:hAnsi="Arial"/>
                <w:sz w:val="20"/>
                <w:szCs w:val="20"/>
                <w:color w:val="auto"/>
              </w:rPr>
              <w:t>101.LAB</w:t>
            </w:r>
          </w:p>
        </w:tc>
        <w:tc>
          <w:tcPr>
            <w:tcW w:w="8900" w:type="dxa"/>
            <w:vAlign w:val="bottom"/>
          </w:tcPr>
          <w:p>
            <w:pPr>
              <w:ind w:left="28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45"/>
        </w:trPr>
        <w:tc>
          <w:tcPr>
            <w:tcW w:w="1040" w:type="dxa"/>
            <w:vAlign w:val="bottom"/>
          </w:tcPr>
          <w:p>
            <w:pPr>
              <w:spacing w:after="0"/>
              <w:rPr>
                <w:sz w:val="20"/>
                <w:szCs w:val="20"/>
                <w:color w:val="auto"/>
              </w:rPr>
            </w:pPr>
            <w:r>
              <w:rPr>
                <w:rFonts w:ascii="Arial" w:cs="Arial" w:eastAsia="Arial" w:hAnsi="Arial"/>
                <w:sz w:val="20"/>
                <w:szCs w:val="20"/>
                <w:color w:val="auto"/>
              </w:rPr>
              <w:t>101.PRE</w:t>
            </w:r>
          </w:p>
        </w:tc>
        <w:tc>
          <w:tcPr>
            <w:tcW w:w="8900" w:type="dxa"/>
            <w:vAlign w:val="bottom"/>
          </w:tcPr>
          <w:p>
            <w:pPr>
              <w:ind w:left="3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267"/>
        </w:trPr>
        <w:tc>
          <w:tcPr>
            <w:tcW w:w="1040" w:type="dxa"/>
            <w:vAlign w:val="bottom"/>
          </w:tcPr>
          <w:p>
            <w:pPr>
              <w:spacing w:after="0"/>
              <w:rPr>
                <w:sz w:val="20"/>
                <w:szCs w:val="20"/>
                <w:color w:val="auto"/>
              </w:rPr>
            </w:pPr>
            <w:r>
              <w:rPr>
                <w:rFonts w:ascii="Arial" w:cs="Arial" w:eastAsia="Arial" w:hAnsi="Arial"/>
                <w:sz w:val="20"/>
                <w:szCs w:val="20"/>
                <w:color w:val="auto"/>
              </w:rPr>
              <w:t>104</w:t>
            </w:r>
          </w:p>
        </w:tc>
        <w:tc>
          <w:tcPr>
            <w:tcW w:w="8900" w:type="dxa"/>
            <w:vAlign w:val="bottom"/>
          </w:tcPr>
          <w:p>
            <w:pPr>
              <w:ind w:left="280"/>
              <w:spacing w:after="0"/>
              <w:rPr>
                <w:sz w:val="20"/>
                <w:szCs w:val="20"/>
                <w:color w:val="auto"/>
              </w:rPr>
            </w:pPr>
            <w:r>
              <w:rPr>
                <w:rFonts w:ascii="Arial" w:cs="Arial" w:eastAsia="Arial" w:hAnsi="Arial"/>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92710</wp:posOffset>
                </wp:positionV>
                <wp:extent cx="96139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1390"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3pt" to="76pt,7.3pt" o:allowincell="f" strokecolor="#000000" strokeweight="0.5399pt"/>
            </w:pict>
          </mc:Fallback>
        </mc:AlternateContent>
        <w:drawing>
          <wp:anchor simplePos="0" relativeHeight="251657728" behindDoc="1" locked="0" layoutInCell="0" allowOverlap="1">
            <wp:simplePos x="0" y="0"/>
            <wp:positionH relativeFrom="column">
              <wp:posOffset>831215</wp:posOffset>
            </wp:positionH>
            <wp:positionV relativeFrom="paragraph">
              <wp:posOffset>-3525520</wp:posOffset>
            </wp:positionV>
            <wp:extent cx="5499735" cy="2289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
                      <a:extLst>
                        <a:ext uri="{28A0092B-C50C-407E-A947-70E740481C1C}"/>
                      </a:extLst>
                    </a:blip>
                    <a:srcRect/>
                    <a:stretch>
                      <a:fillRect/>
                    </a:stretch>
                  </pic:blipFill>
                  <pic:spPr bwMode="auto">
                    <a:xfrm>
                      <a:off x="0" y="0"/>
                      <a:ext cx="5499735" cy="2289175"/>
                    </a:xfrm>
                    <a:prstGeom prst="rect">
                      <a:avLst/>
                    </a:prstGeom>
                    <a:noFill/>
                  </pic:spPr>
                </pic:pic>
              </a:graphicData>
            </a:graphic>
          </wp:anchor>
        </w:drawing>
      </w:r>
    </w:p>
    <w:p>
      <w:pPr>
        <w:spacing w:after="0" w:line="172" w:lineRule="exact"/>
        <w:rPr>
          <w:sz w:val="20"/>
          <w:szCs w:val="20"/>
          <w:color w:val="auto"/>
        </w:rPr>
      </w:pPr>
    </w:p>
    <w:p>
      <w:pPr>
        <w:ind w:left="500" w:hanging="493"/>
        <w:spacing w:after="0"/>
        <w:tabs>
          <w:tab w:leader="none" w:pos="5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Filed herewith.</w:t>
      </w:r>
    </w:p>
    <w:p>
      <w:pPr>
        <w:spacing w:after="0" w:line="64" w:lineRule="exact"/>
        <w:rPr>
          <w:sz w:val="20"/>
          <w:szCs w:val="20"/>
          <w:color w:val="auto"/>
        </w:rPr>
      </w:pPr>
    </w:p>
    <w:p>
      <w:pPr>
        <w:ind w:left="500" w:hanging="493"/>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Item 601(b)(10) of Regulation S-K.</w:t>
      </w:r>
    </w:p>
    <w:p>
      <w:pPr>
        <w:spacing w:after="0" w:line="9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6"/>
          <w:szCs w:val="16"/>
          <w:color w:val="auto"/>
        </w:rPr>
        <w:t>Indicates a management contract or any compensatory plan, contract or arrangement.</w:t>
      </w:r>
    </w:p>
    <w:p>
      <w:pPr>
        <w:spacing w:after="0" w:line="60" w:lineRule="exact"/>
        <w:rPr>
          <w:sz w:val="20"/>
          <w:szCs w:val="20"/>
          <w:color w:val="auto"/>
        </w:rPr>
      </w:pPr>
    </w:p>
    <w:p>
      <w:pPr>
        <w:ind w:left="500" w:hanging="493"/>
        <w:spacing w:after="0" w:line="295"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1" w:lineRule="exact"/>
        <w:rPr>
          <w:sz w:val="20"/>
          <w:szCs w:val="20"/>
          <w:color w:val="auto"/>
        </w:rPr>
      </w:pPr>
    </w:p>
    <w:p>
      <w:pPr>
        <w:ind w:left="500" w:right="40" w:hanging="493"/>
        <w:spacing w:after="0" w:line="261" w:lineRule="auto"/>
        <w:tabs>
          <w:tab w:leader="none" w:pos="5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 applicable.</w:t>
      </w:r>
    </w:p>
    <w:p>
      <w:pPr>
        <w:sectPr>
          <w:pgSz w:w="12240" w:h="15840" w:orient="portrait"/>
          <w:cols w:equalWidth="0" w:num="1">
            <w:col w:w="9980"/>
          </w:cols>
          <w:pgMar w:left="1000" w:top="1075" w:right="126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103</w:t>
      </w:r>
    </w:p>
    <w:p>
      <w:pPr>
        <w:sectPr>
          <w:pgSz w:w="12240" w:h="15840" w:orient="portrait"/>
          <w:cols w:equalWidth="0" w:num="1">
            <w:col w:w="9980"/>
          </w:cols>
          <w:pgMar w:left="1000" w:top="1075" w:right="1260" w:bottom="210" w:gutter="0" w:footer="0" w:header="0"/>
          <w:type w:val="continuous"/>
        </w:sectPr>
      </w:pPr>
    </w:p>
    <w:bookmarkStart w:id="107" w:name="page108"/>
    <w:bookmarkEnd w:id="107"/>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123" w:lineRule="exact"/>
        <w:rPr>
          <w:sz w:val="20"/>
          <w:szCs w:val="20"/>
          <w:color w:val="auto"/>
        </w:rPr>
      </w:pPr>
    </w:p>
    <w:p>
      <w:pPr>
        <w:ind w:right="100" w:firstLine="491"/>
        <w:spacing w:after="0" w:line="310" w:lineRule="auto"/>
        <w:rPr>
          <w:sz w:val="20"/>
          <w:szCs w:val="20"/>
          <w:color w:val="auto"/>
        </w:rPr>
      </w:pPr>
      <w:r>
        <w:rPr>
          <w:rFonts w:ascii="Arial" w:cs="Arial" w:eastAsia="Arial" w:hAnsi="Arial"/>
          <w:sz w:val="19"/>
          <w:szCs w:val="19"/>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9"/>
          <w:szCs w:val="19"/>
          <w:b w:val="1"/>
          <w:bCs w:val="1"/>
          <w:color w:val="auto"/>
        </w:rPr>
        <w:t>.</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Tango Therapeutics, Inc.</w:t>
      </w:r>
    </w:p>
    <w:p>
      <w:pPr>
        <w:spacing w:after="0" w:line="260" w:lineRule="exact"/>
        <w:rPr>
          <w:sz w:val="20"/>
          <w:szCs w:val="20"/>
          <w:color w:val="auto"/>
        </w:rPr>
      </w:pPr>
    </w:p>
    <w:p>
      <w:pPr>
        <w:spacing w:after="0"/>
        <w:tabs>
          <w:tab w:leader="none" w:pos="4860" w:val="left"/>
          <w:tab w:leader="none" w:pos="7160" w:val="left"/>
        </w:tabs>
        <w:rPr>
          <w:sz w:val="20"/>
          <w:szCs w:val="20"/>
          <w:color w:val="auto"/>
        </w:rPr>
      </w:pPr>
      <w:r>
        <w:rPr>
          <w:rFonts w:ascii="Arial" w:cs="Arial" w:eastAsia="Arial" w:hAnsi="Arial"/>
          <w:sz w:val="20"/>
          <w:szCs w:val="20"/>
          <w:color w:val="auto"/>
        </w:rPr>
        <w:t>Date: March 5,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highlight w:val="white"/>
        </w:rPr>
        <w:t>/s/ Malte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6474460" cy="3341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1">
                      <a:extLst>
                        <a:ext uri="{28A0092B-C50C-407E-A947-70E740481C1C}"/>
                      </a:extLst>
                    </a:blip>
                    <a:srcRect/>
                    <a:stretch>
                      <a:fillRect/>
                    </a:stretch>
                  </pic:blipFill>
                  <pic:spPr bwMode="auto">
                    <a:xfrm>
                      <a:off x="0" y="0"/>
                      <a:ext cx="6474460" cy="3341370"/>
                    </a:xfrm>
                    <a:prstGeom prst="rect">
                      <a:avLst/>
                    </a:prstGeom>
                    <a:noFill/>
                  </pic:spPr>
                </pic:pic>
              </a:graphicData>
            </a:graphic>
          </wp:anchor>
        </w:drawing>
      </w:r>
    </w:p>
    <w:p>
      <w:pPr>
        <w:spacing w:after="0" w:line="17" w:lineRule="exact"/>
        <w:rPr>
          <w:sz w:val="20"/>
          <w:szCs w:val="20"/>
          <w:color w:val="auto"/>
        </w:rPr>
      </w:pPr>
    </w:p>
    <w:p>
      <w:pPr>
        <w:jc w:val="center"/>
        <w:ind w:left="5360"/>
        <w:spacing w:after="0"/>
        <w:rPr>
          <w:sz w:val="20"/>
          <w:szCs w:val="20"/>
          <w:color w:val="auto"/>
        </w:rPr>
      </w:pPr>
      <w:r>
        <w:rPr>
          <w:rFonts w:ascii="Arial" w:cs="Arial" w:eastAsia="Arial" w:hAnsi="Arial"/>
          <w:sz w:val="20"/>
          <w:szCs w:val="20"/>
          <w:b w:val="1"/>
          <w:bCs w:val="1"/>
          <w:color w:val="auto"/>
          <w:highlight w:val="white"/>
        </w:rPr>
        <w:t xml:space="preserve">Malte Peters, </w:t>
      </w:r>
      <w:r>
        <w:rPr>
          <w:rFonts w:ascii="Arial" w:cs="Arial" w:eastAsia="Arial" w:hAnsi="Arial"/>
          <w:sz w:val="20"/>
          <w:szCs w:val="20"/>
          <w:b w:val="1"/>
          <w:bCs w:val="1"/>
          <w:color w:val="auto"/>
        </w:rPr>
        <w:t>MD</w:t>
      </w:r>
    </w:p>
    <w:p>
      <w:pPr>
        <w:spacing w:after="0" w:line="25" w:lineRule="exact"/>
        <w:rPr>
          <w:sz w:val="20"/>
          <w:szCs w:val="20"/>
          <w:color w:val="auto"/>
        </w:rPr>
      </w:pPr>
    </w:p>
    <w:p>
      <w:pPr>
        <w:jc w:val="center"/>
        <w:ind w:left="5360"/>
        <w:spacing w:after="0"/>
        <w:rPr>
          <w:sz w:val="20"/>
          <w:szCs w:val="20"/>
          <w:color w:val="auto"/>
        </w:rPr>
      </w:pPr>
      <w:r>
        <w:rPr>
          <w:rFonts w:ascii="Arial" w:cs="Arial" w:eastAsia="Arial" w:hAnsi="Arial"/>
          <w:sz w:val="20"/>
          <w:szCs w:val="20"/>
          <w:b w:val="1"/>
          <w:bCs w:val="1"/>
          <w:color w:val="auto"/>
          <w:highlight w:val="white"/>
        </w:rPr>
        <w:t>President and Chief Executive Officer</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highlight w:val="white"/>
        </w:rPr>
        <w:t>POWER OF ATTORNEY</w:t>
      </w:r>
    </w:p>
    <w:p>
      <w:pPr>
        <w:spacing w:after="0" w:line="123" w:lineRule="exact"/>
        <w:rPr>
          <w:sz w:val="20"/>
          <w:szCs w:val="20"/>
          <w:color w:val="auto"/>
        </w:rPr>
      </w:pPr>
    </w:p>
    <w:p>
      <w:pPr>
        <w:ind w:firstLine="491"/>
        <w:spacing w:after="0" w:line="277" w:lineRule="auto"/>
        <w:rPr>
          <w:sz w:val="20"/>
          <w:szCs w:val="20"/>
          <w:color w:val="auto"/>
        </w:rPr>
      </w:pPr>
      <w:r>
        <w:rPr>
          <w:rFonts w:ascii="Arial" w:cs="Arial" w:eastAsia="Arial" w:hAnsi="Arial"/>
          <w:sz w:val="18"/>
          <w:szCs w:val="18"/>
          <w:color w:val="auto"/>
          <w:highlight w:val="white"/>
        </w:rPr>
        <w:t xml:space="preserve">Each person whose individual signature appears below hereby authorizes and appoints Malte Peters, Daniella Beckman and Julie Fogarty,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w:t>
      </w:r>
      <w:r>
        <w:rPr>
          <w:rFonts w:ascii="Arial" w:cs="Arial" w:eastAsia="Arial" w:hAnsi="Arial"/>
          <w:sz w:val="18"/>
          <w:szCs w:val="18"/>
          <w:color w:val="auto"/>
        </w:rPr>
        <w:t>may lawfully do or cause to be done by virtue thereof.</w:t>
      </w:r>
    </w:p>
    <w:p>
      <w:pPr>
        <w:spacing w:after="0" w:line="64" w:lineRule="exact"/>
        <w:rPr>
          <w:sz w:val="20"/>
          <w:szCs w:val="20"/>
          <w:color w:val="auto"/>
        </w:rPr>
      </w:pPr>
    </w:p>
    <w:p>
      <w:pPr>
        <w:ind w:right="40" w:firstLine="491"/>
        <w:spacing w:after="0" w:line="278" w:lineRule="auto"/>
        <w:rPr>
          <w:sz w:val="20"/>
          <w:szCs w:val="20"/>
          <w:color w:val="auto"/>
        </w:rPr>
      </w:pPr>
      <w:r>
        <w:rPr>
          <w:rFonts w:ascii="Arial" w:cs="Arial" w:eastAsia="Arial" w:hAnsi="Arial"/>
          <w:sz w:val="20"/>
          <w:szCs w:val="20"/>
          <w:color w:val="auto"/>
        </w:rPr>
        <w:t xml:space="preserve">Pursuant to the requirements of the Securities Exchange Act of 1934, as amended, this Report has been signed below by </w:t>
      </w:r>
      <w:r>
        <w:rPr>
          <w:rFonts w:ascii="Arial" w:cs="Arial" w:eastAsia="Arial" w:hAnsi="Arial"/>
          <w:sz w:val="20"/>
          <w:szCs w:val="20"/>
          <w:color w:val="auto"/>
          <w:highlight w:val="white"/>
        </w:rPr>
        <w:t xml:space="preserve">the following persons on behalf of the Registrant in the capacities and on the dates </w:t>
      </w:r>
      <w:r>
        <w:rPr>
          <w:rFonts w:ascii="Arial" w:cs="Arial" w:eastAsia="Arial" w:hAnsi="Arial"/>
          <w:sz w:val="20"/>
          <w:szCs w:val="20"/>
          <w:color w:val="auto"/>
        </w:rPr>
        <w:t>indicated.</w:t>
      </w:r>
    </w:p>
    <w:p>
      <w:pPr>
        <w:spacing w:after="0" w:line="220" w:lineRule="exact"/>
        <w:rPr>
          <w:sz w:val="20"/>
          <w:szCs w:val="20"/>
          <w:color w:val="auto"/>
        </w:rPr>
      </w:pPr>
    </w:p>
    <w:p>
      <w:pPr>
        <w:ind w:left="1480"/>
        <w:spacing w:after="0"/>
        <w:tabs>
          <w:tab w:leader="none" w:pos="5480" w:val="left"/>
          <w:tab w:leader="none" w:pos="888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10"/>
          </w:tcPr>
          <w:p>
            <w:pPr>
              <w:jc w:val="center"/>
              <w:spacing w:after="0"/>
              <w:rPr>
                <w:sz w:val="20"/>
                <w:szCs w:val="20"/>
                <w:color w:val="auto"/>
              </w:rPr>
            </w:pPr>
            <w:r>
              <w:rPr>
                <w:rFonts w:ascii="Arial" w:cs="Arial" w:eastAsia="Arial" w:hAnsi="Arial"/>
                <w:sz w:val="20"/>
                <w:szCs w:val="20"/>
                <w:color w:val="auto"/>
                <w:highlight w:val="white"/>
                <w:w w:val="89"/>
              </w:rPr>
              <w:t>/s/ Malte Peters</w:t>
            </w: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Arial" w:cs="Arial" w:eastAsia="Arial" w:hAnsi="Arial"/>
                <w:sz w:val="20"/>
                <w:szCs w:val="20"/>
                <w:color w:val="auto"/>
                <w:highlight w:val="white"/>
                <w:w w:val="85"/>
              </w:rPr>
              <w:t>President</w:t>
            </w:r>
          </w:p>
        </w:tc>
        <w:tc>
          <w:tcPr>
            <w:tcW w:w="340" w:type="dxa"/>
            <w:vAlign w:val="bottom"/>
          </w:tcPr>
          <w:p>
            <w:pPr>
              <w:ind w:left="40"/>
              <w:spacing w:after="0"/>
              <w:rPr>
                <w:sz w:val="20"/>
                <w:szCs w:val="20"/>
                <w:color w:val="auto"/>
              </w:rPr>
            </w:pPr>
            <w:r>
              <w:rPr>
                <w:rFonts w:ascii="Arial" w:cs="Arial" w:eastAsia="Arial" w:hAnsi="Arial"/>
                <w:sz w:val="20"/>
                <w:szCs w:val="20"/>
                <w:color w:val="auto"/>
                <w:w w:val="83"/>
              </w:rPr>
              <w:t>and</w:t>
            </w:r>
          </w:p>
        </w:tc>
        <w:tc>
          <w:tcPr>
            <w:tcW w:w="4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20"/>
                <w:szCs w:val="20"/>
                <w:color w:val="auto"/>
                <w:highlight w:val="white"/>
                <w:w w:val="89"/>
              </w:rPr>
              <w:t>Chief</w:t>
            </w:r>
          </w:p>
        </w:tc>
        <w:tc>
          <w:tcPr>
            <w:tcW w:w="6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20"/>
                <w:szCs w:val="20"/>
                <w:color w:val="auto"/>
                <w:highlight w:val="white"/>
                <w:w w:val="89"/>
              </w:rPr>
              <w:t>Executive</w:t>
            </w:r>
          </w:p>
        </w:tc>
        <w:tc>
          <w:tcPr>
            <w:tcW w:w="4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20"/>
                <w:szCs w:val="20"/>
                <w:color w:val="auto"/>
                <w:highlight w:val="white"/>
                <w:w w:val="95"/>
              </w:rPr>
              <w:t>Officer, Director</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20"/>
                <w:szCs w:val="20"/>
                <w:color w:val="auto"/>
                <w:highlight w:val="white"/>
                <w:w w:val="89"/>
              </w:rPr>
              <w:t>March 5,</w:t>
            </w: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highlight w:val="white"/>
                <w:w w:val="80"/>
              </w:rPr>
              <w:t>2026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20" w:type="dxa"/>
            <w:vAlign w:val="bottom"/>
            <w:gridSpan w:val="14"/>
          </w:tcPr>
          <w:p>
            <w:pPr>
              <w:jc w:val="center"/>
              <w:ind w:right="1100"/>
              <w:spacing w:after="0"/>
              <w:rPr>
                <w:sz w:val="20"/>
                <w:szCs w:val="20"/>
                <w:color w:val="auto"/>
              </w:rPr>
            </w:pPr>
            <w:r>
              <w:rPr>
                <w:rFonts w:ascii="Arial" w:cs="Arial" w:eastAsia="Arial" w:hAnsi="Arial"/>
                <w:sz w:val="16"/>
                <w:szCs w:val="16"/>
                <w:b w:val="1"/>
                <w:bCs w:val="1"/>
                <w:color w:val="auto"/>
                <w:w w:val="95"/>
              </w:rPr>
              <w:t>Malte Peters, MD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80" w:type="dxa"/>
            <w:vAlign w:val="bottom"/>
            <w:gridSpan w:val="12"/>
          </w:tcPr>
          <w:p>
            <w:pPr>
              <w:ind w:left="40"/>
              <w:spacing w:after="0"/>
              <w:rPr>
                <w:sz w:val="20"/>
                <w:szCs w:val="20"/>
                <w:color w:val="auto"/>
              </w:rPr>
            </w:pPr>
            <w:r>
              <w:rPr>
                <w:rFonts w:ascii="Arial" w:cs="Arial" w:eastAsia="Arial" w:hAnsi="Arial"/>
                <w:sz w:val="16"/>
                <w:szCs w:val="16"/>
                <w:color w:val="auto"/>
              </w:rPr>
              <w:t>(Principal Executive Officer)</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9"/>
            <w:vMerge w:val="restart"/>
          </w:tcPr>
          <w:p>
            <w:pPr>
              <w:spacing w:after="0"/>
              <w:rPr>
                <w:sz w:val="20"/>
                <w:szCs w:val="20"/>
                <w:color w:val="auto"/>
              </w:rPr>
            </w:pPr>
            <w:r>
              <w:rPr>
                <w:rFonts w:ascii="Arial" w:cs="Arial" w:eastAsia="Arial" w:hAnsi="Arial"/>
                <w:sz w:val="20"/>
                <w:szCs w:val="20"/>
                <w:color w:val="auto"/>
              </w:rPr>
              <w:t>Beckman</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1140" w:type="dxa"/>
            <w:vAlign w:val="bottom"/>
            <w:gridSpan w:val="6"/>
          </w:tcPr>
          <w:p>
            <w:pPr>
              <w:spacing w:after="0"/>
              <w:rPr>
                <w:sz w:val="8"/>
                <w:szCs w:val="8"/>
                <w:color w:val="auto"/>
              </w:rPr>
            </w:pPr>
          </w:p>
        </w:tc>
        <w:tc>
          <w:tcPr>
            <w:tcW w:w="60" w:type="dxa"/>
            <w:vAlign w:val="bottom"/>
          </w:tcPr>
          <w:p>
            <w:pPr>
              <w:spacing w:after="0"/>
              <w:rPr>
                <w:sz w:val="8"/>
                <w:szCs w:val="8"/>
                <w:color w:val="auto"/>
              </w:rPr>
            </w:pPr>
          </w:p>
        </w:tc>
        <w:tc>
          <w:tcPr>
            <w:tcW w:w="1960" w:type="dxa"/>
            <w:vAlign w:val="bottom"/>
            <w:gridSpan w:val="3"/>
            <w:vMerge w:val="restart"/>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20"/>
                <w:szCs w:val="20"/>
                <w:color w:val="auto"/>
                <w:w w:val="93"/>
              </w:rPr>
              <w:t>March 5, 2026</w:t>
            </w:r>
          </w:p>
        </w:tc>
        <w:tc>
          <w:tcPr>
            <w:tcW w:w="0" w:type="dxa"/>
            <w:vAlign w:val="bottom"/>
          </w:tcPr>
          <w:p>
            <w:pPr>
              <w:spacing w:after="0"/>
              <w:rPr>
                <w:sz w:val="1"/>
                <w:szCs w:val="1"/>
                <w:color w:val="auto"/>
              </w:rPr>
            </w:pPr>
          </w:p>
        </w:tc>
      </w:tr>
      <w:tr>
        <w:trPr>
          <w:trHeight w:val="230"/>
        </w:trPr>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highlight w:val="white"/>
                <w:w w:val="94"/>
              </w:rPr>
              <w:t>/s/ Daniella</w:t>
            </w:r>
          </w:p>
        </w:tc>
        <w:tc>
          <w:tcPr>
            <w:tcW w:w="1600" w:type="dxa"/>
            <w:vAlign w:val="bottom"/>
            <w:tcBorders>
              <w:bottom w:val="single" w:sz="8" w:color="auto"/>
            </w:tcBorders>
            <w:gridSpan w:val="9"/>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gridSpan w:val="9"/>
          </w:tcPr>
          <w:p>
            <w:pPr>
              <w:ind w:left="40"/>
              <w:spacing w:after="0"/>
              <w:rPr>
                <w:sz w:val="20"/>
                <w:szCs w:val="20"/>
                <w:color w:val="auto"/>
              </w:rPr>
            </w:pPr>
            <w:r>
              <w:rPr>
                <w:rFonts w:ascii="Arial" w:cs="Arial" w:eastAsia="Arial" w:hAnsi="Arial"/>
                <w:sz w:val="20"/>
                <w:szCs w:val="20"/>
                <w:color w:val="auto"/>
                <w:highlight w:val="white"/>
                <w:w w:val="94"/>
              </w:rPr>
              <w:t>Chief Financial Officer</w:t>
            </w:r>
          </w:p>
        </w:tc>
        <w:tc>
          <w:tcPr>
            <w:tcW w:w="1960" w:type="dxa"/>
            <w:vAlign w:val="bottom"/>
            <w:gridSpan w:val="3"/>
            <w:vMerge w:val="continue"/>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15"/>
          </w:tcPr>
          <w:p>
            <w:pPr>
              <w:jc w:val="center"/>
              <w:ind w:right="1020"/>
              <w:spacing w:after="0"/>
              <w:rPr>
                <w:sz w:val="20"/>
                <w:szCs w:val="20"/>
                <w:color w:val="auto"/>
              </w:rPr>
            </w:pPr>
            <w:r>
              <w:rPr>
                <w:rFonts w:ascii="Arial" w:cs="Arial" w:eastAsia="Arial" w:hAnsi="Arial"/>
                <w:sz w:val="16"/>
                <w:szCs w:val="16"/>
                <w:b w:val="1"/>
                <w:bCs w:val="1"/>
                <w:color w:val="auto"/>
                <w:w w:val="90"/>
              </w:rPr>
              <w:t>Daniella Beckman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8"/>
          </w:tcPr>
          <w:p>
            <w:pPr>
              <w:ind w:left="40"/>
              <w:spacing w:after="0"/>
              <w:rPr>
                <w:sz w:val="20"/>
                <w:szCs w:val="20"/>
                <w:color w:val="auto"/>
              </w:rPr>
            </w:pPr>
            <w:r>
              <w:rPr>
                <w:rFonts w:ascii="Arial" w:cs="Arial" w:eastAsia="Arial" w:hAnsi="Arial"/>
                <w:sz w:val="16"/>
                <w:szCs w:val="16"/>
                <w:color w:val="auto"/>
                <w:highlight w:val="white"/>
                <w:w w:val="93"/>
              </w:rPr>
              <w:t>(Principal Financial Officer)</w:t>
            </w:r>
          </w:p>
        </w:tc>
        <w:tc>
          <w:tcPr>
            <w:tcW w:w="2020" w:type="dxa"/>
            <w:vAlign w:val="bottom"/>
            <w:gridSpan w:val="4"/>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80" w:type="dxa"/>
            <w:vAlign w:val="bottom"/>
            <w:gridSpan w:val="12"/>
            <w:vMerge w:val="restart"/>
          </w:tcPr>
          <w:p>
            <w:pPr>
              <w:ind w:left="40"/>
              <w:spacing w:after="0"/>
              <w:rPr>
                <w:sz w:val="20"/>
                <w:szCs w:val="20"/>
                <w:color w:val="auto"/>
              </w:rPr>
            </w:pPr>
            <w:r>
              <w:rPr>
                <w:rFonts w:ascii="Arial" w:cs="Arial" w:eastAsia="Arial" w:hAnsi="Arial"/>
                <w:sz w:val="20"/>
                <w:szCs w:val="20"/>
                <w:color w:val="auto"/>
                <w:w w:val="95"/>
              </w:rPr>
              <w:t>Executive Chairman of the Board of Directors</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20"/>
                <w:szCs w:val="20"/>
                <w:color w:val="auto"/>
                <w:w w:val="93"/>
              </w:rPr>
              <w:t>March 5, 2026</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17"/>
          </w:tcPr>
          <w:p>
            <w:pPr>
              <w:jc w:val="center"/>
              <w:spacing w:after="0"/>
              <w:rPr>
                <w:sz w:val="20"/>
                <w:szCs w:val="20"/>
                <w:color w:val="auto"/>
              </w:rPr>
            </w:pPr>
            <w:r>
              <w:rPr>
                <w:rFonts w:ascii="Arial" w:cs="Arial" w:eastAsia="Arial" w:hAnsi="Arial"/>
                <w:sz w:val="20"/>
                <w:szCs w:val="20"/>
                <w:color w:val="auto"/>
                <w:highlight w:val="white"/>
                <w:w w:val="91"/>
              </w:rPr>
              <w:t>/s/ Barbara Weber, MD</w:t>
            </w:r>
          </w:p>
        </w:tc>
        <w:tc>
          <w:tcPr>
            <w:tcW w:w="7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80" w:type="dxa"/>
            <w:vAlign w:val="bottom"/>
            <w:gridSpan w:val="12"/>
            <w:vMerge w:val="continue"/>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7"/>
          </w:tcPr>
          <w:p>
            <w:pPr>
              <w:jc w:val="center"/>
              <w:ind w:right="880"/>
              <w:spacing w:after="0"/>
              <w:rPr>
                <w:sz w:val="20"/>
                <w:szCs w:val="20"/>
                <w:color w:val="auto"/>
              </w:rPr>
            </w:pPr>
            <w:r>
              <w:rPr>
                <w:rFonts w:ascii="Arial" w:cs="Arial" w:eastAsia="Arial" w:hAnsi="Arial"/>
                <w:sz w:val="16"/>
                <w:szCs w:val="16"/>
                <w:b w:val="1"/>
                <w:bCs w:val="1"/>
                <w:color w:val="auto"/>
                <w:w w:val="96"/>
              </w:rPr>
              <w:t>Barbara Weber, MD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560" w:type="dxa"/>
            <w:vAlign w:val="bottom"/>
            <w:gridSpan w:val="8"/>
            <w:vMerge w:val="restart"/>
          </w:tcPr>
          <w:p>
            <w:pPr>
              <w:spacing w:after="0"/>
              <w:rPr>
                <w:sz w:val="20"/>
                <w:szCs w:val="20"/>
                <w:color w:val="auto"/>
              </w:rPr>
            </w:pPr>
            <w:r>
              <w:rPr>
                <w:rFonts w:ascii="Arial" w:cs="Arial" w:eastAsia="Arial" w:hAnsi="Arial"/>
                <w:sz w:val="20"/>
                <w:szCs w:val="20"/>
                <w:color w:val="auto"/>
              </w:rPr>
              <w:t>Borisy</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3160" w:type="dxa"/>
            <w:vAlign w:val="bottom"/>
            <w:gridSpan w:val="10"/>
            <w:vMerge w:val="restart"/>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20"/>
                <w:szCs w:val="20"/>
                <w:color w:val="auto"/>
                <w:w w:val="93"/>
              </w:rPr>
              <w:t>March 5, 2026</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7"/>
          </w:tcPr>
          <w:p>
            <w:pPr>
              <w:spacing w:after="0"/>
              <w:rPr>
                <w:sz w:val="20"/>
                <w:szCs w:val="20"/>
                <w:color w:val="auto"/>
              </w:rPr>
            </w:pPr>
            <w:r>
              <w:rPr>
                <w:rFonts w:ascii="Arial" w:cs="Arial" w:eastAsia="Arial" w:hAnsi="Arial"/>
                <w:sz w:val="20"/>
                <w:szCs w:val="20"/>
                <w:color w:val="auto"/>
                <w:highlight w:val="white"/>
                <w:w w:val="99"/>
              </w:rPr>
              <w:t>/s/ Alexis</w:t>
            </w:r>
          </w:p>
        </w:tc>
        <w:tc>
          <w:tcPr>
            <w:tcW w:w="156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20"/>
                <w:szCs w:val="20"/>
                <w:color w:val="auto"/>
                <w:highlight w:val="white"/>
                <w:w w:val="94"/>
              </w:rPr>
              <w:t>Director</w:t>
            </w:r>
          </w:p>
        </w:tc>
        <w:tc>
          <w:tcPr>
            <w:tcW w:w="3160" w:type="dxa"/>
            <w:vAlign w:val="bottom"/>
            <w:gridSpan w:val="10"/>
            <w:vMerge w:val="continue"/>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12"/>
          </w:tcPr>
          <w:p>
            <w:pPr>
              <w:jc w:val="center"/>
              <w:ind w:right="1220"/>
              <w:spacing w:after="0"/>
              <w:rPr>
                <w:sz w:val="20"/>
                <w:szCs w:val="20"/>
                <w:color w:val="auto"/>
              </w:rPr>
            </w:pPr>
            <w:r>
              <w:rPr>
                <w:rFonts w:ascii="Arial" w:cs="Arial" w:eastAsia="Arial" w:hAnsi="Arial"/>
                <w:sz w:val="16"/>
                <w:szCs w:val="16"/>
                <w:b w:val="1"/>
                <w:bCs w:val="1"/>
                <w:color w:val="auto"/>
                <w:w w:val="88"/>
              </w:rPr>
              <w:t>Alexis Borisy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6"/>
            <w:vMerge w:val="restart"/>
          </w:tcPr>
          <w:p>
            <w:pPr>
              <w:spacing w:after="0"/>
              <w:rPr>
                <w:sz w:val="20"/>
                <w:szCs w:val="20"/>
                <w:color w:val="auto"/>
              </w:rPr>
            </w:pPr>
            <w:r>
              <w:rPr>
                <w:rFonts w:ascii="Arial" w:cs="Arial" w:eastAsia="Arial" w:hAnsi="Arial"/>
                <w:sz w:val="20"/>
                <w:szCs w:val="20"/>
                <w:color w:val="auto"/>
              </w:rPr>
              <w:t>Calhoun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3160" w:type="dxa"/>
            <w:vAlign w:val="bottom"/>
            <w:gridSpan w:val="10"/>
            <w:vMerge w:val="restart"/>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20"/>
                <w:szCs w:val="20"/>
                <w:color w:val="auto"/>
                <w:w w:val="93"/>
              </w:rPr>
              <w:t>March 5, 2026</w:t>
            </w:r>
          </w:p>
        </w:tc>
        <w:tc>
          <w:tcPr>
            <w:tcW w:w="0" w:type="dxa"/>
            <w:vAlign w:val="bottom"/>
          </w:tcPr>
          <w:p>
            <w:pPr>
              <w:spacing w:after="0"/>
              <w:rPr>
                <w:sz w:val="1"/>
                <w:szCs w:val="1"/>
                <w:color w:val="auto"/>
              </w:rPr>
            </w:pPr>
          </w:p>
        </w:tc>
      </w:tr>
      <w:tr>
        <w:trPr>
          <w:trHeight w:val="230"/>
        </w:trPr>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0"/>
                <w:szCs w:val="20"/>
                <w:color w:val="auto"/>
                <w:highlight w:val="white"/>
                <w:w w:val="95"/>
              </w:rPr>
              <w:t>/s/ Lesley Ann</w:t>
            </w:r>
          </w:p>
        </w:tc>
        <w:tc>
          <w:tcPr>
            <w:tcW w:w="1440" w:type="dxa"/>
            <w:vAlign w:val="bottom"/>
            <w:tcBorders>
              <w:bottom w:val="single" w:sz="8" w:color="auto"/>
            </w:tcBorders>
            <w:gridSpan w:val="6"/>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20"/>
                <w:szCs w:val="20"/>
                <w:color w:val="auto"/>
                <w:highlight w:val="white"/>
                <w:w w:val="91"/>
              </w:rPr>
              <w:t>Director</w:t>
            </w:r>
          </w:p>
        </w:tc>
        <w:tc>
          <w:tcPr>
            <w:tcW w:w="3160" w:type="dxa"/>
            <w:vAlign w:val="bottom"/>
            <w:gridSpan w:val="10"/>
            <w:vMerge w:val="continue"/>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jc w:val="center"/>
              <w:ind w:right="1020"/>
              <w:spacing w:after="0"/>
              <w:rPr>
                <w:sz w:val="20"/>
                <w:szCs w:val="20"/>
                <w:color w:val="auto"/>
              </w:rPr>
            </w:pPr>
            <w:r>
              <w:rPr>
                <w:rFonts w:ascii="Arial" w:cs="Arial" w:eastAsia="Arial" w:hAnsi="Arial"/>
                <w:sz w:val="16"/>
                <w:szCs w:val="16"/>
                <w:b w:val="1"/>
                <w:bCs w:val="1"/>
                <w:color w:val="auto"/>
                <w:w w:val="89"/>
              </w:rPr>
              <w:t>Lesley Ann Calhoun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800" w:type="dxa"/>
            <w:vAlign w:val="bottom"/>
            <w:gridSpan w:val="2"/>
            <w:vMerge w:val="restart"/>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3160" w:type="dxa"/>
            <w:vAlign w:val="bottom"/>
            <w:gridSpan w:val="10"/>
            <w:vMerge w:val="restart"/>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highlight w:val="white"/>
              </w:rPr>
              <w:t>/s/</w:t>
            </w:r>
          </w:p>
        </w:tc>
        <w:tc>
          <w:tcPr>
            <w:tcW w:w="82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highlight w:val="white"/>
                <w:w w:val="97"/>
              </w:rPr>
              <w:t>Kanishka</w:t>
            </w:r>
          </w:p>
        </w:tc>
        <w:tc>
          <w:tcPr>
            <w:tcW w:w="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20"/>
                <w:szCs w:val="20"/>
                <w:color w:val="auto"/>
                <w:highlight w:val="white"/>
                <w:w w:val="85"/>
              </w:rPr>
              <w:t>Pothula</w:t>
            </w:r>
          </w:p>
        </w:tc>
        <w:tc>
          <w:tcPr>
            <w:tcW w:w="80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20"/>
                <w:szCs w:val="20"/>
                <w:color w:val="auto"/>
                <w:highlight w:val="white"/>
                <w:w w:val="94"/>
              </w:rPr>
              <w:t>Director</w:t>
            </w:r>
          </w:p>
        </w:tc>
        <w:tc>
          <w:tcPr>
            <w:tcW w:w="3160" w:type="dxa"/>
            <w:vAlign w:val="bottom"/>
            <w:gridSpan w:val="10"/>
            <w:vMerge w:val="continue"/>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20"/>
                <w:szCs w:val="20"/>
                <w:color w:val="auto"/>
                <w:highlight w:val="white"/>
                <w:w w:val="93"/>
              </w:rPr>
              <w:t>March 5, 2026</w:t>
            </w: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14"/>
          </w:tcPr>
          <w:p>
            <w:pPr>
              <w:jc w:val="center"/>
              <w:ind w:right="1080"/>
              <w:spacing w:after="0"/>
              <w:rPr>
                <w:sz w:val="20"/>
                <w:szCs w:val="20"/>
                <w:color w:val="auto"/>
              </w:rPr>
            </w:pPr>
            <w:r>
              <w:rPr>
                <w:rFonts w:ascii="Arial" w:cs="Arial" w:eastAsia="Arial" w:hAnsi="Arial"/>
                <w:sz w:val="16"/>
                <w:szCs w:val="16"/>
                <w:b w:val="1"/>
                <w:bCs w:val="1"/>
                <w:color w:val="auto"/>
                <w:w w:val="92"/>
              </w:rPr>
              <w:t>Kanishka Pothula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gridSpan w:val="4"/>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gridSpan w:val="10"/>
            <w:vMerge w:val="restart"/>
          </w:tcPr>
          <w:p>
            <w:pPr>
              <w:jc w:val="center"/>
              <w:ind w:right="1000"/>
              <w:spacing w:after="0"/>
              <w:rPr>
                <w:sz w:val="20"/>
                <w:szCs w:val="20"/>
                <w:color w:val="auto"/>
              </w:rPr>
            </w:pPr>
            <w:r>
              <w:rPr>
                <w:rFonts w:ascii="Arial" w:cs="Arial" w:eastAsia="Arial" w:hAnsi="Arial"/>
                <w:sz w:val="20"/>
                <w:szCs w:val="20"/>
                <w:color w:val="auto"/>
                <w:w w:val="93"/>
              </w:rPr>
              <w:t>Ketchum</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3160" w:type="dxa"/>
            <w:vAlign w:val="bottom"/>
            <w:gridSpan w:val="10"/>
            <w:vMerge w:val="restart"/>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20"/>
                <w:szCs w:val="20"/>
                <w:color w:val="auto"/>
                <w:w w:val="93"/>
              </w:rPr>
              <w:t>March 5, 2026</w:t>
            </w:r>
          </w:p>
        </w:tc>
        <w:tc>
          <w:tcPr>
            <w:tcW w:w="0" w:type="dxa"/>
            <w:vAlign w:val="bottom"/>
          </w:tcPr>
          <w:p>
            <w:pPr>
              <w:spacing w:after="0"/>
              <w:rPr>
                <w:sz w:val="1"/>
                <w:szCs w:val="1"/>
                <w:color w:val="auto"/>
              </w:rPr>
            </w:pPr>
          </w:p>
        </w:tc>
      </w:tr>
      <w:tr>
        <w:trPr>
          <w:trHeight w:val="230"/>
        </w:trPr>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highlight w:val="white"/>
                <w:w w:val="91"/>
              </w:rPr>
              <w:t>/s/ John</w:t>
            </w:r>
          </w:p>
        </w:tc>
        <w:tc>
          <w:tcPr>
            <w:tcW w:w="1740" w:type="dxa"/>
            <w:vAlign w:val="bottom"/>
            <w:tcBorders>
              <w:bottom w:val="single" w:sz="8" w:color="auto"/>
            </w:tcBorders>
            <w:gridSpan w:val="10"/>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20"/>
                <w:szCs w:val="20"/>
                <w:color w:val="auto"/>
                <w:highlight w:val="white"/>
                <w:w w:val="94"/>
              </w:rPr>
              <w:t>Director</w:t>
            </w:r>
          </w:p>
        </w:tc>
        <w:tc>
          <w:tcPr>
            <w:tcW w:w="3160" w:type="dxa"/>
            <w:vAlign w:val="bottom"/>
            <w:gridSpan w:val="10"/>
            <w:vMerge w:val="continue"/>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13"/>
          </w:tcPr>
          <w:p>
            <w:pPr>
              <w:jc w:val="center"/>
              <w:ind w:right="1100"/>
              <w:spacing w:after="0"/>
              <w:rPr>
                <w:sz w:val="20"/>
                <w:szCs w:val="20"/>
                <w:color w:val="auto"/>
              </w:rPr>
            </w:pPr>
            <w:r>
              <w:rPr>
                <w:rFonts w:ascii="Arial" w:cs="Arial" w:eastAsia="Arial" w:hAnsi="Arial"/>
                <w:sz w:val="16"/>
                <w:szCs w:val="16"/>
                <w:b w:val="1"/>
                <w:bCs w:val="1"/>
                <w:color w:val="auto"/>
                <w:w w:val="89"/>
              </w:rPr>
              <w:t>John Ketchum</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gridSpan w:val="3"/>
          </w:tcPr>
          <w:p>
            <w:pPr>
              <w:spacing w:after="0"/>
              <w:rPr>
                <w:sz w:val="8"/>
                <w:szCs w:val="8"/>
                <w:color w:val="auto"/>
              </w:rPr>
            </w:pPr>
          </w:p>
        </w:tc>
        <w:tc>
          <w:tcPr>
            <w:tcW w:w="360" w:type="dxa"/>
            <w:vAlign w:val="bottom"/>
            <w:gridSpan w:val="3"/>
          </w:tcPr>
          <w:p>
            <w:pPr>
              <w:spacing w:after="0"/>
              <w:rPr>
                <w:sz w:val="8"/>
                <w:szCs w:val="8"/>
                <w:color w:val="auto"/>
              </w:rPr>
            </w:pPr>
          </w:p>
        </w:tc>
        <w:tc>
          <w:tcPr>
            <w:tcW w:w="1180" w:type="dxa"/>
            <w:vAlign w:val="bottom"/>
            <w:gridSpan w:val="4"/>
            <w:vMerge w:val="restart"/>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160" w:type="dxa"/>
            <w:vAlign w:val="bottom"/>
            <w:gridSpan w:val="10"/>
            <w:vMerge w:val="restart"/>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highlight w:val="white"/>
                <w:w w:val="84"/>
              </w:rPr>
              <w:t>/s/ Sung</w:t>
            </w: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Lee</w:t>
            </w:r>
          </w:p>
        </w:tc>
        <w:tc>
          <w:tcPr>
            <w:tcW w:w="1180" w:type="dxa"/>
            <w:vAlign w:val="bottom"/>
            <w:tcBorders>
              <w:bottom w:val="single" w:sz="8" w:color="auto"/>
            </w:tcBorders>
            <w:gridSpan w:val="4"/>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20"/>
                <w:szCs w:val="20"/>
                <w:color w:val="auto"/>
                <w:highlight w:val="white"/>
                <w:w w:val="91"/>
              </w:rPr>
              <w:t>Director</w:t>
            </w:r>
          </w:p>
        </w:tc>
        <w:tc>
          <w:tcPr>
            <w:tcW w:w="3160" w:type="dxa"/>
            <w:vAlign w:val="bottom"/>
            <w:gridSpan w:val="10"/>
            <w:vMerge w:val="continue"/>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20"/>
                <w:szCs w:val="20"/>
                <w:color w:val="auto"/>
                <w:highlight w:val="white"/>
                <w:w w:val="93"/>
              </w:rPr>
              <w:t>March 5, 2026</w:t>
            </w: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12"/>
          </w:tcPr>
          <w:p>
            <w:pPr>
              <w:jc w:val="center"/>
              <w:ind w:right="1200"/>
              <w:spacing w:after="0"/>
              <w:rPr>
                <w:sz w:val="20"/>
                <w:szCs w:val="20"/>
                <w:color w:val="auto"/>
              </w:rPr>
            </w:pPr>
            <w:r>
              <w:rPr>
                <w:rFonts w:ascii="Arial" w:cs="Arial" w:eastAsia="Arial" w:hAnsi="Arial"/>
                <w:sz w:val="16"/>
                <w:szCs w:val="16"/>
                <w:b w:val="1"/>
                <w:bCs w:val="1"/>
                <w:color w:val="auto"/>
                <w:w w:val="88"/>
              </w:rPr>
              <w:t>Sung Lee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6"/>
          </w:tcPr>
          <w:p>
            <w:pPr>
              <w:spacing w:after="0"/>
              <w:rPr>
                <w:sz w:val="8"/>
                <w:szCs w:val="8"/>
                <w:color w:val="auto"/>
              </w:rPr>
            </w:pPr>
          </w:p>
        </w:tc>
        <w:tc>
          <w:tcPr>
            <w:tcW w:w="1800" w:type="dxa"/>
            <w:vAlign w:val="bottom"/>
            <w:gridSpan w:val="11"/>
            <w:vMerge w:val="restart"/>
          </w:tcPr>
          <w:p>
            <w:pPr>
              <w:jc w:val="right"/>
              <w:ind w:right="880"/>
              <w:spacing w:after="0"/>
              <w:rPr>
                <w:sz w:val="20"/>
                <w:szCs w:val="20"/>
                <w:color w:val="auto"/>
              </w:rPr>
            </w:pPr>
            <w:r>
              <w:rPr>
                <w:rFonts w:ascii="Arial" w:cs="Arial" w:eastAsia="Arial" w:hAnsi="Arial"/>
                <w:sz w:val="20"/>
                <w:szCs w:val="20"/>
                <w:color w:val="auto"/>
                <w:w w:val="86"/>
              </w:rPr>
              <w:t>Rothenberg</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3160" w:type="dxa"/>
            <w:vAlign w:val="bottom"/>
            <w:gridSpan w:val="10"/>
            <w:vMerge w:val="restart"/>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20"/>
                <w:szCs w:val="20"/>
                <w:color w:val="auto"/>
                <w:w w:val="93"/>
              </w:rPr>
              <w:t>March 5, 2026</w:t>
            </w:r>
          </w:p>
        </w:tc>
        <w:tc>
          <w:tcPr>
            <w:tcW w:w="0" w:type="dxa"/>
            <w:vAlign w:val="bottom"/>
          </w:tcPr>
          <w:p>
            <w:pPr>
              <w:spacing w:after="0"/>
              <w:rPr>
                <w:sz w:val="1"/>
                <w:szCs w:val="1"/>
                <w:color w:val="auto"/>
              </w:rPr>
            </w:pPr>
          </w:p>
        </w:tc>
      </w:tr>
      <w:tr>
        <w:trPr>
          <w:trHeight w:val="229"/>
        </w:trPr>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highlight w:val="white"/>
                <w:w w:val="95"/>
              </w:rPr>
              <w:t>/s/ Mace</w:t>
            </w:r>
          </w:p>
        </w:tc>
        <w:tc>
          <w:tcPr>
            <w:tcW w:w="1800" w:type="dxa"/>
            <w:vAlign w:val="bottom"/>
            <w:tcBorders>
              <w:bottom w:val="single" w:sz="8" w:color="auto"/>
            </w:tcBorders>
            <w:gridSpan w:val="11"/>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20"/>
                <w:szCs w:val="20"/>
                <w:color w:val="auto"/>
                <w:highlight w:val="white"/>
                <w:w w:val="94"/>
              </w:rPr>
              <w:t>Director</w:t>
            </w:r>
          </w:p>
        </w:tc>
        <w:tc>
          <w:tcPr>
            <w:tcW w:w="3160" w:type="dxa"/>
            <w:vAlign w:val="bottom"/>
            <w:gridSpan w:val="10"/>
            <w:vMerge w:val="continue"/>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17"/>
          </w:tcPr>
          <w:p>
            <w:pPr>
              <w:jc w:val="center"/>
              <w:ind w:right="860"/>
              <w:spacing w:after="0"/>
              <w:rPr>
                <w:sz w:val="20"/>
                <w:szCs w:val="20"/>
                <w:color w:val="auto"/>
              </w:rPr>
            </w:pPr>
            <w:r>
              <w:rPr>
                <w:rFonts w:ascii="Arial" w:cs="Arial" w:eastAsia="Arial" w:hAnsi="Arial"/>
                <w:sz w:val="16"/>
                <w:szCs w:val="16"/>
                <w:b w:val="1"/>
                <w:bCs w:val="1"/>
                <w:color w:val="auto"/>
                <w:w w:val="92"/>
              </w:rPr>
              <w:t>Mace Rothenberg, MD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-2424430</wp:posOffset>
            </wp:positionV>
            <wp:extent cx="5854065" cy="2423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extLst>
                        <a:ext uri="{28A0092B-C50C-407E-A947-70E740481C1C}"/>
                      </a:extLst>
                    </a:blip>
                    <a:srcRect/>
                    <a:stretch>
                      <a:fillRect/>
                    </a:stretch>
                  </pic:blipFill>
                  <pic:spPr bwMode="auto">
                    <a:xfrm>
                      <a:off x="0" y="0"/>
                      <a:ext cx="5854065" cy="2423160"/>
                    </a:xfrm>
                    <a:prstGeom prst="rect">
                      <a:avLst/>
                    </a:prstGeom>
                    <a:noFill/>
                  </pic:spPr>
                </pic:pic>
              </a:graphicData>
            </a:graphic>
          </wp:anchor>
        </w:drawing>
      </w:r>
    </w:p>
    <w:p>
      <w:pPr>
        <w:sectPr>
          <w:pgSz w:w="12240" w:h="15840" w:orient="portrait"/>
          <w:cols w:equalWidth="0" w:num="1">
            <w:col w:w="10140"/>
          </w:cols>
          <w:pgMar w:left="1000" w:top="1056"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ectPr>
          <w:pgSz w:w="12240" w:h="15840" w:orient="portrait"/>
          <w:cols w:equalWidth="0" w:num="1">
            <w:col w:w="10140"/>
          </w:cols>
          <w:pgMar w:left="1000" w:top="1056" w:right="1100" w:bottom="21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highlight w:val="white"/>
                <w:w w:val="94"/>
              </w:rPr>
              <w:t>Page</w:t>
            </w:r>
          </w:p>
        </w:tc>
        <w:tc>
          <w:tcPr>
            <w:tcW w:w="120" w:type="dxa"/>
            <w:vAlign w:val="bottom"/>
            <w:tcBorders>
              <w:bottom w:val="single" w:sz="8" w:color="auto"/>
            </w:tcBorders>
          </w:tcPr>
          <w:p>
            <w:pPr>
              <w:spacing w:after="0"/>
              <w:rPr>
                <w:sz w:val="16"/>
                <w:szCs w:val="16"/>
                <w:color w:val="auto"/>
              </w:rPr>
            </w:pPr>
          </w:p>
        </w:tc>
      </w:tr>
      <w:tr>
        <w:trPr>
          <w:trHeight w:val="270"/>
        </w:trPr>
        <w:tc>
          <w:tcPr>
            <w:tcW w:w="9580" w:type="dxa"/>
            <w:vAlign w:val="bottom"/>
            <w:gridSpan w:val="2"/>
          </w:tcPr>
          <w:p>
            <w:pPr>
              <w:spacing w:after="0"/>
              <w:rPr>
                <w:sz w:val="20"/>
                <w:szCs w:val="20"/>
                <w:color w:val="auto"/>
              </w:rPr>
            </w:pPr>
            <w:r>
              <w:rPr>
                <w:rFonts w:ascii="Arial" w:cs="Arial" w:eastAsia="Arial" w:hAnsi="Arial"/>
                <w:sz w:val="20"/>
                <w:szCs w:val="20"/>
                <w:color w:val="0000FF"/>
              </w:rPr>
              <w:t>Report of Independent Registered Public Accounting Firm (PCAOB ID 238)</w:t>
            </w:r>
          </w:p>
        </w:tc>
        <w:tc>
          <w:tcPr>
            <w:tcW w:w="500" w:type="dxa"/>
            <w:vAlign w:val="bottom"/>
            <w:gridSpan w:val="2"/>
          </w:tcPr>
          <w:p>
            <w:pPr>
              <w:ind w:left="220"/>
              <w:spacing w:after="0"/>
              <w:rPr>
                <w:sz w:val="20"/>
                <w:szCs w:val="20"/>
                <w:color w:val="auto"/>
              </w:rPr>
            </w:pPr>
            <w:r>
              <w:rPr>
                <w:rFonts w:ascii="Arial" w:cs="Arial" w:eastAsia="Arial" w:hAnsi="Arial"/>
                <w:sz w:val="20"/>
                <w:szCs w:val="20"/>
                <w:color w:val="auto"/>
                <w:w w:val="86"/>
              </w:rPr>
              <w:t>F-2</w:t>
            </w:r>
          </w:p>
        </w:tc>
      </w:tr>
      <w:tr>
        <w:trPr>
          <w:trHeight w:val="250"/>
        </w:trPr>
        <w:tc>
          <w:tcPr>
            <w:tcW w:w="9580" w:type="dxa"/>
            <w:vAlign w:val="bottom"/>
            <w:gridSpan w:val="2"/>
          </w:tcPr>
          <w:p>
            <w:pPr>
              <w:spacing w:after="0"/>
              <w:rPr>
                <w:sz w:val="20"/>
                <w:szCs w:val="20"/>
                <w:color w:val="auto"/>
              </w:rPr>
            </w:pPr>
            <w:r>
              <w:rPr>
                <w:rFonts w:ascii="Arial" w:cs="Arial" w:eastAsia="Arial" w:hAnsi="Arial"/>
                <w:sz w:val="20"/>
                <w:szCs w:val="20"/>
                <w:color w:val="0000FF"/>
              </w:rPr>
              <w:t>Consolidated Balance Sheets</w:t>
            </w:r>
          </w:p>
        </w:tc>
        <w:tc>
          <w:tcPr>
            <w:tcW w:w="500" w:type="dxa"/>
            <w:vAlign w:val="bottom"/>
            <w:gridSpan w:val="2"/>
          </w:tcPr>
          <w:p>
            <w:pPr>
              <w:ind w:left="220"/>
              <w:spacing w:after="0"/>
              <w:rPr>
                <w:sz w:val="20"/>
                <w:szCs w:val="20"/>
                <w:color w:val="auto"/>
              </w:rPr>
            </w:pPr>
            <w:r>
              <w:rPr>
                <w:rFonts w:ascii="Arial" w:cs="Arial" w:eastAsia="Arial" w:hAnsi="Arial"/>
                <w:sz w:val="20"/>
                <w:szCs w:val="20"/>
                <w:color w:val="auto"/>
                <w:w w:val="86"/>
              </w:rPr>
              <w:t>F-4</w:t>
            </w:r>
          </w:p>
        </w:tc>
      </w:tr>
      <w:tr>
        <w:trPr>
          <w:trHeight w:val="251"/>
        </w:trPr>
        <w:tc>
          <w:tcPr>
            <w:tcW w:w="9580" w:type="dxa"/>
            <w:vAlign w:val="bottom"/>
            <w:gridSpan w:val="2"/>
          </w:tcPr>
          <w:p>
            <w:pPr>
              <w:spacing w:after="0"/>
              <w:rPr>
                <w:sz w:val="20"/>
                <w:szCs w:val="20"/>
                <w:color w:val="auto"/>
              </w:rPr>
            </w:pPr>
            <w:r>
              <w:rPr>
                <w:rFonts w:ascii="Arial" w:cs="Arial" w:eastAsia="Arial" w:hAnsi="Arial"/>
                <w:sz w:val="20"/>
                <w:szCs w:val="20"/>
                <w:color w:val="0000FF"/>
              </w:rPr>
              <w:t>Consolidated Statements of Operations and Comprehensive Loss</w:t>
            </w:r>
          </w:p>
        </w:tc>
        <w:tc>
          <w:tcPr>
            <w:tcW w:w="500" w:type="dxa"/>
            <w:vAlign w:val="bottom"/>
            <w:gridSpan w:val="2"/>
          </w:tcPr>
          <w:p>
            <w:pPr>
              <w:ind w:left="220"/>
              <w:spacing w:after="0"/>
              <w:rPr>
                <w:sz w:val="20"/>
                <w:szCs w:val="20"/>
                <w:color w:val="auto"/>
              </w:rPr>
            </w:pPr>
            <w:r>
              <w:rPr>
                <w:rFonts w:ascii="Arial" w:cs="Arial" w:eastAsia="Arial" w:hAnsi="Arial"/>
                <w:sz w:val="20"/>
                <w:szCs w:val="20"/>
                <w:color w:val="auto"/>
                <w:w w:val="86"/>
              </w:rPr>
              <w:t>F-5</w:t>
            </w:r>
          </w:p>
        </w:tc>
      </w:tr>
      <w:tr>
        <w:trPr>
          <w:trHeight w:val="250"/>
        </w:trPr>
        <w:tc>
          <w:tcPr>
            <w:tcW w:w="9580" w:type="dxa"/>
            <w:vAlign w:val="bottom"/>
            <w:gridSpan w:val="2"/>
          </w:tcPr>
          <w:p>
            <w:pPr>
              <w:spacing w:after="0"/>
              <w:rPr>
                <w:sz w:val="20"/>
                <w:szCs w:val="20"/>
                <w:color w:val="auto"/>
              </w:rPr>
            </w:pPr>
            <w:r>
              <w:rPr>
                <w:rFonts w:ascii="Arial" w:cs="Arial" w:eastAsia="Arial" w:hAnsi="Arial"/>
                <w:sz w:val="20"/>
                <w:szCs w:val="20"/>
                <w:color w:val="0000FF"/>
              </w:rPr>
              <w:t>Consolidated Statements of Stockholders’ Equity</w:t>
            </w:r>
          </w:p>
        </w:tc>
        <w:tc>
          <w:tcPr>
            <w:tcW w:w="500" w:type="dxa"/>
            <w:vAlign w:val="bottom"/>
            <w:gridSpan w:val="2"/>
          </w:tcPr>
          <w:p>
            <w:pPr>
              <w:ind w:left="220"/>
              <w:spacing w:after="0"/>
              <w:rPr>
                <w:sz w:val="20"/>
                <w:szCs w:val="20"/>
                <w:color w:val="auto"/>
              </w:rPr>
            </w:pPr>
            <w:r>
              <w:rPr>
                <w:rFonts w:ascii="Arial" w:cs="Arial" w:eastAsia="Arial" w:hAnsi="Arial"/>
                <w:sz w:val="20"/>
                <w:szCs w:val="20"/>
                <w:color w:val="auto"/>
                <w:w w:val="86"/>
              </w:rPr>
              <w:t>F-6</w:t>
            </w:r>
          </w:p>
        </w:tc>
      </w:tr>
      <w:tr>
        <w:trPr>
          <w:trHeight w:val="250"/>
        </w:trPr>
        <w:tc>
          <w:tcPr>
            <w:tcW w:w="9580" w:type="dxa"/>
            <w:vAlign w:val="bottom"/>
            <w:gridSpan w:val="2"/>
          </w:tcPr>
          <w:p>
            <w:pPr>
              <w:spacing w:after="0"/>
              <w:rPr>
                <w:sz w:val="20"/>
                <w:szCs w:val="20"/>
                <w:color w:val="auto"/>
              </w:rPr>
            </w:pPr>
            <w:r>
              <w:rPr>
                <w:rFonts w:ascii="Arial" w:cs="Arial" w:eastAsia="Arial" w:hAnsi="Arial"/>
                <w:sz w:val="20"/>
                <w:szCs w:val="20"/>
                <w:color w:val="0000FF"/>
              </w:rPr>
              <w:t>Consolidated Statements of Cash Flows</w:t>
            </w:r>
          </w:p>
        </w:tc>
        <w:tc>
          <w:tcPr>
            <w:tcW w:w="500" w:type="dxa"/>
            <w:vAlign w:val="bottom"/>
            <w:gridSpan w:val="2"/>
          </w:tcPr>
          <w:p>
            <w:pPr>
              <w:ind w:left="220"/>
              <w:spacing w:after="0"/>
              <w:rPr>
                <w:sz w:val="20"/>
                <w:szCs w:val="20"/>
                <w:color w:val="auto"/>
              </w:rPr>
            </w:pPr>
            <w:r>
              <w:rPr>
                <w:rFonts w:ascii="Arial" w:cs="Arial" w:eastAsia="Arial" w:hAnsi="Arial"/>
                <w:sz w:val="20"/>
                <w:szCs w:val="20"/>
                <w:color w:val="auto"/>
                <w:w w:val="86"/>
              </w:rPr>
              <w:t>F-7</w:t>
            </w:r>
          </w:p>
        </w:tc>
      </w:tr>
      <w:tr>
        <w:trPr>
          <w:trHeight w:val="267"/>
        </w:trPr>
        <w:tc>
          <w:tcPr>
            <w:tcW w:w="9580" w:type="dxa"/>
            <w:vAlign w:val="bottom"/>
            <w:gridSpan w:val="2"/>
          </w:tcPr>
          <w:p>
            <w:pPr>
              <w:spacing w:after="0"/>
              <w:rPr>
                <w:sz w:val="20"/>
                <w:szCs w:val="20"/>
                <w:color w:val="auto"/>
              </w:rPr>
            </w:pPr>
            <w:r>
              <w:rPr>
                <w:rFonts w:ascii="Arial" w:cs="Arial" w:eastAsia="Arial" w:hAnsi="Arial"/>
                <w:sz w:val="20"/>
                <w:szCs w:val="20"/>
                <w:color w:val="0000FF"/>
              </w:rPr>
              <w:t>Notes to Consolidated Financial Statements</w:t>
            </w:r>
          </w:p>
        </w:tc>
        <w:tc>
          <w:tcPr>
            <w:tcW w:w="500" w:type="dxa"/>
            <w:vAlign w:val="bottom"/>
            <w:gridSpan w:val="2"/>
          </w:tcPr>
          <w:p>
            <w:pPr>
              <w:ind w:left="220"/>
              <w:spacing w:after="0"/>
              <w:rPr>
                <w:sz w:val="20"/>
                <w:szCs w:val="20"/>
                <w:color w:val="auto"/>
              </w:rPr>
            </w:pPr>
            <w:r>
              <w:rPr>
                <w:rFonts w:ascii="Arial" w:cs="Arial" w:eastAsia="Arial" w:hAnsi="Arial"/>
                <w:sz w:val="20"/>
                <w:szCs w:val="20"/>
                <w:color w:val="auto"/>
                <w:w w:val="86"/>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-1078865</wp:posOffset>
            </wp:positionV>
            <wp:extent cx="6426835" cy="10820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3">
                      <a:extLst>
                        <a:ext uri="{28A0092B-C50C-407E-A947-70E740481C1C}"/>
                      </a:extLst>
                    </a:blip>
                    <a:srcRect/>
                    <a:stretch>
                      <a:fillRect/>
                    </a:stretch>
                  </pic:blipFill>
                  <pic:spPr bwMode="auto">
                    <a:xfrm>
                      <a:off x="0" y="0"/>
                      <a:ext cx="6426835" cy="1082040"/>
                    </a:xfrm>
                    <a:prstGeom prst="rect">
                      <a:avLst/>
                    </a:prstGeom>
                    <a:noFill/>
                  </pic:spPr>
                </pic:pic>
              </a:graphicData>
            </a:graphic>
          </wp:anchor>
        </w:drawing>
      </w:r>
    </w:p>
    <w:p>
      <w:pPr>
        <w:sectPr>
          <w:pgSz w:w="12240" w:h="15840" w:orient="portrait"/>
          <w:cols w:equalWidth="0" w:num="1">
            <w:col w:w="10080"/>
          </w:cols>
          <w:pgMar w:left="1080" w:top="1056" w:right="108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Tango Therapeutics,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0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have audited the accompanying consolidated balance sheets of Tango Therapeutics,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00"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2"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01"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Research and Development Expenses</w:t>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As described in Note 2 to the consolidated financial statements, research and development expenses consist primarily of costs incurred for the Company’s drug discovery efforts and the development of product candidates. These expenses include salaries, employee benefits, and stock-based compensation expense for the Company’s research and development personnel, materials, supplies, depreciation on and maintenance of research equipment, the cost of services provided by outside contract research organizations (CROs), vendors, and consultants to conduct research and development activities including costs of clinical trials, manufacturing, and other development activities, as well as the allocable portions of facility costs, such as rent, utilities, and general support services. All costs associated with research and development are expensed as incurred. 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The Company’s research and development expenses for the year ended December 31, 2025 were $132.2 million, a portion of which relates to certain research and development expenses.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w:t>
      </w:r>
    </w:p>
    <w:p>
      <w:pPr>
        <w:sectPr>
          <w:pgSz w:w="12240" w:h="15840" w:orient="portrait"/>
          <w:cols w:equalWidth="0" w:num="1">
            <w:col w:w="10060"/>
          </w:cols>
          <w:pgMar w:left="1080" w:top="1285" w:right="1100" w:bottom="175" w:gutter="0" w:footer="0" w:header="0"/>
        </w:sectPr>
      </w:pPr>
    </w:p>
    <w:bookmarkStart w:id="110" w:name="page111"/>
    <w:bookmarkEnd w:id="110"/>
    <w:p>
      <w:pPr>
        <w:jc w:val="both"/>
        <w:ind w:right="160"/>
        <w:spacing w:after="0" w:line="258" w:lineRule="auto"/>
        <w:rPr>
          <w:sz w:val="20"/>
          <w:szCs w:val="20"/>
          <w:color w:val="auto"/>
        </w:rPr>
      </w:pPr>
      <w:r>
        <w:rPr>
          <w:rFonts w:ascii="Arial" w:cs="Arial" w:eastAsia="Arial" w:hAnsi="Arial"/>
          <w:sz w:val="20"/>
          <w:szCs w:val="20"/>
          <w:color w:val="auto"/>
        </w:rPr>
        <w:t>The principal consideration for our determination that performing procedures relating to certain research and development expenses is a critical audit matter is a high degree of auditor effort in performing procedures related to certain research and development expenses.</w:t>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among others, testing certain research and development expenses on a sample basis by agreeing relevant information, which include overall contract value, expenses incurred to date, and percentage of completion, to the (i) underlying contracts with CROs, vendors and consultants engaged to conduct research and development activities; (ii) purchase orders; (iii) invoices received; (iv) underlying payments made for expenses incurred on the contracts; and (v) external confirmations or communications obtained by management from CROs, vendors and consultants.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rPr>
          <w:sz w:val="20"/>
          <w:szCs w:val="20"/>
          <w:color w:val="auto"/>
        </w:rPr>
      </w:pPr>
      <w:r>
        <w:rPr>
          <w:rFonts w:ascii="Arial" w:cs="Arial" w:eastAsia="Arial" w:hAnsi="Arial"/>
          <w:sz w:val="20"/>
          <w:szCs w:val="20"/>
          <w:color w:val="auto"/>
        </w:rPr>
        <w:t>March 5,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ectPr>
          <w:pgSz w:w="12240" w:h="15840" w:orient="portrait"/>
          <w:cols w:equalWidth="0" w:num="1">
            <w:col w:w="9980"/>
          </w:cols>
          <w:pgMar w:left="1080" w:top="1060" w:right="118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2240" w:h="15840" w:orient="portrait"/>
          <w:cols w:equalWidth="0" w:num="1">
            <w:col w:w="9980"/>
          </w:cols>
          <w:pgMar w:left="1080" w:top="1060" w:right="1180" w:bottom="198"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auto"/>
        </w:rPr>
        <w:t>TANGO THERAPEUTICS,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01"/>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ind w:right="60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r>
      <w:tr>
        <w:trPr>
          <w:trHeight w:val="259"/>
        </w:trPr>
        <w:tc>
          <w:tcPr>
            <w:tcW w:w="61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4"/>
        </w:trPr>
        <w:tc>
          <w:tcPr>
            <w:tcW w:w="6120" w:type="dxa"/>
            <w:vAlign w:val="bottom"/>
          </w:tcPr>
          <w:p>
            <w:pPr>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61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Cash and cash equivalents</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112,279</w:t>
            </w:r>
          </w:p>
        </w:tc>
        <w:tc>
          <w:tcPr>
            <w:tcW w:w="1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12"/>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69,530</w:t>
            </w:r>
          </w:p>
        </w:tc>
        <w:tc>
          <w:tcPr>
            <w:tcW w:w="80" w:type="dxa"/>
            <w:vAlign w:val="bottom"/>
            <w:shd w:val="clear" w:color="auto" w:fill="CFF0FC"/>
          </w:tcPr>
          <w:p>
            <w:pPr>
              <w:spacing w:after="0"/>
              <w:rPr>
                <w:sz w:val="21"/>
                <w:szCs w:val="21"/>
                <w:color w:val="auto"/>
              </w:rPr>
            </w:pPr>
          </w:p>
        </w:tc>
      </w:tr>
      <w:tr>
        <w:trPr>
          <w:trHeight w:val="244"/>
        </w:trPr>
        <w:tc>
          <w:tcPr>
            <w:tcW w:w="6120" w:type="dxa"/>
            <w:vAlign w:val="bottom"/>
          </w:tcPr>
          <w:p>
            <w:pPr>
              <w:ind w:left="200"/>
              <w:spacing w:after="0"/>
              <w:rPr>
                <w:sz w:val="20"/>
                <w:szCs w:val="20"/>
                <w:color w:val="auto"/>
              </w:rPr>
            </w:pPr>
            <w:r>
              <w:rPr>
                <w:rFonts w:ascii="Arial" w:cs="Arial" w:eastAsia="Arial" w:hAnsi="Arial"/>
                <w:sz w:val="20"/>
                <w:szCs w:val="20"/>
                <w:color w:val="auto"/>
              </w:rPr>
              <w:t>Marketable securities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230,859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188,387</w:t>
            </w:r>
          </w:p>
        </w:tc>
        <w:tc>
          <w:tcPr>
            <w:tcW w:w="80" w:type="dxa"/>
            <w:vAlign w:val="bottom"/>
          </w:tcPr>
          <w:p>
            <w:pPr>
              <w:spacing w:after="0"/>
              <w:rPr>
                <w:sz w:val="21"/>
                <w:szCs w:val="21"/>
                <w:color w:val="auto"/>
              </w:rPr>
            </w:pPr>
          </w:p>
        </w:tc>
      </w:tr>
      <w:tr>
        <w:trPr>
          <w:trHeight w:val="244"/>
        </w:trPr>
        <w:tc>
          <w:tcPr>
            <w:tcW w:w="61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Restricted cash</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r>
      <w:tr>
        <w:trPr>
          <w:trHeight w:val="244"/>
        </w:trPr>
        <w:tc>
          <w:tcPr>
            <w:tcW w:w="6120" w:type="dxa"/>
            <w:vAlign w:val="bottom"/>
          </w:tcPr>
          <w:p>
            <w:pPr>
              <w:ind w:left="200"/>
              <w:spacing w:after="0"/>
              <w:rPr>
                <w:sz w:val="20"/>
                <w:szCs w:val="20"/>
                <w:color w:val="auto"/>
              </w:rPr>
            </w:pPr>
            <w:r>
              <w:rPr>
                <w:rFonts w:ascii="Arial" w:cs="Arial" w:eastAsia="Arial" w:hAnsi="Arial"/>
                <w:sz w:val="20"/>
                <w:szCs w:val="20"/>
                <w:color w:val="auto"/>
              </w:rPr>
              <w:t>Prepaid expenses and other current assets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10,190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8,426</w:t>
            </w:r>
          </w:p>
        </w:tc>
        <w:tc>
          <w:tcPr>
            <w:tcW w:w="80" w:type="dxa"/>
            <w:vAlign w:val="bottom"/>
          </w:tcPr>
          <w:p>
            <w:pPr>
              <w:spacing w:after="0"/>
              <w:rPr>
                <w:sz w:val="21"/>
                <w:szCs w:val="21"/>
                <w:color w:val="auto"/>
              </w:rPr>
            </w:pPr>
          </w:p>
        </w:tc>
      </w:tr>
      <w:tr>
        <w:trPr>
          <w:trHeight w:val="259"/>
        </w:trPr>
        <w:tc>
          <w:tcPr>
            <w:tcW w:w="61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current assets</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353,756</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266,343</w:t>
            </w:r>
          </w:p>
        </w:tc>
        <w:tc>
          <w:tcPr>
            <w:tcW w:w="80" w:type="dxa"/>
            <w:vAlign w:val="bottom"/>
            <w:shd w:val="clear" w:color="auto" w:fill="CFF0FC"/>
          </w:tcPr>
          <w:p>
            <w:pPr>
              <w:spacing w:after="0"/>
              <w:rPr>
                <w:sz w:val="22"/>
                <w:szCs w:val="22"/>
                <w:color w:val="auto"/>
              </w:rPr>
            </w:pPr>
          </w:p>
        </w:tc>
      </w:tr>
      <w:tr>
        <w:trPr>
          <w:trHeight w:val="245"/>
        </w:trPr>
        <w:tc>
          <w:tcPr>
            <w:tcW w:w="612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6,868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8,102</w:t>
            </w:r>
          </w:p>
        </w:tc>
        <w:tc>
          <w:tcPr>
            <w:tcW w:w="80" w:type="dxa"/>
            <w:vAlign w:val="bottom"/>
          </w:tcPr>
          <w:p>
            <w:pPr>
              <w:spacing w:after="0"/>
              <w:rPr>
                <w:sz w:val="21"/>
                <w:szCs w:val="21"/>
                <w:color w:val="auto"/>
              </w:rPr>
            </w:pPr>
          </w:p>
        </w:tc>
      </w:tr>
      <w:tr>
        <w:trPr>
          <w:trHeight w:val="244"/>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 right-of-use assets</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35,624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39,476</w:t>
            </w:r>
          </w:p>
        </w:tc>
        <w:tc>
          <w:tcPr>
            <w:tcW w:w="80" w:type="dxa"/>
            <w:vAlign w:val="bottom"/>
            <w:shd w:val="clear" w:color="auto" w:fill="CFF0FC"/>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Arial" w:cs="Arial" w:eastAsia="Arial" w:hAnsi="Arial"/>
                <w:sz w:val="20"/>
                <w:szCs w:val="20"/>
                <w:color w:val="auto"/>
              </w:rPr>
              <w:t>Restricted cash, net of current portion</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2,139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2,567</w:t>
            </w:r>
          </w:p>
        </w:tc>
        <w:tc>
          <w:tcPr>
            <w:tcW w:w="80" w:type="dxa"/>
            <w:vAlign w:val="bottom"/>
          </w:tcPr>
          <w:p>
            <w:pPr>
              <w:spacing w:after="0"/>
              <w:rPr>
                <w:sz w:val="21"/>
                <w:szCs w:val="21"/>
                <w:color w:val="auto"/>
              </w:rPr>
            </w:pPr>
          </w:p>
        </w:tc>
      </w:tr>
      <w:tr>
        <w:trPr>
          <w:trHeight w:val="245"/>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Other assets</w:t>
            </w:r>
          </w:p>
        </w:tc>
        <w:tc>
          <w:tcPr>
            <w:tcW w:w="180" w:type="dxa"/>
            <w:vAlign w:val="bottom"/>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400"/>
              <w:spacing w:after="0"/>
              <w:rPr>
                <w:sz w:val="20"/>
                <w:szCs w:val="20"/>
                <w:color w:val="auto"/>
              </w:rPr>
            </w:pPr>
            <w:r>
              <w:rPr>
                <w:rFonts w:ascii="Arial" w:cs="Arial" w:eastAsia="Arial" w:hAnsi="Arial"/>
                <w:sz w:val="20"/>
                <w:szCs w:val="20"/>
                <w:color w:val="auto"/>
              </w:rPr>
              <w:t>Total assets</w:t>
            </w:r>
          </w:p>
        </w:tc>
        <w:tc>
          <w:tcPr>
            <w:tcW w:w="180" w:type="dxa"/>
            <w:vAlign w:val="bottom"/>
          </w:tcPr>
          <w:p>
            <w:pPr>
              <w:spacing w:after="0"/>
              <w:rPr>
                <w:sz w:val="20"/>
                <w:szCs w:val="20"/>
                <w:color w:val="auto"/>
              </w:rPr>
            </w:pPr>
          </w:p>
        </w:tc>
        <w:tc>
          <w:tcPr>
            <w:tcW w:w="400" w:type="dxa"/>
            <w:vAlign w:val="bottom"/>
          </w:tcPr>
          <w:p>
            <w:pPr>
              <w:jc w:val="right"/>
              <w:ind w:right="200"/>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398,690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31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316,492</w:t>
            </w:r>
          </w:p>
        </w:tc>
        <w:tc>
          <w:tcPr>
            <w:tcW w:w="80" w:type="dxa"/>
            <w:vAlign w:val="bottom"/>
          </w:tcPr>
          <w:p>
            <w:pPr>
              <w:spacing w:after="0"/>
              <w:rPr>
                <w:sz w:val="20"/>
                <w:szCs w:val="20"/>
                <w:color w:val="auto"/>
              </w:rPr>
            </w:pPr>
          </w:p>
        </w:tc>
      </w:tr>
      <w:tr>
        <w:trPr>
          <w:trHeight w:val="259"/>
        </w:trPr>
        <w:tc>
          <w:tcPr>
            <w:tcW w:w="61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5"/>
        </w:trPr>
        <w:tc>
          <w:tcPr>
            <w:tcW w:w="6120" w:type="dxa"/>
            <w:vAlign w:val="bottom"/>
          </w:tcPr>
          <w:p>
            <w:pPr>
              <w:spacing w:after="0"/>
              <w:rPr>
                <w:sz w:val="20"/>
                <w:szCs w:val="20"/>
                <w:color w:val="auto"/>
              </w:rPr>
            </w:pPr>
            <w:r>
              <w:rPr>
                <w:rFonts w:ascii="Arial" w:cs="Arial" w:eastAsia="Arial" w:hAnsi="Arial"/>
                <w:sz w:val="20"/>
                <w:szCs w:val="20"/>
                <w:color w:val="auto"/>
              </w:rPr>
              <w:t>Current liabilities: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1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Accounts payable</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1,182</w:t>
            </w:r>
          </w:p>
        </w:tc>
        <w:tc>
          <w:tcPr>
            <w:tcW w:w="1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12"/>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1,601</w:t>
            </w:r>
          </w:p>
        </w:tc>
        <w:tc>
          <w:tcPr>
            <w:tcW w:w="80" w:type="dxa"/>
            <w:vAlign w:val="bottom"/>
            <w:shd w:val="clear" w:color="auto" w:fill="CFF0FC"/>
          </w:tcPr>
          <w:p>
            <w:pPr>
              <w:spacing w:after="0"/>
              <w:rPr>
                <w:sz w:val="21"/>
                <w:szCs w:val="21"/>
                <w:color w:val="auto"/>
              </w:rPr>
            </w:pPr>
          </w:p>
        </w:tc>
      </w:tr>
      <w:tr>
        <w:trPr>
          <w:trHeight w:val="244"/>
        </w:trPr>
        <w:tc>
          <w:tcPr>
            <w:tcW w:w="6120" w:type="dxa"/>
            <w:vAlign w:val="bottom"/>
          </w:tcPr>
          <w:p>
            <w:pPr>
              <w:ind w:left="200"/>
              <w:spacing w:after="0"/>
              <w:rPr>
                <w:sz w:val="20"/>
                <w:szCs w:val="20"/>
                <w:color w:val="auto"/>
              </w:rPr>
            </w:pPr>
            <w:r>
              <w:rPr>
                <w:rFonts w:ascii="Arial" w:cs="Arial" w:eastAsia="Arial" w:hAnsi="Arial"/>
                <w:sz w:val="20"/>
                <w:szCs w:val="20"/>
                <w:color w:val="auto"/>
              </w:rPr>
              <w:t>Accrued expenses and other current liabilities</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17,759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16,497</w:t>
            </w:r>
          </w:p>
        </w:tc>
        <w:tc>
          <w:tcPr>
            <w:tcW w:w="80" w:type="dxa"/>
            <w:vAlign w:val="bottom"/>
          </w:tcPr>
          <w:p>
            <w:pPr>
              <w:spacing w:after="0"/>
              <w:rPr>
                <w:sz w:val="21"/>
                <w:szCs w:val="21"/>
                <w:color w:val="auto"/>
              </w:rPr>
            </w:pPr>
          </w:p>
        </w:tc>
      </w:tr>
      <w:tr>
        <w:trPr>
          <w:trHeight w:val="245"/>
        </w:trPr>
        <w:tc>
          <w:tcPr>
            <w:tcW w:w="61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Operating lease liabilities</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2,454</w:t>
            </w:r>
          </w:p>
        </w:tc>
        <w:tc>
          <w:tcPr>
            <w:tcW w:w="80" w:type="dxa"/>
            <w:vAlign w:val="bottom"/>
            <w:shd w:val="clear" w:color="auto" w:fill="CFF0FC"/>
          </w:tcPr>
          <w:p>
            <w:pPr>
              <w:spacing w:after="0"/>
              <w:rPr>
                <w:sz w:val="21"/>
                <w:szCs w:val="21"/>
                <w:color w:val="auto"/>
              </w:rPr>
            </w:pPr>
          </w:p>
        </w:tc>
      </w:tr>
      <w:tr>
        <w:trPr>
          <w:trHeight w:val="244"/>
        </w:trPr>
        <w:tc>
          <w:tcPr>
            <w:tcW w:w="6120" w:type="dxa"/>
            <w:vAlign w:val="bottom"/>
          </w:tcPr>
          <w:p>
            <w:pPr>
              <w:ind w:left="200"/>
              <w:spacing w:after="0"/>
              <w:rPr>
                <w:sz w:val="20"/>
                <w:szCs w:val="20"/>
                <w:color w:val="auto"/>
              </w:rPr>
            </w:pPr>
            <w:r>
              <w:rPr>
                <w:rFonts w:ascii="Arial" w:cs="Arial" w:eastAsia="Arial" w:hAnsi="Arial"/>
                <w:sz w:val="20"/>
                <w:szCs w:val="20"/>
                <w:color w:val="auto"/>
              </w:rPr>
              <w:t>Deferred revenue</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17,618</w:t>
            </w:r>
          </w:p>
        </w:tc>
        <w:tc>
          <w:tcPr>
            <w:tcW w:w="80" w:type="dxa"/>
            <w:vAlign w:val="bottom"/>
          </w:tcPr>
          <w:p>
            <w:pPr>
              <w:spacing w:after="0"/>
              <w:rPr>
                <w:sz w:val="21"/>
                <w:szCs w:val="21"/>
                <w:color w:val="auto"/>
              </w:rPr>
            </w:pPr>
          </w:p>
        </w:tc>
      </w:tr>
      <w:tr>
        <w:trPr>
          <w:trHeight w:val="259"/>
        </w:trPr>
        <w:tc>
          <w:tcPr>
            <w:tcW w:w="61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current liabilities</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21,679</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38,170</w:t>
            </w:r>
          </w:p>
        </w:tc>
        <w:tc>
          <w:tcPr>
            <w:tcW w:w="80" w:type="dxa"/>
            <w:vAlign w:val="bottom"/>
            <w:shd w:val="clear" w:color="auto" w:fill="CFF0FC"/>
          </w:tcPr>
          <w:p>
            <w:pPr>
              <w:spacing w:after="0"/>
              <w:rPr>
                <w:sz w:val="22"/>
                <w:szCs w:val="22"/>
                <w:color w:val="auto"/>
              </w:rPr>
            </w:pPr>
          </w:p>
        </w:tc>
      </w:tr>
      <w:tr>
        <w:trPr>
          <w:trHeight w:val="244"/>
        </w:trPr>
        <w:tc>
          <w:tcPr>
            <w:tcW w:w="6120" w:type="dxa"/>
            <w:vAlign w:val="bottom"/>
          </w:tcPr>
          <w:p>
            <w:pPr>
              <w:spacing w:after="0"/>
              <w:rPr>
                <w:sz w:val="20"/>
                <w:szCs w:val="20"/>
                <w:color w:val="auto"/>
              </w:rPr>
            </w:pPr>
            <w:r>
              <w:rPr>
                <w:rFonts w:ascii="Arial" w:cs="Arial" w:eastAsia="Arial" w:hAnsi="Arial"/>
                <w:sz w:val="20"/>
                <w:szCs w:val="20"/>
                <w:color w:val="auto"/>
              </w:rPr>
              <w:t>Operating lease liabilities, net of current portion</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30,832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34,039</w:t>
            </w:r>
          </w:p>
        </w:tc>
        <w:tc>
          <w:tcPr>
            <w:tcW w:w="80" w:type="dxa"/>
            <w:vAlign w:val="bottom"/>
          </w:tcPr>
          <w:p>
            <w:pPr>
              <w:spacing w:after="0"/>
              <w:rPr>
                <w:sz w:val="21"/>
                <w:szCs w:val="21"/>
                <w:color w:val="auto"/>
              </w:rPr>
            </w:pPr>
          </w:p>
        </w:tc>
      </w:tr>
      <w:tr>
        <w:trPr>
          <w:trHeight w:val="244"/>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Deferred revenue, net of current portion</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44,766</w:t>
            </w: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400"/>
              <w:spacing w:after="0"/>
              <w:rPr>
                <w:sz w:val="20"/>
                <w:szCs w:val="20"/>
                <w:color w:val="auto"/>
              </w:rPr>
            </w:pPr>
            <w:r>
              <w:rPr>
                <w:rFonts w:ascii="Arial" w:cs="Arial" w:eastAsia="Arial" w:hAnsi="Arial"/>
                <w:sz w:val="20"/>
                <w:szCs w:val="20"/>
                <w:color w:val="auto"/>
              </w:rPr>
              <w:t>Total liabilities</w:t>
            </w:r>
          </w:p>
        </w:tc>
        <w:tc>
          <w:tcPr>
            <w:tcW w:w="180" w:type="dxa"/>
            <w:vAlign w:val="bottom"/>
          </w:tcPr>
          <w:p>
            <w:pPr>
              <w:spacing w:after="0"/>
              <w:rPr>
                <w:sz w:val="20"/>
                <w:szCs w:val="20"/>
                <w:color w:val="auto"/>
              </w:rPr>
            </w:pPr>
          </w:p>
        </w:tc>
        <w:tc>
          <w:tcPr>
            <w:tcW w:w="40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52,511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116,975</w:t>
            </w:r>
          </w:p>
        </w:tc>
        <w:tc>
          <w:tcPr>
            <w:tcW w:w="80" w:type="dxa"/>
            <w:vAlign w:val="bottom"/>
          </w:tcPr>
          <w:p>
            <w:pPr>
              <w:spacing w:after="0"/>
              <w:rPr>
                <w:sz w:val="20"/>
                <w:szCs w:val="20"/>
                <w:color w:val="auto"/>
              </w:rPr>
            </w:pPr>
          </w:p>
        </w:tc>
      </w:tr>
      <w:tr>
        <w:trPr>
          <w:trHeight w:val="246"/>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Commitments and contingencies (Note 8)</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24"/>
        </w:trPr>
        <w:tc>
          <w:tcPr>
            <w:tcW w:w="6120" w:type="dxa"/>
            <w:vAlign w:val="bottom"/>
          </w:tcPr>
          <w:p>
            <w:pPr>
              <w:spacing w:after="0" w:line="225" w:lineRule="exact"/>
              <w:rPr>
                <w:sz w:val="20"/>
                <w:szCs w:val="20"/>
                <w:color w:val="auto"/>
              </w:rPr>
            </w:pPr>
            <w:r>
              <w:rPr>
                <w:rFonts w:ascii="Arial" w:cs="Arial" w:eastAsia="Arial" w:hAnsi="Arial"/>
                <w:sz w:val="20"/>
                <w:szCs w:val="20"/>
                <w:color w:val="auto"/>
                <w:w w:val="90"/>
              </w:rPr>
              <w:t>Preferred stock, $0.001 par value; 10,000,000 shares authorized; no shares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120" w:type="dxa"/>
            <w:vAlign w:val="bottom"/>
          </w:tcPr>
          <w:p>
            <w:pPr>
              <w:ind w:left="160"/>
              <w:spacing w:after="0"/>
              <w:rPr>
                <w:sz w:val="20"/>
                <w:szCs w:val="20"/>
                <w:color w:val="auto"/>
              </w:rPr>
            </w:pPr>
            <w:r>
              <w:rPr>
                <w:rFonts w:ascii="Arial" w:cs="Arial" w:eastAsia="Arial" w:hAnsi="Arial"/>
                <w:sz w:val="20"/>
                <w:szCs w:val="20"/>
                <w:color w:val="auto"/>
                <w:w w:val="92"/>
              </w:rPr>
              <w:t>issued and outstanding as of December 31, 2025 and 2024, respectively</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4"/>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Stockholders' equity:</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24"/>
        </w:trPr>
        <w:tc>
          <w:tcPr>
            <w:tcW w:w="6120" w:type="dxa"/>
            <w:vAlign w:val="bottom"/>
          </w:tcPr>
          <w:p>
            <w:pPr>
              <w:spacing w:after="0" w:line="225" w:lineRule="exact"/>
              <w:rPr>
                <w:sz w:val="20"/>
                <w:szCs w:val="20"/>
                <w:color w:val="auto"/>
              </w:rPr>
            </w:pPr>
            <w:r>
              <w:rPr>
                <w:rFonts w:ascii="Arial" w:cs="Arial" w:eastAsia="Arial" w:hAnsi="Arial"/>
                <w:sz w:val="20"/>
                <w:szCs w:val="20"/>
                <w:color w:val="auto"/>
                <w:w w:val="95"/>
              </w:rPr>
              <w:t>Common stock, $0.001 par value; 400,000,000 and 200,000,000 shares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120" w:type="dxa"/>
            <w:vAlign w:val="bottom"/>
          </w:tcPr>
          <w:p>
            <w:pPr>
              <w:ind w:left="160"/>
              <w:spacing w:after="0"/>
              <w:rPr>
                <w:sz w:val="20"/>
                <w:szCs w:val="20"/>
                <w:color w:val="auto"/>
              </w:rPr>
            </w:pPr>
            <w:r>
              <w:rPr>
                <w:rFonts w:ascii="Arial" w:cs="Arial" w:eastAsia="Arial" w:hAnsi="Arial"/>
                <w:sz w:val="20"/>
                <w:szCs w:val="20"/>
                <w:color w:val="auto"/>
                <w:w w:val="92"/>
              </w:rPr>
              <w:t>authorized at December 31, 2025 and December 31, 2024, respectively;</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120" w:type="dxa"/>
            <w:vAlign w:val="bottom"/>
          </w:tcPr>
          <w:p>
            <w:pPr>
              <w:ind w:left="160"/>
              <w:spacing w:after="0"/>
              <w:rPr>
                <w:sz w:val="20"/>
                <w:szCs w:val="20"/>
                <w:color w:val="auto"/>
              </w:rPr>
            </w:pPr>
            <w:r>
              <w:rPr>
                <w:rFonts w:ascii="Arial" w:cs="Arial" w:eastAsia="Arial" w:hAnsi="Arial"/>
                <w:sz w:val="20"/>
                <w:szCs w:val="20"/>
                <w:color w:val="auto"/>
              </w:rPr>
              <w:t>135,940,454 and 107,729,343 shares issued and outstanding as of</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6120" w:type="dxa"/>
            <w:vAlign w:val="bottom"/>
          </w:tcPr>
          <w:p>
            <w:pPr>
              <w:ind w:left="160"/>
              <w:spacing w:after="0"/>
              <w:rPr>
                <w:sz w:val="20"/>
                <w:szCs w:val="20"/>
                <w:color w:val="auto"/>
              </w:rPr>
            </w:pPr>
            <w:r>
              <w:rPr>
                <w:rFonts w:ascii="Arial" w:cs="Arial" w:eastAsia="Arial" w:hAnsi="Arial"/>
                <w:sz w:val="20"/>
                <w:szCs w:val="20"/>
                <w:color w:val="auto"/>
              </w:rPr>
              <w:t>December 31, 2025 and 2024, respectively</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1"/>
                <w:szCs w:val="21"/>
                <w:color w:val="auto"/>
              </w:rPr>
            </w:pPr>
          </w:p>
        </w:tc>
      </w:tr>
      <w:tr>
        <w:trPr>
          <w:trHeight w:val="245"/>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Additional paid-in capital</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948,971</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700,631</w:t>
            </w:r>
          </w:p>
        </w:tc>
        <w:tc>
          <w:tcPr>
            <w:tcW w:w="80" w:type="dxa"/>
            <w:vAlign w:val="bottom"/>
            <w:shd w:val="clear" w:color="auto" w:fill="CFF0FC"/>
          </w:tcPr>
          <w:p>
            <w:pPr>
              <w:spacing w:after="0"/>
              <w:rPr>
                <w:sz w:val="21"/>
                <w:szCs w:val="21"/>
                <w:color w:val="auto"/>
              </w:rPr>
            </w:pPr>
          </w:p>
        </w:tc>
      </w:tr>
      <w:tr>
        <w:trPr>
          <w:trHeight w:val="244"/>
        </w:trPr>
        <w:tc>
          <w:tcPr>
            <w:tcW w:w="6120" w:type="dxa"/>
            <w:vAlign w:val="bottom"/>
          </w:tcPr>
          <w:p>
            <w:pPr>
              <w:spacing w:after="0"/>
              <w:rPr>
                <w:sz w:val="20"/>
                <w:szCs w:val="20"/>
                <w:color w:val="auto"/>
              </w:rPr>
            </w:pPr>
            <w:r>
              <w:rPr>
                <w:rFonts w:ascii="Arial" w:cs="Arial" w:eastAsia="Arial" w:hAnsi="Arial"/>
                <w:sz w:val="20"/>
                <w:szCs w:val="20"/>
                <w:color w:val="auto"/>
              </w:rPr>
              <w:t>Accumulated other comprehensive income</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336</w:t>
            </w:r>
          </w:p>
        </w:tc>
        <w:tc>
          <w:tcPr>
            <w:tcW w:w="80" w:type="dxa"/>
            <w:vAlign w:val="bottom"/>
          </w:tcPr>
          <w:p>
            <w:pPr>
              <w:spacing w:after="0"/>
              <w:rPr>
                <w:sz w:val="21"/>
                <w:szCs w:val="21"/>
                <w:color w:val="auto"/>
              </w:rPr>
            </w:pPr>
          </w:p>
        </w:tc>
      </w:tr>
      <w:tr>
        <w:trPr>
          <w:trHeight w:val="244"/>
        </w:trPr>
        <w:tc>
          <w:tcPr>
            <w:tcW w:w="6120" w:type="dxa"/>
            <w:vAlign w:val="bottom"/>
            <w:shd w:val="clear" w:color="auto" w:fill="CFF0FC"/>
          </w:tcPr>
          <w:p>
            <w:pPr>
              <w:spacing w:after="0"/>
              <w:rPr>
                <w:sz w:val="20"/>
                <w:szCs w:val="20"/>
                <w:color w:val="auto"/>
              </w:rPr>
            </w:pPr>
            <w:r>
              <w:rPr>
                <w:rFonts w:ascii="Arial" w:cs="Arial" w:eastAsia="Arial" w:hAnsi="Arial"/>
                <w:sz w:val="20"/>
                <w:szCs w:val="20"/>
                <w:color w:val="auto"/>
              </w:rPr>
              <w:t>Accumulated deficit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(603,152)</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(501,558)</w:t>
            </w:r>
          </w:p>
        </w:tc>
      </w:tr>
      <w:tr>
        <w:trPr>
          <w:trHeight w:val="239"/>
        </w:trPr>
        <w:tc>
          <w:tcPr>
            <w:tcW w:w="6120" w:type="dxa"/>
            <w:vAlign w:val="bottom"/>
          </w:tcPr>
          <w:p>
            <w:pPr>
              <w:ind w:left="200"/>
              <w:spacing w:after="0"/>
              <w:rPr>
                <w:sz w:val="20"/>
                <w:szCs w:val="20"/>
                <w:color w:val="auto"/>
              </w:rPr>
            </w:pPr>
            <w:r>
              <w:rPr>
                <w:rFonts w:ascii="Arial" w:cs="Arial" w:eastAsia="Arial" w:hAnsi="Arial"/>
                <w:sz w:val="20"/>
                <w:szCs w:val="20"/>
                <w:color w:val="auto"/>
              </w:rPr>
              <w:t>Total stockholders’ equity</w:t>
            </w:r>
          </w:p>
        </w:tc>
        <w:tc>
          <w:tcPr>
            <w:tcW w:w="180" w:type="dxa"/>
            <w:vAlign w:val="bottom"/>
          </w:tcPr>
          <w:p>
            <w:pPr>
              <w:spacing w:after="0"/>
              <w:rPr>
                <w:sz w:val="20"/>
                <w:szCs w:val="20"/>
                <w:color w:val="auto"/>
              </w:rPr>
            </w:pPr>
          </w:p>
        </w:tc>
        <w:tc>
          <w:tcPr>
            <w:tcW w:w="40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346,179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199,517</w:t>
            </w:r>
          </w:p>
        </w:tc>
        <w:tc>
          <w:tcPr>
            <w:tcW w:w="80" w:type="dxa"/>
            <w:vAlign w:val="bottom"/>
          </w:tcPr>
          <w:p>
            <w:pPr>
              <w:spacing w:after="0"/>
              <w:rPr>
                <w:sz w:val="20"/>
                <w:szCs w:val="20"/>
                <w:color w:val="auto"/>
              </w:rPr>
            </w:pPr>
          </w:p>
        </w:tc>
      </w:tr>
      <w:tr>
        <w:trPr>
          <w:trHeight w:val="260"/>
        </w:trPr>
        <w:tc>
          <w:tcPr>
            <w:tcW w:w="61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liabilities and stockholders’ equity</w:t>
            </w: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398,690</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32"/>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316,492</w:t>
            </w:r>
          </w:p>
        </w:tc>
        <w:tc>
          <w:tcPr>
            <w:tcW w:w="8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-5612130</wp:posOffset>
            </wp:positionV>
            <wp:extent cx="2367915" cy="5653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4">
                      <a:extLst>
                        <a:ext uri="{28A0092B-C50C-407E-A947-70E740481C1C}"/>
                      </a:extLst>
                    </a:blip>
                    <a:srcRect/>
                    <a:stretch>
                      <a:fillRect/>
                    </a:stretch>
                  </pic:blipFill>
                  <pic:spPr bwMode="auto">
                    <a:xfrm>
                      <a:off x="0" y="0"/>
                      <a:ext cx="2367915" cy="565340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0" w:orient="portrait"/>
          <w:cols w:equalWidth="0" w:num="1">
            <w:col w:w="10080"/>
          </w:cols>
          <w:pgMar w:left="1080" w:top="1056" w:right="108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2240" w:h="15840" w:orient="portrait"/>
          <w:cols w:equalWidth="0" w:num="1">
            <w:col w:w="10080"/>
          </w:cols>
          <w:pgMar w:left="1080" w:top="1056" w:right="1080" w:bottom="198"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w w:val="90"/>
              </w:rPr>
              <w:t>Year Ended December 31,</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2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01"/>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01"/>
              <w:spacing w:after="0"/>
              <w:rPr>
                <w:sz w:val="20"/>
                <w:szCs w:val="20"/>
                <w:color w:val="auto"/>
              </w:rPr>
            </w:pPr>
            <w:r>
              <w:rPr>
                <w:rFonts w:ascii="Arial" w:cs="Arial" w:eastAsia="Arial" w:hAnsi="Arial"/>
                <w:sz w:val="16"/>
                <w:szCs w:val="16"/>
                <w:b w:val="1"/>
                <w:bCs w:val="1"/>
                <w:color w:val="auto"/>
              </w:rPr>
              <w:t>2023</w:t>
            </w:r>
          </w:p>
        </w:tc>
      </w:tr>
      <w:tr>
        <w:trPr>
          <w:trHeight w:val="259"/>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Collaboration revenue</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62,384</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32"/>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29,969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31,527</w:t>
            </w:r>
          </w:p>
        </w:tc>
      </w:tr>
      <w:tr>
        <w:trPr>
          <w:trHeight w:val="245"/>
        </w:trPr>
        <w:tc>
          <w:tcPr>
            <w:tcW w:w="5340" w:type="dxa"/>
            <w:vAlign w:val="bottom"/>
          </w:tcPr>
          <w:p>
            <w:pPr>
              <w:spacing w:after="0"/>
              <w:rPr>
                <w:sz w:val="20"/>
                <w:szCs w:val="20"/>
                <w:color w:val="auto"/>
              </w:rPr>
            </w:pPr>
            <w:r>
              <w:rPr>
                <w:rFonts w:ascii="Arial" w:cs="Arial" w:eastAsia="Arial" w:hAnsi="Arial"/>
                <w:sz w:val="20"/>
                <w:szCs w:val="20"/>
                <w:color w:val="auto"/>
              </w:rPr>
              <w:t>License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12,100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5,000</w:t>
            </w:r>
          </w:p>
        </w:tc>
      </w:tr>
      <w:tr>
        <w:trPr>
          <w:trHeight w:val="259"/>
        </w:trPr>
        <w:tc>
          <w:tcPr>
            <w:tcW w:w="53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revenue</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62,384</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42,069</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36,527</w:t>
            </w:r>
          </w:p>
        </w:tc>
      </w:tr>
      <w:tr>
        <w:trPr>
          <w:trHeight w:val="258"/>
        </w:trPr>
        <w:tc>
          <w:tcPr>
            <w:tcW w:w="5340" w:type="dxa"/>
            <w:vAlign w:val="bottom"/>
          </w:tcPr>
          <w:p>
            <w:pPr>
              <w:spacing w:after="0"/>
              <w:rPr>
                <w:sz w:val="20"/>
                <w:szCs w:val="20"/>
                <w:color w:val="auto"/>
              </w:rPr>
            </w:pPr>
            <w:r>
              <w:rPr>
                <w:rFonts w:ascii="Arial" w:cs="Arial" w:eastAsia="Arial" w:hAnsi="Arial"/>
                <w:sz w:val="20"/>
                <w:szCs w:val="20"/>
                <w:color w:val="auto"/>
              </w:rPr>
              <w:t>Operating expenses: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5"/>
        </w:trPr>
        <w:tc>
          <w:tcPr>
            <w:tcW w:w="53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Research and development</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132,165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143,918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115,198</w:t>
            </w:r>
          </w:p>
        </w:tc>
      </w:tr>
      <w:tr>
        <w:trPr>
          <w:trHeight w:val="242"/>
        </w:trPr>
        <w:tc>
          <w:tcPr>
            <w:tcW w:w="5340" w:type="dxa"/>
            <w:vAlign w:val="bottom"/>
          </w:tcPr>
          <w:p>
            <w:pPr>
              <w:ind w:left="200"/>
              <w:spacing w:after="0"/>
              <w:rPr>
                <w:sz w:val="20"/>
                <w:szCs w:val="20"/>
                <w:color w:val="auto"/>
              </w:rPr>
            </w:pPr>
            <w:r>
              <w:rPr>
                <w:rFonts w:ascii="Arial" w:cs="Arial" w:eastAsia="Arial" w:hAnsi="Arial"/>
                <w:sz w:val="20"/>
                <w:szCs w:val="20"/>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41,508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43,746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35,502</w:t>
            </w:r>
          </w:p>
        </w:tc>
      </w:tr>
      <w:tr>
        <w:trPr>
          <w:trHeight w:val="262"/>
        </w:trPr>
        <w:tc>
          <w:tcPr>
            <w:tcW w:w="53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operating expenses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173,673</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187,664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150,700</w:t>
            </w:r>
          </w:p>
        </w:tc>
      </w:tr>
      <w:tr>
        <w:trPr>
          <w:trHeight w:val="258"/>
        </w:trPr>
        <w:tc>
          <w:tcPr>
            <w:tcW w:w="5340" w:type="dxa"/>
            <w:vAlign w:val="bottom"/>
          </w:tcPr>
          <w:p>
            <w:pPr>
              <w:spacing w:after="0"/>
              <w:rPr>
                <w:sz w:val="20"/>
                <w:szCs w:val="20"/>
                <w:color w:val="auto"/>
              </w:rPr>
            </w:pPr>
            <w:r>
              <w:rPr>
                <w:rFonts w:ascii="Arial" w:cs="Arial" w:eastAsia="Arial" w:hAnsi="Arial"/>
                <w:sz w:val="20"/>
                <w:szCs w:val="20"/>
                <w:color w:val="auto"/>
              </w:rPr>
              <w:t>Loss from operations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(111,289)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(145,595)</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(114,173)</w:t>
            </w:r>
          </w:p>
        </w:tc>
      </w:tr>
      <w:tr>
        <w:trPr>
          <w:trHeight w:val="244"/>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Other income:</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44"/>
        </w:trPr>
        <w:tc>
          <w:tcPr>
            <w:tcW w:w="5340" w:type="dxa"/>
            <w:vAlign w:val="bottom"/>
          </w:tcPr>
          <w:p>
            <w:pPr>
              <w:ind w:left="200"/>
              <w:spacing w:after="0"/>
              <w:rPr>
                <w:sz w:val="20"/>
                <w:szCs w:val="20"/>
                <w:color w:val="auto"/>
              </w:rPr>
            </w:pPr>
            <w:r>
              <w:rPr>
                <w:rFonts w:ascii="Arial" w:cs="Arial" w:eastAsia="Arial" w:hAnsi="Arial"/>
                <w:sz w:val="20"/>
                <w:szCs w:val="20"/>
                <w:color w:val="auto"/>
              </w:rPr>
              <w:t>Interest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5,630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7,890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6,619</w:t>
            </w:r>
          </w:p>
        </w:tc>
      </w:tr>
      <w:tr>
        <w:trPr>
          <w:trHeight w:val="246"/>
        </w:trPr>
        <w:tc>
          <w:tcPr>
            <w:tcW w:w="53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Other income, net</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4,069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7,611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5,944</w:t>
            </w:r>
          </w:p>
        </w:tc>
      </w:tr>
      <w:tr>
        <w:trPr>
          <w:trHeight w:val="257"/>
        </w:trPr>
        <w:tc>
          <w:tcPr>
            <w:tcW w:w="5340" w:type="dxa"/>
            <w:vAlign w:val="bottom"/>
          </w:tcPr>
          <w:p>
            <w:pPr>
              <w:ind w:left="400"/>
              <w:spacing w:after="0"/>
              <w:rPr>
                <w:sz w:val="20"/>
                <w:szCs w:val="20"/>
                <w:color w:val="auto"/>
              </w:rPr>
            </w:pPr>
            <w:r>
              <w:rPr>
                <w:rFonts w:ascii="Arial" w:cs="Arial" w:eastAsia="Arial" w:hAnsi="Arial"/>
                <w:sz w:val="20"/>
                <w:szCs w:val="20"/>
                <w:color w:val="auto"/>
              </w:rPr>
              <w:t>Total other income, net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9,699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15,501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12,563</w:t>
            </w:r>
          </w:p>
        </w:tc>
      </w:tr>
      <w:tr>
        <w:trPr>
          <w:trHeight w:val="259"/>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Loss before income taxes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(101,590)</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(130,094)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(101,610)</w:t>
            </w:r>
          </w:p>
        </w:tc>
      </w:tr>
      <w:tr>
        <w:trPr>
          <w:trHeight w:val="245"/>
        </w:trPr>
        <w:tc>
          <w:tcPr>
            <w:tcW w:w="5340" w:type="dxa"/>
            <w:vAlign w:val="bottom"/>
          </w:tcPr>
          <w:p>
            <w:pPr>
              <w:ind w:left="200"/>
              <w:spacing w:after="0"/>
              <w:rPr>
                <w:sz w:val="20"/>
                <w:szCs w:val="20"/>
                <w:color w:val="auto"/>
              </w:rPr>
            </w:pPr>
            <w:r>
              <w:rPr>
                <w:rFonts w:ascii="Arial" w:cs="Arial" w:eastAsia="Arial" w:hAnsi="Arial"/>
                <w:sz w:val="20"/>
                <w:szCs w:val="20"/>
                <w:color w:val="auto"/>
              </w:rPr>
              <w:t>Provision for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66"/>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Net loss</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(101,594)</w:t>
            </w:r>
          </w:p>
        </w:tc>
        <w:tc>
          <w:tcPr>
            <w:tcW w:w="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(130,302)</w:t>
            </w: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(101,744)</w:t>
            </w:r>
          </w:p>
        </w:tc>
      </w:tr>
      <w:tr>
        <w:trPr>
          <w:trHeight w:val="251"/>
        </w:trPr>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Net loss per common share – basic and diluted</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(0.87)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w:t>
            </w:r>
          </w:p>
        </w:tc>
      </w:tr>
      <w:tr>
        <w:trPr>
          <w:trHeight w:val="224"/>
        </w:trPr>
        <w:tc>
          <w:tcPr>
            <w:tcW w:w="5340" w:type="dxa"/>
            <w:vAlign w:val="bottom"/>
          </w:tcPr>
          <w:p>
            <w:pPr>
              <w:spacing w:after="0" w:line="225" w:lineRule="exact"/>
              <w:rPr>
                <w:sz w:val="20"/>
                <w:szCs w:val="20"/>
                <w:color w:val="auto"/>
              </w:rPr>
            </w:pPr>
            <w:r>
              <w:rPr>
                <w:rFonts w:ascii="Arial" w:cs="Arial" w:eastAsia="Arial" w:hAnsi="Arial"/>
                <w:sz w:val="20"/>
                <w:szCs w:val="20"/>
                <w:color w:val="auto"/>
                <w:w w:val="91"/>
              </w:rPr>
              <w:t>Weighted average number of common shares outstanding – basic</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20"/>
                <w:szCs w:val="20"/>
                <w:color w:val="auto"/>
              </w:rPr>
              <w:t>and diluted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w w:val="97"/>
              </w:rPr>
              <w:t>116,166,187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w w:val="98"/>
              </w:rPr>
              <w:t>109,226,731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94,572,448</w:t>
            </w:r>
          </w:p>
        </w:tc>
      </w:tr>
      <w:tr>
        <w:trPr>
          <w:trHeight w:val="244"/>
        </w:trPr>
        <w:tc>
          <w:tcPr>
            <w:tcW w:w="5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spacing w:after="0"/>
              <w:rPr>
                <w:sz w:val="21"/>
                <w:szCs w:val="21"/>
                <w:color w:val="auto"/>
              </w:rPr>
            </w:pPr>
          </w:p>
        </w:tc>
        <w:tc>
          <w:tcPr>
            <w:tcW w:w="300" w:type="dxa"/>
            <w:vAlign w:val="bottom"/>
            <w:gridSpan w:val="2"/>
            <w:shd w:val="clear" w:color="auto" w:fill="CFF0FC"/>
          </w:tcPr>
          <w:p>
            <w:pPr>
              <w:spacing w:after="0"/>
              <w:rPr>
                <w:sz w:val="21"/>
                <w:szCs w:val="21"/>
                <w:color w:val="auto"/>
              </w:rPr>
            </w:pPr>
          </w:p>
        </w:tc>
        <w:tc>
          <w:tcPr>
            <w:tcW w:w="1360" w:type="dxa"/>
            <w:vAlign w:val="bottom"/>
            <w:gridSpan w:val="2"/>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44"/>
        </w:trPr>
        <w:tc>
          <w:tcPr>
            <w:tcW w:w="5340" w:type="dxa"/>
            <w:vAlign w:val="bottom"/>
          </w:tcPr>
          <w:p>
            <w:pPr>
              <w:spacing w:after="0"/>
              <w:rPr>
                <w:sz w:val="20"/>
                <w:szCs w:val="20"/>
                <w:color w:val="auto"/>
              </w:rPr>
            </w:pPr>
            <w:r>
              <w:rPr>
                <w:rFonts w:ascii="Arial" w:cs="Arial" w:eastAsia="Arial" w:hAnsi="Arial"/>
                <w:sz w:val="20"/>
                <w:szCs w:val="20"/>
                <w:color w:val="auto"/>
              </w:rPr>
              <w:t>Net loss</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(101,594)</w:t>
            </w:r>
          </w:p>
        </w:tc>
        <w:tc>
          <w:tcPr>
            <w:tcW w:w="300" w:type="dxa"/>
            <w:vAlign w:val="bottom"/>
            <w:gridSpan w:val="2"/>
          </w:tcPr>
          <w:p>
            <w:pPr>
              <w:jc w:val="right"/>
              <w:ind w:right="12"/>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20"/>
                <w:szCs w:val="20"/>
                <w:color w:val="auto"/>
              </w:rPr>
              <w:t>(130,302)</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(101,744)</w:t>
            </w:r>
          </w:p>
        </w:tc>
      </w:tr>
      <w:tr>
        <w:trPr>
          <w:trHeight w:val="244"/>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income (loss):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45"/>
        </w:trPr>
        <w:tc>
          <w:tcPr>
            <w:tcW w:w="5340" w:type="dxa"/>
            <w:vAlign w:val="bottom"/>
          </w:tcPr>
          <w:p>
            <w:pPr>
              <w:ind w:left="200"/>
              <w:spacing w:after="0"/>
              <w:rPr>
                <w:sz w:val="20"/>
                <w:szCs w:val="20"/>
                <w:color w:val="auto"/>
              </w:rPr>
            </w:pPr>
            <w:r>
              <w:rPr>
                <w:rFonts w:ascii="Arial" w:cs="Arial" w:eastAsia="Arial" w:hAnsi="Arial"/>
                <w:sz w:val="20"/>
                <w:szCs w:val="20"/>
                <w:color w:val="auto"/>
              </w:rPr>
              <w:t>Unrealized (loss) gain on marketable securities</w:t>
            </w:r>
          </w:p>
        </w:tc>
        <w:tc>
          <w:tcPr>
            <w:tcW w:w="3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3,891</w:t>
            </w:r>
          </w:p>
        </w:tc>
      </w:tr>
      <w:tr>
        <w:trPr>
          <w:trHeight w:val="260"/>
        </w:trPr>
        <w:tc>
          <w:tcPr>
            <w:tcW w:w="5340" w:type="dxa"/>
            <w:vAlign w:val="bottom"/>
            <w:shd w:val="clear" w:color="auto" w:fill="CFF0FC"/>
          </w:tcPr>
          <w:p>
            <w:pPr>
              <w:spacing w:after="0"/>
              <w:rPr>
                <w:sz w:val="20"/>
                <w:szCs w:val="20"/>
                <w:color w:val="auto"/>
              </w:rPr>
            </w:pPr>
            <w:r>
              <w:rPr>
                <w:rFonts w:ascii="Arial" w:cs="Arial" w:eastAsia="Arial" w:hAnsi="Arial"/>
                <w:sz w:val="20"/>
                <w:szCs w:val="20"/>
                <w:color w:val="auto"/>
              </w:rPr>
              <w:t>Comprehensive loss</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(101,706)</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32"/>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(130,152)</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-3818255</wp:posOffset>
            </wp:positionV>
            <wp:extent cx="2889250" cy="385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5">
                      <a:extLst>
                        <a:ext uri="{28A0092B-C50C-407E-A947-70E740481C1C}"/>
                      </a:extLst>
                    </a:blip>
                    <a:srcRect/>
                    <a:stretch>
                      <a:fillRect/>
                    </a:stretch>
                  </pic:blipFill>
                  <pic:spPr bwMode="auto">
                    <a:xfrm>
                      <a:off x="0" y="0"/>
                      <a:ext cx="2889250" cy="385953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0" w:orient="portrait"/>
          <w:cols w:equalWidth="0" w:num="1">
            <w:col w:w="10080"/>
          </w:cols>
          <w:pgMar w:left="1080" w:top="1056" w:right="108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2240" w:h="15840" w:orient="portrait"/>
          <w:cols w:equalWidth="0" w:num="1">
            <w:col w:w="10080"/>
          </w:cols>
          <w:pgMar w:left="1080" w:top="1056" w:right="1080" w:bottom="198"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20"/>
          <w:szCs w:val="20"/>
          <w:b w:val="1"/>
          <w:bCs w:val="1"/>
          <w:color w:val="auto"/>
        </w:rPr>
        <w:t>TANGO THERAPEUTICS,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amounts)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4"/>
        </w:trPr>
        <w:tc>
          <w:tcPr>
            <w:tcW w:w="2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2600" w:type="dxa"/>
            <w:vAlign w:val="bottom"/>
          </w:tcPr>
          <w:p>
            <w:pPr>
              <w:spacing w:after="0"/>
              <w:rPr>
                <w:sz w:val="15"/>
                <w:szCs w:val="15"/>
                <w:color w:val="auto"/>
              </w:rPr>
            </w:pPr>
          </w:p>
        </w:tc>
        <w:tc>
          <w:tcPr>
            <w:tcW w:w="2040" w:type="dxa"/>
            <w:vAlign w:val="bottom"/>
            <w:gridSpan w:val="3"/>
          </w:tcPr>
          <w:p>
            <w:pPr>
              <w:jc w:val="right"/>
              <w:ind w:right="31"/>
              <w:spacing w:after="0"/>
              <w:rPr>
                <w:sz w:val="20"/>
                <w:szCs w:val="20"/>
                <w:color w:val="auto"/>
              </w:rPr>
            </w:pPr>
            <w:r>
              <w:rPr>
                <w:rFonts w:ascii="Arial" w:cs="Arial" w:eastAsia="Arial" w:hAnsi="Arial"/>
                <w:sz w:val="13"/>
                <w:szCs w:val="13"/>
                <w:b w:val="1"/>
                <w:bCs w:val="1"/>
                <w:color w:val="auto"/>
              </w:rPr>
              <w:t>Common Stock Outstanding</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50"/>
        </w:trPr>
        <w:tc>
          <w:tcPr>
            <w:tcW w:w="2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Stockholders’</w:t>
            </w:r>
          </w:p>
        </w:tc>
      </w:tr>
      <w:tr>
        <w:trPr>
          <w:trHeight w:val="163"/>
        </w:trPr>
        <w:tc>
          <w:tcPr>
            <w:tcW w:w="2600" w:type="dxa"/>
            <w:vAlign w:val="bottom"/>
          </w:tcPr>
          <w:p>
            <w:pPr>
              <w:spacing w:after="0"/>
              <w:rPr>
                <w:sz w:val="14"/>
                <w:szCs w:val="14"/>
                <w:color w:val="auto"/>
              </w:rPr>
            </w:pPr>
          </w:p>
        </w:tc>
        <w:tc>
          <w:tcPr>
            <w:tcW w:w="1060" w:type="dxa"/>
            <w:vAlign w:val="bottom"/>
          </w:tcPr>
          <w:p>
            <w:pPr>
              <w:jc w:val="right"/>
              <w:ind w:right="29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r>
      <w:tr>
        <w:trPr>
          <w:trHeight w:val="190"/>
        </w:trPr>
        <w:tc>
          <w:tcPr>
            <w:tcW w:w="26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88,179,374</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522,605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(3,705)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(269,512)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249,476</w:t>
            </w:r>
          </w:p>
        </w:tc>
        <w:tc>
          <w:tcPr>
            <w:tcW w:w="60" w:type="dxa"/>
            <w:vAlign w:val="bottom"/>
            <w:shd w:val="clear" w:color="auto" w:fill="CFF0FC"/>
          </w:tcPr>
          <w:p>
            <w:pPr>
              <w:spacing w:after="0"/>
              <w:rPr>
                <w:sz w:val="16"/>
                <w:szCs w:val="16"/>
                <w:color w:val="auto"/>
              </w:rPr>
            </w:pPr>
          </w:p>
        </w:tc>
      </w:tr>
      <w:tr>
        <w:trPr>
          <w:trHeight w:val="172"/>
        </w:trPr>
        <w:tc>
          <w:tcPr>
            <w:tcW w:w="2600" w:type="dxa"/>
            <w:vAlign w:val="bottom"/>
          </w:tcPr>
          <w:p>
            <w:pPr>
              <w:spacing w:after="0"/>
              <w:rPr>
                <w:sz w:val="20"/>
                <w:szCs w:val="20"/>
                <w:color w:val="auto"/>
              </w:rPr>
            </w:pPr>
            <w:r>
              <w:rPr>
                <w:rFonts w:ascii="Arial" w:cs="Arial" w:eastAsia="Arial" w:hAnsi="Arial"/>
                <w:sz w:val="15"/>
                <w:szCs w:val="15"/>
                <w:color w:val="auto"/>
                <w:w w:val="99"/>
              </w:rPr>
              <w:t>Issuance of common stock under stock</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2600" w:type="dxa"/>
            <w:vAlign w:val="bottom"/>
          </w:tcPr>
          <w:p>
            <w:pPr>
              <w:spacing w:after="0"/>
              <w:rPr>
                <w:sz w:val="20"/>
                <w:szCs w:val="20"/>
                <w:color w:val="auto"/>
              </w:rPr>
            </w:pPr>
            <w:r>
              <w:rPr>
                <w:rFonts w:ascii="Arial" w:cs="Arial" w:eastAsia="Arial" w:hAnsi="Arial"/>
                <w:sz w:val="15"/>
                <w:szCs w:val="15"/>
                <w:color w:val="auto"/>
              </w:rPr>
              <w:t>plans</w:t>
            </w:r>
          </w:p>
        </w:tc>
        <w:tc>
          <w:tcPr>
            <w:tcW w:w="1060" w:type="dxa"/>
            <w:vAlign w:val="bottom"/>
          </w:tcPr>
          <w:p>
            <w:pPr>
              <w:jc w:val="right"/>
              <w:spacing w:after="0"/>
              <w:rPr>
                <w:sz w:val="20"/>
                <w:szCs w:val="20"/>
                <w:color w:val="auto"/>
              </w:rPr>
            </w:pPr>
            <w:r>
              <w:rPr>
                <w:rFonts w:ascii="Arial" w:cs="Arial" w:eastAsia="Arial" w:hAnsi="Arial"/>
                <w:sz w:val="14"/>
                <w:szCs w:val="14"/>
                <w:color w:val="auto"/>
              </w:rPr>
              <w:t>826,714</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1,941</w:t>
            </w:r>
          </w:p>
        </w:tc>
        <w:tc>
          <w:tcPr>
            <w:tcW w:w="60" w:type="dxa"/>
            <w:vAlign w:val="bottom"/>
          </w:tcPr>
          <w:p>
            <w:pPr>
              <w:spacing w:after="0"/>
              <w:rPr>
                <w:sz w:val="16"/>
                <w:szCs w:val="16"/>
                <w:color w:val="auto"/>
              </w:rPr>
            </w:pPr>
          </w:p>
        </w:tc>
      </w:tr>
      <w:tr>
        <w:trPr>
          <w:trHeight w:val="187"/>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Stock 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19,079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19,079</w:t>
            </w:r>
          </w:p>
        </w:tc>
        <w:tc>
          <w:tcPr>
            <w:tcW w:w="60" w:type="dxa"/>
            <w:vAlign w:val="bottom"/>
            <w:shd w:val="clear" w:color="auto" w:fill="CFF0FC"/>
          </w:tcPr>
          <w:p>
            <w:pPr>
              <w:spacing w:after="0"/>
              <w:rPr>
                <w:sz w:val="16"/>
                <w:szCs w:val="16"/>
                <w:color w:val="auto"/>
              </w:rPr>
            </w:pPr>
          </w:p>
        </w:tc>
      </w:tr>
      <w:tr>
        <w:trPr>
          <w:trHeight w:val="170"/>
        </w:trPr>
        <w:tc>
          <w:tcPr>
            <w:tcW w:w="2600" w:type="dxa"/>
            <w:vAlign w:val="bottom"/>
          </w:tcPr>
          <w:p>
            <w:pPr>
              <w:spacing w:after="0" w:line="169" w:lineRule="exact"/>
              <w:rPr>
                <w:sz w:val="20"/>
                <w:szCs w:val="20"/>
                <w:color w:val="auto"/>
              </w:rPr>
            </w:pPr>
            <w:r>
              <w:rPr>
                <w:rFonts w:ascii="Arial" w:cs="Arial" w:eastAsia="Arial" w:hAnsi="Arial"/>
                <w:sz w:val="15"/>
                <w:szCs w:val="15"/>
                <w:color w:val="auto"/>
              </w:rPr>
              <w:t>Common shares and pre-funded stock</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2600" w:type="dxa"/>
            <w:vAlign w:val="bottom"/>
          </w:tcPr>
          <w:p>
            <w:pPr>
              <w:spacing w:after="0"/>
              <w:rPr>
                <w:sz w:val="20"/>
                <w:szCs w:val="20"/>
                <w:color w:val="auto"/>
              </w:rPr>
            </w:pPr>
            <w:r>
              <w:rPr>
                <w:rFonts w:ascii="Arial" w:cs="Arial" w:eastAsia="Arial" w:hAnsi="Arial"/>
                <w:sz w:val="15"/>
                <w:szCs w:val="15"/>
                <w:color w:val="auto"/>
              </w:rPr>
              <w:t>warrants issued in offerings, net of</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2600" w:type="dxa"/>
            <w:vAlign w:val="bottom"/>
          </w:tcPr>
          <w:p>
            <w:pPr>
              <w:spacing w:after="0"/>
              <w:rPr>
                <w:sz w:val="20"/>
                <w:szCs w:val="20"/>
                <w:color w:val="auto"/>
              </w:rPr>
            </w:pPr>
            <w:r>
              <w:rPr>
                <w:rFonts w:ascii="Arial" w:cs="Arial" w:eastAsia="Arial" w:hAnsi="Arial"/>
                <w:sz w:val="15"/>
                <w:szCs w:val="15"/>
                <w:color w:val="auto"/>
              </w:rPr>
              <w:t>issuance costs</w:t>
            </w:r>
          </w:p>
        </w:tc>
        <w:tc>
          <w:tcPr>
            <w:tcW w:w="1060" w:type="dxa"/>
            <w:vAlign w:val="bottom"/>
          </w:tcPr>
          <w:p>
            <w:pPr>
              <w:jc w:val="right"/>
              <w:spacing w:after="0"/>
              <w:rPr>
                <w:sz w:val="20"/>
                <w:szCs w:val="20"/>
                <w:color w:val="auto"/>
              </w:rPr>
            </w:pPr>
            <w:r>
              <w:rPr>
                <w:rFonts w:ascii="Arial" w:cs="Arial" w:eastAsia="Arial" w:hAnsi="Arial"/>
                <w:sz w:val="14"/>
                <w:szCs w:val="14"/>
                <w:color w:val="auto"/>
              </w:rPr>
              <w:t>13,196,671</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79,762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79,776</w:t>
            </w:r>
          </w:p>
        </w:tc>
        <w:tc>
          <w:tcPr>
            <w:tcW w:w="60" w:type="dxa"/>
            <w:vAlign w:val="bottom"/>
          </w:tcPr>
          <w:p>
            <w:pPr>
              <w:spacing w:after="0"/>
              <w:rPr>
                <w:sz w:val="16"/>
                <w:szCs w:val="16"/>
                <w:color w:val="auto"/>
              </w:rPr>
            </w:pPr>
          </w:p>
        </w:tc>
      </w:tr>
      <w:tr>
        <w:trPr>
          <w:trHeight w:val="172"/>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Return of capital from a stockholder -</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7"/>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related party</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w:t>
            </w:r>
          </w:p>
        </w:tc>
        <w:tc>
          <w:tcPr>
            <w:tcW w:w="60" w:type="dxa"/>
            <w:vAlign w:val="bottom"/>
            <w:shd w:val="clear" w:color="auto" w:fill="CFF0FC"/>
          </w:tcPr>
          <w:p>
            <w:pPr>
              <w:spacing w:after="0"/>
              <w:rPr>
                <w:sz w:val="16"/>
                <w:szCs w:val="16"/>
                <w:color w:val="auto"/>
              </w:rPr>
            </w:pP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3,891</w:t>
            </w:r>
          </w:p>
        </w:tc>
        <w:tc>
          <w:tcPr>
            <w:tcW w:w="60" w:type="dxa"/>
            <w:vAlign w:val="bottom"/>
          </w:tcPr>
          <w:p>
            <w:pPr>
              <w:spacing w:after="0"/>
              <w:rPr>
                <w:sz w:val="16"/>
                <w:szCs w:val="16"/>
                <w:color w:val="auto"/>
              </w:rPr>
            </w:pPr>
          </w:p>
        </w:tc>
      </w:tr>
      <w:tr>
        <w:trPr>
          <w:trHeight w:val="187"/>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(101,744)</w:t>
            </w: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(101,744 )</w:t>
            </w:r>
          </w:p>
        </w:tc>
      </w:tr>
      <w:tr>
        <w:trPr>
          <w:trHeight w:val="195"/>
        </w:trPr>
        <w:tc>
          <w:tcPr>
            <w:tcW w:w="26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Balance at December 31, 2023</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102,202,759</w:t>
            </w:r>
          </w:p>
        </w:tc>
        <w:tc>
          <w:tcPr>
            <w:tcW w:w="160" w:type="dxa"/>
            <w:vAlign w:val="bottom"/>
            <w:tcBorders>
              <w:bottom w:val="single" w:sz="8" w:color="CFF0FC"/>
            </w:tcBorders>
          </w:tcPr>
          <w:p>
            <w:pPr>
              <w:spacing w:after="0"/>
              <w:rPr>
                <w:sz w:val="16"/>
                <w:szCs w:val="16"/>
                <w:color w:val="auto"/>
              </w:rPr>
            </w:pPr>
          </w:p>
        </w:tc>
        <w:tc>
          <w:tcPr>
            <w:tcW w:w="820" w:type="dxa"/>
            <w:vAlign w:val="bottom"/>
            <w:tcBorders>
              <w:top w:val="single" w:sz="8" w:color="CFF0FC"/>
            </w:tcBorders>
          </w:tcPr>
          <w:p>
            <w:pPr>
              <w:jc w:val="right"/>
              <w:ind w:right="67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w w:val="94"/>
              </w:rPr>
              <w:t>102</w:t>
            </w:r>
          </w:p>
        </w:tc>
        <w:tc>
          <w:tcPr>
            <w:tcW w:w="180" w:type="dxa"/>
            <w:vAlign w:val="bottom"/>
            <w:tcBorders>
              <w:bottom w:val="single" w:sz="8" w:color="CFF0FC"/>
            </w:tcBorders>
          </w:tcPr>
          <w:p>
            <w:pPr>
              <w:spacing w:after="0"/>
              <w:rPr>
                <w:sz w:val="16"/>
                <w:szCs w:val="16"/>
                <w:color w:val="auto"/>
              </w:rPr>
            </w:pPr>
          </w:p>
        </w:tc>
        <w:tc>
          <w:tcPr>
            <w:tcW w:w="160" w:type="dxa"/>
            <w:vAlign w:val="bottom"/>
            <w:tcBorders>
              <w:top w:val="single" w:sz="8" w:color="CFF0FC"/>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624,076</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186</w:t>
            </w:r>
          </w:p>
        </w:tc>
        <w:tc>
          <w:tcPr>
            <w:tcW w:w="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(371,256)</w:t>
            </w:r>
          </w:p>
        </w:tc>
        <w:tc>
          <w:tcPr>
            <w:tcW w:w="220" w:type="dxa"/>
            <w:vAlign w:val="bottom"/>
            <w:tcBorders>
              <w:bottom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253,108</w:t>
            </w:r>
          </w:p>
        </w:tc>
        <w:tc>
          <w:tcPr>
            <w:tcW w:w="60" w:type="dxa"/>
            <w:vAlign w:val="bottom"/>
            <w:tcBorders>
              <w:bottom w:val="single" w:sz="8" w:color="CFF0FC"/>
            </w:tcBorders>
          </w:tcPr>
          <w:p>
            <w:pPr>
              <w:spacing w:after="0"/>
              <w:rPr>
                <w:sz w:val="16"/>
                <w:szCs w:val="16"/>
                <w:color w:val="auto"/>
              </w:rPr>
            </w:pPr>
          </w:p>
        </w:tc>
      </w:tr>
      <w:tr>
        <w:trPr>
          <w:trHeight w:val="171"/>
        </w:trPr>
        <w:tc>
          <w:tcPr>
            <w:tcW w:w="260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w w:val="99"/>
              </w:rPr>
              <w:t>Issuance of common stock under stock</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8"/>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plans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1,525,384</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5,941</w:t>
            </w:r>
          </w:p>
        </w:tc>
        <w:tc>
          <w:tcPr>
            <w:tcW w:w="60" w:type="dxa"/>
            <w:vAlign w:val="bottom"/>
            <w:shd w:val="clear" w:color="auto" w:fill="CFF0FC"/>
          </w:tcPr>
          <w:p>
            <w:pPr>
              <w:spacing w:after="0"/>
              <w:rPr>
                <w:sz w:val="16"/>
                <w:szCs w:val="16"/>
                <w:color w:val="auto"/>
              </w:rPr>
            </w:pP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Stock based compensation expense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28,897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28,897</w:t>
            </w:r>
          </w:p>
        </w:tc>
        <w:tc>
          <w:tcPr>
            <w:tcW w:w="60" w:type="dxa"/>
            <w:vAlign w:val="bottom"/>
          </w:tcPr>
          <w:p>
            <w:pPr>
              <w:spacing w:after="0"/>
              <w:rPr>
                <w:sz w:val="16"/>
                <w:szCs w:val="16"/>
                <w:color w:val="auto"/>
              </w:rPr>
            </w:pPr>
          </w:p>
        </w:tc>
      </w:tr>
      <w:tr>
        <w:trPr>
          <w:trHeight w:val="172"/>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w w:val="94"/>
              </w:rPr>
              <w:t>Common shares issued in offering, net of</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7"/>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issuance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4,001,200</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41,719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41,723</w:t>
            </w:r>
          </w:p>
        </w:tc>
        <w:tc>
          <w:tcPr>
            <w:tcW w:w="60" w:type="dxa"/>
            <w:vAlign w:val="bottom"/>
            <w:shd w:val="clear" w:color="auto" w:fill="CFF0FC"/>
          </w:tcPr>
          <w:p>
            <w:pPr>
              <w:spacing w:after="0"/>
              <w:rPr>
                <w:sz w:val="16"/>
                <w:szCs w:val="16"/>
                <w:color w:val="auto"/>
              </w:rPr>
            </w:pP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6"/>
                <w:szCs w:val="16"/>
                <w:color w:val="auto"/>
              </w:rPr>
            </w:pPr>
          </w:p>
        </w:tc>
      </w:tr>
      <w:tr>
        <w:trPr>
          <w:trHeight w:val="187"/>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(130,302)</w:t>
            </w: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(130,302 )</w:t>
            </w:r>
          </w:p>
        </w:tc>
      </w:tr>
      <w:tr>
        <w:trPr>
          <w:trHeight w:val="195"/>
        </w:trPr>
        <w:tc>
          <w:tcPr>
            <w:tcW w:w="26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Balance at December 31, 2024</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107,729,343</w:t>
            </w:r>
          </w:p>
        </w:tc>
        <w:tc>
          <w:tcPr>
            <w:tcW w:w="160" w:type="dxa"/>
            <w:vAlign w:val="bottom"/>
            <w:tcBorders>
              <w:bottom w:val="single" w:sz="8" w:color="CFF0FC"/>
            </w:tcBorders>
          </w:tcPr>
          <w:p>
            <w:pPr>
              <w:spacing w:after="0"/>
              <w:rPr>
                <w:sz w:val="16"/>
                <w:szCs w:val="16"/>
                <w:color w:val="auto"/>
              </w:rPr>
            </w:pPr>
          </w:p>
        </w:tc>
        <w:tc>
          <w:tcPr>
            <w:tcW w:w="820" w:type="dxa"/>
            <w:vAlign w:val="bottom"/>
            <w:tcBorders>
              <w:top w:val="single" w:sz="8" w:color="CFF0FC"/>
            </w:tcBorders>
          </w:tcPr>
          <w:p>
            <w:pPr>
              <w:jc w:val="right"/>
              <w:ind w:right="67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w w:val="94"/>
              </w:rPr>
              <w:t>108</w:t>
            </w:r>
          </w:p>
        </w:tc>
        <w:tc>
          <w:tcPr>
            <w:tcW w:w="180" w:type="dxa"/>
            <w:vAlign w:val="bottom"/>
            <w:tcBorders>
              <w:bottom w:val="single" w:sz="8" w:color="CFF0FC"/>
            </w:tcBorders>
          </w:tcPr>
          <w:p>
            <w:pPr>
              <w:spacing w:after="0"/>
              <w:rPr>
                <w:sz w:val="16"/>
                <w:szCs w:val="16"/>
                <w:color w:val="auto"/>
              </w:rPr>
            </w:pPr>
          </w:p>
        </w:tc>
        <w:tc>
          <w:tcPr>
            <w:tcW w:w="160" w:type="dxa"/>
            <w:vAlign w:val="bottom"/>
            <w:tcBorders>
              <w:top w:val="single" w:sz="8" w:color="CFF0FC"/>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700,631</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336</w:t>
            </w:r>
          </w:p>
        </w:tc>
        <w:tc>
          <w:tcPr>
            <w:tcW w:w="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(501,558)</w:t>
            </w:r>
          </w:p>
        </w:tc>
        <w:tc>
          <w:tcPr>
            <w:tcW w:w="220" w:type="dxa"/>
            <w:vAlign w:val="bottom"/>
            <w:tcBorders>
              <w:bottom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4"/>
                <w:szCs w:val="14"/>
                <w:b w:val="1"/>
                <w:bCs w:val="1"/>
                <w:color w:val="auto"/>
              </w:rPr>
              <w:t>199,517</w:t>
            </w:r>
          </w:p>
        </w:tc>
        <w:tc>
          <w:tcPr>
            <w:tcW w:w="60" w:type="dxa"/>
            <w:vAlign w:val="bottom"/>
            <w:tcBorders>
              <w:bottom w:val="single" w:sz="8" w:color="CFF0FC"/>
            </w:tcBorders>
          </w:tcPr>
          <w:p>
            <w:pPr>
              <w:spacing w:after="0"/>
              <w:rPr>
                <w:sz w:val="16"/>
                <w:szCs w:val="16"/>
                <w:color w:val="auto"/>
              </w:rPr>
            </w:pPr>
          </w:p>
        </w:tc>
      </w:tr>
      <w:tr>
        <w:trPr>
          <w:trHeight w:val="171"/>
        </w:trPr>
        <w:tc>
          <w:tcPr>
            <w:tcW w:w="260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w w:val="99"/>
              </w:rPr>
              <w:t>Issuance of common stock under stock</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8"/>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plans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3,115,187</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10,136</w:t>
            </w:r>
          </w:p>
        </w:tc>
        <w:tc>
          <w:tcPr>
            <w:tcW w:w="60" w:type="dxa"/>
            <w:vAlign w:val="bottom"/>
            <w:shd w:val="clear" w:color="auto" w:fill="CFF0FC"/>
          </w:tcPr>
          <w:p>
            <w:pPr>
              <w:spacing w:after="0"/>
              <w:rPr>
                <w:sz w:val="16"/>
                <w:szCs w:val="16"/>
                <w:color w:val="auto"/>
              </w:rPr>
            </w:pP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Stock based compensation expense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26,430</w:t>
            </w:r>
          </w:p>
        </w:tc>
        <w:tc>
          <w:tcPr>
            <w:tcW w:w="60" w:type="dxa"/>
            <w:vAlign w:val="bottom"/>
          </w:tcPr>
          <w:p>
            <w:pPr>
              <w:spacing w:after="0"/>
              <w:rPr>
                <w:sz w:val="16"/>
                <w:szCs w:val="16"/>
                <w:color w:val="auto"/>
              </w:rPr>
            </w:pPr>
          </w:p>
        </w:tc>
      </w:tr>
      <w:tr>
        <w:trPr>
          <w:trHeight w:val="171"/>
        </w:trPr>
        <w:tc>
          <w:tcPr>
            <w:tcW w:w="260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Common shares and pre-funded stock</w:t>
            </w: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3"/>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warrants issued in offerings, net of</w:t>
            </w: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8"/>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issuance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22,755,438</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211,779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211,802</w:t>
            </w:r>
          </w:p>
        </w:tc>
        <w:tc>
          <w:tcPr>
            <w:tcW w:w="60" w:type="dxa"/>
            <w:vAlign w:val="bottom"/>
            <w:shd w:val="clear" w:color="auto" w:fill="CFF0FC"/>
          </w:tcPr>
          <w:p>
            <w:pPr>
              <w:spacing w:after="0"/>
              <w:rPr>
                <w:sz w:val="16"/>
                <w:szCs w:val="16"/>
                <w:color w:val="auto"/>
              </w:rPr>
            </w:pP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Exercise of pre-funded stock warrants</w:t>
            </w:r>
          </w:p>
        </w:tc>
        <w:tc>
          <w:tcPr>
            <w:tcW w:w="1060" w:type="dxa"/>
            <w:vAlign w:val="bottom"/>
          </w:tcPr>
          <w:p>
            <w:pPr>
              <w:jc w:val="right"/>
              <w:spacing w:after="0"/>
              <w:rPr>
                <w:sz w:val="20"/>
                <w:szCs w:val="20"/>
                <w:color w:val="auto"/>
              </w:rPr>
            </w:pPr>
            <w:r>
              <w:rPr>
                <w:rFonts w:ascii="Arial" w:cs="Arial" w:eastAsia="Arial" w:hAnsi="Arial"/>
                <w:sz w:val="14"/>
                <w:szCs w:val="14"/>
                <w:color w:val="auto"/>
              </w:rPr>
              <w:t>2,340,486</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6"/>
        </w:trPr>
        <w:tc>
          <w:tcPr>
            <w:tcW w:w="2600" w:type="dxa"/>
            <w:vAlign w:val="bottom"/>
            <w:shd w:val="clear" w:color="auto" w:fill="CFF0FC"/>
          </w:tcPr>
          <w:p>
            <w:pPr>
              <w:spacing w:after="0"/>
              <w:rPr>
                <w:sz w:val="20"/>
                <w:szCs w:val="20"/>
                <w:color w:val="auto"/>
              </w:rPr>
            </w:pPr>
            <w:r>
              <w:rPr>
                <w:rFonts w:ascii="Arial" w:cs="Arial" w:eastAsia="Arial" w:hAnsi="Arial"/>
                <w:sz w:val="15"/>
                <w:szCs w:val="15"/>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(112)</w:t>
            </w:r>
          </w:p>
        </w:tc>
      </w:tr>
      <w:tr>
        <w:trPr>
          <w:trHeight w:val="186"/>
        </w:trPr>
        <w:tc>
          <w:tcPr>
            <w:tcW w:w="2600" w:type="dxa"/>
            <w:vAlign w:val="bottom"/>
          </w:tcPr>
          <w:p>
            <w:pPr>
              <w:spacing w:after="0"/>
              <w:rPr>
                <w:sz w:val="20"/>
                <w:szCs w:val="20"/>
                <w:color w:val="auto"/>
              </w:rPr>
            </w:pPr>
            <w:r>
              <w:rPr>
                <w:rFonts w:ascii="Arial" w:cs="Arial" w:eastAsia="Arial" w:hAnsi="Arial"/>
                <w:sz w:val="15"/>
                <w:szCs w:val="15"/>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(101,594)</w:t>
            </w: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(101,594 )</w:t>
            </w:r>
          </w:p>
        </w:tc>
      </w:tr>
      <w:tr>
        <w:trPr>
          <w:trHeight w:val="192"/>
        </w:trPr>
        <w:tc>
          <w:tcPr>
            <w:tcW w:w="26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2025</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135,940,454</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94"/>
              </w:rPr>
              <w:t>136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948,971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(603,152)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346,179</w:t>
            </w:r>
          </w:p>
        </w:tc>
        <w:tc>
          <w:tcPr>
            <w:tcW w:w="6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-3757930</wp:posOffset>
            </wp:positionV>
            <wp:extent cx="4742180" cy="3799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6">
                      <a:extLst>
                        <a:ext uri="{28A0092B-C50C-407E-A947-70E740481C1C}"/>
                      </a:extLst>
                    </a:blip>
                    <a:srcRect/>
                    <a:stretch>
                      <a:fillRect/>
                    </a:stretch>
                  </pic:blipFill>
                  <pic:spPr bwMode="auto">
                    <a:xfrm>
                      <a:off x="0" y="0"/>
                      <a:ext cx="4742180" cy="379984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0" w:orient="portrait"/>
          <w:cols w:equalWidth="0" w:num="1">
            <w:col w:w="10080"/>
          </w:cols>
          <w:pgMar w:left="1080" w:top="1056" w:right="108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2240" w:h="15840" w:orient="portrait"/>
          <w:cols w:equalWidth="0" w:num="1">
            <w:col w:w="10080"/>
          </w:cols>
          <w:pgMar w:left="1080" w:top="1056" w:right="1080" w:bottom="198"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TANGO THERAPEUTICS,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8"/>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r>
      <w:tr>
        <w:trPr>
          <w:trHeight w:val="259"/>
        </w:trPr>
        <w:tc>
          <w:tcPr>
            <w:tcW w:w="6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5"/>
        </w:trPr>
        <w:tc>
          <w:tcPr>
            <w:tcW w:w="6560" w:type="dxa"/>
            <w:vAlign w:val="bottom"/>
          </w:tcPr>
          <w:p>
            <w:pPr>
              <w:spacing w:after="0"/>
              <w:rPr>
                <w:sz w:val="20"/>
                <w:szCs w:val="20"/>
                <w:color w:val="auto"/>
              </w:rPr>
            </w:pPr>
            <w:r>
              <w:rPr>
                <w:rFonts w:ascii="Arial" w:cs="Arial" w:eastAsia="Arial" w:hAnsi="Arial"/>
                <w:sz w:val="20"/>
                <w:szCs w:val="20"/>
                <w:color w:val="auto"/>
              </w:rPr>
              <w:t>Net loss</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1"/>
              </w:rPr>
              <w:t>(101,594)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86"/>
              </w:rPr>
              <w:t>(130,302)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86"/>
              </w:rPr>
              <w:t>(101,744)</w:t>
            </w:r>
          </w:p>
        </w:tc>
        <w:tc>
          <w:tcPr>
            <w:tcW w:w="80" w:type="dxa"/>
            <w:vAlign w:val="bottom"/>
          </w:tcPr>
          <w:p>
            <w:pPr>
              <w:spacing w:after="0"/>
              <w:rPr>
                <w:sz w:val="21"/>
                <w:szCs w:val="21"/>
                <w:color w:val="auto"/>
              </w:rPr>
            </w:pPr>
          </w:p>
        </w:tc>
      </w:tr>
      <w:tr>
        <w:trPr>
          <w:trHeight w:val="224"/>
        </w:trPr>
        <w:tc>
          <w:tcPr>
            <w:tcW w:w="6560" w:type="dxa"/>
            <w:vAlign w:val="bottom"/>
            <w:shd w:val="clear" w:color="auto" w:fill="CFF0FC"/>
          </w:tcPr>
          <w:p>
            <w:pPr>
              <w:spacing w:after="0" w:line="225" w:lineRule="exact"/>
              <w:rPr>
                <w:sz w:val="20"/>
                <w:szCs w:val="20"/>
                <w:color w:val="auto"/>
              </w:rPr>
            </w:pPr>
            <w:r>
              <w:rPr>
                <w:rFonts w:ascii="Arial" w:cs="Arial" w:eastAsia="Arial" w:hAnsi="Arial"/>
                <w:sz w:val="20"/>
                <w:szCs w:val="20"/>
                <w:color w:val="auto"/>
              </w:rPr>
              <w:t>Adjustments to reconcile net loss to net cash from</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0"/>
        </w:trPr>
        <w:tc>
          <w:tcPr>
            <w:tcW w:w="65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operating activities: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6560" w:type="dxa"/>
            <w:vAlign w:val="bottom"/>
          </w:tcPr>
          <w:p>
            <w:pPr>
              <w:ind w:left="200"/>
              <w:spacing w:after="0"/>
              <w:rPr>
                <w:sz w:val="20"/>
                <w:szCs w:val="20"/>
                <w:color w:val="auto"/>
              </w:rPr>
            </w:pPr>
            <w:r>
              <w:rPr>
                <w:rFonts w:ascii="Arial" w:cs="Arial" w:eastAsia="Arial" w:hAnsi="Arial"/>
                <w:sz w:val="20"/>
                <w:szCs w:val="20"/>
                <w:color w:val="auto"/>
              </w:rPr>
              <w:t>Depreciation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2,499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2,415</w:t>
            </w:r>
          </w:p>
        </w:tc>
        <w:tc>
          <w:tcPr>
            <w:tcW w:w="80" w:type="dxa"/>
            <w:vAlign w:val="bottom"/>
          </w:tcPr>
          <w:p>
            <w:pPr>
              <w:spacing w:after="0"/>
              <w:rPr>
                <w:sz w:val="21"/>
                <w:szCs w:val="21"/>
                <w:color w:val="auto"/>
              </w:rPr>
            </w:pPr>
          </w:p>
        </w:tc>
      </w:tr>
      <w:tr>
        <w:trPr>
          <w:trHeight w:val="244"/>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Noncash operating lease expense</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3,961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3,606</w:t>
            </w:r>
          </w:p>
        </w:tc>
        <w:tc>
          <w:tcPr>
            <w:tcW w:w="80" w:type="dxa"/>
            <w:vAlign w:val="bottom"/>
            <w:shd w:val="clear" w:color="auto" w:fill="CFF0FC"/>
          </w:tcPr>
          <w:p>
            <w:pPr>
              <w:spacing w:after="0"/>
              <w:rPr>
                <w:sz w:val="21"/>
                <w:szCs w:val="21"/>
                <w:color w:val="auto"/>
              </w:rPr>
            </w:pPr>
          </w:p>
        </w:tc>
      </w:tr>
      <w:tr>
        <w:trPr>
          <w:trHeight w:val="245"/>
        </w:trPr>
        <w:tc>
          <w:tcPr>
            <w:tcW w:w="6560" w:type="dxa"/>
            <w:vAlign w:val="bottom"/>
          </w:tcPr>
          <w:p>
            <w:pPr>
              <w:ind w:left="200"/>
              <w:spacing w:after="0"/>
              <w:rPr>
                <w:sz w:val="20"/>
                <w:szCs w:val="20"/>
                <w:color w:val="auto"/>
              </w:rPr>
            </w:pPr>
            <w:r>
              <w:rPr>
                <w:rFonts w:ascii="Arial" w:cs="Arial" w:eastAsia="Arial" w:hAnsi="Arial"/>
                <w:sz w:val="20"/>
                <w:szCs w:val="20"/>
                <w:color w:val="auto"/>
              </w:rPr>
              <w:t>Stock-based compensation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26,430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28,897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19,079</w:t>
            </w:r>
          </w:p>
        </w:tc>
        <w:tc>
          <w:tcPr>
            <w:tcW w:w="80" w:type="dxa"/>
            <w:vAlign w:val="bottom"/>
          </w:tcPr>
          <w:p>
            <w:pPr>
              <w:spacing w:after="0"/>
              <w:rPr>
                <w:sz w:val="21"/>
                <w:szCs w:val="21"/>
                <w:color w:val="auto"/>
              </w:rPr>
            </w:pPr>
          </w:p>
        </w:tc>
      </w:tr>
      <w:tr>
        <w:trPr>
          <w:trHeight w:val="244"/>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Accretion on marketable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(2,688)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(4,617)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(3,394)</w:t>
            </w:r>
          </w:p>
        </w:tc>
      </w:tr>
      <w:tr>
        <w:trPr>
          <w:trHeight w:val="244"/>
        </w:trPr>
        <w:tc>
          <w:tcPr>
            <w:tcW w:w="6560" w:type="dxa"/>
            <w:vAlign w:val="bottom"/>
          </w:tcPr>
          <w:p>
            <w:pPr>
              <w:ind w:left="200"/>
              <w:spacing w:after="0"/>
              <w:rPr>
                <w:sz w:val="20"/>
                <w:szCs w:val="20"/>
                <w:color w:val="auto"/>
              </w:rPr>
            </w:pPr>
            <w:r>
              <w:rPr>
                <w:rFonts w:ascii="Arial" w:cs="Arial" w:eastAsia="Arial" w:hAnsi="Arial"/>
                <w:sz w:val="20"/>
                <w:szCs w:val="20"/>
                <w:color w:val="auto"/>
              </w:rPr>
              <w:t>Other, net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0"/>
                <w:szCs w:val="20"/>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1"/>
                <w:szCs w:val="21"/>
                <w:color w:val="auto"/>
              </w:rPr>
            </w:pPr>
          </w:p>
        </w:tc>
      </w:tr>
      <w:tr>
        <w:trPr>
          <w:trHeight w:val="245"/>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Changes in operating assets and liabilities: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6560" w:type="dxa"/>
            <w:vAlign w:val="bottom"/>
          </w:tcPr>
          <w:p>
            <w:pPr>
              <w:ind w:left="400"/>
              <w:spacing w:after="0"/>
              <w:rPr>
                <w:sz w:val="20"/>
                <w:szCs w:val="20"/>
                <w:color w:val="auto"/>
              </w:rPr>
            </w:pPr>
            <w:r>
              <w:rPr>
                <w:rFonts w:ascii="Arial" w:cs="Arial" w:eastAsia="Arial" w:hAnsi="Arial"/>
                <w:sz w:val="20"/>
                <w:szCs w:val="20"/>
                <w:color w:val="auto"/>
              </w:rPr>
              <w:t>Accounts receivable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2,000</w:t>
            </w:r>
          </w:p>
        </w:tc>
        <w:tc>
          <w:tcPr>
            <w:tcW w:w="80" w:type="dxa"/>
            <w:vAlign w:val="bottom"/>
          </w:tcPr>
          <w:p>
            <w:pPr>
              <w:spacing w:after="0"/>
              <w:rPr>
                <w:sz w:val="21"/>
                <w:szCs w:val="21"/>
                <w:color w:val="auto"/>
              </w:rPr>
            </w:pPr>
          </w:p>
        </w:tc>
      </w:tr>
      <w:tr>
        <w:trPr>
          <w:trHeight w:val="244"/>
        </w:trPr>
        <w:tc>
          <w:tcPr>
            <w:tcW w:w="65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Prepaid expenses and other current assets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(1,763)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(2,225)</w:t>
            </w:r>
          </w:p>
        </w:tc>
      </w:tr>
      <w:tr>
        <w:trPr>
          <w:trHeight w:val="245"/>
        </w:trPr>
        <w:tc>
          <w:tcPr>
            <w:tcW w:w="6560" w:type="dxa"/>
            <w:vAlign w:val="bottom"/>
          </w:tcPr>
          <w:p>
            <w:pPr>
              <w:ind w:left="400"/>
              <w:spacing w:after="0"/>
              <w:rPr>
                <w:sz w:val="20"/>
                <w:szCs w:val="20"/>
                <w:color w:val="auto"/>
              </w:rPr>
            </w:pPr>
            <w:r>
              <w:rPr>
                <w:rFonts w:ascii="Arial" w:cs="Arial" w:eastAsia="Arial" w:hAnsi="Arial"/>
                <w:sz w:val="20"/>
                <w:szCs w:val="20"/>
                <w:color w:val="auto"/>
              </w:rPr>
              <w:t>Other long-term assets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(41)</w:t>
            </w:r>
          </w:p>
        </w:tc>
      </w:tr>
      <w:tr>
        <w:trPr>
          <w:trHeight w:val="244"/>
        </w:trPr>
        <w:tc>
          <w:tcPr>
            <w:tcW w:w="65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Accounts payable</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(825)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(1,184)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(1,705)</w:t>
            </w:r>
          </w:p>
        </w:tc>
      </w:tr>
      <w:tr>
        <w:trPr>
          <w:trHeight w:val="244"/>
        </w:trPr>
        <w:tc>
          <w:tcPr>
            <w:tcW w:w="6560" w:type="dxa"/>
            <w:vAlign w:val="bottom"/>
          </w:tcPr>
          <w:p>
            <w:pPr>
              <w:ind w:left="400"/>
              <w:spacing w:after="0"/>
              <w:rPr>
                <w:sz w:val="20"/>
                <w:szCs w:val="20"/>
                <w:color w:val="auto"/>
              </w:rPr>
            </w:pPr>
            <w:r>
              <w:rPr>
                <w:rFonts w:ascii="Arial" w:cs="Arial" w:eastAsia="Arial" w:hAnsi="Arial"/>
                <w:sz w:val="20"/>
                <w:szCs w:val="20"/>
                <w:color w:val="auto"/>
              </w:rPr>
              <w:t>Accrued expenses and other liabilities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1,134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(2,029)</w:t>
            </w:r>
          </w:p>
        </w:tc>
      </w:tr>
      <w:tr>
        <w:trPr>
          <w:trHeight w:val="245"/>
        </w:trPr>
        <w:tc>
          <w:tcPr>
            <w:tcW w:w="65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Operating lease liabilities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(3,032)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(2,140)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(2,439)</w:t>
            </w:r>
          </w:p>
        </w:tc>
      </w:tr>
      <w:tr>
        <w:trPr>
          <w:trHeight w:val="244"/>
        </w:trPr>
        <w:tc>
          <w:tcPr>
            <w:tcW w:w="6560" w:type="dxa"/>
            <w:vAlign w:val="bottom"/>
          </w:tcPr>
          <w:p>
            <w:pPr>
              <w:ind w:left="400"/>
              <w:spacing w:after="0"/>
              <w:rPr>
                <w:sz w:val="20"/>
                <w:szCs w:val="20"/>
                <w:color w:val="auto"/>
              </w:rPr>
            </w:pPr>
            <w:r>
              <w:rPr>
                <w:rFonts w:ascii="Arial" w:cs="Arial" w:eastAsia="Arial" w:hAnsi="Arial"/>
                <w:sz w:val="20"/>
                <w:szCs w:val="20"/>
                <w:color w:val="auto"/>
              </w:rPr>
              <w:t>Deferred revenue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auto"/>
              </w:rPr>
              <w:t>(62,384)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(29,969)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(31,527)</w:t>
            </w:r>
          </w:p>
        </w:tc>
      </w:tr>
      <w:tr>
        <w:trPr>
          <w:trHeight w:val="259"/>
        </w:trPr>
        <w:tc>
          <w:tcPr>
            <w:tcW w:w="65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Net cash used in operating activities</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(138,886)</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(131,501)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(117,982)</w:t>
            </w:r>
          </w:p>
        </w:tc>
        <w:tc>
          <w:tcPr>
            <w:tcW w:w="80" w:type="dxa"/>
            <w:vAlign w:val="bottom"/>
            <w:shd w:val="clear" w:color="auto" w:fill="CFF0FC"/>
          </w:tcPr>
          <w:p>
            <w:pPr>
              <w:spacing w:after="0"/>
              <w:rPr>
                <w:sz w:val="22"/>
                <w:szCs w:val="22"/>
                <w:color w:val="auto"/>
              </w:rPr>
            </w:pPr>
          </w:p>
        </w:tc>
      </w:tr>
      <w:tr>
        <w:trPr>
          <w:trHeight w:val="244"/>
        </w:trPr>
        <w:tc>
          <w:tcPr>
            <w:tcW w:w="656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Purchase of property and equipment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(1,048)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(754)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(1,526)</w:t>
            </w:r>
          </w:p>
        </w:tc>
      </w:tr>
      <w:tr>
        <w:trPr>
          <w:trHeight w:val="245"/>
        </w:trPr>
        <w:tc>
          <w:tcPr>
            <w:tcW w:w="6560" w:type="dxa"/>
            <w:vAlign w:val="bottom"/>
          </w:tcPr>
          <w:p>
            <w:pPr>
              <w:ind w:left="200"/>
              <w:spacing w:after="0"/>
              <w:rPr>
                <w:sz w:val="20"/>
                <w:szCs w:val="20"/>
                <w:color w:val="auto"/>
              </w:rPr>
            </w:pPr>
            <w:r>
              <w:rPr>
                <w:rFonts w:ascii="Arial" w:cs="Arial" w:eastAsia="Arial" w:hAnsi="Arial"/>
                <w:sz w:val="20"/>
                <w:szCs w:val="20"/>
                <w:color w:val="auto"/>
              </w:rPr>
              <w:t>Sales and maturities of marketable securities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224,640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9"/>
              </w:rPr>
              <w:t>327,768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9"/>
              </w:rPr>
              <w:t>353,526</w:t>
            </w:r>
          </w:p>
        </w:tc>
        <w:tc>
          <w:tcPr>
            <w:tcW w:w="80" w:type="dxa"/>
            <w:vAlign w:val="bottom"/>
          </w:tcPr>
          <w:p>
            <w:pPr>
              <w:spacing w:after="0"/>
              <w:rPr>
                <w:sz w:val="21"/>
                <w:szCs w:val="21"/>
                <w:color w:val="auto"/>
              </w:rPr>
            </w:pPr>
          </w:p>
        </w:tc>
      </w:tr>
      <w:tr>
        <w:trPr>
          <w:trHeight w:val="245"/>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Purchases of marketable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w w:val="98"/>
              </w:rPr>
              <w:t>(264,457)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w w:val="93"/>
              </w:rPr>
              <w:t>(240,888)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w w:val="93"/>
              </w:rPr>
              <w:t>(310,574)</w:t>
            </w:r>
          </w:p>
        </w:tc>
      </w:tr>
      <w:tr>
        <w:trPr>
          <w:trHeight w:val="258"/>
        </w:trPr>
        <w:tc>
          <w:tcPr>
            <w:tcW w:w="6560" w:type="dxa"/>
            <w:vAlign w:val="bottom"/>
          </w:tcPr>
          <w:p>
            <w:pPr>
              <w:ind w:left="400"/>
              <w:spacing w:after="0"/>
              <w:rPr>
                <w:sz w:val="20"/>
                <w:szCs w:val="20"/>
                <w:color w:val="auto"/>
              </w:rPr>
            </w:pPr>
            <w:r>
              <w:rPr>
                <w:rFonts w:ascii="Arial" w:cs="Arial" w:eastAsia="Arial" w:hAnsi="Arial"/>
                <w:sz w:val="20"/>
                <w:szCs w:val="20"/>
                <w:color w:val="auto"/>
              </w:rPr>
              <w:t>Net cash (used in) provided by investing activities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(40,865)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86,126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41,426</w:t>
            </w:r>
          </w:p>
        </w:tc>
        <w:tc>
          <w:tcPr>
            <w:tcW w:w="80" w:type="dxa"/>
            <w:vAlign w:val="bottom"/>
          </w:tcPr>
          <w:p>
            <w:pPr>
              <w:spacing w:after="0"/>
              <w:rPr>
                <w:sz w:val="22"/>
                <w:szCs w:val="22"/>
                <w:color w:val="auto"/>
              </w:rPr>
            </w:pPr>
          </w:p>
        </w:tc>
      </w:tr>
      <w:tr>
        <w:trPr>
          <w:trHeight w:val="244"/>
        </w:trPr>
        <w:tc>
          <w:tcPr>
            <w:tcW w:w="6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5"/>
        </w:trPr>
        <w:tc>
          <w:tcPr>
            <w:tcW w:w="6560" w:type="dxa"/>
            <w:vAlign w:val="bottom"/>
          </w:tcPr>
          <w:p>
            <w:pPr>
              <w:ind w:left="200"/>
              <w:spacing w:after="0"/>
              <w:rPr>
                <w:sz w:val="20"/>
                <w:szCs w:val="20"/>
                <w:color w:val="auto"/>
              </w:rPr>
            </w:pPr>
            <w:r>
              <w:rPr>
                <w:rFonts w:ascii="Arial" w:cs="Arial" w:eastAsia="Arial" w:hAnsi="Arial"/>
                <w:sz w:val="20"/>
                <w:szCs w:val="20"/>
                <w:color w:val="auto"/>
              </w:rPr>
              <w:t>Proceeds from issuance of common stock and pre-funded warrants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212,400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41,723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80,017</w:t>
            </w:r>
          </w:p>
        </w:tc>
        <w:tc>
          <w:tcPr>
            <w:tcW w:w="80" w:type="dxa"/>
            <w:vAlign w:val="bottom"/>
          </w:tcPr>
          <w:p>
            <w:pPr>
              <w:spacing w:after="0"/>
              <w:rPr>
                <w:sz w:val="21"/>
                <w:szCs w:val="21"/>
                <w:color w:val="auto"/>
              </w:rPr>
            </w:pPr>
          </w:p>
        </w:tc>
      </w:tr>
      <w:tr>
        <w:trPr>
          <w:trHeight w:val="224"/>
        </w:trPr>
        <w:tc>
          <w:tcPr>
            <w:tcW w:w="6560" w:type="dxa"/>
            <w:vAlign w:val="bottom"/>
            <w:shd w:val="clear" w:color="auto" w:fill="CFF0FC"/>
          </w:tcPr>
          <w:p>
            <w:pPr>
              <w:ind w:left="200"/>
              <w:spacing w:after="0" w:line="225" w:lineRule="exact"/>
              <w:rPr>
                <w:sz w:val="20"/>
                <w:szCs w:val="20"/>
                <w:color w:val="auto"/>
              </w:rPr>
            </w:pPr>
            <w:r>
              <w:rPr>
                <w:rFonts w:ascii="Arial" w:cs="Arial" w:eastAsia="Arial" w:hAnsi="Arial"/>
                <w:sz w:val="20"/>
                <w:szCs w:val="20"/>
                <w:color w:val="auto"/>
                <w:w w:val="92"/>
              </w:rPr>
              <w:t>Proceeds from issuance of common stock upon exercise of stock options and</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0"/>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purchase of shares under ESPP</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10,136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5,941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1,941</w:t>
            </w:r>
          </w:p>
        </w:tc>
        <w:tc>
          <w:tcPr>
            <w:tcW w:w="80" w:type="dxa"/>
            <w:vAlign w:val="bottom"/>
            <w:shd w:val="clear" w:color="auto" w:fill="CFF0FC"/>
          </w:tcPr>
          <w:p>
            <w:pPr>
              <w:spacing w:after="0"/>
              <w:rPr>
                <w:sz w:val="21"/>
                <w:szCs w:val="21"/>
                <w:color w:val="auto"/>
              </w:rPr>
            </w:pPr>
          </w:p>
        </w:tc>
      </w:tr>
      <w:tr>
        <w:trPr>
          <w:trHeight w:val="244"/>
        </w:trPr>
        <w:tc>
          <w:tcPr>
            <w:tcW w:w="6560" w:type="dxa"/>
            <w:vAlign w:val="bottom"/>
          </w:tcPr>
          <w:p>
            <w:pPr>
              <w:ind w:left="200"/>
              <w:spacing w:after="0"/>
              <w:rPr>
                <w:sz w:val="20"/>
                <w:szCs w:val="20"/>
                <w:color w:val="auto"/>
              </w:rPr>
            </w:pPr>
            <w:r>
              <w:rPr>
                <w:rFonts w:ascii="Arial" w:cs="Arial" w:eastAsia="Arial" w:hAnsi="Arial"/>
                <w:sz w:val="20"/>
                <w:szCs w:val="20"/>
                <w:color w:val="auto"/>
              </w:rPr>
              <w:t>Return of capital from a stockholder - related party</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689</w:t>
            </w:r>
          </w:p>
        </w:tc>
        <w:tc>
          <w:tcPr>
            <w:tcW w:w="80" w:type="dxa"/>
            <w:vAlign w:val="bottom"/>
          </w:tcPr>
          <w:p>
            <w:pPr>
              <w:spacing w:after="0"/>
              <w:rPr>
                <w:sz w:val="21"/>
                <w:szCs w:val="21"/>
                <w:color w:val="auto"/>
              </w:rPr>
            </w:pPr>
          </w:p>
        </w:tc>
      </w:tr>
      <w:tr>
        <w:trPr>
          <w:trHeight w:val="245"/>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Payment of transaction costs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(36)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(241)</w:t>
            </w:r>
          </w:p>
        </w:tc>
      </w:tr>
      <w:tr>
        <w:trPr>
          <w:trHeight w:val="258"/>
        </w:trPr>
        <w:tc>
          <w:tcPr>
            <w:tcW w:w="6560" w:type="dxa"/>
            <w:vAlign w:val="bottom"/>
          </w:tcPr>
          <w:p>
            <w:pPr>
              <w:ind w:left="400"/>
              <w:spacing w:after="0"/>
              <w:rPr>
                <w:sz w:val="20"/>
                <w:szCs w:val="20"/>
                <w:color w:val="auto"/>
              </w:rPr>
            </w:pPr>
            <w:r>
              <w:rPr>
                <w:rFonts w:ascii="Arial" w:cs="Arial" w:eastAsia="Arial" w:hAnsi="Arial"/>
                <w:sz w:val="20"/>
                <w:szCs w:val="20"/>
                <w:color w:val="auto"/>
              </w:rPr>
              <w:t>Net cash provided by financing activities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222,500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47,664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82,406</w:t>
            </w:r>
          </w:p>
        </w:tc>
        <w:tc>
          <w:tcPr>
            <w:tcW w:w="80" w:type="dxa"/>
            <w:vAlign w:val="bottom"/>
          </w:tcPr>
          <w:p>
            <w:pPr>
              <w:spacing w:after="0"/>
              <w:rPr>
                <w:sz w:val="22"/>
                <w:szCs w:val="22"/>
                <w:color w:val="auto"/>
              </w:rPr>
            </w:pPr>
          </w:p>
        </w:tc>
      </w:tr>
      <w:tr>
        <w:trPr>
          <w:trHeight w:val="244"/>
        </w:trPr>
        <w:tc>
          <w:tcPr>
            <w:tcW w:w="6560" w:type="dxa"/>
            <w:vAlign w:val="bottom"/>
            <w:shd w:val="clear" w:color="auto" w:fill="CFF0FC"/>
          </w:tcPr>
          <w:p>
            <w:pPr>
              <w:spacing w:after="0"/>
              <w:rPr>
                <w:sz w:val="20"/>
                <w:szCs w:val="20"/>
                <w:color w:val="auto"/>
              </w:rPr>
            </w:pPr>
            <w:r>
              <w:rPr>
                <w:rFonts w:ascii="Arial" w:cs="Arial" w:eastAsia="Arial" w:hAnsi="Arial"/>
                <w:sz w:val="20"/>
                <w:szCs w:val="20"/>
                <w:color w:val="auto"/>
              </w:rPr>
              <w:t>Net change in cash, cash equivalents and restricted cash</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42,749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5,850</w:t>
            </w:r>
          </w:p>
        </w:tc>
        <w:tc>
          <w:tcPr>
            <w:tcW w:w="80" w:type="dxa"/>
            <w:vAlign w:val="bottom"/>
            <w:shd w:val="clear" w:color="auto" w:fill="CFF0FC"/>
          </w:tcPr>
          <w:p>
            <w:pPr>
              <w:spacing w:after="0"/>
              <w:rPr>
                <w:sz w:val="21"/>
                <w:szCs w:val="21"/>
                <w:color w:val="auto"/>
              </w:rPr>
            </w:pPr>
          </w:p>
        </w:tc>
      </w:tr>
      <w:tr>
        <w:trPr>
          <w:trHeight w:val="245"/>
        </w:trPr>
        <w:tc>
          <w:tcPr>
            <w:tcW w:w="6560" w:type="dxa"/>
            <w:vAlign w:val="bottom"/>
          </w:tcPr>
          <w:p>
            <w:pPr>
              <w:spacing w:after="0"/>
              <w:rPr>
                <w:sz w:val="20"/>
                <w:szCs w:val="20"/>
                <w:color w:val="auto"/>
              </w:rPr>
            </w:pPr>
            <w:r>
              <w:rPr>
                <w:rFonts w:ascii="Arial" w:cs="Arial" w:eastAsia="Arial" w:hAnsi="Arial"/>
                <w:sz w:val="20"/>
                <w:szCs w:val="20"/>
                <w:color w:val="auto"/>
              </w:rPr>
              <w:t>Cash, cash equivalents and restricted cash, beginning of period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72,097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69,808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63,958</w:t>
            </w:r>
          </w:p>
        </w:tc>
        <w:tc>
          <w:tcPr>
            <w:tcW w:w="80" w:type="dxa"/>
            <w:vAlign w:val="bottom"/>
          </w:tcPr>
          <w:p>
            <w:pPr>
              <w:spacing w:after="0"/>
              <w:rPr>
                <w:sz w:val="21"/>
                <w:szCs w:val="21"/>
                <w:color w:val="auto"/>
              </w:rPr>
            </w:pPr>
          </w:p>
        </w:tc>
      </w:tr>
      <w:tr>
        <w:trPr>
          <w:trHeight w:val="259"/>
        </w:trPr>
        <w:tc>
          <w:tcPr>
            <w:tcW w:w="6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cash equivalents and restricted cash, end of period</w:t>
            </w:r>
          </w:p>
        </w:tc>
        <w:tc>
          <w:tcPr>
            <w:tcW w:w="120" w:type="dxa"/>
            <w:vAlign w:val="bottom"/>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shd w:val="clear" w:color="auto" w:fill="CFF0FC"/>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114,846</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shd w:val="clear" w:color="auto" w:fill="CFF0FC"/>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72,097</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shd w:val="clear" w:color="auto" w:fill="CFF0FC"/>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69,808</w:t>
            </w:r>
          </w:p>
        </w:tc>
        <w:tc>
          <w:tcPr>
            <w:tcW w:w="80" w:type="dxa"/>
            <w:vAlign w:val="bottom"/>
            <w:shd w:val="clear" w:color="auto" w:fill="CFF0FC"/>
          </w:tcPr>
          <w:p>
            <w:pPr>
              <w:spacing w:after="0"/>
              <w:rPr>
                <w:sz w:val="22"/>
                <w:szCs w:val="22"/>
                <w:color w:val="auto"/>
              </w:rPr>
            </w:pPr>
          </w:p>
        </w:tc>
      </w:tr>
      <w:tr>
        <w:trPr>
          <w:trHeight w:val="238"/>
        </w:trPr>
        <w:tc>
          <w:tcPr>
            <w:tcW w:w="6560" w:type="dxa"/>
            <w:vAlign w:val="bottom"/>
          </w:tcPr>
          <w:p>
            <w:pPr>
              <w:spacing w:after="0"/>
              <w:rPr>
                <w:sz w:val="20"/>
                <w:szCs w:val="20"/>
                <w:color w:val="auto"/>
              </w:rPr>
            </w:pPr>
            <w:r>
              <w:rPr>
                <w:rFonts w:ascii="Arial" w:cs="Arial" w:eastAsia="Arial" w:hAnsi="Arial"/>
                <w:sz w:val="20"/>
                <w:szCs w:val="20"/>
                <w:b w:val="1"/>
                <w:bCs w:val="1"/>
                <w:color w:val="auto"/>
              </w:rPr>
              <w:t>Supplemental cash flow information: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Cash paid for leases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5,882</w:t>
            </w:r>
          </w:p>
        </w:tc>
        <w:tc>
          <w:tcPr>
            <w:tcW w:w="80" w:type="dxa"/>
            <w:vAlign w:val="bottom"/>
            <w:shd w:val="clear" w:color="auto" w:fill="CFF0FC"/>
          </w:tcPr>
          <w:p>
            <w:pPr>
              <w:spacing w:after="0"/>
              <w:rPr>
                <w:sz w:val="21"/>
                <w:szCs w:val="21"/>
                <w:color w:val="auto"/>
              </w:rPr>
            </w:pPr>
          </w:p>
        </w:tc>
      </w:tr>
      <w:tr>
        <w:trPr>
          <w:trHeight w:val="244"/>
        </w:trPr>
        <w:tc>
          <w:tcPr>
            <w:tcW w:w="6560" w:type="dxa"/>
            <w:vAlign w:val="bottom"/>
          </w:tcPr>
          <w:p>
            <w:pPr>
              <w:spacing w:after="0"/>
              <w:rPr>
                <w:sz w:val="20"/>
                <w:szCs w:val="20"/>
                <w:color w:val="auto"/>
              </w:rPr>
            </w:pPr>
            <w:r>
              <w:rPr>
                <w:rFonts w:ascii="Arial" w:cs="Arial" w:eastAsia="Arial" w:hAnsi="Arial"/>
                <w:sz w:val="20"/>
                <w:szCs w:val="20"/>
                <w:b w:val="1"/>
                <w:bCs w:val="1"/>
                <w:color w:val="auto"/>
                <w:w w:val="99"/>
              </w:rPr>
              <w:t>Supplemental disclosure of noncash investing and financing activity:</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6560" w:type="dxa"/>
            <w:vAlign w:val="bottom"/>
            <w:shd w:val="clear" w:color="auto" w:fill="CFF0FC"/>
          </w:tcPr>
          <w:p>
            <w:pPr>
              <w:ind w:left="200"/>
              <w:spacing w:after="0" w:line="226" w:lineRule="exact"/>
              <w:rPr>
                <w:sz w:val="20"/>
                <w:szCs w:val="20"/>
                <w:color w:val="auto"/>
              </w:rPr>
            </w:pPr>
            <w:r>
              <w:rPr>
                <w:rFonts w:ascii="Arial" w:cs="Arial" w:eastAsia="Arial" w:hAnsi="Arial"/>
                <w:sz w:val="20"/>
                <w:szCs w:val="20"/>
                <w:color w:val="auto"/>
                <w:w w:val="99"/>
              </w:rPr>
              <w:t>Purchases of property and equipment included in accounts payable and</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9"/>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accrued expenses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80" w:type="dxa"/>
            <w:vAlign w:val="bottom"/>
            <w:shd w:val="clear" w:color="auto" w:fill="CFF0FC"/>
          </w:tcPr>
          <w:p>
            <w:pPr>
              <w:spacing w:after="0"/>
              <w:rPr>
                <w:sz w:val="21"/>
                <w:szCs w:val="21"/>
                <w:color w:val="auto"/>
              </w:rPr>
            </w:pPr>
          </w:p>
        </w:tc>
      </w:tr>
      <w:tr>
        <w:trPr>
          <w:trHeight w:val="244"/>
        </w:trPr>
        <w:tc>
          <w:tcPr>
            <w:tcW w:w="6560" w:type="dxa"/>
            <w:vAlign w:val="bottom"/>
          </w:tcPr>
          <w:p>
            <w:pPr>
              <w:ind w:left="200"/>
              <w:spacing w:after="0"/>
              <w:rPr>
                <w:sz w:val="20"/>
                <w:szCs w:val="20"/>
                <w:color w:val="auto"/>
              </w:rPr>
            </w:pPr>
            <w:r>
              <w:rPr>
                <w:rFonts w:ascii="Arial" w:cs="Arial" w:eastAsia="Arial" w:hAnsi="Arial"/>
                <w:sz w:val="20"/>
                <w:szCs w:val="20"/>
                <w:color w:val="auto"/>
              </w:rPr>
              <w:t>Operating lease liabilities from obtaining right-of-use assets</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1,308</w:t>
            </w: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210</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6"/>
        </w:trPr>
        <w:tc>
          <w:tcPr>
            <w:tcW w:w="6560" w:type="dxa"/>
            <w:vAlign w:val="bottom"/>
            <w:shd w:val="clear" w:color="auto" w:fill="CFF0FC"/>
          </w:tcPr>
          <w:p>
            <w:pPr>
              <w:ind w:left="200"/>
              <w:spacing w:after="0"/>
              <w:rPr>
                <w:sz w:val="20"/>
                <w:szCs w:val="20"/>
                <w:color w:val="auto"/>
              </w:rPr>
            </w:pPr>
            <w:r>
              <w:rPr>
                <w:rFonts w:ascii="Arial" w:cs="Arial" w:eastAsia="Arial" w:hAnsi="Arial"/>
                <w:sz w:val="20"/>
                <w:szCs w:val="20"/>
                <w:color w:val="auto"/>
                <w:w w:val="91"/>
              </w:rPr>
              <w:t>Revaluation of right-of-use asset and lease liability upon lease remeasurement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1,199</w:t>
            </w:r>
          </w:p>
        </w:tc>
        <w:tc>
          <w:tcPr>
            <w:tcW w:w="1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-6241415</wp:posOffset>
            </wp:positionV>
            <wp:extent cx="2137410" cy="5179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7">
                      <a:extLst>
                        <a:ext uri="{28A0092B-C50C-407E-A947-70E740481C1C}"/>
                      </a:extLst>
                    </a:blip>
                    <a:srcRect/>
                    <a:stretch>
                      <a:fillRect/>
                    </a:stretch>
                  </pic:blipFill>
                  <pic:spPr bwMode="auto">
                    <a:xfrm>
                      <a:off x="0" y="0"/>
                      <a:ext cx="2137410" cy="517906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consolidated financial statements.</w:t>
      </w:r>
    </w:p>
    <w:p>
      <w:pPr>
        <w:sectPr>
          <w:pgSz w:w="12240" w:h="15840" w:orient="portrait"/>
          <w:cols w:equalWidth="0" w:num="1">
            <w:col w:w="10080"/>
          </w:cols>
          <w:pgMar w:left="1080" w:top="1056" w:right="108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2240" w:h="15840" w:orient="portrait"/>
          <w:cols w:equalWidth="0" w:num="1">
            <w:col w:w="10080"/>
          </w:cols>
          <w:pgMar w:left="1080" w:top="1056" w:right="1080" w:bottom="198" w:gutter="0" w:footer="0" w:header="0"/>
          <w:type w:val="continuous"/>
        </w:sectPr>
      </w:pPr>
    </w:p>
    <w:bookmarkStart w:id="115" w:name="page116"/>
    <w:bookmarkEnd w:id="115"/>
    <w:p>
      <w:pPr>
        <w:jc w:val="center"/>
        <w:ind w:right="-39"/>
        <w:spacing w:after="0"/>
        <w:rPr>
          <w:sz w:val="20"/>
          <w:szCs w:val="20"/>
          <w:color w:val="auto"/>
        </w:rPr>
      </w:pPr>
      <w:r>
        <w:rPr>
          <w:rFonts w:ascii="Arial" w:cs="Arial" w:eastAsia="Arial" w:hAnsi="Arial"/>
          <w:sz w:val="20"/>
          <w:szCs w:val="20"/>
          <w:b w:val="1"/>
          <w:bCs w:val="1"/>
          <w:color w:val="auto"/>
        </w:rPr>
        <w:t>TANGO THERAPEUTICS,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Nature of the Business and Basis of Presentation</w:t>
      </w:r>
    </w:p>
    <w:p>
      <w:pPr>
        <w:spacing w:after="0" w:line="244" w:lineRule="exact"/>
        <w:rPr>
          <w:sz w:val="20"/>
          <w:szCs w:val="20"/>
          <w:color w:val="auto"/>
        </w:rPr>
      </w:pPr>
    </w:p>
    <w:p>
      <w:pPr>
        <w:ind w:right="20" w:firstLine="490"/>
        <w:spacing w:after="0" w:line="277" w:lineRule="auto"/>
        <w:rPr>
          <w:sz w:val="20"/>
          <w:szCs w:val="20"/>
          <w:color w:val="auto"/>
        </w:rPr>
      </w:pPr>
      <w:r>
        <w:rPr>
          <w:rFonts w:ascii="Arial" w:cs="Arial" w:eastAsia="Arial" w:hAnsi="Arial"/>
          <w:sz w:val="20"/>
          <w:szCs w:val="20"/>
          <w:color w:val="auto"/>
        </w:rPr>
        <w:t>Tango Therapeutics, Inc. is a precision oncology company committed to the discovery and development of novel drugs in defined patient populations with high unmet medical need.</w:t>
      </w:r>
    </w:p>
    <w:p>
      <w:pPr>
        <w:spacing w:after="0" w:line="169" w:lineRule="exact"/>
        <w:rPr>
          <w:sz w:val="20"/>
          <w:szCs w:val="20"/>
          <w:color w:val="auto"/>
        </w:rPr>
      </w:pPr>
    </w:p>
    <w:p>
      <w:pPr>
        <w:ind w:right="60" w:firstLine="540"/>
        <w:spacing w:after="0" w:line="252" w:lineRule="auto"/>
        <w:rPr>
          <w:sz w:val="20"/>
          <w:szCs w:val="20"/>
          <w:color w:val="auto"/>
        </w:rPr>
      </w:pPr>
      <w:r>
        <w:rPr>
          <w:rFonts w:ascii="Arial" w:cs="Arial" w:eastAsia="Arial" w:hAnsi="Arial"/>
          <w:sz w:val="20"/>
          <w:szCs w:val="20"/>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239" w:lineRule="exact"/>
        <w:rPr>
          <w:sz w:val="20"/>
          <w:szCs w:val="20"/>
          <w:color w:val="auto"/>
        </w:rPr>
      </w:pPr>
    </w:p>
    <w:p>
      <w:pPr>
        <w:jc w:val="both"/>
        <w:ind w:right="20" w:firstLine="490"/>
        <w:spacing w:after="0" w:line="277" w:lineRule="auto"/>
        <w:rPr>
          <w:sz w:val="20"/>
          <w:szCs w:val="20"/>
          <w:color w:val="auto"/>
        </w:rPr>
      </w:pPr>
      <w:r>
        <w:rPr>
          <w:rFonts w:ascii="Arial" w:cs="Arial" w:eastAsia="Arial" w:hAnsi="Arial"/>
          <w:sz w:val="18"/>
          <w:szCs w:val="18"/>
          <w:color w:val="auto"/>
        </w:rPr>
        <w:t>In October 2025, the Company completed an underwritten offering and a concurrent private placement for the issuance of a total of 22,755,438 shares of common stock at a price of $8.66 per share and pre-funded warrants to purchase 3,226,458 shares of common stock at a purchase price of $8.659 per pre-funded warrant, resulting in gross proceeds of $225.0 million.</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The pre-funded warrants have an exercise price of $0.001 per share of common stock, are immediately exercisable and will remain exercisable until exercised in full. After deducting expenses related to the offering and private placement of $13.2 million, net proceeds were $211.8 million. Both transactions closed on October 24, 2025.</w:t>
      </w:r>
    </w:p>
    <w:p>
      <w:pPr>
        <w:spacing w:after="0" w:line="181" w:lineRule="exact"/>
        <w:rPr>
          <w:sz w:val="20"/>
          <w:szCs w:val="20"/>
          <w:color w:val="auto"/>
        </w:rPr>
      </w:pPr>
    </w:p>
    <w:p>
      <w:pPr>
        <w:ind w:firstLine="490"/>
        <w:spacing w:after="0" w:line="261" w:lineRule="auto"/>
        <w:rPr>
          <w:sz w:val="20"/>
          <w:szCs w:val="20"/>
          <w:color w:val="auto"/>
        </w:rPr>
      </w:pPr>
      <w:r>
        <w:rPr>
          <w:rFonts w:ascii="Arial" w:cs="Arial" w:eastAsia="Arial" w:hAnsi="Arial"/>
          <w:sz w:val="19"/>
          <w:szCs w:val="19"/>
          <w:color w:val="auto"/>
        </w:rPr>
        <w:t>In November 2025, the Company entered into a sales agreement (the Leerink Sales Agreement) with Leerink Partners LLC (Leerink) which permits the Company to sell from time to time, at its option, up to an aggregate of $100.0 million of shares of its common stock through Leerink, as sales agent. Sales of the common stock, if any, will be made by methods deemed to be "at-the-market" stock offerings. The Leerink Sales Agreement will terminate upon the earliest of: (a) the sale of $100.0 million of shares of the Company's common stock or (b) the termination of the Leerink Sales Agreement by the Company or Leerink. As of March 2, 2026, the Company sold 4,953,078 shares of common stock under this stock offering program for gross proceeds of $62.1 million.</w:t>
      </w:r>
    </w:p>
    <w:p>
      <w:pPr>
        <w:spacing w:after="0" w:line="187" w:lineRule="exact"/>
        <w:rPr>
          <w:sz w:val="20"/>
          <w:szCs w:val="20"/>
          <w:color w:val="auto"/>
        </w:rPr>
      </w:pPr>
    </w:p>
    <w:p>
      <w:pPr>
        <w:jc w:val="both"/>
        <w:ind w:right="260" w:firstLine="490"/>
        <w:spacing w:after="0" w:line="249" w:lineRule="auto"/>
        <w:rPr>
          <w:sz w:val="20"/>
          <w:szCs w:val="20"/>
          <w:color w:val="auto"/>
        </w:rPr>
      </w:pPr>
      <w:r>
        <w:rPr>
          <w:rFonts w:ascii="Arial" w:cs="Arial" w:eastAsia="Arial" w:hAnsi="Arial"/>
          <w:sz w:val="20"/>
          <w:szCs w:val="20"/>
          <w:color w:val="auto"/>
        </w:rPr>
        <w:t>In September 2022, the Company entered into a sales agreement (the Jefferies Sales Agreement) with Jefferies LLC (Jefferies) which permitted the Company to sell shares of its common stock through Jefferies, as sales agent. In November 2025, the Jefferies Sales Agreement was terminated by the Company. At the time of the termination of this Jefferies Sales Agreement, the Company sold 4,001,200 shares of common stock under this stock offering program for gross proceeds of $43.0 million.</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40" w:lineRule="exact"/>
        <w:rPr>
          <w:sz w:val="20"/>
          <w:szCs w:val="20"/>
          <w:color w:val="auto"/>
        </w:rPr>
      </w:pPr>
    </w:p>
    <w:p>
      <w:pPr>
        <w:ind w:right="360" w:firstLine="490"/>
        <w:spacing w:after="0" w:line="28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279" w:lineRule="exact"/>
        <w:rPr>
          <w:sz w:val="20"/>
          <w:szCs w:val="20"/>
          <w:color w:val="auto"/>
        </w:rPr>
      </w:pPr>
    </w:p>
    <w:p>
      <w:pPr>
        <w:ind w:left="480" w:right="6080" w:hanging="480"/>
        <w:spacing w:after="0" w:line="492" w:lineRule="auto"/>
        <w:tabs>
          <w:tab w:leader="none" w:pos="189"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Summary of Significant Accounting Policies </w:t>
      </w:r>
      <w:r>
        <w:rPr>
          <w:rFonts w:ascii="Arial" w:cs="Arial" w:eastAsia="Arial" w:hAnsi="Arial"/>
          <w:sz w:val="20"/>
          <w:szCs w:val="20"/>
          <w:b w:val="1"/>
          <w:bCs w:val="1"/>
          <w:i w:val="1"/>
          <w:iCs w:val="1"/>
          <w:color w:val="auto"/>
        </w:rPr>
        <w:t>Use of Estimates</w:t>
      </w:r>
    </w:p>
    <w:p>
      <w:pPr>
        <w:spacing w:after="0" w:line="1" w:lineRule="exact"/>
        <w:rPr>
          <w:sz w:val="20"/>
          <w:szCs w:val="20"/>
          <w:color w:val="auto"/>
        </w:rPr>
      </w:pPr>
    </w:p>
    <w:p>
      <w:pPr>
        <w:ind w:firstLine="490"/>
        <w:spacing w:after="0" w:line="273" w:lineRule="auto"/>
        <w:rPr>
          <w:sz w:val="20"/>
          <w:szCs w:val="20"/>
          <w:color w:val="auto"/>
        </w:rPr>
      </w:pPr>
      <w:r>
        <w:rPr>
          <w:rFonts w:ascii="Arial" w:cs="Arial" w:eastAsia="Arial" w:hAnsi="Arial"/>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F-8</w:t>
      </w:r>
    </w:p>
    <w:p>
      <w:pPr>
        <w:sectPr>
          <w:pgSz w:w="12240" w:h="15840" w:orient="portrait"/>
          <w:cols w:equalWidth="0" w:num="1">
            <w:col w:w="10040"/>
          </w:cols>
          <w:pgMar w:left="1080" w:top="1056" w:right="1120" w:bottom="175" w:gutter="0" w:footer="0" w:header="0"/>
        </w:sectPr>
      </w:pPr>
    </w:p>
    <w:bookmarkStart w:id="116" w:name="page117"/>
    <w:bookmarkEnd w:id="116"/>
    <w:p>
      <w:pPr>
        <w:ind w:left="480"/>
        <w:spacing w:after="0"/>
        <w:rPr>
          <w:sz w:val="20"/>
          <w:szCs w:val="20"/>
          <w:color w:val="auto"/>
        </w:rPr>
      </w:pPr>
      <w:r>
        <w:rPr>
          <w:rFonts w:ascii="Arial" w:cs="Arial" w:eastAsia="Arial" w:hAnsi="Arial"/>
          <w:sz w:val="20"/>
          <w:szCs w:val="20"/>
          <w:b w:val="1"/>
          <w:bCs w:val="1"/>
          <w:i w:val="1"/>
          <w:iCs w:val="1"/>
          <w:color w:val="auto"/>
        </w:rPr>
        <w:t>Cash Equivalents</w:t>
      </w:r>
    </w:p>
    <w:p>
      <w:pPr>
        <w:spacing w:after="0" w:line="239" w:lineRule="exact"/>
        <w:rPr>
          <w:sz w:val="20"/>
          <w:szCs w:val="20"/>
          <w:color w:val="auto"/>
        </w:rPr>
      </w:pPr>
    </w:p>
    <w:p>
      <w:pPr>
        <w:ind w:right="40" w:firstLine="490"/>
        <w:spacing w:after="0" w:line="259" w:lineRule="auto"/>
        <w:rPr>
          <w:sz w:val="20"/>
          <w:szCs w:val="20"/>
          <w:color w:val="auto"/>
        </w:rPr>
      </w:pPr>
      <w:r>
        <w:rPr>
          <w:rFonts w:ascii="Arial" w:cs="Arial" w:eastAsia="Arial" w:hAnsi="Arial"/>
          <w:sz w:val="20"/>
          <w:szCs w:val="20"/>
          <w:color w:val="auto"/>
        </w:rPr>
        <w:t>All highly liquid marketable securities purchased with an original maturity date of 90 days or less at the date of purchase are considered to be cash equivalents. Cash equivalents consisted of money market funds and U.S. Treasury bills as of December 31, 2025 and 2024.</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Investments in Marketable Securities</w:t>
      </w:r>
    </w:p>
    <w:p>
      <w:pPr>
        <w:spacing w:after="0" w:line="240" w:lineRule="exact"/>
        <w:rPr>
          <w:sz w:val="20"/>
          <w:szCs w:val="20"/>
          <w:color w:val="auto"/>
        </w:rPr>
      </w:pPr>
    </w:p>
    <w:p>
      <w:pPr>
        <w:ind w:firstLine="490"/>
        <w:spacing w:after="0" w:line="245" w:lineRule="auto"/>
        <w:rPr>
          <w:sz w:val="20"/>
          <w:szCs w:val="20"/>
          <w:color w:val="auto"/>
        </w:rPr>
      </w:pPr>
      <w:r>
        <w:rPr>
          <w:rFonts w:ascii="Arial" w:cs="Arial" w:eastAsia="Arial" w:hAnsi="Arial"/>
          <w:sz w:val="20"/>
          <w:szCs w:val="20"/>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Amortization and accretion of premiums and discounts are recorded in interest income. Realized gains and losses are included as a component of other income, net in the consolidated statements of operations.</w:t>
      </w:r>
    </w:p>
    <w:p>
      <w:pPr>
        <w:spacing w:after="0" w:line="201" w:lineRule="exact"/>
        <w:rPr>
          <w:sz w:val="20"/>
          <w:szCs w:val="20"/>
          <w:color w:val="auto"/>
        </w:rPr>
      </w:pPr>
    </w:p>
    <w:p>
      <w:pPr>
        <w:ind w:right="60" w:firstLine="490"/>
        <w:spacing w:after="0" w:line="278" w:lineRule="auto"/>
        <w:rPr>
          <w:sz w:val="20"/>
          <w:szCs w:val="20"/>
          <w:color w:val="auto"/>
        </w:rPr>
      </w:pPr>
      <w:r>
        <w:rPr>
          <w:rFonts w:ascii="Arial" w:cs="Arial" w:eastAsia="Arial" w:hAnsi="Arial"/>
          <w:sz w:val="18"/>
          <w:szCs w:val="18"/>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credit losses were recorded during the periods presented.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240" w:lineRule="exact"/>
        <w:rPr>
          <w:sz w:val="20"/>
          <w:szCs w:val="20"/>
          <w:color w:val="auto"/>
        </w:rPr>
      </w:pPr>
    </w:p>
    <w:p>
      <w:pPr>
        <w:ind w:right="160" w:firstLine="490"/>
        <w:spacing w:after="0" w:line="261" w:lineRule="auto"/>
        <w:rPr>
          <w:sz w:val="20"/>
          <w:szCs w:val="20"/>
          <w:color w:val="auto"/>
        </w:rPr>
      </w:pPr>
      <w:r>
        <w:rPr>
          <w:rFonts w:ascii="Arial" w:cs="Arial" w:eastAsia="Arial" w:hAnsi="Arial"/>
          <w:sz w:val="19"/>
          <w:szCs w:val="19"/>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9" w:lineRule="exact"/>
        <w:rPr>
          <w:sz w:val="20"/>
          <w:szCs w:val="20"/>
          <w:color w:val="auto"/>
        </w:rPr>
      </w:pPr>
    </w:p>
    <w:p>
      <w:pPr>
        <w:ind w:left="1080" w:right="480" w:hanging="360"/>
        <w:spacing w:after="0" w:line="279" w:lineRule="auto"/>
        <w:tabs>
          <w:tab w:leader="none" w:pos="10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1 — Fair values are determined utilizing prices (unadjusted) in active markets for identical assets or liabilities that the Company has the ability to access.</w:t>
      </w:r>
    </w:p>
    <w:p>
      <w:pPr>
        <w:spacing w:after="0" w:line="61" w:lineRule="exact"/>
        <w:rPr>
          <w:rFonts w:ascii="Arial" w:cs="Arial" w:eastAsia="Arial" w:hAnsi="Arial"/>
          <w:sz w:val="20"/>
          <w:szCs w:val="20"/>
          <w:color w:val="auto"/>
        </w:rPr>
      </w:pPr>
    </w:p>
    <w:p>
      <w:pPr>
        <w:jc w:val="both"/>
        <w:ind w:left="1080" w:right="140" w:hanging="360"/>
        <w:spacing w:after="0" w:line="258" w:lineRule="auto"/>
        <w:tabs>
          <w:tab w:leader="none" w:pos="10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82" w:lineRule="exact"/>
        <w:rPr>
          <w:rFonts w:ascii="Arial" w:cs="Arial" w:eastAsia="Arial" w:hAnsi="Arial"/>
          <w:sz w:val="20"/>
          <w:szCs w:val="20"/>
          <w:color w:val="auto"/>
        </w:rPr>
      </w:pPr>
    </w:p>
    <w:p>
      <w:pPr>
        <w:ind w:left="1080" w:right="280" w:hanging="360"/>
        <w:spacing w:after="0" w:line="277" w:lineRule="auto"/>
        <w:tabs>
          <w:tab w:leader="none" w:pos="10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3 — Prices or valuations that require inputs that are both significant to the fair value measurement and unobservable.</w:t>
      </w:r>
    </w:p>
    <w:p>
      <w:pPr>
        <w:spacing w:after="0" w:line="49" w:lineRule="exact"/>
        <w:rPr>
          <w:sz w:val="20"/>
          <w:szCs w:val="20"/>
          <w:color w:val="auto"/>
        </w:rPr>
      </w:pPr>
    </w:p>
    <w:p>
      <w:pPr>
        <w:ind w:right="120" w:firstLine="490"/>
        <w:spacing w:after="0" w:line="300"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below (see Note 4). The carrying values of the Company’s accounts receivable, accounts payable and accrued expenses approximate their fair values due to the short-term nature of these assets and liabilities.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Concentration of Credit Risk and Significant Suppliers</w:t>
      </w:r>
    </w:p>
    <w:p>
      <w:pPr>
        <w:spacing w:after="0" w:line="240" w:lineRule="exact"/>
        <w:rPr>
          <w:sz w:val="20"/>
          <w:szCs w:val="20"/>
          <w:color w:val="auto"/>
        </w:rPr>
      </w:pPr>
    </w:p>
    <w:p>
      <w:pPr>
        <w:ind w:right="20" w:firstLine="490"/>
        <w:spacing w:after="0" w:line="280"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2025 and 2024. At times, the Company’s cash deposits may exceed the amount of federal</w:t>
      </w:r>
    </w:p>
    <w:p>
      <w:pPr>
        <w:sectPr>
          <w:pgSz w:w="12240" w:h="15840" w:orient="portrait"/>
          <w:cols w:equalWidth="0" w:num="1">
            <w:col w:w="10040"/>
          </w:cols>
          <w:pgMar w:left="1080" w:top="1060" w:right="112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2240" w:h="15840" w:orient="portrait"/>
          <w:cols w:equalWidth="0" w:num="1">
            <w:col w:w="10040"/>
          </w:cols>
          <w:pgMar w:left="1080" w:top="1060" w:right="1120" w:bottom="198" w:gutter="0" w:footer="0" w:header="0"/>
          <w:type w:val="continuous"/>
        </w:sectPr>
      </w:pPr>
    </w:p>
    <w:bookmarkStart w:id="117" w:name="page118"/>
    <w:bookmarkEnd w:id="117"/>
    <w:p>
      <w:pPr>
        <w:ind w:right="380"/>
        <w:spacing w:after="0" w:line="334" w:lineRule="auto"/>
        <w:rPr>
          <w:sz w:val="20"/>
          <w:szCs w:val="20"/>
          <w:color w:val="auto"/>
        </w:rPr>
      </w:pPr>
      <w:r>
        <w:rPr>
          <w:rFonts w:ascii="Arial" w:cs="Arial" w:eastAsia="Arial" w:hAnsi="Arial"/>
          <w:sz w:val="18"/>
          <w:szCs w:val="18"/>
          <w:color w:val="auto"/>
        </w:rPr>
        <w:t>insurance provided on such deposits. The Company has not experienced any losses in such accounts and believes it is not exposed to significant credit risk beyond the normal credit risk associated with commercial banking relationships.</w:t>
      </w:r>
    </w:p>
    <w:p>
      <w:pPr>
        <w:spacing w:after="0" w:line="123" w:lineRule="exact"/>
        <w:rPr>
          <w:sz w:val="20"/>
          <w:szCs w:val="20"/>
          <w:color w:val="auto"/>
        </w:rPr>
      </w:pPr>
    </w:p>
    <w:p>
      <w:pPr>
        <w:ind w:right="100" w:firstLine="490"/>
        <w:spacing w:after="0" w:line="252" w:lineRule="auto"/>
        <w:rPr>
          <w:sz w:val="20"/>
          <w:szCs w:val="20"/>
          <w:color w:val="auto"/>
        </w:rPr>
      </w:pPr>
      <w:r>
        <w:rPr>
          <w:rFonts w:ascii="Arial" w:cs="Arial" w:eastAsia="Arial" w:hAnsi="Arial"/>
          <w:sz w:val="20"/>
          <w:szCs w:val="20"/>
          <w:color w:val="auto"/>
        </w:rPr>
        <w:t>The Company relies, and expects to continue to rely, on a small number of vendors to perform research activities, drug product and drug substance manufacturing, and clinical trial activities that continue to progress its product candidates for its development programs. These programs could be adversely affected by a significant interruption in the related processes of these vendors.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Restricted Cash</w:t>
      </w:r>
    </w:p>
    <w:p>
      <w:pPr>
        <w:spacing w:after="0" w:line="239" w:lineRule="exact"/>
        <w:rPr>
          <w:sz w:val="20"/>
          <w:szCs w:val="20"/>
          <w:color w:val="auto"/>
        </w:rPr>
      </w:pPr>
    </w:p>
    <w:p>
      <w:pPr>
        <w:jc w:val="both"/>
        <w:ind w:right="200" w:firstLine="490"/>
        <w:spacing w:after="0" w:line="289" w:lineRule="auto"/>
        <w:rPr>
          <w:sz w:val="20"/>
          <w:szCs w:val="20"/>
          <w:color w:val="auto"/>
        </w:rPr>
      </w:pPr>
      <w:r>
        <w:rPr>
          <w:rFonts w:ascii="Arial" w:cs="Arial" w:eastAsia="Arial" w:hAnsi="Arial"/>
          <w:sz w:val="18"/>
          <w:szCs w:val="18"/>
          <w:color w:val="auto"/>
        </w:rPr>
        <w:t>Cash accounts with any type of restriction are considered restricted cash and are classified on the balance sheet based on the length of the restrictive obligation. As of December 31, 2025, 2024, and 2023, the Company recorded restricted cash of $2.6 million, $2.6 million and $3.4 million, respectively, all of which was related to security deposits associated with the Company’s facility leases. For additional information on these security deposits, refer to Note 7, Leases.</w:t>
      </w:r>
    </w:p>
    <w:p>
      <w:pPr>
        <w:spacing w:after="0" w:line="163" w:lineRule="exact"/>
        <w:rPr>
          <w:sz w:val="20"/>
          <w:szCs w:val="20"/>
          <w:color w:val="auto"/>
        </w:rPr>
      </w:pPr>
    </w:p>
    <w:p>
      <w:pPr>
        <w:ind w:right="80" w:firstLine="490"/>
        <w:spacing w:after="0" w:line="278" w:lineRule="auto"/>
        <w:rPr>
          <w:sz w:val="20"/>
          <w:szCs w:val="20"/>
          <w:color w:val="auto"/>
        </w:rPr>
      </w:pPr>
      <w:r>
        <w:rPr>
          <w:rFonts w:ascii="Arial" w:cs="Arial" w:eastAsia="Arial" w:hAnsi="Arial"/>
          <w:sz w:val="20"/>
          <w:szCs w:val="20"/>
          <w:color w:val="auto"/>
        </w:rPr>
        <w:t>The reconciliation of cash and cash equivalents and restricted cash to amounts presented in the consolidated statements of cash flows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-192405</wp:posOffset>
            </wp:positionV>
            <wp:extent cx="1507490" cy="1459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a:extLst>
                        <a:ext uri="{28A0092B-C50C-407E-A947-70E740481C1C}"/>
                      </a:extLst>
                    </a:blip>
                    <a:srcRect/>
                    <a:stretch>
                      <a:fillRect/>
                    </a:stretch>
                  </pic:blipFill>
                  <pic:spPr bwMode="auto">
                    <a:xfrm>
                      <a:off x="0" y="0"/>
                      <a:ext cx="1507490" cy="145923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b w:val="1"/>
                <w:bCs w:val="1"/>
                <w:color w:val="auto"/>
                <w:w w:val="90"/>
              </w:rPr>
              <w:t>December 31,</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jc w:val="right"/>
              <w:ind w:right="365"/>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7"/>
                <w:szCs w:val="17"/>
                <w:color w:val="auto"/>
              </w:rPr>
            </w:pPr>
          </w:p>
        </w:tc>
        <w:tc>
          <w:tcPr>
            <w:tcW w:w="1120" w:type="dxa"/>
            <w:vAlign w:val="bottom"/>
          </w:tcPr>
          <w:p>
            <w:pPr>
              <w:jc w:val="center"/>
              <w:ind w:right="30"/>
              <w:spacing w:after="0"/>
              <w:rPr>
                <w:sz w:val="20"/>
                <w:szCs w:val="20"/>
                <w:color w:val="auto"/>
              </w:rPr>
            </w:pPr>
            <w:r>
              <w:rPr>
                <w:rFonts w:ascii="Arial" w:cs="Arial" w:eastAsia="Arial" w:hAnsi="Arial"/>
                <w:sz w:val="16"/>
                <w:szCs w:val="16"/>
                <w:b w:val="1"/>
                <w:bCs w:val="1"/>
                <w:color w:val="auto"/>
                <w:w w:val="89"/>
              </w:rPr>
              <w:t>2024</w:t>
            </w:r>
          </w:p>
        </w:tc>
        <w:tc>
          <w:tcPr>
            <w:tcW w:w="520" w:type="dxa"/>
            <w:vAlign w:val="bottom"/>
          </w:tcPr>
          <w:p>
            <w:pPr>
              <w:spacing w:after="0"/>
              <w:rPr>
                <w:sz w:val="17"/>
                <w:szCs w:val="17"/>
                <w:color w:val="auto"/>
              </w:rPr>
            </w:pPr>
          </w:p>
        </w:tc>
        <w:tc>
          <w:tcPr>
            <w:tcW w:w="1020" w:type="dxa"/>
            <w:vAlign w:val="bottom"/>
          </w:tcPr>
          <w:p>
            <w:pPr>
              <w:jc w:val="right"/>
              <w:ind w:right="425"/>
              <w:spacing w:after="0"/>
              <w:rPr>
                <w:sz w:val="20"/>
                <w:szCs w:val="20"/>
                <w:color w:val="auto"/>
              </w:rPr>
            </w:pPr>
            <w:r>
              <w:rPr>
                <w:rFonts w:ascii="Arial" w:cs="Arial" w:eastAsia="Arial" w:hAnsi="Arial"/>
                <w:sz w:val="16"/>
                <w:szCs w:val="16"/>
                <w:b w:val="1"/>
                <w:bCs w:val="1"/>
                <w:color w:val="auto"/>
              </w:rPr>
              <w:t>2023</w:t>
            </w:r>
          </w:p>
        </w:tc>
      </w:tr>
      <w:tr>
        <w:trPr>
          <w:trHeight w:val="203"/>
        </w:trPr>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6"/>
                <w:szCs w:val="16"/>
                <w:b w:val="1"/>
                <w:bCs w:val="1"/>
                <w:color w:val="auto"/>
                <w:w w:val="88"/>
              </w:rPr>
              <w:t>(in thousands)</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15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112,279</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69,530</w:t>
            </w:r>
          </w:p>
        </w:tc>
        <w:tc>
          <w:tcPr>
            <w:tcW w:w="5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66,385</w:t>
            </w:r>
          </w:p>
        </w:tc>
      </w:tr>
      <w:tr>
        <w:trPr>
          <w:trHeight w:val="230"/>
        </w:trPr>
        <w:tc>
          <w:tcPr>
            <w:tcW w:w="4600" w:type="dxa"/>
            <w:vAlign w:val="bottom"/>
          </w:tcPr>
          <w:p>
            <w:pPr>
              <w:spacing w:after="0"/>
              <w:rPr>
                <w:sz w:val="20"/>
                <w:szCs w:val="20"/>
                <w:color w:val="auto"/>
              </w:rPr>
            </w:pPr>
            <w:r>
              <w:rPr>
                <w:rFonts w:ascii="Arial" w:cs="Arial" w:eastAsia="Arial" w:hAnsi="Arial"/>
                <w:sz w:val="20"/>
                <w:szCs w:val="20"/>
                <w:color w:val="auto"/>
              </w:rPr>
              <w:t>Restricted cash</w:t>
            </w:r>
          </w:p>
        </w:tc>
        <w:tc>
          <w:tcPr>
            <w:tcW w:w="1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2,567</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2,567</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3,423</w:t>
            </w:r>
          </w:p>
        </w:tc>
      </w:tr>
      <w:tr>
        <w:trPr>
          <w:trHeight w:val="246"/>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Cash, cash equivalents and restricted cash</w:t>
            </w:r>
          </w:p>
        </w:tc>
        <w:tc>
          <w:tcPr>
            <w:tcW w:w="15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114,846</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72,097</w:t>
            </w:r>
          </w:p>
        </w:tc>
        <w:tc>
          <w:tcPr>
            <w:tcW w:w="5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-586740</wp:posOffset>
            </wp:positionV>
            <wp:extent cx="2680970" cy="4533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a:extLst>
                        <a:ext uri="{28A0092B-C50C-407E-A947-70E740481C1C}"/>
                      </a:extLst>
                    </a:blip>
                    <a:srcRect/>
                    <a:stretch>
                      <a:fillRect/>
                    </a:stretch>
                  </pic:blipFill>
                  <pic:spPr bwMode="auto">
                    <a:xfrm>
                      <a:off x="0" y="0"/>
                      <a:ext cx="2680970" cy="45339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-12065</wp:posOffset>
            </wp:positionV>
            <wp:extent cx="2680970" cy="53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a:extLst>
                        <a:ext uri="{28A0092B-C50C-407E-A947-70E740481C1C}"/>
                      </a:extLst>
                    </a:blip>
                    <a:srcRect/>
                    <a:stretch>
                      <a:fillRect/>
                    </a:stretch>
                  </pic:blipFill>
                  <pic:spPr bwMode="auto">
                    <a:xfrm>
                      <a:off x="0" y="0"/>
                      <a:ext cx="2680970" cy="53340"/>
                    </a:xfrm>
                    <a:prstGeom prst="rect">
                      <a:avLst/>
                    </a:prstGeom>
                    <a:noFill/>
                  </pic:spPr>
                </pic:pic>
              </a:graphicData>
            </a:graphic>
          </wp:anchor>
        </w:drawing>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 xml:space="preserve">Equity </w:t>
      </w:r>
      <w:r>
        <w:rPr>
          <w:rFonts w:ascii="Arial" w:cs="Arial" w:eastAsia="Arial" w:hAnsi="Arial"/>
          <w:sz w:val="20"/>
          <w:szCs w:val="20"/>
          <w:b w:val="1"/>
          <w:bCs w:val="1"/>
          <w:i w:val="1"/>
          <w:iCs w:val="1"/>
          <w:color w:val="auto"/>
          <w:highlight w:val="white"/>
        </w:rPr>
        <w:t>Investment</w:t>
      </w:r>
    </w:p>
    <w:p>
      <w:pPr>
        <w:spacing w:after="0" w:line="239" w:lineRule="exact"/>
        <w:rPr>
          <w:sz w:val="20"/>
          <w:szCs w:val="20"/>
          <w:color w:val="auto"/>
        </w:rPr>
      </w:pPr>
    </w:p>
    <w:p>
      <w:pPr>
        <w:ind w:right="20" w:firstLine="490"/>
        <w:spacing w:after="0" w:line="260" w:lineRule="auto"/>
        <w:rPr>
          <w:sz w:val="20"/>
          <w:szCs w:val="20"/>
          <w:color w:val="auto"/>
        </w:rPr>
      </w:pPr>
      <w:r>
        <w:rPr>
          <w:rFonts w:ascii="Arial" w:cs="Arial" w:eastAsia="Arial" w:hAnsi="Arial"/>
          <w:sz w:val="19"/>
          <w:szCs w:val="19"/>
          <w:color w:val="auto"/>
        </w:rPr>
        <w:t>Investments in non-marketable equity securities of privately-held companies that do not have readily determinable fair values are carried at cost, less any impairments, plus or minus changes resulting from observable price 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240" w:lineRule="exact"/>
        <w:rPr>
          <w:sz w:val="20"/>
          <w:szCs w:val="20"/>
          <w:color w:val="auto"/>
        </w:rPr>
      </w:pPr>
    </w:p>
    <w:p>
      <w:pPr>
        <w:ind w:right="380" w:firstLine="490"/>
        <w:spacing w:after="0" w:line="252" w:lineRule="auto"/>
        <w:rPr>
          <w:sz w:val="20"/>
          <w:szCs w:val="20"/>
          <w:color w:val="auto"/>
        </w:rPr>
      </w:pPr>
      <w:r>
        <w:rPr>
          <w:rFonts w:ascii="Arial" w:cs="Arial" w:eastAsia="Arial" w:hAnsi="Arial"/>
          <w:sz w:val="20"/>
          <w:szCs w:val="20"/>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for reasonableness. The estimated useful lives of the Company’s property and equipment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50" w:type="dxa"/>
            <w:vAlign w:val="bottom"/>
          </w:tcPr>
          <w:p>
            <w:pPr>
              <w:spacing w:after="0"/>
              <w:rPr>
                <w:sz w:val="20"/>
                <w:szCs w:val="20"/>
                <w:color w:val="auto"/>
              </w:rPr>
            </w:pPr>
            <w:r>
              <w:rPr>
                <w:rFonts w:ascii="Arial" w:cs="Arial" w:eastAsia="Arial" w:hAnsi="Arial"/>
                <w:sz w:val="16"/>
                <w:szCs w:val="16"/>
                <w:b w:val="1"/>
                <w:bCs w:val="1"/>
                <w:color w:val="auto"/>
              </w:rPr>
              <w:t>Asset</w:t>
            </w:r>
          </w:p>
        </w:tc>
        <w:tc>
          <w:tcPr>
            <w:tcW w:w="5530" w:type="dxa"/>
            <w:vAlign w:val="bottom"/>
          </w:tcPr>
          <w:p>
            <w:pPr>
              <w:jc w:val="center"/>
              <w:spacing w:after="0"/>
              <w:rPr>
                <w:sz w:val="20"/>
                <w:szCs w:val="20"/>
                <w:color w:val="auto"/>
              </w:rPr>
            </w:pPr>
            <w:r>
              <w:rPr>
                <w:rFonts w:ascii="Arial" w:cs="Arial" w:eastAsia="Arial" w:hAnsi="Arial"/>
                <w:sz w:val="16"/>
                <w:szCs w:val="16"/>
                <w:b w:val="1"/>
                <w:bCs w:val="1"/>
                <w:color w:val="auto"/>
                <w:w w:val="89"/>
              </w:rPr>
              <w:t>Estimated useful life</w:t>
            </w:r>
          </w:p>
        </w:tc>
      </w:tr>
      <w:tr>
        <w:trPr>
          <w:trHeight w:val="245"/>
        </w:trPr>
        <w:tc>
          <w:tcPr>
            <w:tcW w:w="4550" w:type="dxa"/>
            <w:vAlign w:val="bottom"/>
            <w:shd w:val="clear" w:color="auto" w:fill="CFF0FC"/>
          </w:tcPr>
          <w:p>
            <w:pPr>
              <w:spacing w:after="0"/>
              <w:rPr>
                <w:sz w:val="20"/>
                <w:szCs w:val="20"/>
                <w:color w:val="auto"/>
              </w:rPr>
            </w:pPr>
            <w:r>
              <w:rPr>
                <w:rFonts w:ascii="Arial" w:cs="Arial" w:eastAsia="Arial" w:hAnsi="Arial"/>
                <w:sz w:val="20"/>
                <w:szCs w:val="20"/>
                <w:color w:val="auto"/>
              </w:rPr>
              <w:t>Computer equipment</w:t>
            </w:r>
          </w:p>
        </w:tc>
        <w:tc>
          <w:tcPr>
            <w:tcW w:w="553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8"/>
              </w:rPr>
              <w:t>3 years</w:t>
            </w:r>
          </w:p>
        </w:tc>
      </w:tr>
      <w:tr>
        <w:trPr>
          <w:trHeight w:val="230"/>
        </w:trPr>
        <w:tc>
          <w:tcPr>
            <w:tcW w:w="4550" w:type="dxa"/>
            <w:vAlign w:val="bottom"/>
          </w:tcPr>
          <w:p>
            <w:pPr>
              <w:spacing w:after="0"/>
              <w:rPr>
                <w:sz w:val="20"/>
                <w:szCs w:val="20"/>
                <w:color w:val="auto"/>
              </w:rPr>
            </w:pPr>
            <w:r>
              <w:rPr>
                <w:rFonts w:ascii="Arial" w:cs="Arial" w:eastAsia="Arial" w:hAnsi="Arial"/>
                <w:sz w:val="20"/>
                <w:szCs w:val="20"/>
                <w:color w:val="auto"/>
              </w:rPr>
              <w:t>Computer software</w:t>
            </w:r>
          </w:p>
        </w:tc>
        <w:tc>
          <w:tcPr>
            <w:tcW w:w="5530" w:type="dxa"/>
            <w:vAlign w:val="bottom"/>
          </w:tcPr>
          <w:p>
            <w:pPr>
              <w:jc w:val="center"/>
              <w:spacing w:after="0"/>
              <w:rPr>
                <w:sz w:val="20"/>
                <w:szCs w:val="20"/>
                <w:color w:val="auto"/>
              </w:rPr>
            </w:pPr>
            <w:r>
              <w:rPr>
                <w:rFonts w:ascii="Arial" w:cs="Arial" w:eastAsia="Arial" w:hAnsi="Arial"/>
                <w:sz w:val="20"/>
                <w:szCs w:val="20"/>
                <w:color w:val="auto"/>
                <w:w w:val="88"/>
              </w:rPr>
              <w:t>3 years</w:t>
            </w:r>
          </w:p>
        </w:tc>
      </w:tr>
      <w:tr>
        <w:trPr>
          <w:trHeight w:val="230"/>
        </w:trPr>
        <w:tc>
          <w:tcPr>
            <w:tcW w:w="4550" w:type="dxa"/>
            <w:vAlign w:val="bottom"/>
            <w:shd w:val="clear" w:color="auto" w:fill="CFF0FC"/>
          </w:tcPr>
          <w:p>
            <w:pPr>
              <w:spacing w:after="0"/>
              <w:rPr>
                <w:sz w:val="20"/>
                <w:szCs w:val="20"/>
                <w:color w:val="auto"/>
              </w:rPr>
            </w:pPr>
            <w:r>
              <w:rPr>
                <w:rFonts w:ascii="Arial" w:cs="Arial" w:eastAsia="Arial" w:hAnsi="Arial"/>
                <w:sz w:val="20"/>
                <w:szCs w:val="20"/>
                <w:color w:val="auto"/>
              </w:rPr>
              <w:t>Furniture and fixtures</w:t>
            </w:r>
          </w:p>
        </w:tc>
        <w:tc>
          <w:tcPr>
            <w:tcW w:w="553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8"/>
              </w:rPr>
              <w:t>5 years</w:t>
            </w:r>
          </w:p>
        </w:tc>
      </w:tr>
      <w:tr>
        <w:trPr>
          <w:trHeight w:val="229"/>
        </w:trPr>
        <w:tc>
          <w:tcPr>
            <w:tcW w:w="4550" w:type="dxa"/>
            <w:vAlign w:val="bottom"/>
          </w:tcPr>
          <w:p>
            <w:pPr>
              <w:spacing w:after="0"/>
              <w:rPr>
                <w:sz w:val="20"/>
                <w:szCs w:val="20"/>
                <w:color w:val="auto"/>
              </w:rPr>
            </w:pPr>
            <w:r>
              <w:rPr>
                <w:rFonts w:ascii="Arial" w:cs="Arial" w:eastAsia="Arial" w:hAnsi="Arial"/>
                <w:sz w:val="20"/>
                <w:szCs w:val="20"/>
                <w:color w:val="auto"/>
              </w:rPr>
              <w:t>Laboratory equipment</w:t>
            </w:r>
          </w:p>
        </w:tc>
        <w:tc>
          <w:tcPr>
            <w:tcW w:w="5530" w:type="dxa"/>
            <w:vAlign w:val="bottom"/>
          </w:tcPr>
          <w:p>
            <w:pPr>
              <w:jc w:val="center"/>
              <w:spacing w:after="0"/>
              <w:rPr>
                <w:sz w:val="20"/>
                <w:szCs w:val="20"/>
                <w:color w:val="auto"/>
              </w:rPr>
            </w:pPr>
            <w:r>
              <w:rPr>
                <w:rFonts w:ascii="Arial" w:cs="Arial" w:eastAsia="Arial" w:hAnsi="Arial"/>
                <w:sz w:val="20"/>
                <w:szCs w:val="20"/>
                <w:color w:val="auto"/>
                <w:w w:val="88"/>
              </w:rPr>
              <w:t>5 years</w:t>
            </w:r>
          </w:p>
        </w:tc>
      </w:tr>
      <w:tr>
        <w:trPr>
          <w:trHeight w:val="232"/>
        </w:trPr>
        <w:tc>
          <w:tcPr>
            <w:tcW w:w="4550" w:type="dxa"/>
            <w:vAlign w:val="bottom"/>
            <w:shd w:val="clear" w:color="auto" w:fill="CFF0FC"/>
          </w:tcPr>
          <w:p>
            <w:pPr>
              <w:spacing w:after="0"/>
              <w:rPr>
                <w:sz w:val="20"/>
                <w:szCs w:val="20"/>
                <w:color w:val="auto"/>
              </w:rPr>
            </w:pPr>
            <w:r>
              <w:rPr>
                <w:rFonts w:ascii="Arial" w:cs="Arial" w:eastAsia="Arial" w:hAnsi="Arial"/>
                <w:sz w:val="20"/>
                <w:szCs w:val="20"/>
                <w:color w:val="auto"/>
              </w:rPr>
              <w:t>Leasehold improvements</w:t>
            </w:r>
          </w:p>
        </w:tc>
        <w:tc>
          <w:tcPr>
            <w:tcW w:w="553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Shorter of remaining lease term or 10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-752475</wp:posOffset>
            </wp:positionV>
            <wp:extent cx="6426200"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6426200" cy="36195"/>
                    </a:xfrm>
                    <a:prstGeom prst="rect">
                      <a:avLst/>
                    </a:prstGeom>
                    <a:noFill/>
                  </pic:spPr>
                </pic:pic>
              </a:graphicData>
            </a:graphic>
          </wp:anchor>
        </w:drawing>
      </w:r>
    </w:p>
    <w:p>
      <w:pPr>
        <w:spacing w:after="0" w:line="199" w:lineRule="exact"/>
        <w:rPr>
          <w:sz w:val="20"/>
          <w:szCs w:val="20"/>
          <w:color w:val="auto"/>
        </w:rPr>
      </w:pPr>
    </w:p>
    <w:p>
      <w:pPr>
        <w:ind w:right="40" w:firstLine="490"/>
        <w:spacing w:after="0" w:line="280" w:lineRule="auto"/>
        <w:rPr>
          <w:sz w:val="20"/>
          <w:szCs w:val="20"/>
          <w:color w:val="auto"/>
        </w:rPr>
      </w:pPr>
      <w:r>
        <w:rPr>
          <w:rFonts w:ascii="Arial" w:cs="Arial" w:eastAsia="Arial" w:hAnsi="Arial"/>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71" w:lineRule="exact"/>
        <w:rPr>
          <w:sz w:val="20"/>
          <w:szCs w:val="20"/>
          <w:color w:val="auto"/>
        </w:rPr>
      </w:pPr>
    </w:p>
    <w:p>
      <w:pPr>
        <w:ind w:right="200" w:firstLine="490"/>
        <w:spacing w:after="0" w:line="370" w:lineRule="auto"/>
        <w:rPr>
          <w:sz w:val="20"/>
          <w:szCs w:val="20"/>
          <w:color w:val="auto"/>
        </w:rPr>
      </w:pPr>
      <w:r>
        <w:rPr>
          <w:rFonts w:ascii="Arial" w:cs="Arial" w:eastAsia="Arial" w:hAnsi="Arial"/>
          <w:sz w:val="17"/>
          <w:szCs w:val="17"/>
          <w:color w:val="auto"/>
        </w:rPr>
        <w:t>Costs for assets not yet placed into service are capitalized as construction-in-progress and depreciated or amortized in accordance with the above useful lives once placed into service. Upon retirement or sale, the related cost and accumulated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F-10</w:t>
      </w:r>
    </w:p>
    <w:p>
      <w:pPr>
        <w:sectPr>
          <w:pgSz w:w="12240" w:h="15840" w:orient="portrait"/>
          <w:cols w:equalWidth="0" w:num="1">
            <w:col w:w="10080"/>
          </w:cols>
          <w:pgMar w:left="1080" w:top="1060" w:right="1080" w:bottom="175" w:gutter="0" w:footer="0" w:header="0"/>
        </w:sectPr>
      </w:pPr>
    </w:p>
    <w:bookmarkStart w:id="118" w:name="page119"/>
    <w:bookmarkEnd w:id="118"/>
    <w:p>
      <w:pPr>
        <w:ind w:right="280"/>
        <w:spacing w:after="0" w:line="277" w:lineRule="auto"/>
        <w:rPr>
          <w:sz w:val="20"/>
          <w:szCs w:val="20"/>
          <w:color w:val="auto"/>
        </w:rPr>
      </w:pPr>
      <w:r>
        <w:rPr>
          <w:rFonts w:ascii="Arial" w:cs="Arial" w:eastAsia="Arial" w:hAnsi="Arial"/>
          <w:sz w:val="20"/>
          <w:szCs w:val="20"/>
          <w:color w:val="auto"/>
        </w:rPr>
        <w:t>depreciation and amortization are removed from the accounts and any resulting gain or loss is included in the consolidated statements of operations. Repairs and maintenance costs are expensed as incurred.</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40" w:lineRule="exact"/>
        <w:rPr>
          <w:sz w:val="20"/>
          <w:szCs w:val="20"/>
          <w:color w:val="auto"/>
        </w:rPr>
      </w:pPr>
    </w:p>
    <w:p>
      <w:pPr>
        <w:ind w:firstLine="490"/>
        <w:spacing w:after="0" w:line="247" w:lineRule="auto"/>
        <w:rPr>
          <w:sz w:val="20"/>
          <w:szCs w:val="20"/>
          <w:color w:val="auto"/>
        </w:rPr>
      </w:pPr>
      <w:r>
        <w:rPr>
          <w:rFonts w:ascii="Arial" w:cs="Arial" w:eastAsia="Arial" w:hAnsi="Arial"/>
          <w:sz w:val="20"/>
          <w:szCs w:val="20"/>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200" w:lineRule="exact"/>
        <w:rPr>
          <w:sz w:val="20"/>
          <w:szCs w:val="20"/>
          <w:color w:val="auto"/>
        </w:rPr>
      </w:pPr>
    </w:p>
    <w:p>
      <w:pPr>
        <w:jc w:val="both"/>
        <w:ind w:right="40" w:firstLine="490"/>
        <w:spacing w:after="0" w:line="303" w:lineRule="auto"/>
        <w:rPr>
          <w:sz w:val="20"/>
          <w:szCs w:val="20"/>
          <w:color w:val="auto"/>
        </w:rPr>
      </w:pPr>
      <w:r>
        <w:rPr>
          <w:rFonts w:ascii="Arial" w:cs="Arial" w:eastAsia="Arial" w:hAnsi="Arial"/>
          <w:sz w:val="17"/>
          <w:szCs w:val="17"/>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56" w:lineRule="exact"/>
        <w:rPr>
          <w:sz w:val="20"/>
          <w:szCs w:val="20"/>
          <w:color w:val="auto"/>
        </w:rPr>
      </w:pPr>
    </w:p>
    <w:p>
      <w:pPr>
        <w:ind w:right="80" w:firstLine="490"/>
        <w:spacing w:after="0" w:line="299" w:lineRule="auto"/>
        <w:rPr>
          <w:sz w:val="20"/>
          <w:szCs w:val="20"/>
          <w:color w:val="auto"/>
        </w:rPr>
      </w:pPr>
      <w:r>
        <w:rPr>
          <w:rFonts w:ascii="Arial" w:cs="Arial" w:eastAsia="Arial" w:hAnsi="Arial"/>
          <w:sz w:val="17"/>
          <w:szCs w:val="17"/>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 -use assets and lease liabilities generally do not assume that any renewal options or any early-termination provisions, if any, are exercised, unless it is reasonably certain that the Company will exercise such options.</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40" w:lineRule="exact"/>
        <w:rPr>
          <w:sz w:val="20"/>
          <w:szCs w:val="20"/>
          <w:color w:val="auto"/>
        </w:rPr>
      </w:pPr>
    </w:p>
    <w:p>
      <w:pPr>
        <w:ind w:right="200" w:firstLine="490"/>
        <w:spacing w:after="0" w:line="258" w:lineRule="auto"/>
        <w:rPr>
          <w:sz w:val="20"/>
          <w:szCs w:val="20"/>
          <w:color w:val="auto"/>
        </w:rPr>
      </w:pPr>
      <w:r>
        <w:rPr>
          <w:rFonts w:ascii="Arial" w:cs="Arial" w:eastAsia="Arial" w:hAnsi="Arial"/>
          <w:sz w:val="19"/>
          <w:szCs w:val="19"/>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90" w:lineRule="exact"/>
        <w:rPr>
          <w:sz w:val="20"/>
          <w:szCs w:val="20"/>
          <w:color w:val="auto"/>
        </w:rPr>
      </w:pPr>
    </w:p>
    <w:p>
      <w:pPr>
        <w:ind w:right="20" w:firstLine="490"/>
        <w:spacing w:after="0" w:line="336" w:lineRule="auto"/>
        <w:rPr>
          <w:sz w:val="20"/>
          <w:szCs w:val="20"/>
          <w:color w:val="auto"/>
        </w:rPr>
      </w:pPr>
      <w:r>
        <w:rPr>
          <w:rFonts w:ascii="Arial" w:cs="Arial" w:eastAsia="Arial" w:hAnsi="Arial"/>
          <w:sz w:val="18"/>
          <w:szCs w:val="18"/>
          <w:color w:val="auto"/>
        </w:rPr>
        <w:t>The Company’s revenues were primarily generated through its license and collaboration agreements with Gilead. Refer to Note 3, “Collaboration Agreements” elsewhere in these notes to the Company's consolidated financial statements.</w:t>
      </w:r>
    </w:p>
    <w:p>
      <w:pPr>
        <w:spacing w:after="0" w:line="121" w:lineRule="exact"/>
        <w:rPr>
          <w:sz w:val="20"/>
          <w:szCs w:val="20"/>
          <w:color w:val="auto"/>
        </w:rPr>
      </w:pPr>
    </w:p>
    <w:p>
      <w:pPr>
        <w:ind w:right="20" w:firstLine="490"/>
        <w:spacing w:after="0" w:line="255" w:lineRule="auto"/>
        <w:rPr>
          <w:sz w:val="20"/>
          <w:szCs w:val="20"/>
          <w:color w:val="auto"/>
        </w:rPr>
      </w:pPr>
      <w:r>
        <w:rPr>
          <w:rFonts w:ascii="Arial" w:cs="Arial" w:eastAsia="Arial" w:hAnsi="Arial"/>
          <w:sz w:val="19"/>
          <w:szCs w:val="19"/>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likely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F-11</w:t>
      </w:r>
    </w:p>
    <w:p>
      <w:pPr>
        <w:sectPr>
          <w:pgSz w:w="12240" w:h="15840" w:orient="portrait"/>
          <w:cols w:equalWidth="0" w:num="1">
            <w:col w:w="10060"/>
          </w:cols>
          <w:pgMar w:left="1080" w:top="1060" w:right="1100" w:bottom="175" w:gutter="0" w:footer="0" w:header="0"/>
        </w:sectPr>
      </w:pPr>
    </w:p>
    <w:bookmarkStart w:id="119" w:name="page120"/>
    <w:bookmarkEnd w:id="119"/>
    <w:p>
      <w:pPr>
        <w:ind w:right="40" w:firstLine="490"/>
        <w:spacing w:after="0" w:line="272" w:lineRule="auto"/>
        <w:rPr>
          <w:sz w:val="20"/>
          <w:szCs w:val="20"/>
          <w:color w:val="auto"/>
        </w:rPr>
      </w:pPr>
      <w:r>
        <w:rPr>
          <w:rFonts w:ascii="Arial" w:cs="Arial" w:eastAsia="Arial" w:hAnsi="Arial"/>
          <w:sz w:val="18"/>
          <w:szCs w:val="18"/>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85" w:lineRule="exact"/>
        <w:rPr>
          <w:sz w:val="20"/>
          <w:szCs w:val="20"/>
          <w:color w:val="auto"/>
        </w:rPr>
      </w:pPr>
    </w:p>
    <w:p>
      <w:pPr>
        <w:ind w:right="160" w:firstLine="490"/>
        <w:spacing w:after="0" w:line="278" w:lineRule="auto"/>
        <w:rPr>
          <w:sz w:val="20"/>
          <w:szCs w:val="20"/>
          <w:color w:val="auto"/>
        </w:rPr>
      </w:pPr>
      <w:r>
        <w:rPr>
          <w:rFonts w:ascii="Arial" w:cs="Arial" w:eastAsia="Arial" w:hAnsi="Arial"/>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firstLine="490"/>
        <w:spacing w:after="0" w:line="271" w:lineRule="auto"/>
        <w:rPr>
          <w:sz w:val="20"/>
          <w:szCs w:val="20"/>
          <w:color w:val="auto"/>
        </w:rPr>
      </w:pPr>
      <w:r>
        <w:rPr>
          <w:rFonts w:ascii="Arial" w:cs="Arial" w:eastAsia="Arial" w:hAnsi="Arial"/>
          <w:sz w:val="18"/>
          <w:szCs w:val="18"/>
          <w:i w:val="1"/>
          <w:iCs w:val="1"/>
          <w:color w:val="auto"/>
        </w:rPr>
        <w:t xml:space="preserve">Exclusive License Rights </w:t>
      </w:r>
      <w:r>
        <w:rPr>
          <w:rFonts w:ascii="Arial" w:cs="Arial" w:eastAsia="Arial" w:hAnsi="Arial"/>
          <w:sz w:val="18"/>
          <w:szCs w:val="18"/>
          <w:color w:val="auto"/>
        </w:rPr>
        <w:t>— If the license to the Company’s intellectual property is determined to be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1" w:lineRule="exact"/>
        <w:rPr>
          <w:sz w:val="20"/>
          <w:szCs w:val="20"/>
          <w:color w:val="auto"/>
        </w:rPr>
      </w:pPr>
    </w:p>
    <w:p>
      <w:pPr>
        <w:ind w:right="120" w:firstLine="490"/>
        <w:spacing w:after="0" w:line="27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agreements may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80" w:lineRule="exact"/>
        <w:rPr>
          <w:sz w:val="20"/>
          <w:szCs w:val="20"/>
          <w:color w:val="auto"/>
        </w:rPr>
      </w:pPr>
    </w:p>
    <w:p>
      <w:pPr>
        <w:ind w:firstLine="490"/>
        <w:spacing w:after="0" w:line="275" w:lineRule="auto"/>
        <w:rPr>
          <w:sz w:val="20"/>
          <w:szCs w:val="20"/>
          <w:color w:val="auto"/>
        </w:rPr>
      </w:pPr>
      <w:r>
        <w:rPr>
          <w:rFonts w:ascii="Arial" w:cs="Arial" w:eastAsia="Arial" w:hAnsi="Arial"/>
          <w:sz w:val="18"/>
          <w:szCs w:val="18"/>
          <w:i w:val="1"/>
          <w:iCs w:val="1"/>
          <w:color w:val="auto"/>
        </w:rPr>
        <w:t xml:space="preserve">Customer Options </w:t>
      </w:r>
      <w:r>
        <w:rPr>
          <w:rFonts w:ascii="Arial" w:cs="Arial" w:eastAsia="Arial" w:hAnsi="Arial"/>
          <w:sz w:val="18"/>
          <w:szCs w:val="18"/>
          <w:color w:val="auto"/>
        </w:rPr>
        <w:t>— The Company’s arrangements may provide a collaborator with the right to acquire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in the future. 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F-12</w:t>
      </w:r>
    </w:p>
    <w:p>
      <w:pPr>
        <w:sectPr>
          <w:pgSz w:w="12240" w:h="15840" w:orient="portrait"/>
          <w:cols w:equalWidth="0" w:num="1">
            <w:col w:w="10060"/>
          </w:cols>
          <w:pgMar w:left="1080" w:top="1060" w:right="1100" w:bottom="175" w:gutter="0" w:footer="0" w:header="0"/>
        </w:sectPr>
      </w:pPr>
    </w:p>
    <w:bookmarkStart w:id="120" w:name="page121"/>
    <w:bookmarkEnd w:id="120"/>
    <w:p>
      <w:pPr>
        <w:spacing w:after="0" w:line="246" w:lineRule="auto"/>
        <w:rPr>
          <w:sz w:val="20"/>
          <w:szCs w:val="20"/>
          <w:color w:val="auto"/>
        </w:rPr>
      </w:pPr>
      <w:r>
        <w:rPr>
          <w:rFonts w:ascii="Arial" w:cs="Arial" w:eastAsia="Arial" w:hAnsi="Arial"/>
          <w:sz w:val="20"/>
          <w:szCs w:val="20"/>
          <w:color w:val="auto"/>
        </w:rPr>
        <w:t>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99" w:lineRule="exact"/>
        <w:rPr>
          <w:sz w:val="20"/>
          <w:szCs w:val="20"/>
          <w:color w:val="auto"/>
        </w:rPr>
      </w:pPr>
    </w:p>
    <w:p>
      <w:pPr>
        <w:ind w:right="60" w:firstLine="490"/>
        <w:spacing w:after="0" w:line="27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 At the inception of an arrangement that includes development milestone payments,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evaluates whether the milestones are considered likely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7" w:lineRule="exact"/>
        <w:rPr>
          <w:sz w:val="20"/>
          <w:szCs w:val="20"/>
          <w:color w:val="auto"/>
        </w:rPr>
      </w:pPr>
    </w:p>
    <w:p>
      <w:pPr>
        <w:ind w:right="100" w:firstLine="490"/>
        <w:spacing w:after="0" w:line="249" w:lineRule="auto"/>
        <w:rPr>
          <w:sz w:val="20"/>
          <w:szCs w:val="20"/>
          <w:color w:val="auto"/>
        </w:rPr>
      </w:pPr>
      <w:r>
        <w:rPr>
          <w:rFonts w:ascii="Arial" w:cs="Arial" w:eastAsia="Arial" w:hAnsi="Arial"/>
          <w:sz w:val="20"/>
          <w:szCs w:val="20"/>
          <w:i w:val="1"/>
          <w:iCs w:val="1"/>
          <w:color w:val="auto"/>
        </w:rPr>
        <w:t xml:space="preserve">Royalties </w:t>
      </w:r>
      <w:r>
        <w:rPr>
          <w:rFonts w:ascii="Arial" w:cs="Arial" w:eastAsia="Arial" w:hAnsi="Arial"/>
          <w:sz w:val="20"/>
          <w:szCs w:val="20"/>
          <w:color w:val="auto"/>
        </w:rPr>
        <w:t>— For arrangements that include sales-based royalties, including milestone payments based on a level of</w:t>
      </w:r>
      <w:r>
        <w:rPr>
          <w:rFonts w:ascii="Arial" w:cs="Arial" w:eastAsia="Arial" w:hAnsi="Arial"/>
          <w:sz w:val="20"/>
          <w:szCs w:val="20"/>
          <w:i w:val="1"/>
          <w:iCs w:val="1"/>
          <w:color w:val="auto"/>
        </w:rPr>
        <w:t xml:space="preserve"> </w:t>
      </w:r>
      <w:r>
        <w:rPr>
          <w:rFonts w:ascii="Arial" w:cs="Arial" w:eastAsia="Arial" w:hAnsi="Arial"/>
          <w:sz w:val="20"/>
          <w:szCs w:val="20"/>
          <w:color w:val="auto"/>
        </w:rPr>
        <w:t>sales, where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40" w:lineRule="exact"/>
        <w:rPr>
          <w:sz w:val="20"/>
          <w:szCs w:val="20"/>
          <w:color w:val="auto"/>
        </w:rPr>
      </w:pPr>
    </w:p>
    <w:p>
      <w:pPr>
        <w:ind w:right="60" w:firstLine="490"/>
        <w:spacing w:after="0" w:line="260" w:lineRule="auto"/>
        <w:rPr>
          <w:sz w:val="20"/>
          <w:szCs w:val="20"/>
          <w:color w:val="auto"/>
        </w:rPr>
      </w:pPr>
      <w:r>
        <w:rPr>
          <w:rFonts w:ascii="Arial" w:cs="Arial" w:eastAsia="Arial" w:hAnsi="Arial"/>
          <w:sz w:val="19"/>
          <w:szCs w:val="19"/>
          <w:color w:val="auto"/>
        </w:rPr>
        <w:t>Research and development expenses consist primarily of costs incurred for our drug discovery efforts and the development of our product candidates. These expenses include salaries, employee benefits, and stock-based compensation expense for our research and development personnel, materials, supplies, depreciation on and maintenance of research equipment, the cost of services provided by outside CROs, vendors, and consultants to conduct research and development activities including costs of clinical trials, manufacturing, and other development activities, as well as the allocable portions of facility costs, such as rent, utilities, and general support services. All costs incurred to fulfill the Company’s obligations under the collaboration with Gilead were classified as research and development expenses. All costs associated with research and development are expensed as incurred.</w:t>
      </w:r>
    </w:p>
    <w:p>
      <w:pPr>
        <w:spacing w:after="0" w:line="186" w:lineRule="exact"/>
        <w:rPr>
          <w:sz w:val="20"/>
          <w:szCs w:val="20"/>
          <w:color w:val="auto"/>
        </w:rPr>
      </w:pPr>
    </w:p>
    <w:p>
      <w:pPr>
        <w:jc w:val="both"/>
        <w:ind w:right="40" w:firstLine="490"/>
        <w:spacing w:after="0" w:line="277" w:lineRule="auto"/>
        <w:rPr>
          <w:sz w:val="20"/>
          <w:szCs w:val="20"/>
          <w:color w:val="auto"/>
        </w:rPr>
      </w:pPr>
      <w:r>
        <w:rPr>
          <w:rFonts w:ascii="Arial" w:cs="Arial" w:eastAsia="Arial" w:hAnsi="Arial"/>
          <w:sz w:val="18"/>
          <w:szCs w:val="18"/>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w:t>
      </w:r>
    </w:p>
    <w:p>
      <w:pPr>
        <w:spacing w:after="0" w:line="1" w:lineRule="exact"/>
        <w:rPr>
          <w:sz w:val="20"/>
          <w:szCs w:val="20"/>
          <w:color w:val="auto"/>
        </w:rPr>
      </w:pPr>
    </w:p>
    <w:p>
      <w:pPr>
        <w:jc w:val="both"/>
        <w:ind w:right="20"/>
        <w:spacing w:after="0" w:line="249" w:lineRule="auto"/>
        <w:rPr>
          <w:sz w:val="20"/>
          <w:szCs w:val="20"/>
          <w:color w:val="auto"/>
        </w:rPr>
      </w:pPr>
      <w:r>
        <w:rPr>
          <w:rFonts w:ascii="Arial" w:cs="Arial" w:eastAsia="Arial" w:hAnsi="Arial"/>
          <w:sz w:val="20"/>
          <w:szCs w:val="20"/>
          <w:color w:val="auto"/>
        </w:rPr>
        <w:t>Nonrefundable advance payments for goods and services are deferred and recognized as expense in the period that the related goods are consumed or services are performed.</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Patent Costs</w:t>
      </w:r>
    </w:p>
    <w:p>
      <w:pPr>
        <w:spacing w:after="0" w:line="240" w:lineRule="exact"/>
        <w:rPr>
          <w:sz w:val="20"/>
          <w:szCs w:val="20"/>
          <w:color w:val="auto"/>
        </w:rPr>
      </w:pPr>
    </w:p>
    <w:p>
      <w:pPr>
        <w:ind w:right="80" w:firstLine="490"/>
        <w:spacing w:after="0" w:line="258" w:lineRule="auto"/>
        <w:rPr>
          <w:sz w:val="20"/>
          <w:szCs w:val="20"/>
          <w:color w:val="auto"/>
        </w:rPr>
      </w:pPr>
      <w:r>
        <w:rPr>
          <w:rFonts w:ascii="Arial" w:cs="Arial" w:eastAsia="Arial" w:hAnsi="Arial"/>
          <w:sz w:val="20"/>
          <w:szCs w:val="20"/>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40" w:lineRule="exact"/>
        <w:rPr>
          <w:sz w:val="20"/>
          <w:szCs w:val="20"/>
          <w:color w:val="auto"/>
        </w:rPr>
      </w:pPr>
    </w:p>
    <w:p>
      <w:pPr>
        <w:ind w:right="40" w:firstLine="490"/>
        <w:spacing w:after="0" w:line="303" w:lineRule="auto"/>
        <w:rPr>
          <w:sz w:val="20"/>
          <w:szCs w:val="20"/>
          <w:color w:val="auto"/>
        </w:rPr>
      </w:pPr>
      <w:r>
        <w:rPr>
          <w:rFonts w:ascii="Arial" w:cs="Arial" w:eastAsia="Arial" w:hAnsi="Arial"/>
          <w:sz w:val="17"/>
          <w:szCs w:val="17"/>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F-13</w:t>
      </w:r>
    </w:p>
    <w:p>
      <w:pPr>
        <w:sectPr>
          <w:pgSz w:w="12240" w:h="15840" w:orient="portrait"/>
          <w:cols w:equalWidth="0" w:num="1">
            <w:col w:w="10060"/>
          </w:cols>
          <w:pgMar w:left="1080" w:top="1060" w:right="1100" w:bottom="175" w:gutter="0" w:footer="0" w:header="0"/>
        </w:sectPr>
      </w:pPr>
    </w:p>
    <w:bookmarkStart w:id="121" w:name="page122"/>
    <w:bookmarkEnd w:id="121"/>
    <w:p>
      <w:pPr>
        <w:ind w:right="180"/>
        <w:spacing w:after="0" w:line="277" w:lineRule="auto"/>
        <w:rPr>
          <w:sz w:val="20"/>
          <w:szCs w:val="20"/>
          <w:color w:val="auto"/>
        </w:rPr>
      </w:pPr>
      <w:r>
        <w:rPr>
          <w:rFonts w:ascii="Arial" w:cs="Arial" w:eastAsia="Arial" w:hAnsi="Arial"/>
          <w:sz w:val="20"/>
          <w:szCs w:val="20"/>
          <w:color w:val="auto"/>
        </w:rPr>
        <w:t>considered probable of occurrence and recognizes the cumulative effect of current and prior period changes in the period of change.</w:t>
      </w:r>
    </w:p>
    <w:p>
      <w:pPr>
        <w:spacing w:after="0" w:line="169" w:lineRule="exact"/>
        <w:rPr>
          <w:sz w:val="20"/>
          <w:szCs w:val="20"/>
          <w:color w:val="auto"/>
        </w:rPr>
      </w:pPr>
    </w:p>
    <w:p>
      <w:pPr>
        <w:ind w:right="360" w:firstLine="490"/>
        <w:spacing w:after="0" w:line="278" w:lineRule="auto"/>
        <w:rPr>
          <w:sz w:val="20"/>
          <w:szCs w:val="20"/>
          <w:color w:val="auto"/>
        </w:rPr>
      </w:pPr>
      <w:r>
        <w:rPr>
          <w:rFonts w:ascii="Arial" w:cs="Arial" w:eastAsia="Arial" w:hAnsi="Arial"/>
          <w:sz w:val="20"/>
          <w:szCs w:val="20"/>
          <w:color w:val="auto"/>
        </w:rPr>
        <w:t>The fair value of common stock underlying stock-based awards is based on an estimate at each grant date using the market price of our common stock and each of the assumptions discussed below.</w:t>
      </w:r>
    </w:p>
    <w:p>
      <w:pPr>
        <w:spacing w:after="0" w:line="167" w:lineRule="exact"/>
        <w:rPr>
          <w:sz w:val="20"/>
          <w:szCs w:val="20"/>
          <w:color w:val="auto"/>
        </w:rPr>
      </w:pPr>
    </w:p>
    <w:p>
      <w:pPr>
        <w:ind w:right="60" w:firstLine="490"/>
        <w:spacing w:after="0" w:line="28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stock options is estimated using the “simplified method,” as prescribed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SEC’s Staff Accounting Bulletin (SAB) No. 107,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63" w:lineRule="exact"/>
        <w:rPr>
          <w:sz w:val="20"/>
          <w:szCs w:val="20"/>
          <w:color w:val="auto"/>
        </w:rPr>
      </w:pPr>
    </w:p>
    <w:p>
      <w:pPr>
        <w:ind w:right="200" w:firstLine="490"/>
        <w:spacing w:after="0" w:line="252" w:lineRule="auto"/>
        <w:rPr>
          <w:sz w:val="20"/>
          <w:szCs w:val="20"/>
          <w:color w:val="auto"/>
        </w:rPr>
      </w:pPr>
      <w:r>
        <w:rPr>
          <w:rFonts w:ascii="Arial" w:cs="Arial" w:eastAsia="Arial" w:hAnsi="Arial"/>
          <w:sz w:val="20"/>
          <w:szCs w:val="20"/>
          <w:i w:val="1"/>
          <w:iCs w:val="1"/>
          <w:color w:val="auto"/>
        </w:rPr>
        <w:t xml:space="preserve">Expected Volatility </w:t>
      </w:r>
      <w:r>
        <w:rPr>
          <w:rFonts w:ascii="Arial" w:cs="Arial" w:eastAsia="Arial" w:hAnsi="Arial"/>
          <w:sz w:val="20"/>
          <w:szCs w:val="20"/>
          <w:color w:val="auto"/>
        </w:rPr>
        <w:t>— Since there is limited historical data for the Company’s common stock and limited company-specific historical volatility, the 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94" w:lineRule="exact"/>
        <w:rPr>
          <w:sz w:val="20"/>
          <w:szCs w:val="20"/>
          <w:color w:val="auto"/>
        </w:rPr>
      </w:pPr>
    </w:p>
    <w:p>
      <w:pPr>
        <w:ind w:right="60" w:firstLine="490"/>
        <w:spacing w:after="0" w:line="277" w:lineRule="auto"/>
        <w:rPr>
          <w:sz w:val="20"/>
          <w:szCs w:val="20"/>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 The risk-free rate is based on the U.S. Treasury yield curve commensurate with the expected</w:t>
      </w:r>
      <w:r>
        <w:rPr>
          <w:rFonts w:ascii="Arial" w:cs="Arial" w:eastAsia="Arial" w:hAnsi="Arial"/>
          <w:sz w:val="20"/>
          <w:szCs w:val="20"/>
          <w:i w:val="1"/>
          <w:iCs w:val="1"/>
          <w:color w:val="auto"/>
        </w:rPr>
        <w:t xml:space="preserve"> </w:t>
      </w:r>
      <w:r>
        <w:rPr>
          <w:rFonts w:ascii="Arial" w:cs="Arial" w:eastAsia="Arial" w:hAnsi="Arial"/>
          <w:sz w:val="20"/>
          <w:szCs w:val="20"/>
          <w:color w:val="auto"/>
        </w:rPr>
        <w:t>life of the option.</w:t>
      </w:r>
    </w:p>
    <w:p>
      <w:pPr>
        <w:spacing w:after="0" w:line="169" w:lineRule="exact"/>
        <w:rPr>
          <w:sz w:val="20"/>
          <w:szCs w:val="20"/>
          <w:color w:val="auto"/>
        </w:rPr>
      </w:pPr>
    </w:p>
    <w:p>
      <w:pPr>
        <w:ind w:right="260" w:firstLine="490"/>
        <w:spacing w:after="0" w:line="278" w:lineRule="auto"/>
        <w:rPr>
          <w:sz w:val="20"/>
          <w:szCs w:val="20"/>
          <w:color w:val="auto"/>
        </w:rPr>
      </w:pPr>
      <w:r>
        <w:rPr>
          <w:rFonts w:ascii="Arial" w:cs="Arial" w:eastAsia="Arial" w:hAnsi="Arial"/>
          <w:sz w:val="20"/>
          <w:szCs w:val="20"/>
          <w:i w:val="1"/>
          <w:iCs w:val="1"/>
          <w:color w:val="auto"/>
        </w:rPr>
        <w:t xml:space="preserve">Dividend Rate </w:t>
      </w:r>
      <w:r>
        <w:rPr>
          <w:rFonts w:ascii="Arial" w:cs="Arial" w:eastAsia="Arial" w:hAnsi="Arial"/>
          <w:sz w:val="20"/>
          <w:szCs w:val="20"/>
          <w:color w:val="auto"/>
        </w:rPr>
        <w:t>— The expected dividend is assumed to be zero as the Company has never paid dividends and has no</w:t>
      </w:r>
      <w:r>
        <w:rPr>
          <w:rFonts w:ascii="Arial" w:cs="Arial" w:eastAsia="Arial" w:hAnsi="Arial"/>
          <w:sz w:val="20"/>
          <w:szCs w:val="20"/>
          <w:i w:val="1"/>
          <w:iCs w:val="1"/>
          <w:color w:val="auto"/>
        </w:rPr>
        <w:t xml:space="preserve"> </w:t>
      </w:r>
      <w:r>
        <w:rPr>
          <w:rFonts w:ascii="Arial" w:cs="Arial" w:eastAsia="Arial" w:hAnsi="Arial"/>
          <w:sz w:val="20"/>
          <w:szCs w:val="20"/>
          <w:color w:val="auto"/>
        </w:rPr>
        <w:t>current plans to do so.</w:t>
      </w:r>
    </w:p>
    <w:p>
      <w:pPr>
        <w:spacing w:after="0" w:line="167" w:lineRule="exact"/>
        <w:rPr>
          <w:sz w:val="20"/>
          <w:szCs w:val="20"/>
          <w:color w:val="auto"/>
        </w:rPr>
      </w:pPr>
    </w:p>
    <w:p>
      <w:pPr>
        <w:ind w:right="80" w:firstLine="490"/>
        <w:spacing w:after="0" w:line="301"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51" w:lineRule="exact"/>
        <w:rPr>
          <w:sz w:val="20"/>
          <w:szCs w:val="20"/>
          <w:color w:val="auto"/>
        </w:rPr>
      </w:pPr>
    </w:p>
    <w:p>
      <w:pPr>
        <w:ind w:right="80" w:firstLine="490"/>
        <w:spacing w:after="0" w:line="252" w:lineRule="auto"/>
        <w:rPr>
          <w:sz w:val="20"/>
          <w:szCs w:val="20"/>
          <w:color w:val="auto"/>
        </w:rPr>
      </w:pPr>
      <w:r>
        <w:rPr>
          <w:rFonts w:ascii="Arial" w:cs="Arial" w:eastAsia="Arial" w:hAnsi="Arial"/>
          <w:sz w:val="20"/>
          <w:szCs w:val="20"/>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Income Taxes</w:t>
      </w:r>
    </w:p>
    <w:p>
      <w:pPr>
        <w:spacing w:after="0" w:line="240" w:lineRule="exact"/>
        <w:rPr>
          <w:sz w:val="20"/>
          <w:szCs w:val="20"/>
          <w:color w:val="auto"/>
        </w:rPr>
      </w:pPr>
    </w:p>
    <w:p>
      <w:pPr>
        <w:ind w:right="180" w:firstLine="490"/>
        <w:spacing w:after="0" w:line="260" w:lineRule="auto"/>
        <w:rPr>
          <w:sz w:val="20"/>
          <w:szCs w:val="20"/>
          <w:color w:val="auto"/>
        </w:rPr>
      </w:pPr>
      <w:r>
        <w:rPr>
          <w:rFonts w:ascii="Arial" w:cs="Arial" w:eastAsia="Arial" w:hAnsi="Arial"/>
          <w:sz w:val="19"/>
          <w:szCs w:val="19"/>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86" w:lineRule="exact"/>
        <w:rPr>
          <w:sz w:val="20"/>
          <w:szCs w:val="20"/>
          <w:color w:val="auto"/>
        </w:rPr>
      </w:pPr>
    </w:p>
    <w:p>
      <w:pPr>
        <w:ind w:firstLine="490"/>
        <w:spacing w:after="0" w:line="278" w:lineRule="auto"/>
        <w:rPr>
          <w:sz w:val="20"/>
          <w:szCs w:val="20"/>
          <w:color w:val="auto"/>
        </w:rPr>
      </w:pPr>
      <w:r>
        <w:rPr>
          <w:rFonts w:ascii="Arial" w:cs="Arial" w:eastAsia="Arial" w:hAnsi="Arial"/>
          <w:sz w:val="18"/>
          <w:szCs w:val="18"/>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72" w:lineRule="exact"/>
        <w:rPr>
          <w:sz w:val="20"/>
          <w:szCs w:val="20"/>
          <w:color w:val="auto"/>
        </w:rPr>
      </w:pPr>
    </w:p>
    <w:p>
      <w:pPr>
        <w:ind w:right="200" w:firstLine="490"/>
        <w:spacing w:after="0" w:line="277" w:lineRule="auto"/>
        <w:rPr>
          <w:sz w:val="20"/>
          <w:szCs w:val="20"/>
          <w:color w:val="auto"/>
        </w:rPr>
      </w:pPr>
      <w:r>
        <w:rPr>
          <w:rFonts w:ascii="Arial" w:cs="Arial" w:eastAsia="Arial" w:hAnsi="Arial"/>
          <w:sz w:val="20"/>
          <w:szCs w:val="20"/>
          <w:color w:val="auto"/>
        </w:rPr>
        <w:t>Penalties and interest expense related to income taxes are included as components of income tax expense and interest expense, respectively, as necessary.</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Comprehensive Income (Loss)</w:t>
      </w:r>
    </w:p>
    <w:p>
      <w:pPr>
        <w:spacing w:after="0" w:line="240" w:lineRule="exact"/>
        <w:rPr>
          <w:sz w:val="20"/>
          <w:szCs w:val="20"/>
          <w:color w:val="auto"/>
        </w:rPr>
      </w:pPr>
    </w:p>
    <w:p>
      <w:pPr>
        <w:ind w:right="340" w:firstLine="490"/>
        <w:spacing w:after="0" w:line="334" w:lineRule="auto"/>
        <w:rPr>
          <w:sz w:val="20"/>
          <w:szCs w:val="20"/>
          <w:color w:val="auto"/>
        </w:rPr>
      </w:pPr>
      <w:r>
        <w:rPr>
          <w:rFonts w:ascii="Arial" w:cs="Arial" w:eastAsia="Arial" w:hAnsi="Arial"/>
          <w:sz w:val="18"/>
          <w:szCs w:val="18"/>
          <w:color w:val="auto"/>
        </w:rPr>
        <w:t>Comprehensive income (loss) includes net income (loss) as well as other changes in stockholders’ equity that result from transactions and economic events other than those with stockholders. The Company’s only element of other</w:t>
      </w:r>
    </w:p>
    <w:p>
      <w:pPr>
        <w:sectPr>
          <w:pgSz w:w="12240" w:h="15840" w:orient="portrait"/>
          <w:cols w:equalWidth="0" w:num="1">
            <w:col w:w="10060"/>
          </w:cols>
          <w:pgMar w:left="1080" w:top="1060" w:right="1100" w:bottom="21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2240" w:h="15840" w:orient="portrait"/>
          <w:cols w:equalWidth="0" w:num="1">
            <w:col w:w="10060"/>
          </w:cols>
          <w:pgMar w:left="1080" w:top="1060" w:right="1100" w:bottom="210" w:gutter="0" w:footer="0" w:header="0"/>
          <w:type w:val="continuous"/>
        </w:sectPr>
      </w:pPr>
    </w:p>
    <w:bookmarkStart w:id="122" w:name="page123"/>
    <w:bookmarkEnd w:id="122"/>
    <w:p>
      <w:pPr>
        <w:ind w:right="560"/>
        <w:spacing w:after="0" w:line="277" w:lineRule="auto"/>
        <w:rPr>
          <w:sz w:val="20"/>
          <w:szCs w:val="20"/>
          <w:color w:val="auto"/>
        </w:rPr>
      </w:pPr>
      <w:r>
        <w:rPr>
          <w:rFonts w:ascii="Arial" w:cs="Arial" w:eastAsia="Arial" w:hAnsi="Arial"/>
          <w:sz w:val="20"/>
          <w:szCs w:val="20"/>
          <w:color w:val="auto"/>
        </w:rPr>
        <w:t>comprehensive income (loss) for the years ended December 31, 2025, 2024, and 2023 was unrealized gains (losses) on investments in marketable securities.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Net Loss Per Share</w:t>
      </w:r>
    </w:p>
    <w:p>
      <w:pPr>
        <w:spacing w:after="0" w:line="240" w:lineRule="exact"/>
        <w:rPr>
          <w:sz w:val="20"/>
          <w:szCs w:val="20"/>
          <w:color w:val="auto"/>
        </w:rPr>
      </w:pPr>
    </w:p>
    <w:p>
      <w:pPr>
        <w:ind w:firstLine="490"/>
        <w:spacing w:after="0" w:line="291" w:lineRule="auto"/>
        <w:rPr>
          <w:sz w:val="20"/>
          <w:szCs w:val="20"/>
          <w:color w:val="auto"/>
        </w:rPr>
      </w:pPr>
      <w:r>
        <w:rPr>
          <w:rFonts w:ascii="Arial" w:cs="Arial" w:eastAsia="Arial" w:hAnsi="Arial"/>
          <w:sz w:val="17"/>
          <w:szCs w:val="17"/>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 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162" w:lineRule="exact"/>
        <w:rPr>
          <w:sz w:val="20"/>
          <w:szCs w:val="20"/>
          <w:color w:val="auto"/>
        </w:rPr>
      </w:pPr>
    </w:p>
    <w:p>
      <w:pPr>
        <w:ind w:right="80" w:firstLine="490"/>
        <w:spacing w:after="0" w:line="263" w:lineRule="auto"/>
        <w:rPr>
          <w:sz w:val="20"/>
          <w:szCs w:val="20"/>
          <w:color w:val="auto"/>
        </w:rPr>
      </w:pPr>
      <w:r>
        <w:rPr>
          <w:rFonts w:ascii="Arial" w:cs="Arial" w:eastAsia="Arial" w:hAnsi="Arial"/>
          <w:sz w:val="19"/>
          <w:szCs w:val="19"/>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ind w:right="80" w:firstLine="490"/>
        <w:spacing w:after="0" w:line="280" w:lineRule="auto"/>
        <w:rPr>
          <w:sz w:val="20"/>
          <w:szCs w:val="20"/>
          <w:color w:val="auto"/>
        </w:rPr>
      </w:pPr>
      <w:r>
        <w:rPr>
          <w:rFonts w:ascii="Arial" w:cs="Arial" w:eastAsia="Arial" w:hAnsi="Arial"/>
          <w:sz w:val="18"/>
          <w:szCs w:val="18"/>
          <w:color w:val="auto"/>
        </w:rPr>
        <w:t>Issued and unexercised pre-funded warrants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shares underlying pre-funded warrants are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Commitments and Contingencies</w:t>
      </w:r>
    </w:p>
    <w:p>
      <w:pPr>
        <w:spacing w:after="0" w:line="240" w:lineRule="exact"/>
        <w:rPr>
          <w:sz w:val="20"/>
          <w:szCs w:val="20"/>
          <w:color w:val="auto"/>
        </w:rPr>
      </w:pPr>
    </w:p>
    <w:p>
      <w:pPr>
        <w:ind w:right="160" w:firstLine="490"/>
        <w:spacing w:after="0" w:line="258" w:lineRule="auto"/>
        <w:rPr>
          <w:sz w:val="20"/>
          <w:szCs w:val="20"/>
          <w:color w:val="auto"/>
        </w:rPr>
      </w:pPr>
      <w:r>
        <w:rPr>
          <w:rFonts w:ascii="Arial" w:cs="Arial" w:eastAsia="Arial" w:hAnsi="Arial"/>
          <w:sz w:val="20"/>
          <w:szCs w:val="20"/>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Subsequent Events</w:t>
      </w:r>
    </w:p>
    <w:p>
      <w:pPr>
        <w:spacing w:after="0" w:line="239" w:lineRule="exact"/>
        <w:rPr>
          <w:sz w:val="20"/>
          <w:szCs w:val="20"/>
          <w:color w:val="auto"/>
        </w:rPr>
      </w:pPr>
    </w:p>
    <w:p>
      <w:pPr>
        <w:ind w:right="120" w:firstLine="490"/>
        <w:spacing w:after="0" w:line="259" w:lineRule="auto"/>
        <w:rPr>
          <w:sz w:val="20"/>
          <w:szCs w:val="20"/>
          <w:color w:val="auto"/>
        </w:rPr>
      </w:pPr>
      <w:r>
        <w:rPr>
          <w:rFonts w:ascii="Arial" w:cs="Arial" w:eastAsia="Arial" w:hAnsi="Arial"/>
          <w:sz w:val="20"/>
          <w:szCs w:val="20"/>
          <w:color w:val="auto"/>
        </w:rPr>
        <w:t>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as required.</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240" w:lineRule="exact"/>
        <w:rPr>
          <w:sz w:val="20"/>
          <w:szCs w:val="20"/>
          <w:color w:val="auto"/>
        </w:rPr>
      </w:pPr>
    </w:p>
    <w:p>
      <w:pPr>
        <w:ind w:right="60" w:firstLine="490"/>
        <w:spacing w:after="0" w:line="247" w:lineRule="auto"/>
        <w:rPr>
          <w:sz w:val="20"/>
          <w:szCs w:val="20"/>
          <w:color w:val="auto"/>
        </w:rPr>
      </w:pPr>
      <w:r>
        <w:rPr>
          <w:rFonts w:ascii="Arial" w:cs="Arial" w:eastAsia="Arial" w:hAnsi="Arial"/>
          <w:sz w:val="20"/>
          <w:szCs w:val="20"/>
          <w:color w:val="auto"/>
        </w:rPr>
        <w:t>In December 2023, the FASB issued ASU 2023-09, "</w:t>
      </w:r>
      <w:r>
        <w:rPr>
          <w:rFonts w:ascii="Arial" w:cs="Arial" w:eastAsia="Arial" w:hAnsi="Arial"/>
          <w:sz w:val="20"/>
          <w:szCs w:val="20"/>
          <w:i w:val="1"/>
          <w:iCs w:val="1"/>
          <w:color w:val="auto"/>
        </w:rPr>
        <w:t>Income Taxes (Topic 740): Improvements to Income Tax</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Disclosures</w:t>
      </w:r>
      <w:r>
        <w:rPr>
          <w:rFonts w:ascii="Arial" w:cs="Arial" w:eastAsia="Arial" w:hAnsi="Arial"/>
          <w:sz w:val="20"/>
          <w:szCs w:val="20"/>
          <w:color w:val="auto"/>
        </w:rPr>
        <w:t>." The standard is intended to enhance the existing income tax disclosures to provide information to better assess</w:t>
      </w:r>
      <w:r>
        <w:rPr>
          <w:rFonts w:ascii="Arial" w:cs="Arial" w:eastAsia="Arial" w:hAnsi="Arial"/>
          <w:sz w:val="20"/>
          <w:szCs w:val="20"/>
          <w:i w:val="1"/>
          <w:iCs w:val="1"/>
          <w:color w:val="auto"/>
        </w:rPr>
        <w:t xml:space="preserve"> </w:t>
      </w:r>
      <w:r>
        <w:rPr>
          <w:rFonts w:ascii="Arial" w:cs="Arial" w:eastAsia="Arial" w:hAnsi="Arial"/>
          <w:sz w:val="20"/>
          <w:szCs w:val="20"/>
          <w:color w:val="auto"/>
        </w:rPr>
        <w:t>how an entity’s operations and related tax risks and tax planning and operational opportunities affect its tax rate and prospects for future cash flows. The standard is effective for annual periods beginning after December 15, 2024. The Company adopted ASU 2023-09 during the year ended December 31, 2025 on a prospective basis. The expanded disclosures are included in the consolidated financial statements.</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Recently Issued Accounting Pronouncements</w:t>
      </w:r>
    </w:p>
    <w:p>
      <w:pPr>
        <w:spacing w:after="0" w:line="240" w:lineRule="exact"/>
        <w:rPr>
          <w:sz w:val="20"/>
          <w:szCs w:val="20"/>
          <w:color w:val="auto"/>
        </w:rPr>
      </w:pPr>
    </w:p>
    <w:p>
      <w:pPr>
        <w:ind w:firstLine="490"/>
        <w:spacing w:after="0" w:line="33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w:t>
      </w:r>
    </w:p>
    <w:p>
      <w:pPr>
        <w:sectPr>
          <w:pgSz w:w="12240" w:h="15840" w:orient="portrait"/>
          <w:cols w:equalWidth="0" w:num="1">
            <w:col w:w="10060"/>
          </w:cols>
          <w:pgMar w:left="108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2240" w:h="15840" w:orient="portrait"/>
          <w:cols w:equalWidth="0" w:num="1">
            <w:col w:w="10060"/>
          </w:cols>
          <w:pgMar w:left="1080" w:top="1060" w:right="1100" w:bottom="210" w:gutter="0" w:footer="0" w:header="0"/>
          <w:type w:val="continuous"/>
        </w:sectPr>
      </w:pPr>
    </w:p>
    <w:bookmarkStart w:id="123" w:name="page124"/>
    <w:bookmarkEnd w:id="123"/>
    <w:p>
      <w:pPr>
        <w:ind w:right="580"/>
        <w:spacing w:after="0" w:line="277" w:lineRule="auto"/>
        <w:rPr>
          <w:sz w:val="20"/>
          <w:szCs w:val="20"/>
          <w:color w:val="auto"/>
        </w:rPr>
      </w:pPr>
      <w:r>
        <w:rPr>
          <w:rFonts w:ascii="Arial" w:cs="Arial" w:eastAsia="Arial" w:hAnsi="Arial"/>
          <w:sz w:val="20"/>
          <w:szCs w:val="20"/>
          <w:color w:val="auto"/>
        </w:rPr>
        <w:t>the Company does not believe that the adoption of recently issued standards have or may have a material impact on its consolidated financial statements and disclosures.</w:t>
      </w:r>
    </w:p>
    <w:p>
      <w:pPr>
        <w:spacing w:after="0" w:line="169" w:lineRule="exact"/>
        <w:rPr>
          <w:sz w:val="20"/>
          <w:szCs w:val="20"/>
          <w:color w:val="auto"/>
        </w:rPr>
      </w:pPr>
    </w:p>
    <w:p>
      <w:pPr>
        <w:ind w:right="20" w:firstLine="490"/>
        <w:spacing w:after="0" w:line="259" w:lineRule="auto"/>
        <w:rPr>
          <w:sz w:val="20"/>
          <w:szCs w:val="20"/>
          <w:color w:val="auto"/>
        </w:rPr>
      </w:pPr>
      <w:r>
        <w:rPr>
          <w:rFonts w:ascii="Arial" w:cs="Arial" w:eastAsia="Arial" w:hAnsi="Arial"/>
          <w:sz w:val="19"/>
          <w:szCs w:val="19"/>
          <w:color w:val="auto"/>
        </w:rPr>
        <w:t>In November 2024, the FASB issued ASU 2024-03, "</w:t>
      </w:r>
      <w:r>
        <w:rPr>
          <w:rFonts w:ascii="Arial" w:cs="Arial" w:eastAsia="Arial" w:hAnsi="Arial"/>
          <w:sz w:val="19"/>
          <w:szCs w:val="19"/>
          <w:i w:val="1"/>
          <w:iCs w:val="1"/>
          <w:color w:val="auto"/>
        </w:rPr>
        <w:t>Income Statement – Reporting Comprehensive Income – Expense</w:t>
      </w:r>
      <w:r>
        <w:rPr>
          <w:rFonts w:ascii="Arial" w:cs="Arial" w:eastAsia="Arial" w:hAnsi="Arial"/>
          <w:sz w:val="19"/>
          <w:szCs w:val="19"/>
          <w:color w:val="auto"/>
        </w:rPr>
        <w:t xml:space="preserve"> </w:t>
      </w:r>
      <w:r>
        <w:rPr>
          <w:rFonts w:ascii="Arial" w:cs="Arial" w:eastAsia="Arial" w:hAnsi="Arial"/>
          <w:sz w:val="19"/>
          <w:szCs w:val="19"/>
          <w:i w:val="1"/>
          <w:iCs w:val="1"/>
          <w:color w:val="auto"/>
        </w:rPr>
        <w:t>Disaggregation Disclosures (Subtopic 220-40): Disaggregation of Income Statement Expenses.</w:t>
      </w:r>
      <w:r>
        <w:rPr>
          <w:rFonts w:ascii="Arial" w:cs="Arial" w:eastAsia="Arial" w:hAnsi="Arial"/>
          <w:sz w:val="19"/>
          <w:szCs w:val="19"/>
          <w:color w:val="auto"/>
        </w:rPr>
        <w:t>" The standard is intended to</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Collaboration Agreements</w:t>
      </w:r>
    </w:p>
    <w:p>
      <w:pPr>
        <w:spacing w:after="0" w:line="244" w:lineRule="exact"/>
        <w:rPr>
          <w:sz w:val="20"/>
          <w:szCs w:val="20"/>
          <w:color w:val="auto"/>
        </w:rPr>
      </w:pPr>
    </w:p>
    <w:p>
      <w:pPr>
        <w:ind w:right="60" w:firstLine="490"/>
        <w:spacing w:after="0" w:line="252" w:lineRule="auto"/>
        <w:rPr>
          <w:sz w:val="20"/>
          <w:szCs w:val="20"/>
          <w:color w:val="auto"/>
        </w:rPr>
      </w:pPr>
      <w:r>
        <w:rPr>
          <w:rFonts w:ascii="Arial" w:cs="Arial" w:eastAsia="Arial" w:hAnsi="Arial"/>
          <w:sz w:val="20"/>
          <w:szCs w:val="20"/>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93" w:lineRule="exact"/>
        <w:rPr>
          <w:sz w:val="20"/>
          <w:szCs w:val="20"/>
          <w:color w:val="auto"/>
        </w:rPr>
      </w:pPr>
    </w:p>
    <w:p>
      <w:pPr>
        <w:ind w:right="280" w:firstLine="490"/>
        <w:spacing w:after="0" w:line="252" w:lineRule="auto"/>
        <w:rPr>
          <w:sz w:val="20"/>
          <w:szCs w:val="20"/>
          <w:color w:val="auto"/>
        </w:rPr>
      </w:pPr>
      <w:r>
        <w:rPr>
          <w:rFonts w:ascii="Arial" w:cs="Arial" w:eastAsia="Arial" w:hAnsi="Arial"/>
          <w:sz w:val="20"/>
          <w:szCs w:val="20"/>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9" w:lineRule="exact"/>
        <w:rPr>
          <w:sz w:val="20"/>
          <w:szCs w:val="20"/>
          <w:color w:val="auto"/>
        </w:rPr>
      </w:pPr>
    </w:p>
    <w:p>
      <w:pPr>
        <w:ind w:left="1080" w:right="60" w:hanging="360"/>
        <w:spacing w:after="0" w:line="278" w:lineRule="auto"/>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received upfront, non-refundable consideration of $125.0 million from Gilead upon execution of the Gilead Agreement in 2020;</w:t>
      </w:r>
    </w:p>
    <w:p>
      <w:pPr>
        <w:spacing w:after="0" w:line="61" w:lineRule="exact"/>
        <w:rPr>
          <w:rFonts w:ascii="Arial" w:cs="Arial" w:eastAsia="Arial" w:hAnsi="Arial"/>
          <w:sz w:val="20"/>
          <w:szCs w:val="20"/>
          <w:color w:val="auto"/>
        </w:rPr>
      </w:pPr>
    </w:p>
    <w:p>
      <w:pPr>
        <w:ind w:left="1080" w:right="360" w:hanging="360"/>
        <w:spacing w:after="0" w:line="277" w:lineRule="auto"/>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term of the 2018 Gilead Agreement ended on the date the Gilead Agreement was executed. The Gilead Agreement has a research term of seven years;</w:t>
      </w:r>
    </w:p>
    <w:p>
      <w:pPr>
        <w:spacing w:after="0" w:line="64" w:lineRule="exact"/>
        <w:rPr>
          <w:rFonts w:ascii="Arial" w:cs="Arial" w:eastAsia="Arial" w:hAnsi="Arial"/>
          <w:sz w:val="20"/>
          <w:szCs w:val="20"/>
          <w:color w:val="auto"/>
        </w:rPr>
      </w:pPr>
    </w:p>
    <w:p>
      <w:pPr>
        <w:ind w:left="1080" w:right="380" w:hanging="360"/>
        <w:spacing w:after="0" w:line="277" w:lineRule="auto"/>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Gilead expanded its option to license up to 15 programs for which Gilead may obtain exclusive, worldwide licenses to develop and commercialize therapies, subject to applicable license fees;</w:t>
      </w:r>
    </w:p>
    <w:p>
      <w:pPr>
        <w:spacing w:after="0" w:line="63" w:lineRule="exact"/>
        <w:rPr>
          <w:rFonts w:ascii="Arial" w:cs="Arial" w:eastAsia="Arial" w:hAnsi="Arial"/>
          <w:sz w:val="20"/>
          <w:szCs w:val="20"/>
          <w:color w:val="auto"/>
        </w:rPr>
      </w:pPr>
    </w:p>
    <w:p>
      <w:pPr>
        <w:ind w:left="1080" w:right="220" w:hanging="360"/>
        <w:spacing w:after="0" w:line="258" w:lineRule="auto"/>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82" w:lineRule="exact"/>
        <w:rPr>
          <w:rFonts w:ascii="Arial" w:cs="Arial" w:eastAsia="Arial" w:hAnsi="Arial"/>
          <w:sz w:val="20"/>
          <w:szCs w:val="20"/>
          <w:color w:val="auto"/>
        </w:rPr>
      </w:pPr>
    </w:p>
    <w:p>
      <w:pPr>
        <w:ind w:left="1080" w:right="120" w:hanging="360"/>
        <w:spacing w:after="0" w:line="249" w:lineRule="auto"/>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90" w:lineRule="exact"/>
        <w:rPr>
          <w:rFonts w:ascii="Arial" w:cs="Arial" w:eastAsia="Arial" w:hAnsi="Arial"/>
          <w:sz w:val="20"/>
          <w:szCs w:val="20"/>
          <w:color w:val="auto"/>
        </w:rPr>
      </w:pPr>
    </w:p>
    <w:p>
      <w:pPr>
        <w:ind w:left="1080" w:right="60" w:hanging="360"/>
        <w:spacing w:after="0" w:line="259" w:lineRule="auto"/>
        <w:tabs>
          <w:tab w:leader="none" w:pos="1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85" w:lineRule="exact"/>
        <w:rPr>
          <w:sz w:val="20"/>
          <w:szCs w:val="20"/>
          <w:color w:val="auto"/>
        </w:rPr>
      </w:pPr>
    </w:p>
    <w:p>
      <w:pPr>
        <w:ind w:firstLine="490"/>
        <w:spacing w:after="0" w:line="263" w:lineRule="auto"/>
        <w:rPr>
          <w:sz w:val="20"/>
          <w:szCs w:val="20"/>
          <w:color w:val="auto"/>
        </w:rPr>
      </w:pPr>
      <w:r>
        <w:rPr>
          <w:rFonts w:ascii="Arial" w:cs="Arial" w:eastAsia="Arial" w:hAnsi="Arial"/>
          <w:sz w:val="19"/>
          <w:szCs w:val="19"/>
          <w:color w:val="auto"/>
        </w:rPr>
        <w:t>In August 2025, the Company and Gilead mutually agreed to truncate the research term of the collaboration and license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w:t>
      </w:r>
    </w:p>
    <w:p>
      <w:pPr>
        <w:spacing w:after="0" w:line="183" w:lineRule="exact"/>
        <w:rPr>
          <w:sz w:val="20"/>
          <w:szCs w:val="20"/>
          <w:color w:val="auto"/>
        </w:rPr>
      </w:pPr>
    </w:p>
    <w:p>
      <w:pPr>
        <w:ind w:right="400" w:firstLine="490"/>
        <w:spacing w:after="0" w:line="278" w:lineRule="auto"/>
        <w:rPr>
          <w:sz w:val="20"/>
          <w:szCs w:val="20"/>
          <w:color w:val="auto"/>
        </w:rPr>
      </w:pPr>
      <w:r>
        <w:rPr>
          <w:rFonts w:ascii="Arial" w:cs="Arial" w:eastAsia="Arial" w:hAnsi="Arial"/>
          <w:sz w:val="20"/>
          <w:szCs w:val="20"/>
          <w:color w:val="auto"/>
        </w:rPr>
        <w:t>The Company remains eligible to receive up to $300.0 million per program in clinical, regulatory, and commercial milestones and royalties on future sales of commercialized products, if any.</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Accounting for the Gilead Collaboration</w:t>
      </w:r>
    </w:p>
    <w:p>
      <w:pPr>
        <w:sectPr>
          <w:pgSz w:w="12240" w:h="15840" w:orient="portrait"/>
          <w:cols w:equalWidth="0" w:num="1">
            <w:col w:w="10040"/>
          </w:cols>
          <w:pgMar w:left="1080" w:top="1060" w:right="11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ectPr>
          <w:pgSz w:w="12240" w:h="15840" w:orient="portrait"/>
          <w:cols w:equalWidth="0" w:num="1">
            <w:col w:w="10040"/>
          </w:cols>
          <w:pgMar w:left="1080" w:top="1060" w:right="1120" w:bottom="210" w:gutter="0" w:footer="0" w:header="0"/>
          <w:type w:val="continuous"/>
        </w:sectPr>
      </w:pPr>
    </w:p>
    <w:bookmarkStart w:id="124" w:name="page125"/>
    <w:bookmarkEnd w:id="124"/>
    <w:p>
      <w:pPr>
        <w:ind w:right="200" w:firstLine="490"/>
        <w:spacing w:after="0" w:line="275" w:lineRule="auto"/>
        <w:rPr>
          <w:sz w:val="20"/>
          <w:szCs w:val="20"/>
          <w:color w:val="auto"/>
        </w:rPr>
      </w:pPr>
      <w:r>
        <w:rPr>
          <w:rFonts w:ascii="Arial" w:cs="Arial" w:eastAsia="Arial" w:hAnsi="Arial"/>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Gilead Revenue Recognized</w:t>
      </w:r>
    </w:p>
    <w:p>
      <w:pPr>
        <w:spacing w:after="0" w:line="239" w:lineRule="exact"/>
        <w:rPr>
          <w:sz w:val="20"/>
          <w:szCs w:val="20"/>
          <w:color w:val="auto"/>
        </w:rPr>
      </w:pPr>
    </w:p>
    <w:p>
      <w:pPr>
        <w:ind w:right="180" w:firstLine="490"/>
        <w:spacing w:after="0" w:line="280" w:lineRule="auto"/>
        <w:rPr>
          <w:sz w:val="20"/>
          <w:szCs w:val="20"/>
          <w:color w:val="auto"/>
        </w:rPr>
      </w:pPr>
      <w:r>
        <w:rPr>
          <w:rFonts w:ascii="Arial" w:cs="Arial" w:eastAsia="Arial" w:hAnsi="Arial"/>
          <w:sz w:val="18"/>
          <w:szCs w:val="18"/>
          <w:color w:val="auto"/>
        </w:rPr>
        <w:t>The total transaction price allocated to the combined performance obligation under the Gilead Agreement was $199.0 million at December 31, 2025. The total transaction price was comprised of the $50.0 million upfront payment pursuant to the 2018 Gilead Agreement, the $125.0 million upfront payment pursuant to the Gilead Agreement, and $ 24.0 million payment pursuant to the research option-extension fee in December 2020 and in September 2021. During the years ended December 31, 2025, 2024, and 2023 the Company recognized $62.4 million, $30.0 million, and $ 31.5 million, respectively, of collaboration revenue associated with the Gilead agreements based on performance completed during each period.</w:t>
      </w:r>
    </w:p>
    <w:p>
      <w:pPr>
        <w:spacing w:after="0" w:line="171" w:lineRule="exact"/>
        <w:rPr>
          <w:sz w:val="20"/>
          <w:szCs w:val="20"/>
          <w:color w:val="auto"/>
        </w:rPr>
      </w:pPr>
    </w:p>
    <w:p>
      <w:pPr>
        <w:ind w:right="40" w:firstLine="490"/>
        <w:spacing w:after="0" w:line="304"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The Company had no short-term or long-term deferred revenue as of December 31, 2025 and had $17.6 million short-term and $44.8 million long-term deferred revenue as of December 31, 2024 related to the Gilead collaboration.</w:t>
      </w:r>
    </w:p>
    <w:p>
      <w:pPr>
        <w:spacing w:after="0" w:line="153" w:lineRule="exact"/>
        <w:rPr>
          <w:sz w:val="20"/>
          <w:szCs w:val="20"/>
          <w:color w:val="auto"/>
        </w:rPr>
      </w:pPr>
    </w:p>
    <w:p>
      <w:pPr>
        <w:ind w:right="160" w:firstLine="490"/>
        <w:spacing w:after="0" w:line="289" w:lineRule="auto"/>
        <w:rPr>
          <w:sz w:val="20"/>
          <w:szCs w:val="20"/>
          <w:color w:val="auto"/>
        </w:rPr>
      </w:pPr>
      <w:r>
        <w:rPr>
          <w:rFonts w:ascii="Arial" w:cs="Arial" w:eastAsia="Arial" w:hAnsi="Arial"/>
          <w:sz w:val="18"/>
          <w:szCs w:val="18"/>
          <w:color w:val="auto"/>
        </w:rPr>
        <w:t>In June 2023, Gilead licensed a drug discovery program for a $5.0 million license fee. In June 2024, Gilead licensed a drug discovery program for a $12.0 million license fee. These license fees were recognized as revenue in the second quarter of 2024 and 2023, respectively, as the Company has no continued involvement in the advancement of the program, Gilead can benefit from the license on its own, and the license is separately identifiable from the research services.</w:t>
      </w:r>
    </w:p>
    <w:p>
      <w:pPr>
        <w:spacing w:after="0" w:line="162" w:lineRule="exact"/>
        <w:rPr>
          <w:sz w:val="20"/>
          <w:szCs w:val="20"/>
          <w:color w:val="auto"/>
        </w:rPr>
      </w:pPr>
    </w:p>
    <w:p>
      <w:pPr>
        <w:ind w:right="760" w:firstLine="490"/>
        <w:spacing w:after="0" w:line="278" w:lineRule="auto"/>
        <w:rPr>
          <w:sz w:val="20"/>
          <w:szCs w:val="20"/>
          <w:color w:val="auto"/>
        </w:rPr>
      </w:pPr>
      <w:r>
        <w:rPr>
          <w:rFonts w:ascii="Arial" w:cs="Arial" w:eastAsia="Arial" w:hAnsi="Arial"/>
          <w:sz w:val="20"/>
          <w:szCs w:val="20"/>
          <w:color w:val="auto"/>
        </w:rPr>
        <w:t>Costs incurred pursuant to the Gilead Agreement and the 2018 Gilead Agreement are recorded as research and development expense.</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Fair Value Measurements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20" w:type="dxa"/>
            <w:vAlign w:val="bottom"/>
            <w:gridSpan w:val="4"/>
          </w:tcPr>
          <w:p>
            <w:pPr>
              <w:jc w:val="center"/>
              <w:ind w:left="107"/>
              <w:spacing w:after="0"/>
              <w:rPr>
                <w:sz w:val="20"/>
                <w:szCs w:val="20"/>
                <w:color w:val="auto"/>
              </w:rPr>
            </w:pPr>
            <w:r>
              <w:rPr>
                <w:rFonts w:ascii="Arial" w:cs="Arial" w:eastAsia="Arial" w:hAnsi="Arial"/>
                <w:sz w:val="16"/>
                <w:szCs w:val="16"/>
                <w:b w:val="1"/>
                <w:bCs w:val="1"/>
                <w:color w:val="auto"/>
                <w:w w:val="93"/>
              </w:rPr>
              <w:t>Fair Market Value Measurements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9"/>
        </w:trPr>
        <w:tc>
          <w:tcPr>
            <w:tcW w:w="3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gridSpan w:val="3"/>
          </w:tcPr>
          <w:p>
            <w:pPr>
              <w:jc w:val="center"/>
              <w:ind w:right="103"/>
              <w:spacing w:after="0"/>
              <w:rPr>
                <w:sz w:val="20"/>
                <w:szCs w:val="20"/>
                <w:color w:val="auto"/>
              </w:rPr>
            </w:pPr>
            <w:r>
              <w:rPr>
                <w:rFonts w:ascii="Arial" w:cs="Arial" w:eastAsia="Arial" w:hAnsi="Arial"/>
                <w:sz w:val="16"/>
                <w:szCs w:val="16"/>
                <w:b w:val="1"/>
                <w:bCs w:val="1"/>
                <w:color w:val="auto"/>
                <w:w w:val="89"/>
              </w:rPr>
              <w:t>as of December 31, 2025</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9"/>
        </w:trPr>
        <w:tc>
          <w:tcPr>
            <w:tcW w:w="3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17"/>
                <w:szCs w:val="17"/>
                <w:color w:val="auto"/>
              </w:rPr>
            </w:pPr>
          </w:p>
        </w:tc>
        <w:tc>
          <w:tcPr>
            <w:tcW w:w="900" w:type="dxa"/>
            <w:vAlign w:val="bottom"/>
          </w:tcPr>
          <w:p>
            <w:pPr>
              <w:jc w:val="right"/>
              <w:ind w:right="207"/>
              <w:spacing w:after="0"/>
              <w:rPr>
                <w:sz w:val="20"/>
                <w:szCs w:val="20"/>
                <w:color w:val="auto"/>
              </w:rPr>
            </w:pPr>
            <w:r>
              <w:rPr>
                <w:rFonts w:ascii="Arial" w:cs="Arial" w:eastAsia="Arial" w:hAnsi="Arial"/>
                <w:sz w:val="16"/>
                <w:szCs w:val="16"/>
                <w:b w:val="1"/>
                <w:bCs w:val="1"/>
                <w:color w:val="auto"/>
              </w:rPr>
              <w:t>Level 2</w:t>
            </w:r>
          </w:p>
        </w:tc>
        <w:tc>
          <w:tcPr>
            <w:tcW w:w="4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17"/>
                <w:szCs w:val="17"/>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Total</w:t>
            </w:r>
          </w:p>
        </w:tc>
      </w:tr>
      <w:tr>
        <w:trPr>
          <w:trHeight w:val="202"/>
        </w:trPr>
        <w:tc>
          <w:tcPr>
            <w:tcW w:w="3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gridSpan w:val="3"/>
          </w:tcPr>
          <w:p>
            <w:pPr>
              <w:jc w:val="center"/>
              <w:ind w:right="103"/>
              <w:spacing w:after="0"/>
              <w:rPr>
                <w:sz w:val="20"/>
                <w:szCs w:val="20"/>
                <w:color w:val="auto"/>
              </w:rPr>
            </w:pPr>
            <w:r>
              <w:rPr>
                <w:rFonts w:ascii="Arial" w:cs="Arial" w:eastAsia="Arial" w:hAnsi="Arial"/>
                <w:sz w:val="16"/>
                <w:szCs w:val="16"/>
                <w:b w:val="1"/>
                <w:bCs w:val="1"/>
                <w:color w:val="auto"/>
                <w:w w:val="88"/>
              </w:rPr>
              <w:t>(in thousands)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Cash equivalents:</w:t>
            </w:r>
          </w:p>
        </w:tc>
        <w:tc>
          <w:tcPr>
            <w:tcW w:w="1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0"/>
        </w:trPr>
        <w:tc>
          <w:tcPr>
            <w:tcW w:w="3840" w:type="dxa"/>
            <w:vAlign w:val="bottom"/>
          </w:tcPr>
          <w:p>
            <w:pPr>
              <w:ind w:left="200"/>
              <w:spacing w:after="0"/>
              <w:rPr>
                <w:sz w:val="20"/>
                <w:szCs w:val="20"/>
                <w:color w:val="auto"/>
              </w:rPr>
            </w:pPr>
            <w:r>
              <w:rPr>
                <w:rFonts w:ascii="Arial" w:cs="Arial" w:eastAsia="Arial" w:hAnsi="Arial"/>
                <w:sz w:val="20"/>
                <w:szCs w:val="20"/>
                <w:color w:val="auto"/>
              </w:rPr>
              <w:t>Money market funds</w:t>
            </w:r>
          </w:p>
        </w:tc>
        <w:tc>
          <w:tcPr>
            <w:tcW w:w="1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50,234</w:t>
            </w:r>
          </w:p>
        </w:tc>
        <w:tc>
          <w:tcPr>
            <w:tcW w:w="400" w:type="dxa"/>
            <w:vAlign w:val="bottom"/>
          </w:tcPr>
          <w:p>
            <w:pPr>
              <w:jc w:val="right"/>
              <w:ind w:right="7"/>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ind w:left="700"/>
              <w:spacing w:after="0"/>
              <w:rPr>
                <w:sz w:val="20"/>
                <w:szCs w:val="20"/>
                <w:color w:val="auto"/>
              </w:rPr>
            </w:pPr>
            <w:r>
              <w:rPr>
                <w:rFonts w:ascii="Arial" w:cs="Arial" w:eastAsia="Arial" w:hAnsi="Arial"/>
                <w:sz w:val="20"/>
                <w:szCs w:val="20"/>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50,234</w:t>
            </w:r>
          </w:p>
        </w:tc>
      </w:tr>
      <w:tr>
        <w:trPr>
          <w:trHeight w:val="229"/>
        </w:trPr>
        <w:tc>
          <w:tcPr>
            <w:tcW w:w="3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Treasury bills</w:t>
            </w:r>
          </w:p>
        </w:tc>
        <w:tc>
          <w:tcPr>
            <w:tcW w:w="1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4,970</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4,970</w:t>
            </w:r>
          </w:p>
        </w:tc>
      </w:tr>
      <w:tr>
        <w:trPr>
          <w:trHeight w:val="230"/>
        </w:trPr>
        <w:tc>
          <w:tcPr>
            <w:tcW w:w="3840" w:type="dxa"/>
            <w:vAlign w:val="bottom"/>
          </w:tcPr>
          <w:p>
            <w:pPr>
              <w:spacing w:after="0"/>
              <w:rPr>
                <w:sz w:val="20"/>
                <w:szCs w:val="20"/>
                <w:color w:val="auto"/>
              </w:rPr>
            </w:pPr>
            <w:r>
              <w:rPr>
                <w:rFonts w:ascii="Arial" w:cs="Arial" w:eastAsia="Arial" w:hAnsi="Arial"/>
                <w:sz w:val="20"/>
                <w:szCs w:val="20"/>
                <w:color w:val="auto"/>
              </w:rPr>
              <w:t>Marketable debt securities:</w:t>
            </w: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3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Treasury bills</w:t>
            </w:r>
          </w:p>
        </w:tc>
        <w:tc>
          <w:tcPr>
            <w:tcW w:w="13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134,769</w:t>
            </w: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134,769</w:t>
            </w:r>
          </w:p>
        </w:tc>
      </w:tr>
      <w:tr>
        <w:trPr>
          <w:trHeight w:val="229"/>
        </w:trPr>
        <w:tc>
          <w:tcPr>
            <w:tcW w:w="3840" w:type="dxa"/>
            <w:vAlign w:val="bottom"/>
          </w:tcPr>
          <w:p>
            <w:pPr>
              <w:ind w:left="200"/>
              <w:spacing w:after="0"/>
              <w:rPr>
                <w:sz w:val="20"/>
                <w:szCs w:val="20"/>
                <w:color w:val="auto"/>
              </w:rPr>
            </w:pPr>
            <w:r>
              <w:rPr>
                <w:rFonts w:ascii="Arial" w:cs="Arial" w:eastAsia="Arial" w:hAnsi="Arial"/>
                <w:sz w:val="20"/>
                <w:szCs w:val="20"/>
                <w:color w:val="auto"/>
              </w:rPr>
              <w:t>U.S. government agency bonds</w:t>
            </w:r>
          </w:p>
        </w:tc>
        <w:tc>
          <w:tcPr>
            <w:tcW w:w="1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96,090</w:t>
            </w:r>
          </w:p>
        </w:tc>
        <w:tc>
          <w:tcPr>
            <w:tcW w:w="4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96,090</w:t>
            </w:r>
          </w:p>
        </w:tc>
      </w:tr>
      <w:tr>
        <w:trPr>
          <w:trHeight w:val="247"/>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Total assets</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50,234</w:t>
            </w:r>
          </w:p>
        </w:tc>
        <w:tc>
          <w:tcPr>
            <w:tcW w:w="400" w:type="dxa"/>
            <w:vAlign w:val="bottom"/>
            <w:shd w:val="clear" w:color="auto" w:fill="CFF0FC"/>
          </w:tcPr>
          <w:p>
            <w:pPr>
              <w:jc w:val="right"/>
              <w:ind w:right="7"/>
              <w:spacing w:after="0"/>
              <w:rPr>
                <w:sz w:val="20"/>
                <w:szCs w:val="20"/>
                <w:color w:val="auto"/>
              </w:rPr>
            </w:pPr>
            <w:r>
              <w:rPr>
                <w:rFonts w:ascii="Arial" w:cs="Arial" w:eastAsia="Arial" w:hAnsi="Arial"/>
                <w:sz w:val="20"/>
                <w:szCs w:val="20"/>
                <w:color w:val="auto"/>
                <w:shd w:val="clear" w:color="auto" w:fill="CFF0FC"/>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235,829</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shd w:val="clear" w:color="auto" w:fill="CFF0FC"/>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286,063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-1297305</wp:posOffset>
            </wp:positionV>
            <wp:extent cx="3229610" cy="1339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3229610" cy="1339215"/>
                    </a:xfrm>
                    <a:prstGeom prst="rect">
                      <a:avLst/>
                    </a:prstGeom>
                    <a:noFill/>
                  </pic:spPr>
                </pic:pic>
              </a:graphicData>
            </a:graphic>
          </wp:anchor>
        </w:drawing>
      </w:r>
    </w:p>
    <w:p>
      <w:pPr>
        <w:sectPr>
          <w:pgSz w:w="12240" w:h="15840" w:orient="portrait"/>
          <w:cols w:equalWidth="0" w:num="1">
            <w:col w:w="10080"/>
          </w:cols>
          <w:pgMar w:left="1080" w:top="1060" w:right="10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2240" w:h="15840" w:orient="portrait"/>
          <w:cols w:equalWidth="0" w:num="1">
            <w:col w:w="10080"/>
          </w:cols>
          <w:pgMar w:left="1080" w:top="1060" w:right="1080" w:bottom="21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4"/>
          </w:tcPr>
          <w:p>
            <w:pPr>
              <w:ind w:left="240"/>
              <w:spacing w:after="0"/>
              <w:rPr>
                <w:sz w:val="20"/>
                <w:szCs w:val="20"/>
                <w:color w:val="auto"/>
              </w:rPr>
            </w:pPr>
            <w:r>
              <w:rPr>
                <w:rFonts w:ascii="Arial" w:cs="Arial" w:eastAsia="Arial" w:hAnsi="Arial"/>
                <w:sz w:val="16"/>
                <w:szCs w:val="16"/>
                <w:b w:val="1"/>
                <w:bCs w:val="1"/>
                <w:color w:val="auto"/>
                <w:w w:val="93"/>
              </w:rPr>
              <w:t>Fair Market Value Measurements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center"/>
              <w:ind w:right="103"/>
              <w:spacing w:after="0"/>
              <w:rPr>
                <w:sz w:val="20"/>
                <w:szCs w:val="20"/>
                <w:color w:val="auto"/>
              </w:rPr>
            </w:pPr>
            <w:r>
              <w:rPr>
                <w:rFonts w:ascii="Arial" w:cs="Arial" w:eastAsia="Arial" w:hAnsi="Arial"/>
                <w:sz w:val="16"/>
                <w:szCs w:val="16"/>
                <w:b w:val="1"/>
                <w:bCs w:val="1"/>
                <w:color w:val="auto"/>
                <w:w w:val="88"/>
              </w:rPr>
              <w:t>as of December 31, 2024</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8"/>
        </w:trPr>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jc w:val="right"/>
              <w:ind w:right="18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7"/>
                <w:szCs w:val="17"/>
                <w:color w:val="auto"/>
              </w:rPr>
            </w:pPr>
          </w:p>
        </w:tc>
        <w:tc>
          <w:tcPr>
            <w:tcW w:w="880" w:type="dxa"/>
            <w:vAlign w:val="bottom"/>
          </w:tcPr>
          <w:p>
            <w:pPr>
              <w:jc w:val="right"/>
              <w:ind w:right="207"/>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17"/>
                <w:szCs w:val="17"/>
                <w:color w:val="auto"/>
              </w:rPr>
            </w:pPr>
          </w:p>
        </w:tc>
        <w:tc>
          <w:tcPr>
            <w:tcW w:w="900" w:type="dxa"/>
            <w:vAlign w:val="bottom"/>
          </w:tcPr>
          <w:p>
            <w:pPr>
              <w:jc w:val="right"/>
              <w:ind w:right="323"/>
              <w:spacing w:after="0"/>
              <w:rPr>
                <w:sz w:val="20"/>
                <w:szCs w:val="20"/>
                <w:color w:val="auto"/>
              </w:rPr>
            </w:pPr>
            <w:r>
              <w:rPr>
                <w:rFonts w:ascii="Arial" w:cs="Arial" w:eastAsia="Arial" w:hAnsi="Arial"/>
                <w:sz w:val="16"/>
                <w:szCs w:val="16"/>
                <w:b w:val="1"/>
                <w:bCs w:val="1"/>
                <w:color w:val="auto"/>
              </w:rPr>
              <w:t>Total</w:t>
            </w:r>
          </w:p>
        </w:tc>
      </w:tr>
      <w:tr>
        <w:trPr>
          <w:trHeight w:val="203"/>
        </w:trPr>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center"/>
              <w:ind w:right="83"/>
              <w:spacing w:after="0"/>
              <w:rPr>
                <w:sz w:val="20"/>
                <w:szCs w:val="20"/>
                <w:color w:val="auto"/>
              </w:rPr>
            </w:pPr>
            <w:r>
              <w:rPr>
                <w:rFonts w:ascii="Arial" w:cs="Arial" w:eastAsia="Arial" w:hAnsi="Arial"/>
                <w:sz w:val="16"/>
                <w:szCs w:val="16"/>
                <w:b w:val="1"/>
                <w:bCs w:val="1"/>
                <w:color w:val="auto"/>
                <w:w w:val="88"/>
              </w:rPr>
              <w:t>(in thousands)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Cash equivalents</w:t>
            </w:r>
          </w:p>
        </w:tc>
        <w:tc>
          <w:tcPr>
            <w:tcW w:w="1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20"/>
                <w:szCs w:val="20"/>
                <w:color w:val="auto"/>
              </w:rPr>
              <w:t>Money market funds</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14,915</w:t>
            </w:r>
          </w:p>
        </w:tc>
        <w:tc>
          <w:tcPr>
            <w:tcW w:w="420" w:type="dxa"/>
            <w:vAlign w:val="bottom"/>
          </w:tcPr>
          <w:p>
            <w:pPr>
              <w:ind w:left="2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ind w:left="680"/>
              <w:spacing w:after="0"/>
              <w:rPr>
                <w:sz w:val="20"/>
                <w:szCs w:val="20"/>
                <w:color w:val="auto"/>
              </w:rPr>
            </w:pPr>
            <w:r>
              <w:rPr>
                <w:rFonts w:ascii="Arial" w:cs="Arial" w:eastAsia="Arial" w:hAnsi="Arial"/>
                <w:sz w:val="20"/>
                <w:szCs w:val="20"/>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14,915</w:t>
            </w:r>
          </w:p>
        </w:tc>
      </w:tr>
      <w:tr>
        <w:trPr>
          <w:trHeight w:val="230"/>
        </w:trPr>
        <w:tc>
          <w:tcPr>
            <w:tcW w:w="3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Treasury bills</w:t>
            </w:r>
          </w:p>
        </w:tc>
        <w:tc>
          <w:tcPr>
            <w:tcW w:w="1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10,112</w:t>
            </w: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10,112</w:t>
            </w:r>
          </w:p>
        </w:tc>
      </w:tr>
      <w:tr>
        <w:trPr>
          <w:trHeight w:val="229"/>
        </w:trPr>
        <w:tc>
          <w:tcPr>
            <w:tcW w:w="3880" w:type="dxa"/>
            <w:vAlign w:val="bottom"/>
          </w:tcPr>
          <w:p>
            <w:pPr>
              <w:spacing w:after="0"/>
              <w:rPr>
                <w:sz w:val="20"/>
                <w:szCs w:val="20"/>
                <w:color w:val="auto"/>
              </w:rPr>
            </w:pPr>
            <w:r>
              <w:rPr>
                <w:rFonts w:ascii="Arial" w:cs="Arial" w:eastAsia="Arial" w:hAnsi="Arial"/>
                <w:sz w:val="20"/>
                <w:szCs w:val="20"/>
                <w:color w:val="auto"/>
              </w:rPr>
              <w:t>Marketable debt securities</w:t>
            </w: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Treasury bills</w:t>
            </w:r>
          </w:p>
        </w:tc>
        <w:tc>
          <w:tcPr>
            <w:tcW w:w="1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176,374</w:t>
            </w: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176,374</w:t>
            </w:r>
          </w:p>
        </w:tc>
      </w:tr>
      <w:tr>
        <w:trPr>
          <w:trHeight w:val="230"/>
        </w:trPr>
        <w:tc>
          <w:tcPr>
            <w:tcW w:w="3880" w:type="dxa"/>
            <w:vAlign w:val="bottom"/>
          </w:tcPr>
          <w:p>
            <w:pPr>
              <w:ind w:left="200"/>
              <w:spacing w:after="0"/>
              <w:rPr>
                <w:sz w:val="20"/>
                <w:szCs w:val="20"/>
                <w:color w:val="auto"/>
              </w:rPr>
            </w:pPr>
            <w:r>
              <w:rPr>
                <w:rFonts w:ascii="Arial" w:cs="Arial" w:eastAsia="Arial" w:hAnsi="Arial"/>
                <w:sz w:val="20"/>
                <w:szCs w:val="20"/>
                <w:color w:val="auto"/>
              </w:rPr>
              <w:t>U.S. government agency bonds</w:t>
            </w:r>
          </w:p>
        </w:tc>
        <w:tc>
          <w:tcPr>
            <w:tcW w:w="1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12,013</w:t>
            </w:r>
          </w:p>
        </w:tc>
        <w:tc>
          <w:tcPr>
            <w:tcW w:w="40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12,013</w:t>
            </w:r>
          </w:p>
        </w:tc>
      </w:tr>
      <w:tr>
        <w:trPr>
          <w:trHeight w:val="246"/>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Total assets</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14,915</w:t>
            </w:r>
          </w:p>
        </w:tc>
        <w:tc>
          <w:tcPr>
            <w:tcW w:w="420" w:type="dxa"/>
            <w:vAlign w:val="bottom"/>
            <w:shd w:val="clear" w:color="auto" w:fill="CFF0FC"/>
          </w:tcPr>
          <w:p>
            <w:pPr>
              <w:ind w:left="220"/>
              <w:spacing w:after="0"/>
              <w:rPr>
                <w:sz w:val="20"/>
                <w:szCs w:val="20"/>
                <w:color w:val="auto"/>
              </w:rPr>
            </w:pPr>
            <w:r>
              <w:rPr>
                <w:rFonts w:ascii="Arial" w:cs="Arial" w:eastAsia="Arial" w:hAnsi="Arial"/>
                <w:sz w:val="20"/>
                <w:szCs w:val="20"/>
                <w:color w:val="auto"/>
                <w:shd w:val="clear" w:color="auto" w:fill="CFF0FC"/>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198,499</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shd w:val="clear" w:color="auto" w:fill="CFF0FC"/>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213,414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-1297305</wp:posOffset>
            </wp:positionV>
            <wp:extent cx="6449060" cy="6737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6449060" cy="6737985"/>
                    </a:xfrm>
                    <a:prstGeom prst="rect">
                      <a:avLst/>
                    </a:prstGeom>
                    <a:noFill/>
                  </pic:spPr>
                </pic:pic>
              </a:graphicData>
            </a:graphic>
          </wp:anchor>
        </w:drawing>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0"/>
          <w:szCs w:val="20"/>
          <w:color w:val="auto"/>
          <w:highlight w:val="white"/>
        </w:rPr>
        <w:t>There were no transfers between fair value levels during the years ended December 31, 2025 and 2024.</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Marketable Securities</w:t>
      </w:r>
    </w:p>
    <w:p>
      <w:pPr>
        <w:spacing w:after="0" w:line="244" w:lineRule="exact"/>
        <w:rPr>
          <w:sz w:val="20"/>
          <w:szCs w:val="20"/>
          <w:color w:val="auto"/>
        </w:rPr>
      </w:pPr>
    </w:p>
    <w:p>
      <w:pPr>
        <w:ind w:right="20" w:firstLine="490"/>
        <w:spacing w:after="0" w:line="252" w:lineRule="auto"/>
        <w:rPr>
          <w:sz w:val="20"/>
          <w:szCs w:val="20"/>
          <w:color w:val="auto"/>
        </w:rPr>
      </w:pPr>
      <w:r>
        <w:rPr>
          <w:rFonts w:ascii="Arial" w:cs="Arial" w:eastAsia="Arial" w:hAnsi="Arial"/>
          <w:sz w:val="20"/>
          <w:szCs w:val="20"/>
          <w:color w:val="auto"/>
        </w:rPr>
        <w:t xml:space="preserve">The Company values its marketable securities using independent pricing services which normally derive security prices </w:t>
      </w:r>
      <w:r>
        <w:rPr>
          <w:rFonts w:ascii="Arial" w:cs="Arial" w:eastAsia="Arial" w:hAnsi="Arial"/>
          <w:sz w:val="20"/>
          <w:szCs w:val="20"/>
          <w:color w:val="auto"/>
          <w:highlight w:val="white"/>
        </w:rPr>
        <w:t xml:space="preserve">from recently reported trades for identical or similar securities, making adjustments based on significant observable transactions. At each balance sheet date, observable market inputs may include trade information, broker or dealer quotes, </w:t>
      </w:r>
      <w:r>
        <w:rPr>
          <w:rFonts w:ascii="Arial" w:cs="Arial" w:eastAsia="Arial" w:hAnsi="Arial"/>
          <w:sz w:val="20"/>
          <w:szCs w:val="20"/>
          <w:color w:val="auto"/>
        </w:rPr>
        <w:t>bids, offers or a combination of these data sources.</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summarizes the Company’s marketable debt securities, classified as available-for-sale: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Fair Value Measurements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as of December 31, 2025</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4"/>
        </w:trPr>
        <w:tc>
          <w:tcPr>
            <w:tcW w:w="3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3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w w:val="94"/>
              </w:rPr>
              <w:t>Amortized</w:t>
            </w:r>
          </w:p>
        </w:tc>
        <w:tc>
          <w:tcPr>
            <w:tcW w:w="420" w:type="dxa"/>
            <w:vAlign w:val="bottom"/>
          </w:tcPr>
          <w:p>
            <w:pPr>
              <w:spacing w:after="0"/>
              <w:rPr>
                <w:sz w:val="15"/>
                <w:szCs w:val="15"/>
                <w:color w:val="auto"/>
              </w:rPr>
            </w:pPr>
          </w:p>
        </w:tc>
        <w:tc>
          <w:tcPr>
            <w:tcW w:w="108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15"/>
                <w:szCs w:val="15"/>
                <w:color w:val="auto"/>
              </w:rPr>
            </w:pPr>
          </w:p>
        </w:tc>
        <w:tc>
          <w:tcPr>
            <w:tcW w:w="1140" w:type="dxa"/>
            <w:vAlign w:val="bottom"/>
          </w:tcPr>
          <w:p>
            <w:pPr>
              <w:jc w:val="center"/>
              <w:ind w:right="147"/>
              <w:spacing w:after="0"/>
              <w:rPr>
                <w:sz w:val="20"/>
                <w:szCs w:val="20"/>
                <w:color w:val="auto"/>
              </w:rPr>
            </w:pPr>
            <w:r>
              <w:rPr>
                <w:rFonts w:ascii="Arial" w:cs="Arial" w:eastAsia="Arial" w:hAnsi="Arial"/>
                <w:sz w:val="16"/>
                <w:szCs w:val="16"/>
                <w:b w:val="1"/>
                <w:bCs w:val="1"/>
                <w:color w:val="auto"/>
              </w:rPr>
              <w:t>Fair</w:t>
            </w:r>
          </w:p>
        </w:tc>
      </w:tr>
      <w:tr>
        <w:trPr>
          <w:trHeight w:val="199"/>
        </w:trPr>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w w:val="84"/>
              </w:rPr>
              <w:t>Cost</w:t>
            </w:r>
          </w:p>
        </w:tc>
        <w:tc>
          <w:tcPr>
            <w:tcW w:w="42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7"/>
                <w:szCs w:val="17"/>
                <w:color w:val="auto"/>
              </w:rPr>
            </w:pPr>
          </w:p>
        </w:tc>
        <w:tc>
          <w:tcPr>
            <w:tcW w:w="1140" w:type="dxa"/>
            <w:vAlign w:val="bottom"/>
          </w:tcPr>
          <w:p>
            <w:pPr>
              <w:jc w:val="center"/>
              <w:ind w:right="167"/>
              <w:spacing w:after="0"/>
              <w:rPr>
                <w:sz w:val="20"/>
                <w:szCs w:val="20"/>
                <w:color w:val="auto"/>
              </w:rPr>
            </w:pPr>
            <w:r>
              <w:rPr>
                <w:rFonts w:ascii="Arial" w:cs="Arial" w:eastAsia="Arial" w:hAnsi="Arial"/>
                <w:sz w:val="16"/>
                <w:szCs w:val="16"/>
                <w:b w:val="1"/>
                <w:bCs w:val="1"/>
                <w:color w:val="auto"/>
                <w:w w:val="93"/>
              </w:rPr>
              <w:t>Value</w:t>
            </w:r>
          </w:p>
        </w:tc>
      </w:tr>
      <w:tr>
        <w:trPr>
          <w:trHeight w:val="202"/>
        </w:trPr>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(in thousands)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20"/>
                <w:szCs w:val="20"/>
                <w:color w:val="auto"/>
              </w:rPr>
              <w:t>Marketable debt securities:</w:t>
            </w:r>
          </w:p>
        </w:tc>
        <w:tc>
          <w:tcPr>
            <w:tcW w:w="9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color w:val="auto"/>
              </w:rPr>
              <w:t>U.S. Treasury bills</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134,666</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103</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134,769</w:t>
            </w:r>
          </w:p>
        </w:tc>
      </w:tr>
      <w:tr>
        <w:trPr>
          <w:trHeight w:val="230"/>
        </w:trPr>
        <w:tc>
          <w:tcPr>
            <w:tcW w:w="35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government agency bonds</w:t>
            </w:r>
          </w:p>
        </w:tc>
        <w:tc>
          <w:tcPr>
            <w:tcW w:w="9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95,969</w:t>
            </w: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96,090</w:t>
            </w:r>
          </w:p>
        </w:tc>
      </w:tr>
      <w:tr>
        <w:trPr>
          <w:trHeight w:val="247"/>
        </w:trPr>
        <w:tc>
          <w:tcPr>
            <w:tcW w:w="3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230,635</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230,859</w:t>
            </w:r>
          </w:p>
        </w:tc>
      </w:tr>
      <w:tr>
        <w:trPr>
          <w:trHeight w:val="439"/>
        </w:trPr>
        <w:tc>
          <w:tcPr>
            <w:tcW w:w="3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Fair Value Measurements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as of December 31, 2024</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5"/>
        </w:trPr>
        <w:tc>
          <w:tcPr>
            <w:tcW w:w="3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w w:val="94"/>
              </w:rPr>
              <w:t>Amortized</w:t>
            </w:r>
          </w:p>
        </w:tc>
        <w:tc>
          <w:tcPr>
            <w:tcW w:w="420" w:type="dxa"/>
            <w:vAlign w:val="bottom"/>
          </w:tcPr>
          <w:p>
            <w:pPr>
              <w:spacing w:after="0"/>
              <w:rPr>
                <w:sz w:val="16"/>
                <w:szCs w:val="16"/>
                <w:color w:val="auto"/>
              </w:rPr>
            </w:pPr>
          </w:p>
        </w:tc>
        <w:tc>
          <w:tcPr>
            <w:tcW w:w="108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6"/>
                <w:szCs w:val="16"/>
                <w:b w:val="1"/>
                <w:bCs w:val="1"/>
                <w:color w:val="auto"/>
                <w:w w:val="84"/>
              </w:rPr>
              <w:t>Cost</w:t>
            </w:r>
          </w:p>
        </w:tc>
        <w:tc>
          <w:tcPr>
            <w:tcW w:w="42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7"/>
                <w:szCs w:val="17"/>
                <w:color w:val="auto"/>
              </w:rPr>
            </w:pPr>
          </w:p>
        </w:tc>
        <w:tc>
          <w:tcPr>
            <w:tcW w:w="1140" w:type="dxa"/>
            <w:vAlign w:val="bottom"/>
          </w:tcPr>
          <w:p>
            <w:pPr>
              <w:jc w:val="center"/>
              <w:ind w:right="147"/>
              <w:spacing w:after="0"/>
              <w:rPr>
                <w:sz w:val="20"/>
                <w:szCs w:val="20"/>
                <w:color w:val="auto"/>
              </w:rPr>
            </w:pPr>
            <w:r>
              <w:rPr>
                <w:rFonts w:ascii="Arial" w:cs="Arial" w:eastAsia="Arial" w:hAnsi="Arial"/>
                <w:sz w:val="16"/>
                <w:szCs w:val="16"/>
                <w:b w:val="1"/>
                <w:bCs w:val="1"/>
                <w:color w:val="auto"/>
                <w:w w:val="96"/>
              </w:rPr>
              <w:t>Fair Value</w:t>
            </w:r>
          </w:p>
        </w:tc>
      </w:tr>
      <w:tr>
        <w:trPr>
          <w:trHeight w:val="203"/>
        </w:trPr>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(in thousands)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20"/>
                <w:szCs w:val="20"/>
                <w:color w:val="auto"/>
              </w:rPr>
              <w:t>Marketable debt securities:</w:t>
            </w:r>
          </w:p>
        </w:tc>
        <w:tc>
          <w:tcPr>
            <w:tcW w:w="9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20"/>
                <w:szCs w:val="20"/>
                <w:color w:val="auto"/>
              </w:rPr>
              <w:t>U.S. Treasury bills</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176,049</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364</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(39)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176,374</w:t>
            </w:r>
          </w:p>
        </w:tc>
      </w:tr>
      <w:tr>
        <w:trPr>
          <w:trHeight w:val="232"/>
        </w:trPr>
        <w:tc>
          <w:tcPr>
            <w:tcW w:w="35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government agency bonds</w:t>
            </w:r>
          </w:p>
        </w:tc>
        <w:tc>
          <w:tcPr>
            <w:tcW w:w="9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12,002</w:t>
            </w: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12,013</w:t>
            </w:r>
          </w:p>
        </w:tc>
      </w:tr>
      <w:tr>
        <w:trPr>
          <w:trHeight w:val="245"/>
        </w:trPr>
        <w:tc>
          <w:tcPr>
            <w:tcW w:w="3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188,051</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(39)</w:t>
            </w: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188,387</w:t>
            </w:r>
          </w:p>
        </w:tc>
      </w:tr>
    </w:tbl>
    <w:p>
      <w:pPr>
        <w:spacing w:after="0" w:line="265" w:lineRule="exact"/>
        <w:rPr>
          <w:sz w:val="20"/>
          <w:szCs w:val="20"/>
          <w:color w:val="auto"/>
        </w:rPr>
      </w:pPr>
    </w:p>
    <w:p>
      <w:pPr>
        <w:ind w:right="120" w:firstLine="490"/>
        <w:spacing w:after="0" w:line="277" w:lineRule="auto"/>
        <w:rPr>
          <w:sz w:val="20"/>
          <w:szCs w:val="20"/>
          <w:color w:val="auto"/>
        </w:rPr>
      </w:pPr>
      <w:r>
        <w:rPr>
          <w:rFonts w:ascii="Arial" w:cs="Arial" w:eastAsia="Arial" w:hAnsi="Arial"/>
          <w:sz w:val="20"/>
          <w:szCs w:val="20"/>
          <w:color w:val="auto"/>
        </w:rPr>
        <w:t xml:space="preserve">The aggregate fair value of </w:t>
      </w:r>
      <w:r>
        <w:rPr>
          <w:rFonts w:ascii="Arial" w:cs="Arial" w:eastAsia="Arial" w:hAnsi="Arial"/>
          <w:sz w:val="20"/>
          <w:szCs w:val="20"/>
          <w:color w:val="auto"/>
          <w:highlight w:val="white"/>
        </w:rPr>
        <w:t>marketable</w:t>
      </w:r>
      <w:r>
        <w:rPr>
          <w:rFonts w:ascii="Arial" w:cs="Arial" w:eastAsia="Arial" w:hAnsi="Arial"/>
          <w:sz w:val="20"/>
          <w:szCs w:val="20"/>
          <w:color w:val="auto"/>
        </w:rPr>
        <w:t xml:space="preserve"> debt securities with a contractual maturity date greater than one year was $20.0 million as of December 31, 2025.</w:t>
      </w:r>
    </w:p>
    <w:p>
      <w:pPr>
        <w:spacing w:after="0" w:line="169" w:lineRule="exact"/>
        <w:rPr>
          <w:sz w:val="20"/>
          <w:szCs w:val="20"/>
          <w:color w:val="auto"/>
        </w:rPr>
      </w:pPr>
    </w:p>
    <w:p>
      <w:pPr>
        <w:jc w:val="both"/>
        <w:ind w:right="260" w:firstLine="490"/>
        <w:spacing w:after="0" w:line="300" w:lineRule="auto"/>
        <w:rPr>
          <w:sz w:val="20"/>
          <w:szCs w:val="20"/>
          <w:color w:val="auto"/>
        </w:rPr>
      </w:pPr>
      <w:r>
        <w:rPr>
          <w:rFonts w:ascii="Arial" w:cs="Arial" w:eastAsia="Arial" w:hAnsi="Arial"/>
          <w:sz w:val="18"/>
          <w:szCs w:val="18"/>
          <w:color w:val="auto"/>
        </w:rPr>
        <w:t xml:space="preserve">The Company did not hold investment grade marketable securities considered to be in an unrealized loss position at </w:t>
      </w:r>
      <w:r>
        <w:rPr>
          <w:rFonts w:ascii="Arial" w:cs="Arial" w:eastAsia="Arial" w:hAnsi="Arial"/>
          <w:sz w:val="18"/>
          <w:szCs w:val="18"/>
          <w:color w:val="auto"/>
          <w:highlight w:val="white"/>
        </w:rPr>
        <w:t>December 31, 2025. The following table summarizes the fair value and gross unrealized losses aggregated by category and the length of time that individual securities were held in an unrealized loss position at December 31, 2024:</w:t>
      </w:r>
    </w:p>
    <w:p>
      <w:pPr>
        <w:sectPr>
          <w:pgSz w:w="12240" w:h="15840" w:orient="portrait"/>
          <w:cols w:equalWidth="0" w:num="1">
            <w:col w:w="10080"/>
          </w:cols>
          <w:pgMar w:left="1080" w:top="1336" w:right="10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2240" w:h="15840" w:orient="portrait"/>
          <w:cols w:equalWidth="0" w:num="1">
            <w:col w:w="10080"/>
          </w:cols>
          <w:pgMar w:left="1080" w:top="1336" w:right="1080" w:bottom="21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20"/>
        </w:trPr>
        <w:tc>
          <w:tcPr>
            <w:tcW w:w="2435" w:type="dxa"/>
            <w:vAlign w:val="bottom"/>
          </w:tcPr>
          <w:p>
            <w:pPr>
              <w:spacing w:after="0"/>
              <w:rPr>
                <w:sz w:val="19"/>
                <w:szCs w:val="19"/>
                <w:color w:val="auto"/>
              </w:rPr>
            </w:pPr>
          </w:p>
        </w:tc>
        <w:tc>
          <w:tcPr>
            <w:tcW w:w="225"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 2024</w:t>
            </w:r>
          </w:p>
        </w:tc>
        <w:tc>
          <w:tcPr>
            <w:tcW w:w="19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0"/>
        </w:trPr>
        <w:tc>
          <w:tcPr>
            <w:tcW w:w="2435" w:type="dxa"/>
            <w:vAlign w:val="bottom"/>
          </w:tcPr>
          <w:p>
            <w:pPr>
              <w:spacing w:after="0"/>
              <w:rPr>
                <w:sz w:val="24"/>
                <w:szCs w:val="24"/>
                <w:color w:val="auto"/>
              </w:rPr>
            </w:pPr>
          </w:p>
        </w:tc>
        <w:tc>
          <w:tcPr>
            <w:tcW w:w="225" w:type="dxa"/>
            <w:vAlign w:val="bottom"/>
          </w:tcPr>
          <w:p>
            <w:pPr>
              <w:spacing w:after="0"/>
              <w:rPr>
                <w:sz w:val="24"/>
                <w:szCs w:val="24"/>
                <w:color w:val="auto"/>
              </w:rPr>
            </w:pPr>
          </w:p>
        </w:tc>
        <w:tc>
          <w:tcPr>
            <w:tcW w:w="228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w w:val="96"/>
              </w:rPr>
              <w:t>Less than twelve months</w:t>
            </w:r>
          </w:p>
        </w:tc>
        <w:tc>
          <w:tcPr>
            <w:tcW w:w="34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Greater than twelve months</w:t>
            </w:r>
          </w:p>
        </w:tc>
        <w:tc>
          <w:tcPr>
            <w:tcW w:w="19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w:t>
            </w:r>
          </w:p>
        </w:tc>
        <w:tc>
          <w:tcPr>
            <w:tcW w:w="980" w:type="dxa"/>
            <w:vAlign w:val="bottom"/>
          </w:tcPr>
          <w:p>
            <w:pPr>
              <w:spacing w:after="0"/>
              <w:rPr>
                <w:sz w:val="24"/>
                <w:szCs w:val="24"/>
                <w:color w:val="auto"/>
              </w:rPr>
            </w:pPr>
          </w:p>
        </w:tc>
      </w:tr>
      <w:tr>
        <w:trPr>
          <w:trHeight w:val="184"/>
        </w:trPr>
        <w:tc>
          <w:tcPr>
            <w:tcW w:w="2435" w:type="dxa"/>
            <w:vAlign w:val="bottom"/>
          </w:tcPr>
          <w:p>
            <w:pPr>
              <w:spacing w:after="0"/>
              <w:rPr>
                <w:sz w:val="15"/>
                <w:szCs w:val="15"/>
                <w:color w:val="auto"/>
              </w:rPr>
            </w:pPr>
          </w:p>
        </w:tc>
        <w:tc>
          <w:tcPr>
            <w:tcW w:w="225"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130"/>
              <w:spacing w:after="0"/>
              <w:rPr>
                <w:sz w:val="20"/>
                <w:szCs w:val="20"/>
                <w:color w:val="auto"/>
              </w:rPr>
            </w:pPr>
            <w:r>
              <w:rPr>
                <w:rFonts w:ascii="Arial" w:cs="Arial" w:eastAsia="Arial" w:hAnsi="Arial"/>
                <w:sz w:val="16"/>
                <w:szCs w:val="16"/>
                <w:b w:val="1"/>
                <w:bCs w:val="1"/>
                <w:color w:val="auto"/>
                <w:w w:val="91"/>
              </w:rPr>
              <w:t>Unrealized</w:t>
            </w:r>
          </w:p>
        </w:tc>
        <w:tc>
          <w:tcPr>
            <w:tcW w:w="340" w:type="dxa"/>
            <w:vAlign w:val="bottom"/>
          </w:tcPr>
          <w:p>
            <w:pPr>
              <w:spacing w:after="0"/>
              <w:rPr>
                <w:sz w:val="15"/>
                <w:szCs w:val="15"/>
                <w:color w:val="auto"/>
              </w:rPr>
            </w:pPr>
          </w:p>
        </w:tc>
        <w:tc>
          <w:tcPr>
            <w:tcW w:w="955" w:type="dxa"/>
            <w:vAlign w:val="bottom"/>
          </w:tcPr>
          <w:p>
            <w:pPr>
              <w:spacing w:after="0"/>
              <w:rPr>
                <w:sz w:val="15"/>
                <w:szCs w:val="15"/>
                <w:color w:val="auto"/>
              </w:rPr>
            </w:pPr>
          </w:p>
        </w:tc>
        <w:tc>
          <w:tcPr>
            <w:tcW w:w="1085" w:type="dxa"/>
            <w:vAlign w:val="bottom"/>
          </w:tcPr>
          <w:p>
            <w:pPr>
              <w:jc w:val="right"/>
              <w:spacing w:after="0"/>
              <w:rPr>
                <w:sz w:val="20"/>
                <w:szCs w:val="20"/>
                <w:color w:val="auto"/>
              </w:rPr>
            </w:pPr>
            <w:r>
              <w:rPr>
                <w:rFonts w:ascii="Arial" w:cs="Arial" w:eastAsia="Arial" w:hAnsi="Arial"/>
                <w:sz w:val="16"/>
                <w:szCs w:val="16"/>
                <w:b w:val="1"/>
                <w:bCs w:val="1"/>
                <w:color w:val="auto"/>
              </w:rPr>
              <w:t>Unrealized</w:t>
            </w:r>
          </w:p>
        </w:tc>
        <w:tc>
          <w:tcPr>
            <w:tcW w:w="19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130"/>
              <w:spacing w:after="0"/>
              <w:rPr>
                <w:sz w:val="20"/>
                <w:szCs w:val="20"/>
                <w:color w:val="auto"/>
              </w:rPr>
            </w:pPr>
            <w:r>
              <w:rPr>
                <w:rFonts w:ascii="Arial" w:cs="Arial" w:eastAsia="Arial" w:hAnsi="Arial"/>
                <w:sz w:val="16"/>
                <w:szCs w:val="16"/>
                <w:b w:val="1"/>
                <w:bCs w:val="1"/>
                <w:color w:val="auto"/>
                <w:w w:val="91"/>
              </w:rPr>
              <w:t>Unrealized</w:t>
            </w:r>
          </w:p>
        </w:tc>
      </w:tr>
      <w:tr>
        <w:trPr>
          <w:trHeight w:val="220"/>
        </w:trPr>
        <w:tc>
          <w:tcPr>
            <w:tcW w:w="2435" w:type="dxa"/>
            <w:vAlign w:val="bottom"/>
          </w:tcPr>
          <w:p>
            <w:pPr>
              <w:spacing w:after="0"/>
              <w:rPr>
                <w:sz w:val="19"/>
                <w:szCs w:val="19"/>
                <w:color w:val="auto"/>
              </w:rPr>
            </w:pPr>
          </w:p>
        </w:tc>
        <w:tc>
          <w:tcPr>
            <w:tcW w:w="225"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6"/>
                <w:szCs w:val="16"/>
                <w:b w:val="1"/>
                <w:bCs w:val="1"/>
                <w:color w:val="auto"/>
                <w:w w:val="93"/>
              </w:rPr>
              <w:t>Fair value</w:t>
            </w:r>
          </w:p>
        </w:tc>
        <w:tc>
          <w:tcPr>
            <w:tcW w:w="34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loss</w:t>
            </w:r>
          </w:p>
        </w:tc>
        <w:tc>
          <w:tcPr>
            <w:tcW w:w="340" w:type="dxa"/>
            <w:vAlign w:val="bottom"/>
          </w:tcPr>
          <w:p>
            <w:pPr>
              <w:spacing w:after="0"/>
              <w:rPr>
                <w:sz w:val="19"/>
                <w:szCs w:val="19"/>
                <w:color w:val="auto"/>
              </w:rPr>
            </w:pPr>
          </w:p>
        </w:tc>
        <w:tc>
          <w:tcPr>
            <w:tcW w:w="955" w:type="dxa"/>
            <w:vAlign w:val="bottom"/>
          </w:tcPr>
          <w:p>
            <w:pPr>
              <w:jc w:val="right"/>
              <w:ind w:right="148"/>
              <w:spacing w:after="0"/>
              <w:rPr>
                <w:sz w:val="20"/>
                <w:szCs w:val="20"/>
                <w:color w:val="auto"/>
              </w:rPr>
            </w:pPr>
            <w:r>
              <w:rPr>
                <w:rFonts w:ascii="Arial" w:cs="Arial" w:eastAsia="Arial" w:hAnsi="Arial"/>
                <w:sz w:val="16"/>
                <w:szCs w:val="16"/>
                <w:b w:val="1"/>
                <w:bCs w:val="1"/>
                <w:color w:val="auto"/>
                <w:w w:val="93"/>
              </w:rPr>
              <w:t>Fair value</w:t>
            </w:r>
          </w:p>
        </w:tc>
        <w:tc>
          <w:tcPr>
            <w:tcW w:w="1085" w:type="dxa"/>
            <w:vAlign w:val="bottom"/>
          </w:tcPr>
          <w:p>
            <w:pPr>
              <w:jc w:val="right"/>
              <w:ind w:right="190"/>
              <w:spacing w:after="0"/>
              <w:rPr>
                <w:sz w:val="20"/>
                <w:szCs w:val="20"/>
                <w:color w:val="auto"/>
              </w:rPr>
            </w:pPr>
            <w:r>
              <w:rPr>
                <w:rFonts w:ascii="Arial" w:cs="Arial" w:eastAsia="Arial" w:hAnsi="Arial"/>
                <w:sz w:val="16"/>
                <w:szCs w:val="16"/>
                <w:b w:val="1"/>
                <w:bCs w:val="1"/>
                <w:color w:val="auto"/>
              </w:rPr>
              <w:t>loss</w:t>
            </w:r>
          </w:p>
        </w:tc>
        <w:tc>
          <w:tcPr>
            <w:tcW w:w="19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6"/>
                <w:szCs w:val="16"/>
                <w:b w:val="1"/>
                <w:bCs w:val="1"/>
                <w:color w:val="auto"/>
                <w:w w:val="93"/>
              </w:rPr>
              <w:t>Fair value</w:t>
            </w:r>
          </w:p>
        </w:tc>
        <w:tc>
          <w:tcPr>
            <w:tcW w:w="40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loss</w:t>
            </w:r>
          </w:p>
        </w:tc>
      </w:tr>
      <w:tr>
        <w:trPr>
          <w:trHeight w:val="280"/>
        </w:trPr>
        <w:tc>
          <w:tcPr>
            <w:tcW w:w="2435" w:type="dxa"/>
            <w:vAlign w:val="bottom"/>
          </w:tcPr>
          <w:p>
            <w:pPr>
              <w:spacing w:after="0"/>
              <w:rPr>
                <w:sz w:val="24"/>
                <w:szCs w:val="24"/>
                <w:color w:val="auto"/>
              </w:rPr>
            </w:pPr>
          </w:p>
        </w:tc>
        <w:tc>
          <w:tcPr>
            <w:tcW w:w="225"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(in thousands)</w:t>
            </w:r>
          </w:p>
        </w:tc>
        <w:tc>
          <w:tcPr>
            <w:tcW w:w="19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7"/>
        </w:trPr>
        <w:tc>
          <w:tcPr>
            <w:tcW w:w="2435" w:type="dxa"/>
            <w:vAlign w:val="bottom"/>
            <w:shd w:val="clear" w:color="auto" w:fill="CFF0FC"/>
          </w:tcPr>
          <w:p>
            <w:pPr>
              <w:ind w:left="200"/>
              <w:spacing w:after="0"/>
              <w:rPr>
                <w:sz w:val="20"/>
                <w:szCs w:val="20"/>
                <w:color w:val="auto"/>
              </w:rPr>
            </w:pPr>
            <w:r>
              <w:rPr>
                <w:rFonts w:ascii="Arial" w:cs="Arial" w:eastAsia="Arial" w:hAnsi="Arial"/>
                <w:sz w:val="20"/>
                <w:szCs w:val="20"/>
                <w:color w:val="auto"/>
              </w:rPr>
              <w:t>U.S. Treasury bills</w:t>
            </w:r>
          </w:p>
        </w:tc>
        <w:tc>
          <w:tcPr>
            <w:tcW w:w="225" w:type="dxa"/>
            <w:vAlign w:val="bottom"/>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shd w:val="clear" w:color="auto" w:fill="CFF0FC"/>
              </w:rPr>
              <w:t>46,016</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(39)</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55"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w:t>
            </w:r>
          </w:p>
        </w:tc>
        <w:tc>
          <w:tcPr>
            <w:tcW w:w="1085" w:type="dxa"/>
            <w:vAlign w:val="bottom"/>
            <w:shd w:val="clear" w:color="auto" w:fill="CFF0FC"/>
          </w:tcPr>
          <w:p>
            <w:pPr>
              <w:jc w:val="right"/>
              <w:ind w:right="710"/>
              <w:spacing w:after="0"/>
              <w:rPr>
                <w:sz w:val="20"/>
                <w:szCs w:val="20"/>
                <w:color w:val="auto"/>
              </w:rPr>
            </w:pPr>
            <w:r>
              <w:rPr>
                <w:rFonts w:ascii="Arial" w:cs="Arial" w:eastAsia="Arial" w:hAnsi="Arial"/>
                <w:sz w:val="20"/>
                <w:szCs w:val="20"/>
                <w:color w:val="auto"/>
              </w:rPr>
              <w:t>$</w:t>
            </w:r>
          </w:p>
        </w:tc>
        <w:tc>
          <w:tcPr>
            <w:tcW w:w="19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9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46,016</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w:t>
            </w:r>
          </w:p>
        </w:tc>
      </w:tr>
      <w:tr>
        <w:trPr>
          <w:trHeight w:val="291"/>
        </w:trPr>
        <w:tc>
          <w:tcPr>
            <w:tcW w:w="2435" w:type="dxa"/>
            <w:vAlign w:val="bottom"/>
          </w:tcPr>
          <w:p>
            <w:pPr>
              <w:spacing w:after="0"/>
              <w:rPr>
                <w:sz w:val="24"/>
                <w:szCs w:val="24"/>
                <w:color w:val="auto"/>
              </w:rPr>
            </w:pPr>
          </w:p>
        </w:tc>
        <w:tc>
          <w:tcPr>
            <w:tcW w:w="225" w:type="dxa"/>
            <w:vAlign w:val="bottom"/>
          </w:tcPr>
          <w:p>
            <w:pPr>
              <w:jc w:val="right"/>
              <w:spacing w:after="0"/>
              <w:rPr>
                <w:sz w:val="20"/>
                <w:szCs w:val="20"/>
                <w:color w:val="auto"/>
              </w:rPr>
            </w:pPr>
            <w:r>
              <w:rPr>
                <w:rFonts w:ascii="Arial" w:cs="Arial" w:eastAsia="Arial" w:hAnsi="Arial"/>
                <w:sz w:val="20"/>
                <w:szCs w:val="20"/>
                <w:color w:val="auto"/>
                <w:highlight w:val="white"/>
              </w:rPr>
              <w:t>$</w:t>
            </w:r>
          </w:p>
        </w:tc>
        <w:tc>
          <w:tcPr>
            <w:tcW w:w="960" w:type="dxa"/>
            <w:vAlign w:val="bottom"/>
          </w:tcPr>
          <w:p>
            <w:pPr>
              <w:jc w:val="right"/>
              <w:spacing w:after="0"/>
              <w:rPr>
                <w:sz w:val="20"/>
                <w:szCs w:val="20"/>
                <w:color w:val="auto"/>
              </w:rPr>
            </w:pPr>
            <w:r>
              <w:rPr>
                <w:rFonts w:ascii="Arial" w:cs="Arial" w:eastAsia="Arial" w:hAnsi="Arial"/>
                <w:sz w:val="20"/>
                <w:szCs w:val="20"/>
                <w:color w:val="auto"/>
                <w:highlight w:val="white"/>
              </w:rPr>
              <w:t>46,016</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0"/>
              <w:spacing w:after="0"/>
              <w:rPr>
                <w:sz w:val="20"/>
                <w:szCs w:val="20"/>
                <w:color w:val="auto"/>
              </w:rPr>
            </w:pPr>
            <w:r>
              <w:rPr>
                <w:rFonts w:ascii="Arial" w:cs="Arial" w:eastAsia="Arial" w:hAnsi="Arial"/>
                <w:sz w:val="20"/>
                <w:szCs w:val="20"/>
                <w:color w:val="auto"/>
              </w:rPr>
              <w:t>(39)</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55" w:type="dxa"/>
            <w:vAlign w:val="bottom"/>
          </w:tcPr>
          <w:p>
            <w:pPr>
              <w:jc w:val="right"/>
              <w:spacing w:after="0"/>
              <w:rPr>
                <w:sz w:val="20"/>
                <w:szCs w:val="20"/>
                <w:color w:val="auto"/>
              </w:rPr>
            </w:pPr>
            <w:r>
              <w:rPr>
                <w:rFonts w:ascii="Arial" w:cs="Arial" w:eastAsia="Arial" w:hAnsi="Arial"/>
                <w:sz w:val="20"/>
                <w:szCs w:val="20"/>
                <w:color w:val="auto"/>
              </w:rPr>
              <w:t>-</w:t>
            </w:r>
          </w:p>
        </w:tc>
        <w:tc>
          <w:tcPr>
            <w:tcW w:w="1085" w:type="dxa"/>
            <w:vAlign w:val="bottom"/>
          </w:tcPr>
          <w:p>
            <w:pPr>
              <w:jc w:val="right"/>
              <w:ind w:right="710"/>
              <w:spacing w:after="0"/>
              <w:rPr>
                <w:sz w:val="20"/>
                <w:szCs w:val="20"/>
                <w:color w:val="auto"/>
              </w:rPr>
            </w:pPr>
            <w:r>
              <w:rPr>
                <w:rFonts w:ascii="Arial" w:cs="Arial" w:eastAsia="Arial" w:hAnsi="Arial"/>
                <w:sz w:val="20"/>
                <w:szCs w:val="20"/>
                <w:color w:val="auto"/>
              </w:rPr>
              <w:t>$</w:t>
            </w:r>
          </w:p>
        </w:tc>
        <w:tc>
          <w:tcPr>
            <w:tcW w:w="190" w:type="dxa"/>
            <w:vAlign w:val="bottom"/>
          </w:tcPr>
          <w:p>
            <w:pPr>
              <w:jc w:val="right"/>
              <w:spacing w:after="0"/>
              <w:rPr>
                <w:sz w:val="20"/>
                <w:szCs w:val="20"/>
                <w:color w:val="auto"/>
              </w:rPr>
            </w:pPr>
            <w:r>
              <w:rPr>
                <w:rFonts w:ascii="Arial" w:cs="Arial" w:eastAsia="Arial" w:hAnsi="Arial"/>
                <w:sz w:val="20"/>
                <w:szCs w:val="20"/>
                <w:color w:val="auto"/>
              </w:rPr>
              <w:t>-</w:t>
            </w:r>
          </w:p>
        </w:tc>
        <w:tc>
          <w:tcPr>
            <w:tcW w:w="17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46,016</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-996315</wp:posOffset>
            </wp:positionV>
            <wp:extent cx="6374130" cy="636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6374130" cy="6362065"/>
                    </a:xfrm>
                    <a:prstGeom prst="rect">
                      <a:avLst/>
                    </a:prstGeom>
                    <a:noFill/>
                  </pic:spPr>
                </pic:pic>
              </a:graphicData>
            </a:graphic>
          </wp:anchor>
        </w:drawing>
      </w:r>
    </w:p>
    <w:p>
      <w:pPr>
        <w:spacing w:after="0" w:line="244" w:lineRule="exact"/>
        <w:rPr>
          <w:sz w:val="20"/>
          <w:szCs w:val="20"/>
          <w:color w:val="auto"/>
        </w:rPr>
      </w:pPr>
    </w:p>
    <w:p>
      <w:pPr>
        <w:ind w:right="1180" w:firstLine="490"/>
        <w:spacing w:after="0" w:line="278" w:lineRule="auto"/>
        <w:rPr>
          <w:sz w:val="20"/>
          <w:szCs w:val="20"/>
          <w:color w:val="auto"/>
        </w:rPr>
      </w:pPr>
      <w:r>
        <w:rPr>
          <w:rFonts w:ascii="Arial" w:cs="Arial" w:eastAsia="Arial" w:hAnsi="Arial"/>
          <w:sz w:val="20"/>
          <w:szCs w:val="20"/>
          <w:color w:val="auto"/>
          <w:highlight w:val="white"/>
        </w:rPr>
        <w:t>Marketable securities include $1.0 million and $1.4 million in accrued interest at December 31, 2025 and December 31, 2024, respectively.</w:t>
      </w:r>
    </w:p>
    <w:p>
      <w:pPr>
        <w:spacing w:after="0" w:line="164" w:lineRule="exact"/>
        <w:rPr>
          <w:sz w:val="20"/>
          <w:szCs w:val="20"/>
          <w:color w:val="auto"/>
        </w:rPr>
      </w:pPr>
    </w:p>
    <w:p>
      <w:pPr>
        <w:ind w:left="480" w:right="6360" w:hanging="480"/>
        <w:spacing w:after="0" w:line="547" w:lineRule="auto"/>
        <w:tabs>
          <w:tab w:leader="none" w:pos="189"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b w:val="1"/>
          <w:bCs w:val="1"/>
          <w:i w:val="1"/>
          <w:iCs w:val="1"/>
          <w:color w:val="auto"/>
        </w:rPr>
        <w:t>Property and Equipment</w:t>
      </w:r>
    </w:p>
    <w:p>
      <w:pPr>
        <w:ind w:left="480"/>
        <w:spacing w:after="0"/>
        <w:rPr>
          <w:rFonts w:ascii="Arial" w:cs="Arial" w:eastAsia="Arial" w:hAnsi="Arial"/>
          <w:sz w:val="18"/>
          <w:szCs w:val="18"/>
          <w:b w:val="1"/>
          <w:bCs w:val="1"/>
          <w:color w:val="auto"/>
        </w:rPr>
      </w:pPr>
      <w:r>
        <w:rPr>
          <w:rFonts w:ascii="Arial" w:cs="Arial" w:eastAsia="Arial" w:hAnsi="Arial"/>
          <w:sz w:val="20"/>
          <w:szCs w:val="20"/>
          <w:color w:val="auto"/>
        </w:rPr>
        <w:t xml:space="preserve">Property </w:t>
      </w:r>
      <w:r>
        <w:rPr>
          <w:rFonts w:ascii="Arial" w:cs="Arial" w:eastAsia="Arial" w:hAnsi="Arial"/>
          <w:sz w:val="20"/>
          <w:szCs w:val="20"/>
          <w:color w:val="auto"/>
          <w:highlight w:val="white"/>
        </w:rPr>
        <w:t>and equipment, net consists of the following:</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660" w:type="dxa"/>
            <w:vAlign w:val="bottom"/>
          </w:tcPr>
          <w:p>
            <w:pPr>
              <w:spacing w:after="0"/>
              <w:rPr>
                <w:sz w:val="18"/>
                <w:szCs w:val="18"/>
                <w:color w:val="auto"/>
              </w:rPr>
            </w:pPr>
          </w:p>
        </w:tc>
      </w:tr>
      <w:tr>
        <w:trPr>
          <w:trHeight w:val="212"/>
        </w:trPr>
        <w:tc>
          <w:tcPr>
            <w:tcW w:w="3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right"/>
              <w:ind w:right="1045"/>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spacing w:after="0"/>
              <w:rPr>
                <w:sz w:val="18"/>
                <w:szCs w:val="18"/>
                <w:color w:val="auto"/>
              </w:rPr>
            </w:pPr>
          </w:p>
        </w:tc>
        <w:tc>
          <w:tcPr>
            <w:tcW w:w="1660" w:type="dxa"/>
            <w:vAlign w:val="bottom"/>
          </w:tcPr>
          <w:p>
            <w:pPr>
              <w:jc w:val="right"/>
              <w:ind w:right="942"/>
              <w:spacing w:after="0"/>
              <w:rPr>
                <w:sz w:val="20"/>
                <w:szCs w:val="20"/>
                <w:color w:val="auto"/>
              </w:rPr>
            </w:pPr>
            <w:r>
              <w:rPr>
                <w:rFonts w:ascii="Arial" w:cs="Arial" w:eastAsia="Arial" w:hAnsi="Arial"/>
                <w:sz w:val="16"/>
                <w:szCs w:val="16"/>
                <w:b w:val="1"/>
                <w:bCs w:val="1"/>
                <w:color w:val="auto"/>
              </w:rPr>
              <w:t>2024</w:t>
            </w:r>
          </w:p>
        </w:tc>
      </w:tr>
      <w:tr>
        <w:trPr>
          <w:trHeight w:val="203"/>
        </w:trPr>
        <w:tc>
          <w:tcPr>
            <w:tcW w:w="3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(in thousands)</w:t>
            </w:r>
          </w:p>
        </w:tc>
        <w:tc>
          <w:tcPr>
            <w:tcW w:w="1660" w:type="dxa"/>
            <w:vAlign w:val="bottom"/>
          </w:tcPr>
          <w:p>
            <w:pPr>
              <w:spacing w:after="0"/>
              <w:rPr>
                <w:sz w:val="17"/>
                <w:szCs w:val="17"/>
                <w:color w:val="auto"/>
              </w:rPr>
            </w:pPr>
          </w:p>
        </w:tc>
      </w:tr>
      <w:tr>
        <w:trPr>
          <w:trHeight w:val="244"/>
        </w:trPr>
        <w:tc>
          <w:tcPr>
            <w:tcW w:w="3420" w:type="dxa"/>
            <w:vAlign w:val="bottom"/>
            <w:shd w:val="clear" w:color="auto" w:fill="CFF0FC"/>
          </w:tcPr>
          <w:p>
            <w:pPr>
              <w:spacing w:after="0"/>
              <w:rPr>
                <w:sz w:val="20"/>
                <w:szCs w:val="20"/>
                <w:color w:val="auto"/>
              </w:rPr>
            </w:pPr>
            <w:r>
              <w:rPr>
                <w:rFonts w:ascii="Arial" w:cs="Arial" w:eastAsia="Arial" w:hAnsi="Arial"/>
                <w:sz w:val="20"/>
                <w:szCs w:val="20"/>
                <w:color w:val="auto"/>
              </w:rPr>
              <w:t>Laboratory equipment</w:t>
            </w:r>
          </w:p>
        </w:tc>
        <w:tc>
          <w:tcPr>
            <w:tcW w:w="138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860" w:type="dxa"/>
            <w:vAlign w:val="bottom"/>
            <w:shd w:val="clear" w:color="auto" w:fill="CFF0FC"/>
          </w:tcPr>
          <w:p>
            <w:pPr>
              <w:jc w:val="right"/>
              <w:ind w:right="105"/>
              <w:spacing w:after="0"/>
              <w:rPr>
                <w:sz w:val="20"/>
                <w:szCs w:val="20"/>
                <w:color w:val="auto"/>
              </w:rPr>
            </w:pPr>
            <w:r>
              <w:rPr>
                <w:rFonts w:ascii="Arial" w:cs="Arial" w:eastAsia="Arial" w:hAnsi="Arial"/>
                <w:sz w:val="20"/>
                <w:szCs w:val="20"/>
                <w:color w:val="auto"/>
              </w:rPr>
              <w:t>8,936</w:t>
            </w:r>
          </w:p>
        </w:tc>
        <w:tc>
          <w:tcPr>
            <w:tcW w:w="760" w:type="dxa"/>
            <w:vAlign w:val="bottom"/>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166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rPr>
              <w:t>8,936</w:t>
            </w:r>
          </w:p>
        </w:tc>
      </w:tr>
      <w:tr>
        <w:trPr>
          <w:trHeight w:val="245"/>
        </w:trPr>
        <w:tc>
          <w:tcPr>
            <w:tcW w:w="3420" w:type="dxa"/>
            <w:vAlign w:val="bottom"/>
          </w:tcPr>
          <w:p>
            <w:pPr>
              <w:spacing w:after="0"/>
              <w:rPr>
                <w:sz w:val="20"/>
                <w:szCs w:val="20"/>
                <w:color w:val="auto"/>
              </w:rPr>
            </w:pPr>
            <w:r>
              <w:rPr>
                <w:rFonts w:ascii="Arial" w:cs="Arial" w:eastAsia="Arial" w:hAnsi="Arial"/>
                <w:sz w:val="20"/>
                <w:szCs w:val="20"/>
                <w:color w:val="auto"/>
              </w:rPr>
              <w:t>Computer equipment</w:t>
            </w:r>
          </w:p>
        </w:tc>
        <w:tc>
          <w:tcPr>
            <w:tcW w:w="1380" w:type="dxa"/>
            <w:vAlign w:val="bottom"/>
          </w:tcPr>
          <w:p>
            <w:pPr>
              <w:spacing w:after="0"/>
              <w:rPr>
                <w:sz w:val="21"/>
                <w:szCs w:val="21"/>
                <w:color w:val="auto"/>
              </w:rPr>
            </w:pPr>
          </w:p>
        </w:tc>
        <w:tc>
          <w:tcPr>
            <w:tcW w:w="1860" w:type="dxa"/>
            <w:vAlign w:val="bottom"/>
          </w:tcPr>
          <w:p>
            <w:pPr>
              <w:jc w:val="right"/>
              <w:ind w:right="105"/>
              <w:spacing w:after="0"/>
              <w:rPr>
                <w:sz w:val="20"/>
                <w:szCs w:val="20"/>
                <w:color w:val="auto"/>
              </w:rPr>
            </w:pPr>
            <w:r>
              <w:rPr>
                <w:rFonts w:ascii="Arial" w:cs="Arial" w:eastAsia="Arial" w:hAnsi="Arial"/>
                <w:sz w:val="20"/>
                <w:szCs w:val="20"/>
                <w:color w:val="auto"/>
              </w:rPr>
              <w:t>2,599</w:t>
            </w:r>
          </w:p>
        </w:tc>
        <w:tc>
          <w:tcPr>
            <w:tcW w:w="760" w:type="dxa"/>
            <w:vAlign w:val="bottom"/>
          </w:tcPr>
          <w:p>
            <w:pPr>
              <w:spacing w:after="0"/>
              <w:rPr>
                <w:sz w:val="21"/>
                <w:szCs w:val="21"/>
                <w:color w:val="auto"/>
              </w:rPr>
            </w:pPr>
          </w:p>
        </w:tc>
        <w:tc>
          <w:tcPr>
            <w:tcW w:w="1660" w:type="dxa"/>
            <w:vAlign w:val="bottom"/>
          </w:tcPr>
          <w:p>
            <w:pPr>
              <w:jc w:val="right"/>
              <w:ind w:right="2"/>
              <w:spacing w:after="0"/>
              <w:rPr>
                <w:sz w:val="20"/>
                <w:szCs w:val="20"/>
                <w:color w:val="auto"/>
              </w:rPr>
            </w:pPr>
            <w:r>
              <w:rPr>
                <w:rFonts w:ascii="Arial" w:cs="Arial" w:eastAsia="Arial" w:hAnsi="Arial"/>
                <w:sz w:val="20"/>
                <w:szCs w:val="20"/>
                <w:color w:val="auto"/>
              </w:rPr>
              <w:t>2,437</w:t>
            </w:r>
          </w:p>
        </w:tc>
      </w:tr>
      <w:tr>
        <w:trPr>
          <w:trHeight w:val="244"/>
        </w:trPr>
        <w:tc>
          <w:tcPr>
            <w:tcW w:w="3420" w:type="dxa"/>
            <w:vAlign w:val="bottom"/>
            <w:shd w:val="clear" w:color="auto" w:fill="CFF0FC"/>
          </w:tcPr>
          <w:p>
            <w:pPr>
              <w:spacing w:after="0"/>
              <w:rPr>
                <w:sz w:val="20"/>
                <w:szCs w:val="20"/>
                <w:color w:val="auto"/>
              </w:rPr>
            </w:pPr>
            <w:r>
              <w:rPr>
                <w:rFonts w:ascii="Arial" w:cs="Arial" w:eastAsia="Arial" w:hAnsi="Arial"/>
                <w:sz w:val="20"/>
                <w:szCs w:val="20"/>
                <w:color w:val="auto"/>
              </w:rPr>
              <w:t>Computer software</w:t>
            </w:r>
          </w:p>
        </w:tc>
        <w:tc>
          <w:tcPr>
            <w:tcW w:w="138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05"/>
              <w:spacing w:after="0"/>
              <w:rPr>
                <w:sz w:val="20"/>
                <w:szCs w:val="20"/>
                <w:color w:val="auto"/>
              </w:rPr>
            </w:pPr>
            <w:r>
              <w:rPr>
                <w:rFonts w:ascii="Arial" w:cs="Arial" w:eastAsia="Arial" w:hAnsi="Arial"/>
                <w:sz w:val="20"/>
                <w:szCs w:val="20"/>
                <w:color w:val="auto"/>
              </w:rPr>
              <w:t>125</w:t>
            </w:r>
          </w:p>
        </w:tc>
        <w:tc>
          <w:tcPr>
            <w:tcW w:w="76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rPr>
              <w:t>125</w:t>
            </w:r>
          </w:p>
        </w:tc>
      </w:tr>
      <w:tr>
        <w:trPr>
          <w:trHeight w:val="244"/>
        </w:trPr>
        <w:tc>
          <w:tcPr>
            <w:tcW w:w="3420" w:type="dxa"/>
            <w:vAlign w:val="bottom"/>
          </w:tcPr>
          <w:p>
            <w:pPr>
              <w:spacing w:after="0"/>
              <w:rPr>
                <w:sz w:val="20"/>
                <w:szCs w:val="20"/>
                <w:color w:val="auto"/>
              </w:rPr>
            </w:pPr>
            <w:r>
              <w:rPr>
                <w:rFonts w:ascii="Arial" w:cs="Arial" w:eastAsia="Arial" w:hAnsi="Arial"/>
                <w:sz w:val="20"/>
                <w:szCs w:val="20"/>
                <w:color w:val="auto"/>
              </w:rPr>
              <w:t>Furniture and fixtures</w:t>
            </w:r>
          </w:p>
        </w:tc>
        <w:tc>
          <w:tcPr>
            <w:tcW w:w="1380" w:type="dxa"/>
            <w:vAlign w:val="bottom"/>
          </w:tcPr>
          <w:p>
            <w:pPr>
              <w:spacing w:after="0"/>
              <w:rPr>
                <w:sz w:val="21"/>
                <w:szCs w:val="21"/>
                <w:color w:val="auto"/>
              </w:rPr>
            </w:pPr>
          </w:p>
        </w:tc>
        <w:tc>
          <w:tcPr>
            <w:tcW w:w="1860" w:type="dxa"/>
            <w:vAlign w:val="bottom"/>
          </w:tcPr>
          <w:p>
            <w:pPr>
              <w:jc w:val="right"/>
              <w:ind w:right="105"/>
              <w:spacing w:after="0"/>
              <w:rPr>
                <w:sz w:val="20"/>
                <w:szCs w:val="20"/>
                <w:color w:val="auto"/>
              </w:rPr>
            </w:pPr>
            <w:r>
              <w:rPr>
                <w:rFonts w:ascii="Arial" w:cs="Arial" w:eastAsia="Arial" w:hAnsi="Arial"/>
                <w:sz w:val="20"/>
                <w:szCs w:val="20"/>
                <w:color w:val="auto"/>
              </w:rPr>
              <w:t>2,023</w:t>
            </w:r>
          </w:p>
        </w:tc>
        <w:tc>
          <w:tcPr>
            <w:tcW w:w="760" w:type="dxa"/>
            <w:vAlign w:val="bottom"/>
          </w:tcPr>
          <w:p>
            <w:pPr>
              <w:spacing w:after="0"/>
              <w:rPr>
                <w:sz w:val="21"/>
                <w:szCs w:val="21"/>
                <w:color w:val="auto"/>
              </w:rPr>
            </w:pPr>
          </w:p>
        </w:tc>
        <w:tc>
          <w:tcPr>
            <w:tcW w:w="1660" w:type="dxa"/>
            <w:vAlign w:val="bottom"/>
          </w:tcPr>
          <w:p>
            <w:pPr>
              <w:jc w:val="right"/>
              <w:ind w:right="2"/>
              <w:spacing w:after="0"/>
              <w:rPr>
                <w:sz w:val="20"/>
                <w:szCs w:val="20"/>
                <w:color w:val="auto"/>
              </w:rPr>
            </w:pPr>
            <w:r>
              <w:rPr>
                <w:rFonts w:ascii="Arial" w:cs="Arial" w:eastAsia="Arial" w:hAnsi="Arial"/>
                <w:sz w:val="20"/>
                <w:szCs w:val="20"/>
                <w:color w:val="auto"/>
              </w:rPr>
              <w:t>1,945</w:t>
            </w:r>
          </w:p>
        </w:tc>
      </w:tr>
      <w:tr>
        <w:trPr>
          <w:trHeight w:val="245"/>
        </w:trPr>
        <w:tc>
          <w:tcPr>
            <w:tcW w:w="3420" w:type="dxa"/>
            <w:vAlign w:val="bottom"/>
            <w:shd w:val="clear" w:color="auto" w:fill="CFF0FC"/>
          </w:tcPr>
          <w:p>
            <w:pPr>
              <w:spacing w:after="0"/>
              <w:rPr>
                <w:sz w:val="20"/>
                <w:szCs w:val="20"/>
                <w:color w:val="auto"/>
              </w:rPr>
            </w:pPr>
            <w:r>
              <w:rPr>
                <w:rFonts w:ascii="Arial" w:cs="Arial" w:eastAsia="Arial" w:hAnsi="Arial"/>
                <w:sz w:val="20"/>
                <w:szCs w:val="20"/>
                <w:color w:val="auto"/>
              </w:rPr>
              <w:t>Leasehold improvements</w:t>
            </w:r>
          </w:p>
        </w:tc>
        <w:tc>
          <w:tcPr>
            <w:tcW w:w="138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05"/>
              <w:spacing w:after="0"/>
              <w:rPr>
                <w:sz w:val="20"/>
                <w:szCs w:val="20"/>
                <w:color w:val="auto"/>
              </w:rPr>
            </w:pPr>
            <w:r>
              <w:rPr>
                <w:rFonts w:ascii="Arial" w:cs="Arial" w:eastAsia="Arial" w:hAnsi="Arial"/>
                <w:sz w:val="20"/>
                <w:szCs w:val="20"/>
                <w:color w:val="auto"/>
              </w:rPr>
              <w:t>3,723</w:t>
            </w:r>
          </w:p>
        </w:tc>
        <w:tc>
          <w:tcPr>
            <w:tcW w:w="76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rPr>
              <w:t>2,870</w:t>
            </w:r>
          </w:p>
        </w:tc>
      </w:tr>
      <w:tr>
        <w:trPr>
          <w:trHeight w:val="244"/>
        </w:trPr>
        <w:tc>
          <w:tcPr>
            <w:tcW w:w="3420" w:type="dxa"/>
            <w:vAlign w:val="bottom"/>
          </w:tcPr>
          <w:p>
            <w:pPr>
              <w:spacing w:after="0"/>
              <w:rPr>
                <w:sz w:val="20"/>
                <w:szCs w:val="20"/>
                <w:color w:val="auto"/>
              </w:rPr>
            </w:pPr>
            <w:r>
              <w:rPr>
                <w:rFonts w:ascii="Arial" w:cs="Arial" w:eastAsia="Arial" w:hAnsi="Arial"/>
                <w:sz w:val="20"/>
                <w:szCs w:val="20"/>
                <w:color w:val="auto"/>
              </w:rPr>
              <w:t>Construction in progress</w:t>
            </w:r>
          </w:p>
        </w:tc>
        <w:tc>
          <w:tcPr>
            <w:tcW w:w="1380" w:type="dxa"/>
            <w:vAlign w:val="bottom"/>
          </w:tcPr>
          <w:p>
            <w:pPr>
              <w:spacing w:after="0"/>
              <w:rPr>
                <w:sz w:val="21"/>
                <w:szCs w:val="21"/>
                <w:color w:val="auto"/>
              </w:rPr>
            </w:pPr>
          </w:p>
        </w:tc>
        <w:tc>
          <w:tcPr>
            <w:tcW w:w="1860" w:type="dxa"/>
            <w:vAlign w:val="bottom"/>
          </w:tcPr>
          <w:p>
            <w:pPr>
              <w:jc w:val="right"/>
              <w:ind w:right="105"/>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1"/>
                <w:szCs w:val="21"/>
                <w:color w:val="auto"/>
              </w:rPr>
            </w:pPr>
          </w:p>
        </w:tc>
        <w:tc>
          <w:tcPr>
            <w:tcW w:w="1660" w:type="dxa"/>
            <w:vAlign w:val="bottom"/>
          </w:tcPr>
          <w:p>
            <w:pPr>
              <w:jc w:val="right"/>
              <w:ind w:right="2"/>
              <w:spacing w:after="0"/>
              <w:rPr>
                <w:sz w:val="20"/>
                <w:szCs w:val="20"/>
                <w:color w:val="auto"/>
              </w:rPr>
            </w:pPr>
            <w:r>
              <w:rPr>
                <w:rFonts w:ascii="Arial" w:cs="Arial" w:eastAsia="Arial" w:hAnsi="Arial"/>
                <w:sz w:val="20"/>
                <w:szCs w:val="20"/>
                <w:color w:val="auto"/>
              </w:rPr>
              <w:t>152</w:t>
            </w:r>
          </w:p>
        </w:tc>
      </w:tr>
      <w:tr>
        <w:trPr>
          <w:trHeight w:val="259"/>
        </w:trPr>
        <w:tc>
          <w:tcPr>
            <w:tcW w:w="34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860" w:type="dxa"/>
            <w:vAlign w:val="bottom"/>
            <w:shd w:val="clear" w:color="auto" w:fill="CFF0FC"/>
          </w:tcPr>
          <w:p>
            <w:pPr>
              <w:jc w:val="right"/>
              <w:ind w:right="105"/>
              <w:spacing w:after="0"/>
              <w:rPr>
                <w:sz w:val="20"/>
                <w:szCs w:val="20"/>
                <w:color w:val="auto"/>
              </w:rPr>
            </w:pPr>
            <w:r>
              <w:rPr>
                <w:rFonts w:ascii="Arial" w:cs="Arial" w:eastAsia="Arial" w:hAnsi="Arial"/>
                <w:sz w:val="20"/>
                <w:szCs w:val="20"/>
                <w:color w:val="auto"/>
              </w:rPr>
              <w:t>17,406</w:t>
            </w:r>
          </w:p>
        </w:tc>
        <w:tc>
          <w:tcPr>
            <w:tcW w:w="760" w:type="dxa"/>
            <w:vAlign w:val="bottom"/>
            <w:shd w:val="clear" w:color="auto" w:fill="CFF0FC"/>
          </w:tcPr>
          <w:p>
            <w:pPr>
              <w:spacing w:after="0"/>
              <w:rPr>
                <w:sz w:val="22"/>
                <w:szCs w:val="22"/>
                <w:color w:val="auto"/>
              </w:rPr>
            </w:pPr>
          </w:p>
        </w:tc>
        <w:tc>
          <w:tcPr>
            <w:tcW w:w="166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rPr>
              <w:t>16,465</w:t>
            </w:r>
          </w:p>
        </w:tc>
      </w:tr>
      <w:tr>
        <w:trPr>
          <w:trHeight w:val="242"/>
        </w:trPr>
        <w:tc>
          <w:tcPr>
            <w:tcW w:w="342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1380" w:type="dxa"/>
            <w:vAlign w:val="bottom"/>
          </w:tcPr>
          <w:p>
            <w:pPr>
              <w:spacing w:after="0"/>
              <w:rPr>
                <w:sz w:val="21"/>
                <w:szCs w:val="21"/>
                <w:color w:val="auto"/>
              </w:rPr>
            </w:pPr>
          </w:p>
        </w:tc>
        <w:tc>
          <w:tcPr>
            <w:tcW w:w="1860" w:type="dxa"/>
            <w:vAlign w:val="bottom"/>
          </w:tcPr>
          <w:p>
            <w:pPr>
              <w:jc w:val="right"/>
              <w:ind w:right="105"/>
              <w:spacing w:after="0"/>
              <w:rPr>
                <w:sz w:val="20"/>
                <w:szCs w:val="20"/>
                <w:color w:val="auto"/>
              </w:rPr>
            </w:pPr>
            <w:r>
              <w:rPr>
                <w:rFonts w:ascii="Arial" w:cs="Arial" w:eastAsia="Arial" w:hAnsi="Arial"/>
                <w:sz w:val="20"/>
                <w:szCs w:val="20"/>
                <w:color w:val="auto"/>
              </w:rPr>
              <w:t>(10,538)</w:t>
            </w:r>
          </w:p>
        </w:tc>
        <w:tc>
          <w:tcPr>
            <w:tcW w:w="7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(8,363)</w:t>
            </w:r>
          </w:p>
        </w:tc>
      </w:tr>
      <w:tr>
        <w:trPr>
          <w:trHeight w:val="262"/>
        </w:trPr>
        <w:tc>
          <w:tcPr>
            <w:tcW w:w="34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Property and equipment, net</w:t>
            </w:r>
          </w:p>
        </w:tc>
        <w:tc>
          <w:tcPr>
            <w:tcW w:w="138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860" w:type="dxa"/>
            <w:vAlign w:val="bottom"/>
            <w:shd w:val="clear" w:color="auto" w:fill="CFF0FC"/>
          </w:tcPr>
          <w:p>
            <w:pPr>
              <w:jc w:val="right"/>
              <w:ind w:right="105"/>
              <w:spacing w:after="0"/>
              <w:rPr>
                <w:sz w:val="20"/>
                <w:szCs w:val="20"/>
                <w:color w:val="auto"/>
              </w:rPr>
            </w:pPr>
            <w:r>
              <w:rPr>
                <w:rFonts w:ascii="Arial" w:cs="Arial" w:eastAsia="Arial" w:hAnsi="Arial"/>
                <w:sz w:val="20"/>
                <w:szCs w:val="20"/>
                <w:color w:val="auto"/>
              </w:rPr>
              <w:t>6,868</w:t>
            </w:r>
          </w:p>
        </w:tc>
        <w:tc>
          <w:tcPr>
            <w:tcW w:w="760" w:type="dxa"/>
            <w:vAlign w:val="bottom"/>
            <w:shd w:val="clear" w:color="auto" w:fill="CFF0FC"/>
          </w:tcPr>
          <w:p>
            <w:pPr>
              <w:jc w:val="right"/>
              <w:ind w:right="420"/>
              <w:spacing w:after="0"/>
              <w:rPr>
                <w:sz w:val="20"/>
                <w:szCs w:val="20"/>
                <w:color w:val="auto"/>
              </w:rPr>
            </w:pPr>
            <w:r>
              <w:rPr>
                <w:rFonts w:ascii="Arial" w:cs="Arial" w:eastAsia="Arial" w:hAnsi="Arial"/>
                <w:sz w:val="20"/>
                <w:szCs w:val="20"/>
                <w:color w:val="auto"/>
              </w:rPr>
              <w:t>$</w:t>
            </w:r>
          </w:p>
        </w:tc>
        <w:tc>
          <w:tcPr>
            <w:tcW w:w="166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rPr>
              <w:t>8,102</w:t>
            </w:r>
          </w:p>
        </w:tc>
      </w:tr>
    </w:tbl>
    <w:p>
      <w:pPr>
        <w:spacing w:after="0" w:line="264" w:lineRule="exact"/>
        <w:rPr>
          <w:sz w:val="20"/>
          <w:szCs w:val="20"/>
          <w:color w:val="auto"/>
        </w:rPr>
      </w:pPr>
    </w:p>
    <w:p>
      <w:pPr>
        <w:ind w:right="240" w:firstLine="490"/>
        <w:spacing w:after="0" w:line="278" w:lineRule="auto"/>
        <w:rPr>
          <w:sz w:val="20"/>
          <w:szCs w:val="20"/>
          <w:color w:val="auto"/>
        </w:rPr>
      </w:pPr>
      <w:r>
        <w:rPr>
          <w:rFonts w:ascii="Arial" w:cs="Arial" w:eastAsia="Arial" w:hAnsi="Arial"/>
          <w:sz w:val="20"/>
          <w:szCs w:val="20"/>
          <w:color w:val="auto"/>
          <w:highlight w:val="white"/>
        </w:rPr>
        <w:t>Depreciation expense was $2.3 million, $2.5 million, and $2.4 million for the years ended December 31, 2025, 2024, and 2023, respectively.</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Accrued Expenses and Other Current Liabilities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Accrued expenses and other current liabilities include the following:</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2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02"/>
        </w:trPr>
        <w:tc>
          <w:tcPr>
            <w:tcW w:w="5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5"/>
        </w:trPr>
        <w:tc>
          <w:tcPr>
            <w:tcW w:w="5200" w:type="dxa"/>
            <w:vAlign w:val="bottom"/>
            <w:shd w:val="clear" w:color="auto" w:fill="CFF0FC"/>
          </w:tcPr>
          <w:p>
            <w:pPr>
              <w:spacing w:after="0"/>
              <w:rPr>
                <w:sz w:val="20"/>
                <w:szCs w:val="20"/>
                <w:color w:val="auto"/>
              </w:rPr>
            </w:pPr>
            <w:r>
              <w:rPr>
                <w:rFonts w:ascii="Arial" w:cs="Arial" w:eastAsia="Arial" w:hAnsi="Arial"/>
                <w:sz w:val="20"/>
                <w:szCs w:val="20"/>
                <w:color w:val="auto"/>
              </w:rPr>
              <w:t>Payroll and employee-related costs</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9,046</w:t>
            </w:r>
          </w:p>
        </w:tc>
        <w:tc>
          <w:tcPr>
            <w:tcW w:w="660" w:type="dxa"/>
            <w:vAlign w:val="bottom"/>
            <w:gridSpan w:val="2"/>
            <w:shd w:val="clear" w:color="auto" w:fill="CFF0FC"/>
          </w:tcPr>
          <w:p>
            <w:pPr>
              <w:jc w:val="right"/>
              <w:ind w:right="245"/>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8,951</w:t>
            </w:r>
          </w:p>
        </w:tc>
        <w:tc>
          <w:tcPr>
            <w:tcW w:w="60" w:type="dxa"/>
            <w:vAlign w:val="bottom"/>
            <w:shd w:val="clear" w:color="auto" w:fill="CFF0FC"/>
          </w:tcPr>
          <w:p>
            <w:pPr>
              <w:spacing w:after="0"/>
              <w:rPr>
                <w:sz w:val="21"/>
                <w:szCs w:val="21"/>
                <w:color w:val="auto"/>
              </w:rPr>
            </w:pPr>
          </w:p>
        </w:tc>
      </w:tr>
      <w:tr>
        <w:trPr>
          <w:trHeight w:val="244"/>
        </w:trPr>
        <w:tc>
          <w:tcPr>
            <w:tcW w:w="5200" w:type="dxa"/>
            <w:vAlign w:val="bottom"/>
          </w:tcPr>
          <w:p>
            <w:pPr>
              <w:spacing w:after="0"/>
              <w:rPr>
                <w:sz w:val="20"/>
                <w:szCs w:val="20"/>
                <w:color w:val="auto"/>
              </w:rPr>
            </w:pPr>
            <w:r>
              <w:rPr>
                <w:rFonts w:ascii="Arial" w:cs="Arial" w:eastAsia="Arial" w:hAnsi="Arial"/>
                <w:sz w:val="20"/>
                <w:szCs w:val="20"/>
                <w:color w:val="auto"/>
              </w:rPr>
              <w:t>Research and development costs</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7,424</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5,811</w:t>
            </w:r>
          </w:p>
        </w:tc>
        <w:tc>
          <w:tcPr>
            <w:tcW w:w="60" w:type="dxa"/>
            <w:vAlign w:val="bottom"/>
          </w:tcPr>
          <w:p>
            <w:pPr>
              <w:spacing w:after="0"/>
              <w:rPr>
                <w:sz w:val="21"/>
                <w:szCs w:val="21"/>
                <w:color w:val="auto"/>
              </w:rPr>
            </w:pPr>
          </w:p>
        </w:tc>
      </w:tr>
      <w:tr>
        <w:trPr>
          <w:trHeight w:val="244"/>
        </w:trPr>
        <w:tc>
          <w:tcPr>
            <w:tcW w:w="520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940" w:type="dxa"/>
            <w:vAlign w:val="bottom"/>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1,289</w:t>
            </w:r>
          </w:p>
        </w:tc>
        <w:tc>
          <w:tcPr>
            <w:tcW w:w="240" w:type="dxa"/>
            <w:vAlign w:val="bottom"/>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1,735</w:t>
            </w:r>
          </w:p>
        </w:tc>
        <w:tc>
          <w:tcPr>
            <w:tcW w:w="60" w:type="dxa"/>
            <w:vAlign w:val="bottom"/>
            <w:shd w:val="clear" w:color="auto" w:fill="CFF0FC"/>
          </w:tcPr>
          <w:p>
            <w:pPr>
              <w:spacing w:after="0"/>
              <w:rPr>
                <w:sz w:val="21"/>
                <w:szCs w:val="21"/>
                <w:color w:val="auto"/>
              </w:rPr>
            </w:pPr>
          </w:p>
        </w:tc>
      </w:tr>
      <w:tr>
        <w:trPr>
          <w:trHeight w:val="240"/>
        </w:trPr>
        <w:tc>
          <w:tcPr>
            <w:tcW w:w="5200" w:type="dxa"/>
            <w:vAlign w:val="bottom"/>
          </w:tcPr>
          <w:p>
            <w:pPr>
              <w:ind w:left="200"/>
              <w:spacing w:after="0"/>
              <w:rPr>
                <w:sz w:val="20"/>
                <w:szCs w:val="20"/>
                <w:color w:val="auto"/>
              </w:rPr>
            </w:pPr>
            <w:r>
              <w:rPr>
                <w:rFonts w:ascii="Arial" w:cs="Arial" w:eastAsia="Arial" w:hAnsi="Arial"/>
                <w:sz w:val="20"/>
                <w:szCs w:val="20"/>
                <w:color w:val="auto"/>
              </w:rPr>
              <w:t>Total accrued expenses and other current liabilities</w:t>
            </w:r>
          </w:p>
        </w:tc>
        <w:tc>
          <w:tcPr>
            <w:tcW w:w="9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17,759</w:t>
            </w:r>
          </w:p>
        </w:tc>
        <w:tc>
          <w:tcPr>
            <w:tcW w:w="24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16,497</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-12065</wp:posOffset>
            </wp:positionV>
            <wp:extent cx="1847215" cy="5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1847215" cy="533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Leases</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40" w:lineRule="exact"/>
        <w:rPr>
          <w:sz w:val="20"/>
          <w:szCs w:val="20"/>
          <w:color w:val="auto"/>
        </w:rPr>
      </w:pPr>
    </w:p>
    <w:p>
      <w:pPr>
        <w:ind w:right="20" w:firstLine="490"/>
        <w:spacing w:after="0" w:line="296" w:lineRule="auto"/>
        <w:rPr>
          <w:sz w:val="20"/>
          <w:szCs w:val="20"/>
          <w:color w:val="auto"/>
        </w:rPr>
      </w:pPr>
      <w:r>
        <w:rPr>
          <w:rFonts w:ascii="Arial" w:cs="Arial" w:eastAsia="Arial" w:hAnsi="Arial"/>
          <w:sz w:val="17"/>
          <w:szCs w:val="17"/>
          <w:color w:val="auto"/>
        </w:rPr>
        <w:t>In September 2019, the Company entered into a lease for office and laboratory space at 201 Brookline Avenue in Boston, Massachusetts. The lease, as amended and restated in November 2021, has a non-cancelable term of ten years with an option to extend for up to two additional five- year periods. The lease commenced in August 2022, when the Company obtained access to the space for its intended use. The lease agreement provides for initial tenant improvement allowances. The lease agreement required the Company to provide an initial letter of credit for $3.4 million that is collateralized with cash that is recorded as restricted cash in the accompanying balance sheets and is subject to reductions as lease anniversary dates are achieved. This letter of credit was recorded as long-term restricted cash as of December 31, 2022. In February 2024, $0.9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ectPr>
          <w:pgSz w:w="12240" w:h="15840" w:orient="portrait"/>
          <w:cols w:equalWidth="0" w:num="1">
            <w:col w:w="10080"/>
          </w:cols>
          <w:pgMar w:left="1080" w:top="1160" w:right="1080" w:bottom="175" w:gutter="0" w:footer="0" w:header="0"/>
        </w:sectPr>
      </w:pPr>
    </w:p>
    <w:bookmarkStart w:id="127" w:name="page128"/>
    <w:bookmarkEnd w:id="127"/>
    <w:p>
      <w:pPr>
        <w:ind w:right="20"/>
        <w:spacing w:after="0" w:line="249" w:lineRule="auto"/>
        <w:rPr>
          <w:sz w:val="20"/>
          <w:szCs w:val="20"/>
          <w:color w:val="auto"/>
        </w:rPr>
      </w:pPr>
      <w:r>
        <w:rPr>
          <w:rFonts w:ascii="Arial" w:cs="Arial" w:eastAsia="Arial" w:hAnsi="Arial"/>
          <w:sz w:val="20"/>
          <w:szCs w:val="20"/>
          <w:color w:val="auto"/>
        </w:rPr>
        <w:t>million of this security deposit was released to the Company, reducing the letter of credit to $2.6 million, which was classified as long-term as of December 31, 2024. As of December 31, 2025, $0.4 million was classified as short-term restricted cash to reflect the security deposit reduction scheduled for February 2026, with the remaining $2.2 million classified as long-term. The short-term portion of this security deposit was released to the Company in February 2026, further reducing the letter of credit to $2.2 million.</w:t>
      </w:r>
    </w:p>
    <w:p>
      <w:pPr>
        <w:spacing w:after="0" w:line="197" w:lineRule="exact"/>
        <w:rPr>
          <w:sz w:val="20"/>
          <w:szCs w:val="20"/>
          <w:color w:val="auto"/>
        </w:rPr>
      </w:pPr>
    </w:p>
    <w:p>
      <w:pPr>
        <w:ind w:right="240" w:firstLine="490"/>
        <w:spacing w:after="0" w:line="259" w:lineRule="auto"/>
        <w:rPr>
          <w:sz w:val="20"/>
          <w:szCs w:val="20"/>
          <w:color w:val="auto"/>
        </w:rPr>
      </w:pPr>
      <w:r>
        <w:rPr>
          <w:rFonts w:ascii="Arial" w:cs="Arial" w:eastAsia="Arial" w:hAnsi="Arial"/>
          <w:sz w:val="19"/>
          <w:szCs w:val="19"/>
          <w:color w:val="auto"/>
        </w:rPr>
        <w:t>In August 2022, 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 of-use asset upon the commencement of the lease.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 use asset and associated operating lease liability as the renewal was not considered probable of occurring. The discount rate applied to the lease payments is 8.0%.</w:t>
      </w:r>
    </w:p>
    <w:p>
      <w:pPr>
        <w:spacing w:after="0" w:line="188" w:lineRule="exact"/>
        <w:rPr>
          <w:sz w:val="20"/>
          <w:szCs w:val="20"/>
          <w:color w:val="auto"/>
        </w:rPr>
      </w:pPr>
    </w:p>
    <w:p>
      <w:pPr>
        <w:ind w:right="100" w:firstLine="540"/>
        <w:spacing w:after="0" w:line="261" w:lineRule="auto"/>
        <w:rPr>
          <w:sz w:val="20"/>
          <w:szCs w:val="20"/>
          <w:color w:val="auto"/>
        </w:rPr>
      </w:pPr>
      <w:r>
        <w:rPr>
          <w:rFonts w:ascii="Arial" w:cs="Arial" w:eastAsia="Arial" w:hAnsi="Arial"/>
          <w:sz w:val="19"/>
          <w:szCs w:val="19"/>
          <w:color w:val="auto"/>
        </w:rPr>
        <w:t>In December 2022, the Company entered into an operating lease agreement to sublease a portion of the 201 Brookline Avenue premise to an unrelated third party. The sublease expired on December 31, 2024. In August 2025, the Company and a related party, Sesame Therapeutics, Inc. (Sesame), entered into a use and occupancy sub-lease of office and laboratory space at 201 Brookline Avenue in Boston, Massachusetts. The sub-lease will expire on December 31, 2027, with a sublessee option to extend the term for six months. Sublease income recognized under the sublease agreement for the years ended December 31, 2025, 2024, and 2023 were $0.1 million, $1.5 million, and $1.5 million, respectively, and was recorded as a reduction of the related lease expense.</w:t>
      </w:r>
    </w:p>
    <w:p>
      <w:pPr>
        <w:spacing w:after="0" w:line="187" w:lineRule="exact"/>
        <w:rPr>
          <w:sz w:val="20"/>
          <w:szCs w:val="20"/>
          <w:color w:val="auto"/>
        </w:rPr>
      </w:pPr>
    </w:p>
    <w:p>
      <w:pPr>
        <w:ind w:right="180" w:firstLine="490"/>
        <w:spacing w:after="0" w:line="261" w:lineRule="auto"/>
        <w:rPr>
          <w:sz w:val="20"/>
          <w:szCs w:val="20"/>
          <w:color w:val="auto"/>
        </w:rPr>
      </w:pPr>
      <w:r>
        <w:rPr>
          <w:rFonts w:ascii="Arial" w:cs="Arial" w:eastAsia="Arial" w:hAnsi="Arial"/>
          <w:sz w:val="19"/>
          <w:szCs w:val="19"/>
          <w:color w:val="auto"/>
        </w:rPr>
        <w:t>The Company’s rent payments for facility leases during the years ended December 31, 2025, 2024, and 2023 are classified as operating lease costs in the table below. The leases are both considered net leases and therefore the non-lease components, such as common area maintenance, are paid separately from rent based on actual costs incurred; therefore, the non-lease components are not included in the right-of-use asset and lease liability and are reflected as an expense in the period incurred. The non-lease components are classified as variable costs in the chart below. As of December 31, 2025 and 2024, right-of-use assets under operating leases totaled $35.6 million and $39.5 million, respectively. The elements of lease cost were as follows (in thousands, unless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Pr>
          <w:p>
            <w:pPr>
              <w:spacing w:after="0"/>
              <w:rPr>
                <w:sz w:val="17"/>
                <w:szCs w:val="17"/>
                <w:color w:val="auto"/>
              </w:rPr>
            </w:pPr>
          </w:p>
        </w:tc>
      </w:tr>
      <w:tr>
        <w:trPr>
          <w:trHeight w:val="202"/>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Operating leases</w:t>
            </w:r>
          </w:p>
        </w:tc>
        <w:tc>
          <w:tcPr>
            <w:tcW w:w="1460" w:type="dxa"/>
            <w:vAlign w:val="bottom"/>
          </w:tcPr>
          <w:p>
            <w:pPr>
              <w:jc w:val="right"/>
              <w:ind w:right="320"/>
              <w:spacing w:after="0"/>
              <w:rPr>
                <w:sz w:val="20"/>
                <w:szCs w:val="20"/>
                <w:color w:val="auto"/>
              </w:rPr>
            </w:pPr>
            <w:r>
              <w:rPr>
                <w:rFonts w:ascii="Arial" w:cs="Arial" w:eastAsia="Arial" w:hAnsi="Arial"/>
                <w:sz w:val="16"/>
                <w:szCs w:val="16"/>
                <w:b w:val="1"/>
                <w:bCs w:val="1"/>
                <w:color w:val="auto"/>
              </w:rPr>
              <w:t>2025</w:t>
            </w:r>
          </w:p>
        </w:tc>
        <w:tc>
          <w:tcPr>
            <w:tcW w:w="2600" w:type="dxa"/>
            <w:vAlign w:val="bottom"/>
          </w:tcPr>
          <w:p>
            <w:pPr>
              <w:jc w:val="right"/>
              <w:ind w:right="1060"/>
              <w:spacing w:after="0"/>
              <w:rPr>
                <w:sz w:val="20"/>
                <w:szCs w:val="20"/>
                <w:color w:val="auto"/>
              </w:rPr>
            </w:pPr>
            <w:r>
              <w:rPr>
                <w:rFonts w:ascii="Arial" w:cs="Arial" w:eastAsia="Arial" w:hAnsi="Arial"/>
                <w:sz w:val="16"/>
                <w:szCs w:val="16"/>
                <w:b w:val="1"/>
                <w:bCs w:val="1"/>
                <w:color w:val="auto"/>
              </w:rPr>
              <w:t>2024</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400800" cy="509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6400800" cy="509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r>
              <w:rPr>
                <w:rFonts w:ascii="Arial" w:cs="Arial" w:eastAsia="Arial" w:hAnsi="Arial"/>
                <w:sz w:val="20"/>
                <w:szCs w:val="20"/>
                <w:color w:val="auto"/>
              </w:rPr>
              <w:t>Operating lease cost</w:t>
            </w:r>
          </w:p>
        </w:tc>
        <w:tc>
          <w:tcPr>
            <w:tcW w:w="720" w:type="dxa"/>
            <w:vAlign w:val="bottom"/>
            <w:gridSpan w:val="2"/>
          </w:tcPr>
          <w:p>
            <w:pPr>
              <w:jc w:val="right"/>
              <w:ind w:right="37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6,787</w:t>
            </w:r>
          </w:p>
        </w:tc>
        <w:tc>
          <w:tcPr>
            <w:tcW w:w="280" w:type="dxa"/>
            <w:vAlign w:val="bottom"/>
          </w:tcPr>
          <w:p>
            <w:pPr>
              <w:spacing w:after="0"/>
              <w:rPr>
                <w:sz w:val="20"/>
                <w:szCs w:val="20"/>
                <w:color w:val="auto"/>
              </w:rPr>
            </w:pPr>
          </w:p>
        </w:tc>
        <w:tc>
          <w:tcPr>
            <w:tcW w:w="640" w:type="dxa"/>
            <w:vAlign w:val="bottom"/>
            <w:gridSpan w:val="2"/>
          </w:tcPr>
          <w:p>
            <w:pPr>
              <w:jc w:val="right"/>
              <w:ind w:right="363"/>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6,267</w:t>
            </w:r>
          </w:p>
        </w:tc>
        <w:tc>
          <w:tcPr>
            <w:tcW w:w="280" w:type="dxa"/>
            <w:vAlign w:val="bottom"/>
          </w:tcPr>
          <w:p>
            <w:pPr>
              <w:spacing w:after="0"/>
              <w:rPr>
                <w:sz w:val="20"/>
                <w:szCs w:val="20"/>
                <w:color w:val="auto"/>
              </w:rPr>
            </w:pPr>
          </w:p>
        </w:tc>
        <w:tc>
          <w:tcPr>
            <w:tcW w:w="640" w:type="dxa"/>
            <w:vAlign w:val="bottom"/>
            <w:gridSpan w:val="2"/>
          </w:tcPr>
          <w:p>
            <w:pPr>
              <w:jc w:val="right"/>
              <w:ind w:right="343"/>
              <w:spacing w:after="0"/>
              <w:rPr>
                <w:sz w:val="20"/>
                <w:szCs w:val="20"/>
                <w:color w:val="auto"/>
              </w:rPr>
            </w:pPr>
            <w:r>
              <w:rPr>
                <w:rFonts w:ascii="Arial" w:cs="Arial" w:eastAsia="Arial" w:hAnsi="Arial"/>
                <w:sz w:val="20"/>
                <w:szCs w:val="20"/>
                <w:color w:val="auto"/>
              </w:rPr>
              <w:t>$</w:t>
            </w:r>
          </w:p>
        </w:tc>
        <w:tc>
          <w:tcPr>
            <w:tcW w:w="950" w:type="dxa"/>
            <w:vAlign w:val="bottom"/>
          </w:tcPr>
          <w:p>
            <w:pPr>
              <w:jc w:val="right"/>
              <w:spacing w:after="0"/>
              <w:rPr>
                <w:sz w:val="20"/>
                <w:szCs w:val="20"/>
                <w:color w:val="auto"/>
              </w:rPr>
            </w:pPr>
            <w:r>
              <w:rPr>
                <w:rFonts w:ascii="Arial" w:cs="Arial" w:eastAsia="Arial" w:hAnsi="Arial"/>
                <w:sz w:val="20"/>
                <w:szCs w:val="20"/>
                <w:color w:val="auto"/>
              </w:rPr>
              <w:t>5,526</w:t>
            </w:r>
          </w:p>
        </w:tc>
        <w:tc>
          <w:tcPr>
            <w:tcW w:w="210" w:type="dxa"/>
            <w:vAlign w:val="bottom"/>
          </w:tcPr>
          <w:p>
            <w:pPr>
              <w:spacing w:after="0"/>
              <w:rPr>
                <w:sz w:val="20"/>
                <w:szCs w:val="20"/>
                <w:color w:val="auto"/>
              </w:rPr>
            </w:pPr>
          </w:p>
        </w:tc>
      </w:tr>
      <w:tr>
        <w:trPr>
          <w:trHeight w:val="249"/>
        </w:trPr>
        <w:tc>
          <w:tcPr>
            <w:tcW w:w="4500" w:type="dxa"/>
            <w:vAlign w:val="bottom"/>
          </w:tcPr>
          <w:p>
            <w:pPr>
              <w:spacing w:after="0"/>
              <w:rPr>
                <w:sz w:val="20"/>
                <w:szCs w:val="20"/>
                <w:color w:val="auto"/>
              </w:rPr>
            </w:pPr>
            <w:r>
              <w:rPr>
                <w:rFonts w:ascii="Arial" w:cs="Arial" w:eastAsia="Arial" w:hAnsi="Arial"/>
                <w:sz w:val="20"/>
                <w:szCs w:val="20"/>
                <w:color w:val="auto"/>
              </w:rPr>
              <w:t>Variable lease cost</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2,977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3,268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0" w:type="dxa"/>
            <w:vAlign w:val="bottom"/>
          </w:tcPr>
          <w:p>
            <w:pPr>
              <w:jc w:val="right"/>
              <w:spacing w:after="0"/>
              <w:rPr>
                <w:sz w:val="20"/>
                <w:szCs w:val="20"/>
                <w:color w:val="auto"/>
              </w:rPr>
            </w:pPr>
            <w:r>
              <w:rPr>
                <w:rFonts w:ascii="Arial" w:cs="Arial" w:eastAsia="Arial" w:hAnsi="Arial"/>
                <w:sz w:val="20"/>
                <w:szCs w:val="20"/>
                <w:color w:val="auto"/>
              </w:rPr>
              <w:t>3,815</w:t>
            </w:r>
          </w:p>
        </w:tc>
        <w:tc>
          <w:tcPr>
            <w:tcW w:w="210" w:type="dxa"/>
            <w:vAlign w:val="bottom"/>
          </w:tcPr>
          <w:p>
            <w:pPr>
              <w:spacing w:after="0"/>
              <w:rPr>
                <w:sz w:val="21"/>
                <w:szCs w:val="21"/>
                <w:color w:val="auto"/>
              </w:rPr>
            </w:pPr>
          </w:p>
        </w:tc>
      </w:tr>
      <w:tr>
        <w:trPr>
          <w:trHeight w:val="245"/>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Sublease Income</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(117)</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(1,495)</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(1,467)</w:t>
            </w:r>
          </w:p>
        </w:tc>
      </w:tr>
      <w:tr>
        <w:trPr>
          <w:trHeight w:val="276"/>
        </w:trPr>
        <w:tc>
          <w:tcPr>
            <w:tcW w:w="4500" w:type="dxa"/>
            <w:vAlign w:val="bottom"/>
          </w:tcPr>
          <w:p>
            <w:pPr>
              <w:ind w:left="200"/>
              <w:spacing w:after="0"/>
              <w:rPr>
                <w:sz w:val="20"/>
                <w:szCs w:val="20"/>
                <w:color w:val="auto"/>
              </w:rPr>
            </w:pPr>
            <w:r>
              <w:rPr>
                <w:rFonts w:ascii="Arial" w:cs="Arial" w:eastAsia="Arial" w:hAnsi="Arial"/>
                <w:sz w:val="20"/>
                <w:szCs w:val="20"/>
                <w:color w:val="auto"/>
              </w:rPr>
              <w:t>Total operating lease costs</w:t>
            </w:r>
          </w:p>
        </w:tc>
        <w:tc>
          <w:tcPr>
            <w:tcW w:w="720" w:type="dxa"/>
            <w:vAlign w:val="bottom"/>
            <w:gridSpan w:val="2"/>
          </w:tcPr>
          <w:p>
            <w:pPr>
              <w:jc w:val="right"/>
              <w:ind w:right="37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9,647</w:t>
            </w:r>
          </w:p>
        </w:tc>
        <w:tc>
          <w:tcPr>
            <w:tcW w:w="280" w:type="dxa"/>
            <w:vAlign w:val="bottom"/>
          </w:tcPr>
          <w:p>
            <w:pPr>
              <w:spacing w:after="0"/>
              <w:rPr>
                <w:sz w:val="24"/>
                <w:szCs w:val="24"/>
                <w:color w:val="auto"/>
              </w:rPr>
            </w:pPr>
          </w:p>
        </w:tc>
        <w:tc>
          <w:tcPr>
            <w:tcW w:w="640" w:type="dxa"/>
            <w:vAlign w:val="bottom"/>
            <w:gridSpan w:val="2"/>
          </w:tcPr>
          <w:p>
            <w:pPr>
              <w:jc w:val="right"/>
              <w:ind w:right="363"/>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8,040</w:t>
            </w:r>
          </w:p>
        </w:tc>
        <w:tc>
          <w:tcPr>
            <w:tcW w:w="280" w:type="dxa"/>
            <w:vAlign w:val="bottom"/>
          </w:tcPr>
          <w:p>
            <w:pPr>
              <w:spacing w:after="0"/>
              <w:rPr>
                <w:sz w:val="24"/>
                <w:szCs w:val="24"/>
                <w:color w:val="auto"/>
              </w:rPr>
            </w:pPr>
          </w:p>
        </w:tc>
        <w:tc>
          <w:tcPr>
            <w:tcW w:w="640" w:type="dxa"/>
            <w:vAlign w:val="bottom"/>
            <w:gridSpan w:val="2"/>
          </w:tcPr>
          <w:p>
            <w:pPr>
              <w:jc w:val="right"/>
              <w:ind w:right="363"/>
              <w:spacing w:after="0"/>
              <w:rPr>
                <w:sz w:val="20"/>
                <w:szCs w:val="20"/>
                <w:color w:val="auto"/>
              </w:rPr>
            </w:pPr>
            <w:r>
              <w:rPr>
                <w:rFonts w:ascii="Arial" w:cs="Arial" w:eastAsia="Arial" w:hAnsi="Arial"/>
                <w:sz w:val="20"/>
                <w:szCs w:val="20"/>
                <w:color w:val="auto"/>
              </w:rPr>
              <w:t>$</w:t>
            </w:r>
          </w:p>
        </w:tc>
        <w:tc>
          <w:tcPr>
            <w:tcW w:w="950" w:type="dxa"/>
            <w:vAlign w:val="bottom"/>
          </w:tcPr>
          <w:p>
            <w:pPr>
              <w:jc w:val="right"/>
              <w:spacing w:after="0"/>
              <w:rPr>
                <w:sz w:val="20"/>
                <w:szCs w:val="20"/>
                <w:color w:val="auto"/>
              </w:rPr>
            </w:pPr>
            <w:r>
              <w:rPr>
                <w:rFonts w:ascii="Arial" w:cs="Arial" w:eastAsia="Arial" w:hAnsi="Arial"/>
                <w:sz w:val="20"/>
                <w:szCs w:val="20"/>
                <w:color w:val="auto"/>
              </w:rPr>
              <w:t>7,874</w:t>
            </w:r>
          </w:p>
        </w:tc>
        <w:tc>
          <w:tcPr>
            <w:tcW w:w="210" w:type="dxa"/>
            <w:vAlign w:val="bottom"/>
          </w:tcPr>
          <w:p>
            <w:pPr>
              <w:spacing w:after="0"/>
              <w:rPr>
                <w:sz w:val="24"/>
                <w:szCs w:val="24"/>
                <w:color w:val="auto"/>
              </w:rPr>
            </w:pPr>
          </w:p>
        </w:tc>
      </w:tr>
      <w:tr>
        <w:trPr>
          <w:trHeight w:val="516"/>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information</w:t>
            </w:r>
          </w:p>
        </w:tc>
        <w:tc>
          <w:tcPr>
            <w:tcW w:w="160" w:type="dxa"/>
            <w:vAlign w:val="bottom"/>
            <w:tcBorders>
              <w:bottom w:val="single" w:sz="8" w:color="CFF0FC"/>
            </w:tcBorders>
          </w:tcPr>
          <w:p>
            <w:pPr>
              <w:spacing w:after="0"/>
              <w:rPr>
                <w:sz w:val="24"/>
                <w:szCs w:val="24"/>
                <w:color w:val="auto"/>
              </w:rPr>
            </w:pPr>
          </w:p>
        </w:tc>
        <w:tc>
          <w:tcPr>
            <w:tcW w:w="1760" w:type="dxa"/>
            <w:vAlign w:val="bottom"/>
            <w:tcBorders>
              <w:bottom w:val="single" w:sz="8" w:color="CFF0FC"/>
            </w:tcBorders>
            <w:gridSpan w:val="3"/>
          </w:tcPr>
          <w:p>
            <w:pPr>
              <w:jc w:val="right"/>
              <w:ind w:right="380"/>
              <w:spacing w:after="0"/>
              <w:rPr>
                <w:sz w:val="20"/>
                <w:szCs w:val="20"/>
                <w:color w:val="auto"/>
              </w:rPr>
            </w:pPr>
            <w:r>
              <w:rPr>
                <w:rFonts w:ascii="Arial" w:cs="Arial" w:eastAsia="Arial" w:hAnsi="Arial"/>
                <w:sz w:val="16"/>
                <w:szCs w:val="16"/>
                <w:b w:val="1"/>
                <w:bCs w:val="1"/>
                <w:color w:val="auto"/>
                <w:w w:val="94"/>
              </w:rPr>
              <w:t>December 31, 2025</w:t>
            </w:r>
          </w:p>
        </w:tc>
        <w:tc>
          <w:tcPr>
            <w:tcW w:w="120" w:type="dxa"/>
            <w:vAlign w:val="bottom"/>
            <w:tcBorders>
              <w:bottom w:val="single" w:sz="8" w:color="CFF0FC"/>
            </w:tcBorders>
          </w:tcPr>
          <w:p>
            <w:pPr>
              <w:spacing w:after="0"/>
              <w:rPr>
                <w:sz w:val="24"/>
                <w:szCs w:val="24"/>
                <w:color w:val="auto"/>
              </w:rPr>
            </w:pPr>
          </w:p>
        </w:tc>
        <w:tc>
          <w:tcPr>
            <w:tcW w:w="1740" w:type="dxa"/>
            <w:vAlign w:val="bottom"/>
            <w:tcBorders>
              <w:bottom w:val="single" w:sz="8" w:color="CFF0FC"/>
            </w:tcBorders>
            <w:gridSpan w:val="3"/>
          </w:tcPr>
          <w:p>
            <w:pPr>
              <w:jc w:val="right"/>
              <w:ind w:right="380"/>
              <w:spacing w:after="0"/>
              <w:rPr>
                <w:sz w:val="20"/>
                <w:szCs w:val="20"/>
                <w:color w:val="auto"/>
              </w:rPr>
            </w:pPr>
            <w:r>
              <w:rPr>
                <w:rFonts w:ascii="Arial" w:cs="Arial" w:eastAsia="Arial" w:hAnsi="Arial"/>
                <w:sz w:val="16"/>
                <w:szCs w:val="16"/>
                <w:b w:val="1"/>
                <w:bCs w:val="1"/>
                <w:color w:val="auto"/>
                <w:w w:val="92"/>
              </w:rPr>
              <w:t>December 31, 2024</w:t>
            </w:r>
          </w:p>
        </w:tc>
        <w:tc>
          <w:tcPr>
            <w:tcW w:w="120" w:type="dxa"/>
            <w:vAlign w:val="bottom"/>
            <w:tcBorders>
              <w:bottom w:val="single" w:sz="8" w:color="CFF0FC"/>
            </w:tcBorders>
          </w:tcPr>
          <w:p>
            <w:pPr>
              <w:spacing w:after="0"/>
              <w:rPr>
                <w:sz w:val="24"/>
                <w:szCs w:val="24"/>
                <w:color w:val="auto"/>
              </w:rPr>
            </w:pPr>
          </w:p>
        </w:tc>
        <w:tc>
          <w:tcPr>
            <w:tcW w:w="1680" w:type="dxa"/>
            <w:vAlign w:val="bottom"/>
            <w:tcBorders>
              <w:bottom w:val="single" w:sz="8" w:color="CFF0FC"/>
            </w:tcBorders>
            <w:gridSpan w:val="3"/>
          </w:tcPr>
          <w:p>
            <w:pPr>
              <w:jc w:val="right"/>
              <w:ind w:right="320"/>
              <w:spacing w:after="0"/>
              <w:rPr>
                <w:sz w:val="20"/>
                <w:szCs w:val="20"/>
                <w:color w:val="auto"/>
              </w:rPr>
            </w:pPr>
            <w:r>
              <w:rPr>
                <w:rFonts w:ascii="Arial" w:cs="Arial" w:eastAsia="Arial" w:hAnsi="Arial"/>
                <w:sz w:val="16"/>
                <w:szCs w:val="16"/>
                <w:b w:val="1"/>
                <w:bCs w:val="1"/>
                <w:color w:val="auto"/>
                <w:w w:val="92"/>
              </w:rPr>
              <w:t>December 31, 2023</w:t>
            </w:r>
          </w:p>
        </w:tc>
      </w:tr>
      <w:tr>
        <w:trPr>
          <w:trHeight w:val="238"/>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Operating cash flows used for operating leases</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5,603</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63"/>
              <w:spacing w:after="0"/>
              <w:rPr>
                <w:sz w:val="20"/>
                <w:szCs w:val="20"/>
                <w:color w:val="auto"/>
              </w:rPr>
            </w:pPr>
            <w:r>
              <w:rPr>
                <w:rFonts w:ascii="Arial" w:cs="Arial" w:eastAsia="Arial" w:hAnsi="Arial"/>
                <w:sz w:val="15"/>
                <w:szCs w:val="15"/>
                <w:color w:val="auto"/>
                <w:w w:val="71"/>
              </w:rPr>
              <w:t>$</w:t>
            </w:r>
          </w:p>
        </w:tc>
        <w:tc>
          <w:tcPr>
            <w:tcW w:w="9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5,188</w:t>
            </w:r>
          </w:p>
        </w:tc>
        <w:tc>
          <w:tcPr>
            <w:tcW w:w="210" w:type="dxa"/>
            <w:vAlign w:val="bottom"/>
            <w:shd w:val="clear" w:color="auto" w:fill="CFF0FC"/>
          </w:tcPr>
          <w:p>
            <w:pPr>
              <w:spacing w:after="0"/>
              <w:rPr>
                <w:sz w:val="20"/>
                <w:szCs w:val="20"/>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20"/>
                <w:szCs w:val="20"/>
                <w:color w:val="auto"/>
              </w:rPr>
              <w:t>Weighted average remaining lease term in years</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0" w:type="dxa"/>
            <w:vAlign w:val="bottom"/>
          </w:tcPr>
          <w:p>
            <w:pPr>
              <w:jc w:val="right"/>
              <w:spacing w:after="0"/>
              <w:rPr>
                <w:sz w:val="20"/>
                <w:szCs w:val="20"/>
                <w:color w:val="auto"/>
              </w:rPr>
            </w:pPr>
            <w:r>
              <w:rPr>
                <w:rFonts w:ascii="Arial" w:cs="Arial" w:eastAsia="Arial" w:hAnsi="Arial"/>
                <w:sz w:val="20"/>
                <w:szCs w:val="20"/>
                <w:color w:val="auto"/>
              </w:rPr>
              <w:t>9.1</w:t>
            </w:r>
          </w:p>
        </w:tc>
        <w:tc>
          <w:tcPr>
            <w:tcW w:w="210" w:type="dxa"/>
            <w:vAlign w:val="bottom"/>
          </w:tcPr>
          <w:p>
            <w:pPr>
              <w:spacing w:after="0"/>
              <w:rPr>
                <w:sz w:val="21"/>
                <w:szCs w:val="21"/>
                <w:color w:val="auto"/>
              </w:rPr>
            </w:pPr>
          </w:p>
        </w:tc>
      </w:tr>
      <w:tr>
        <w:trPr>
          <w:trHeight w:val="245"/>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Weighted average discount rate</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8%</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-487045</wp:posOffset>
            </wp:positionV>
            <wp:extent cx="332930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3329305" cy="3556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-824865</wp:posOffset>
            </wp:positionV>
            <wp:extent cx="3328670" cy="53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3328670" cy="53340"/>
                    </a:xfrm>
                    <a:prstGeom prst="rect">
                      <a:avLst/>
                    </a:prstGeom>
                    <a:noFill/>
                  </pic:spPr>
                </pic:pic>
              </a:graphicData>
            </a:graphic>
          </wp:anchor>
        </w:drawing>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Future minimum lease payments due under operating leases are as follows (in thousands):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Future minimum</w:t>
            </w:r>
          </w:p>
        </w:tc>
      </w:tr>
      <w:tr>
        <w:trPr>
          <w:trHeight w:val="202"/>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0" w:type="dxa"/>
            <w:vAlign w:val="bottom"/>
            <w:tcBorders>
              <w:bottom w:val="single" w:sz="8" w:color="CFF0FC"/>
            </w:tcBorders>
            <w:gridSpan w:val="2"/>
          </w:tcPr>
          <w:p>
            <w:pPr>
              <w:jc w:val="center"/>
              <w:ind w:right="220"/>
              <w:spacing w:after="0"/>
              <w:rPr>
                <w:sz w:val="20"/>
                <w:szCs w:val="20"/>
                <w:color w:val="auto"/>
              </w:rPr>
            </w:pPr>
            <w:r>
              <w:rPr>
                <w:rFonts w:ascii="Arial" w:cs="Arial" w:eastAsia="Arial" w:hAnsi="Arial"/>
                <w:sz w:val="16"/>
                <w:szCs w:val="16"/>
                <w:b w:val="1"/>
                <w:bCs w:val="1"/>
                <w:color w:val="auto"/>
                <w:w w:val="85"/>
              </w:rPr>
              <w:t>lease payments</w:t>
            </w:r>
          </w:p>
        </w:tc>
      </w:tr>
      <w:tr>
        <w:trPr>
          <w:trHeight w:val="239"/>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2026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5,308</w:t>
            </w:r>
          </w:p>
        </w:tc>
        <w:tc>
          <w:tcPr>
            <w:tcW w:w="100" w:type="dxa"/>
            <w:vAlign w:val="bottom"/>
            <w:shd w:val="clear" w:color="auto" w:fill="CFF0FC"/>
          </w:tcPr>
          <w:p>
            <w:pPr>
              <w:spacing w:after="0"/>
              <w:rPr>
                <w:sz w:val="20"/>
                <w:szCs w:val="20"/>
                <w:color w:val="auto"/>
              </w:rPr>
            </w:pPr>
          </w:p>
        </w:tc>
      </w:tr>
      <w:tr>
        <w:trPr>
          <w:trHeight w:val="244"/>
        </w:trPr>
        <w:tc>
          <w:tcPr>
            <w:tcW w:w="6420" w:type="dxa"/>
            <w:vAlign w:val="bottom"/>
          </w:tcPr>
          <w:p>
            <w:pPr>
              <w:spacing w:after="0"/>
              <w:rPr>
                <w:sz w:val="20"/>
                <w:szCs w:val="20"/>
                <w:color w:val="auto"/>
              </w:rPr>
            </w:pPr>
            <w:r>
              <w:rPr>
                <w:rFonts w:ascii="Arial" w:cs="Arial" w:eastAsia="Arial" w:hAnsi="Arial"/>
                <w:sz w:val="20"/>
                <w:szCs w:val="20"/>
                <w:color w:val="auto"/>
              </w:rPr>
              <w:t>2027</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5,949</w:t>
            </w:r>
          </w:p>
        </w:tc>
        <w:tc>
          <w:tcPr>
            <w:tcW w:w="100" w:type="dxa"/>
            <w:vAlign w:val="bottom"/>
          </w:tcPr>
          <w:p>
            <w:pPr>
              <w:spacing w:after="0"/>
              <w:rPr>
                <w:sz w:val="21"/>
                <w:szCs w:val="21"/>
                <w:color w:val="auto"/>
              </w:rPr>
            </w:pPr>
          </w:p>
        </w:tc>
      </w:tr>
      <w:tr>
        <w:trPr>
          <w:trHeight w:val="245"/>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2028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6,128</w:t>
            </w:r>
          </w:p>
        </w:tc>
        <w:tc>
          <w:tcPr>
            <w:tcW w:w="100" w:type="dxa"/>
            <w:vAlign w:val="bottom"/>
            <w:shd w:val="clear" w:color="auto" w:fill="CFF0FC"/>
          </w:tcPr>
          <w:p>
            <w:pPr>
              <w:spacing w:after="0"/>
              <w:rPr>
                <w:sz w:val="21"/>
                <w:szCs w:val="21"/>
                <w:color w:val="auto"/>
              </w:rPr>
            </w:pPr>
          </w:p>
        </w:tc>
      </w:tr>
      <w:tr>
        <w:trPr>
          <w:trHeight w:val="244"/>
        </w:trPr>
        <w:tc>
          <w:tcPr>
            <w:tcW w:w="6420" w:type="dxa"/>
            <w:vAlign w:val="bottom"/>
          </w:tcPr>
          <w:p>
            <w:pPr>
              <w:spacing w:after="0"/>
              <w:rPr>
                <w:sz w:val="20"/>
                <w:szCs w:val="20"/>
                <w:color w:val="auto"/>
              </w:rPr>
            </w:pPr>
            <w:r>
              <w:rPr>
                <w:rFonts w:ascii="Arial" w:cs="Arial" w:eastAsia="Arial" w:hAnsi="Arial"/>
                <w:sz w:val="20"/>
                <w:szCs w:val="20"/>
                <w:color w:val="auto"/>
              </w:rPr>
              <w:t>2029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6,312</w:t>
            </w:r>
          </w:p>
        </w:tc>
        <w:tc>
          <w:tcPr>
            <w:tcW w:w="100" w:type="dxa"/>
            <w:vAlign w:val="bottom"/>
          </w:tcPr>
          <w:p>
            <w:pPr>
              <w:spacing w:after="0"/>
              <w:rPr>
                <w:sz w:val="21"/>
                <w:szCs w:val="21"/>
                <w:color w:val="auto"/>
              </w:rPr>
            </w:pPr>
          </w:p>
        </w:tc>
      </w:tr>
      <w:tr>
        <w:trPr>
          <w:trHeight w:val="245"/>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Thereafter</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20,670</w:t>
            </w:r>
          </w:p>
        </w:tc>
        <w:tc>
          <w:tcPr>
            <w:tcW w:w="100" w:type="dxa"/>
            <w:vAlign w:val="bottom"/>
            <w:shd w:val="clear" w:color="auto" w:fill="CFF0FC"/>
          </w:tcPr>
          <w:p>
            <w:pPr>
              <w:spacing w:after="0"/>
              <w:rPr>
                <w:sz w:val="21"/>
                <w:szCs w:val="21"/>
                <w:color w:val="auto"/>
              </w:rPr>
            </w:pPr>
          </w:p>
        </w:tc>
      </w:tr>
      <w:tr>
        <w:trPr>
          <w:trHeight w:val="258"/>
        </w:trPr>
        <w:tc>
          <w:tcPr>
            <w:tcW w:w="6420" w:type="dxa"/>
            <w:vAlign w:val="bottom"/>
          </w:tcPr>
          <w:p>
            <w:pPr>
              <w:ind w:left="200"/>
              <w:spacing w:after="0"/>
              <w:rPr>
                <w:sz w:val="20"/>
                <w:szCs w:val="20"/>
                <w:color w:val="auto"/>
              </w:rPr>
            </w:pPr>
            <w:r>
              <w:rPr>
                <w:rFonts w:ascii="Arial" w:cs="Arial" w:eastAsia="Arial" w:hAnsi="Arial"/>
                <w:sz w:val="20"/>
                <w:szCs w:val="20"/>
                <w:color w:val="auto"/>
              </w:rPr>
              <w:t>Total lease payments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44,367</w:t>
            </w:r>
          </w:p>
        </w:tc>
        <w:tc>
          <w:tcPr>
            <w:tcW w:w="100" w:type="dxa"/>
            <w:vAlign w:val="bottom"/>
          </w:tcPr>
          <w:p>
            <w:pPr>
              <w:spacing w:after="0"/>
              <w:rPr>
                <w:sz w:val="22"/>
                <w:szCs w:val="22"/>
                <w:color w:val="auto"/>
              </w:rPr>
            </w:pPr>
          </w:p>
        </w:tc>
      </w:tr>
      <w:tr>
        <w:trPr>
          <w:trHeight w:val="245"/>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Less: imputed interest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(10,797)</w:t>
            </w:r>
          </w:p>
        </w:tc>
        <w:tc>
          <w:tcPr>
            <w:tcW w:w="100" w:type="dxa"/>
            <w:vAlign w:val="bottom"/>
            <w:shd w:val="clear" w:color="auto" w:fill="CFF0FC"/>
          </w:tcPr>
          <w:p>
            <w:pPr>
              <w:spacing w:after="0"/>
              <w:rPr>
                <w:sz w:val="21"/>
                <w:szCs w:val="21"/>
                <w:color w:val="auto"/>
              </w:rPr>
            </w:pPr>
          </w:p>
        </w:tc>
      </w:tr>
      <w:tr>
        <w:trPr>
          <w:trHeight w:val="259"/>
        </w:trPr>
        <w:tc>
          <w:tcPr>
            <w:tcW w:w="6420" w:type="dxa"/>
            <w:vAlign w:val="bottom"/>
          </w:tcPr>
          <w:p>
            <w:pPr>
              <w:ind w:left="200"/>
              <w:spacing w:after="0"/>
              <w:rPr>
                <w:sz w:val="20"/>
                <w:szCs w:val="20"/>
                <w:color w:val="auto"/>
              </w:rPr>
            </w:pPr>
            <w:r>
              <w:rPr>
                <w:rFonts w:ascii="Arial" w:cs="Arial" w:eastAsia="Arial" w:hAnsi="Arial"/>
                <w:sz w:val="20"/>
                <w:szCs w:val="20"/>
                <w:color w:val="auto"/>
              </w:rPr>
              <w:t>Total operating lease liabilities</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33,570</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-1280795</wp:posOffset>
            </wp:positionV>
            <wp:extent cx="922020" cy="8204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922020" cy="82042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-177165</wp:posOffset>
            </wp:positionV>
            <wp:extent cx="922020" cy="2006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922020" cy="200660"/>
                    </a:xfrm>
                    <a:prstGeom prst="rect">
                      <a:avLst/>
                    </a:prstGeom>
                    <a:noFill/>
                  </pic:spPr>
                </pic:pic>
              </a:graphicData>
            </a:graphic>
          </wp:anchor>
        </w:drawing>
      </w:r>
    </w:p>
    <w:p>
      <w:pPr>
        <w:sectPr>
          <w:pgSz w:w="12240" w:h="15840" w:orient="portrait"/>
          <w:cols w:equalWidth="0" w:num="1">
            <w:col w:w="10080"/>
          </w:cols>
          <w:pgMar w:left="1080" w:top="1060" w:right="1080" w:bottom="21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2240" w:h="15840" w:orient="portrait"/>
          <w:cols w:equalWidth="0" w:num="1">
            <w:col w:w="10080"/>
          </w:cols>
          <w:pgMar w:left="1080" w:top="1060" w:right="1080" w:bottom="210" w:gutter="0" w:footer="0" w:header="0"/>
          <w:type w:val="continuous"/>
        </w:sectPr>
      </w:pPr>
    </w:p>
    <w:bookmarkStart w:id="128" w:name="page129"/>
    <w:bookmarkEnd w:id="128"/>
    <w:p>
      <w:pPr>
        <w:ind w:left="480" w:right="7020" w:hanging="480"/>
        <w:spacing w:after="0" w:line="578" w:lineRule="auto"/>
        <w:tabs>
          <w:tab w:leader="none" w:pos="19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 xml:space="preserve">License and Other Agreements </w:t>
      </w:r>
      <w:r>
        <w:rPr>
          <w:rFonts w:ascii="Arial" w:cs="Arial" w:eastAsia="Arial" w:hAnsi="Arial"/>
          <w:sz w:val="17"/>
          <w:szCs w:val="17"/>
          <w:i w:val="1"/>
          <w:iCs w:val="1"/>
          <w:color w:val="auto"/>
        </w:rPr>
        <w:t>Sesame Therapeutics, Inc.</w:t>
      </w:r>
    </w:p>
    <w:p>
      <w:pPr>
        <w:spacing w:after="0" w:line="2" w:lineRule="exact"/>
        <w:rPr>
          <w:sz w:val="20"/>
          <w:szCs w:val="20"/>
          <w:color w:val="auto"/>
        </w:rPr>
      </w:pPr>
    </w:p>
    <w:p>
      <w:pPr>
        <w:ind w:firstLine="490"/>
        <w:spacing w:after="0" w:line="275" w:lineRule="auto"/>
        <w:rPr>
          <w:sz w:val="20"/>
          <w:szCs w:val="20"/>
          <w:color w:val="auto"/>
        </w:rPr>
      </w:pPr>
      <w:r>
        <w:rPr>
          <w:rFonts w:ascii="Arial" w:cs="Arial" w:eastAsia="Arial" w:hAnsi="Arial"/>
          <w:sz w:val="18"/>
          <w:szCs w:val="18"/>
          <w:color w:val="auto"/>
        </w:rPr>
        <w:t>In August 2023, the Company received an inconsequential equity stake in Sesame Therapeutics, Inc. (Sesame), a related party, in exchange for providing lab space and resources for the early phases of company development. The Company concluded that the common stock investment should be accounted for as an equity investment. Sesame's common stock is not exchange-traded and does not have a readily determinable fair value. Therefore, the Company accounts for the common stock investment under the measurement alternative for equity investments that do not have a readily determinable fair value. During 2025, an observable price change event occurred, resulting in the $0.5 million increase in fair value recognized related to the common stock investment as a result of the application of the measurement alternative. As of December 31, 2025, the cost of the investment in Sesame’s common stock was $0.5 million, including immaterial transaction costs, and was recorded as an equity investment within Other assets on the consolidated balance sheets.</w:t>
      </w:r>
    </w:p>
    <w:p>
      <w:pPr>
        <w:spacing w:after="0" w:line="175" w:lineRule="exact"/>
        <w:rPr>
          <w:sz w:val="20"/>
          <w:szCs w:val="20"/>
          <w:color w:val="auto"/>
        </w:rPr>
      </w:pPr>
    </w:p>
    <w:p>
      <w:pPr>
        <w:ind w:right="120" w:firstLine="490"/>
        <w:spacing w:after="0" w:line="300" w:lineRule="auto"/>
        <w:rPr>
          <w:sz w:val="20"/>
          <w:szCs w:val="20"/>
          <w:color w:val="auto"/>
        </w:rPr>
      </w:pPr>
      <w:r>
        <w:rPr>
          <w:rFonts w:ascii="Arial" w:cs="Arial" w:eastAsia="Arial" w:hAnsi="Arial"/>
          <w:sz w:val="18"/>
          <w:szCs w:val="18"/>
          <w:color w:val="auto"/>
        </w:rPr>
        <w:t>In June 2024, the Company and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w:t>
      </w:r>
    </w:p>
    <w:p>
      <w:pPr>
        <w:spacing w:after="0" w:line="154" w:lineRule="exact"/>
        <w:rPr>
          <w:sz w:val="20"/>
          <w:szCs w:val="20"/>
          <w:color w:val="auto"/>
        </w:rPr>
      </w:pPr>
    </w:p>
    <w:p>
      <w:pPr>
        <w:ind w:right="280" w:firstLine="490"/>
        <w:spacing w:after="0" w:line="258" w:lineRule="auto"/>
        <w:rPr>
          <w:sz w:val="20"/>
          <w:szCs w:val="20"/>
          <w:color w:val="auto"/>
        </w:rPr>
      </w:pPr>
      <w:r>
        <w:rPr>
          <w:rFonts w:ascii="Arial" w:cs="Arial" w:eastAsia="Arial" w:hAnsi="Arial"/>
          <w:sz w:val="20"/>
          <w:szCs w:val="20"/>
          <w:color w:val="auto"/>
        </w:rPr>
        <w:t>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88" w:lineRule="exact"/>
        <w:rPr>
          <w:sz w:val="20"/>
          <w:szCs w:val="20"/>
          <w:color w:val="auto"/>
        </w:rPr>
      </w:pPr>
    </w:p>
    <w:p>
      <w:pPr>
        <w:ind w:right="280" w:firstLine="490"/>
        <w:spacing w:after="0" w:line="249" w:lineRule="auto"/>
        <w:rPr>
          <w:sz w:val="20"/>
          <w:szCs w:val="20"/>
          <w:color w:val="auto"/>
        </w:rPr>
      </w:pPr>
      <w:r>
        <w:rPr>
          <w:rFonts w:ascii="Arial" w:cs="Arial" w:eastAsia="Arial" w:hAnsi="Arial"/>
          <w:sz w:val="20"/>
          <w:szCs w:val="20"/>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97" w:lineRule="exact"/>
        <w:rPr>
          <w:sz w:val="20"/>
          <w:szCs w:val="20"/>
          <w:color w:val="auto"/>
        </w:rPr>
      </w:pPr>
    </w:p>
    <w:p>
      <w:pPr>
        <w:ind w:right="160" w:firstLine="490"/>
        <w:spacing w:after="0" w:line="261" w:lineRule="auto"/>
        <w:rPr>
          <w:sz w:val="20"/>
          <w:szCs w:val="20"/>
          <w:color w:val="auto"/>
        </w:rPr>
      </w:pPr>
      <w:r>
        <w:rPr>
          <w:rFonts w:ascii="Arial" w:cs="Arial" w:eastAsia="Arial" w:hAnsi="Arial"/>
          <w:sz w:val="19"/>
          <w:szCs w:val="19"/>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87" w:lineRule="exact"/>
        <w:rPr>
          <w:sz w:val="20"/>
          <w:szCs w:val="20"/>
          <w:color w:val="auto"/>
        </w:rPr>
      </w:pPr>
    </w:p>
    <w:p>
      <w:pPr>
        <w:ind w:right="40" w:firstLine="490"/>
        <w:spacing w:after="0" w:line="252" w:lineRule="auto"/>
        <w:rPr>
          <w:sz w:val="20"/>
          <w:szCs w:val="20"/>
          <w:color w:val="auto"/>
        </w:rPr>
      </w:pPr>
      <w:r>
        <w:rPr>
          <w:rFonts w:ascii="Arial" w:cs="Arial" w:eastAsia="Arial" w:hAnsi="Arial"/>
          <w:sz w:val="20"/>
          <w:szCs w:val="20"/>
          <w:color w:val="auto"/>
        </w:rPr>
        <w:t>In August 2025, the Company and Sesame entered into a use and occupancy sub-lease of office and laboratory space at 201 Brookline Avenue in Boston, Massachusetts. The sub-lease has a term of 17-months with an option to extend for one additional six-month period. Total sub-lease payments from Sesame to the Company will approximate $0.4 million over the term of the sub-lease agreement.</w:t>
      </w:r>
    </w:p>
    <w:p>
      <w:pPr>
        <w:spacing w:after="0" w:line="193" w:lineRule="exact"/>
        <w:rPr>
          <w:sz w:val="20"/>
          <w:szCs w:val="20"/>
          <w:color w:val="auto"/>
        </w:rPr>
      </w:pPr>
    </w:p>
    <w:p>
      <w:pPr>
        <w:ind w:right="40" w:firstLine="490"/>
        <w:spacing w:after="0" w:line="278" w:lineRule="auto"/>
        <w:rPr>
          <w:sz w:val="20"/>
          <w:szCs w:val="20"/>
          <w:color w:val="auto"/>
        </w:rPr>
      </w:pPr>
      <w:r>
        <w:rPr>
          <w:rFonts w:ascii="Arial" w:cs="Arial" w:eastAsia="Arial" w:hAnsi="Arial"/>
          <w:sz w:val="20"/>
          <w:szCs w:val="20"/>
          <w:color w:val="auto"/>
        </w:rPr>
        <w:t>Due to common relationships amongst members of management and the boards of directors, the transaction above with Sesame is a related party transaction.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Medivir AB</w:t>
      </w:r>
    </w:p>
    <w:p>
      <w:pPr>
        <w:spacing w:after="0" w:line="237" w:lineRule="exact"/>
        <w:rPr>
          <w:sz w:val="20"/>
          <w:szCs w:val="20"/>
          <w:color w:val="auto"/>
        </w:rPr>
      </w:pPr>
    </w:p>
    <w:p>
      <w:pPr>
        <w:ind w:right="100" w:firstLine="490"/>
        <w:spacing w:after="0" w:line="252" w:lineRule="auto"/>
        <w:rPr>
          <w:sz w:val="20"/>
          <w:szCs w:val="20"/>
          <w:color w:val="auto"/>
        </w:rPr>
      </w:pPr>
      <w:r>
        <w:rPr>
          <w:rFonts w:ascii="Arial" w:cs="Arial" w:eastAsia="Arial" w:hAnsi="Arial"/>
          <w:sz w:val="20"/>
          <w:szCs w:val="20"/>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94" w:lineRule="exact"/>
        <w:rPr>
          <w:sz w:val="20"/>
          <w:szCs w:val="20"/>
          <w:color w:val="auto"/>
        </w:rPr>
      </w:pPr>
    </w:p>
    <w:p>
      <w:pPr>
        <w:ind w:right="100" w:firstLine="490"/>
        <w:spacing w:after="0" w:line="284" w:lineRule="auto"/>
        <w:rPr>
          <w:sz w:val="20"/>
          <w:szCs w:val="20"/>
          <w:color w:val="auto"/>
        </w:rPr>
      </w:pPr>
      <w:r>
        <w:rPr>
          <w:rFonts w:ascii="Arial" w:cs="Arial" w:eastAsia="Arial" w:hAnsi="Arial"/>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F-21</w:t>
      </w:r>
    </w:p>
    <w:p>
      <w:pPr>
        <w:sectPr>
          <w:pgSz w:w="12240" w:h="15840" w:orient="portrait"/>
          <w:cols w:equalWidth="0" w:num="1">
            <w:col w:w="10060"/>
          </w:cols>
          <w:pgMar w:left="1080" w:top="1056" w:right="1100" w:bottom="175" w:gutter="0" w:footer="0" w:header="0"/>
        </w:sectPr>
      </w:pPr>
    </w:p>
    <w:bookmarkStart w:id="129" w:name="page130"/>
    <w:bookmarkEnd w:id="129"/>
    <w:p>
      <w:pPr>
        <w:ind w:right="40"/>
        <w:spacing w:after="0" w:line="278" w:lineRule="auto"/>
        <w:rPr>
          <w:sz w:val="20"/>
          <w:szCs w:val="20"/>
          <w:color w:val="auto"/>
        </w:rPr>
      </w:pPr>
      <w:r>
        <w:rPr>
          <w:rFonts w:ascii="Arial" w:cs="Arial" w:eastAsia="Arial" w:hAnsi="Arial"/>
          <w:sz w:val="18"/>
          <w:szCs w:val="18"/>
          <w:color w:val="auto"/>
        </w:rPr>
        <w:t>$5.0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Upfront fees paid pursuant to the Medivir License Agreement were recorded to research and development expense.</w:t>
      </w:r>
    </w:p>
    <w:p>
      <w:pPr>
        <w:spacing w:after="0" w:line="263" w:lineRule="exact"/>
        <w:rPr>
          <w:sz w:val="20"/>
          <w:szCs w:val="20"/>
          <w:color w:val="auto"/>
        </w:rPr>
      </w:pPr>
    </w:p>
    <w:p>
      <w:pPr>
        <w:ind w:right="40" w:firstLine="562"/>
        <w:spacing w:after="0" w:line="258" w:lineRule="auto"/>
        <w:rPr>
          <w:sz w:val="20"/>
          <w:szCs w:val="20"/>
          <w:color w:val="auto"/>
        </w:rPr>
      </w:pPr>
      <w:r>
        <w:rPr>
          <w:rFonts w:ascii="Arial" w:cs="Arial" w:eastAsia="Arial" w:hAnsi="Arial"/>
          <w:sz w:val="20"/>
          <w:szCs w:val="20"/>
          <w:color w:val="auto"/>
        </w:rPr>
        <w:t>In May 2024, we made the decision to discontinue further development of TNG348, the basis of our USP1 program, due to liver toxicity experienced by patients in the dose escalation portion of the Phase1/2 clinical trial. In February 2026, the Medivir Agreement was terminated.</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Consulting Agreement</w:t>
      </w:r>
    </w:p>
    <w:p>
      <w:pPr>
        <w:spacing w:after="0" w:line="240" w:lineRule="exact"/>
        <w:rPr>
          <w:sz w:val="20"/>
          <w:szCs w:val="20"/>
          <w:color w:val="auto"/>
        </w:rPr>
      </w:pPr>
    </w:p>
    <w:p>
      <w:pPr>
        <w:ind w:right="40" w:firstLine="562"/>
        <w:spacing w:after="0" w:line="244" w:lineRule="auto"/>
        <w:rPr>
          <w:sz w:val="20"/>
          <w:szCs w:val="20"/>
          <w:color w:val="auto"/>
        </w:rPr>
      </w:pPr>
      <w:r>
        <w:rPr>
          <w:rFonts w:ascii="Arial" w:cs="Arial" w:eastAsia="Arial" w:hAnsi="Arial"/>
          <w:sz w:val="20"/>
          <w:szCs w:val="20"/>
          <w:color w:val="auto"/>
        </w:rPr>
        <w:t xml:space="preserve">In October 2025, the Company and Malte Peters, M.D. entered into a consulting agreement to support the Company's work on key initiatives related to the initiation of the planned pivotal study in second line pancreatic cancer, anticipated to start in 2026, and advancing our late-stage development capabilities. Dr. Peters, who also served on the Tango Board of Directors, has significant late-stage clinical development expertise, having brought multiple oncology products to market. In exchange for his consulting services, Dr. Peters will receive compensation of (i) $36,000 per calendar month and (ii) an equity grant of 150,000 non-qualified stock options. Due to Dr. Peters maintaining a position on the Board of Directors at the time of the consulting agreement execution, the compensation related to the agreed-upon consulting services is deemed a related party transaction. Dr. Peters </w:t>
      </w:r>
      <w:r>
        <w:rPr>
          <w:rFonts w:ascii="Arial" w:cs="Arial" w:eastAsia="Arial" w:hAnsi="Arial"/>
          <w:sz w:val="19"/>
          <w:szCs w:val="19"/>
          <w:color w:val="auto"/>
        </w:rPr>
        <w:t>was appointed as the Company’s President and Chief Executive Officer on January 8,</w:t>
      </w:r>
      <w:r>
        <w:rPr>
          <w:rFonts w:ascii="Arial" w:cs="Arial" w:eastAsia="Arial" w:hAnsi="Arial"/>
          <w:sz w:val="20"/>
          <w:szCs w:val="20"/>
          <w:color w:val="auto"/>
        </w:rPr>
        <w:t xml:space="preserve"> </w:t>
      </w:r>
      <w:r>
        <w:rPr>
          <w:rFonts w:ascii="Arial" w:cs="Arial" w:eastAsia="Arial" w:hAnsi="Arial"/>
          <w:sz w:val="19"/>
          <w:szCs w:val="19"/>
          <w:color w:val="auto"/>
        </w:rPr>
        <w:t>2026.</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Clinical Trial Collaboration and Supply Agreements</w:t>
      </w:r>
    </w:p>
    <w:p>
      <w:pPr>
        <w:spacing w:after="0" w:line="228" w:lineRule="exact"/>
        <w:rPr>
          <w:sz w:val="20"/>
          <w:szCs w:val="20"/>
          <w:color w:val="auto"/>
        </w:rPr>
      </w:pPr>
    </w:p>
    <w:p>
      <w:pPr>
        <w:ind w:right="80" w:firstLine="720"/>
        <w:spacing w:after="0" w:line="278" w:lineRule="auto"/>
        <w:rPr>
          <w:sz w:val="20"/>
          <w:szCs w:val="20"/>
          <w:color w:val="auto"/>
        </w:rPr>
      </w:pPr>
      <w:r>
        <w:rPr>
          <w:rFonts w:ascii="Arial" w:cs="Arial" w:eastAsia="Arial" w:hAnsi="Arial"/>
          <w:sz w:val="18"/>
          <w:szCs w:val="18"/>
          <w:color w:val="auto"/>
        </w:rPr>
        <w:t>In November 2024, the Company and Revolution Medicines, Inc. (RevMed) entered into a Clinical Trial Collaboration and Supply Agreement (CTCSA). The agreement provides that RevMed will supply daraxonrasib (RMC-6236) , a RAS(ON) multi-selective inhibitor, and zoldonrasib (RMC-9805), a RAS(ON) G12D-selective inhibitor, at no cost to the Company for use in trials that will include vopimetostat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w:t>
      </w:r>
    </w:p>
    <w:p>
      <w:pPr>
        <w:spacing w:after="0" w:line="173" w:lineRule="exact"/>
        <w:rPr>
          <w:sz w:val="20"/>
          <w:szCs w:val="20"/>
          <w:color w:val="auto"/>
        </w:rPr>
      </w:pPr>
    </w:p>
    <w:p>
      <w:pPr>
        <w:ind w:firstLine="720"/>
        <w:spacing w:after="0" w:line="249" w:lineRule="auto"/>
        <w:rPr>
          <w:sz w:val="20"/>
          <w:szCs w:val="20"/>
          <w:color w:val="auto"/>
        </w:rPr>
      </w:pPr>
      <w:r>
        <w:rPr>
          <w:rFonts w:ascii="Arial" w:cs="Arial" w:eastAsia="Arial" w:hAnsi="Arial"/>
          <w:sz w:val="20"/>
          <w:szCs w:val="20"/>
          <w:color w:val="auto"/>
        </w:rPr>
        <w:t>Given the differentiated profile of vopimetostat enabling the potential for efficacious and tolerable RAS inhibitor combinations, in March 2026, we entered into a CTCSA with Erasca, Inc., or Erasca, to evaluate vopimetostat in combination with Erasca’s pan-RAS molecular glue, ERAS-0015. Under the terms of the agreement, Tango is the sponsor of the trial and Erasca is supplying ERAS-0015 at no cost. Each company will retain commercial rights to its respective compound, and the agreement is mutually non-exclusive.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Funding Commitments</w:t>
      </w:r>
    </w:p>
    <w:p>
      <w:pPr>
        <w:spacing w:after="0" w:line="239" w:lineRule="exact"/>
        <w:rPr>
          <w:sz w:val="20"/>
          <w:szCs w:val="20"/>
          <w:color w:val="auto"/>
        </w:rPr>
      </w:pPr>
    </w:p>
    <w:p>
      <w:pPr>
        <w:ind w:right="120" w:firstLine="490"/>
        <w:spacing w:after="0" w:line="249" w:lineRule="auto"/>
        <w:rPr>
          <w:sz w:val="20"/>
          <w:szCs w:val="20"/>
          <w:color w:val="auto"/>
        </w:rPr>
      </w:pPr>
      <w:r>
        <w:rPr>
          <w:rFonts w:ascii="Arial" w:cs="Arial" w:eastAsia="Arial" w:hAnsi="Arial"/>
          <w:sz w:val="20"/>
          <w:szCs w:val="20"/>
          <w:color w:val="auto"/>
        </w:rPr>
        <w:t>As of December 31, 2025,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Guarantees</w:t>
      </w:r>
    </w:p>
    <w:p>
      <w:pPr>
        <w:spacing w:after="0" w:line="239" w:lineRule="exact"/>
        <w:rPr>
          <w:sz w:val="20"/>
          <w:szCs w:val="20"/>
          <w:color w:val="auto"/>
        </w:rPr>
      </w:pPr>
    </w:p>
    <w:p>
      <w:pPr>
        <w:ind w:right="260" w:firstLine="490"/>
        <w:spacing w:after="0" w:line="278" w:lineRule="auto"/>
        <w:rPr>
          <w:sz w:val="20"/>
          <w:szCs w:val="20"/>
          <w:color w:val="auto"/>
        </w:rPr>
      </w:pPr>
      <w:r>
        <w:rPr>
          <w:rFonts w:ascii="Arial" w:cs="Arial" w:eastAsia="Arial" w:hAnsi="Arial"/>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F-22</w:t>
      </w:r>
    </w:p>
    <w:p>
      <w:pPr>
        <w:sectPr>
          <w:pgSz w:w="12240" w:h="15840" w:orient="portrait"/>
          <w:cols w:equalWidth="0" w:num="1">
            <w:col w:w="10060"/>
          </w:cols>
          <w:pgMar w:left="1080" w:top="1060" w:right="1100" w:bottom="175" w:gutter="0" w:footer="0" w:header="0"/>
        </w:sectPr>
      </w:pPr>
    </w:p>
    <w:bookmarkStart w:id="130" w:name="page131"/>
    <w:bookmarkEnd w:id="130"/>
    <w:p>
      <w:pPr>
        <w:ind w:right="780"/>
        <w:spacing w:after="0" w:line="277" w:lineRule="auto"/>
        <w:rPr>
          <w:sz w:val="20"/>
          <w:szCs w:val="20"/>
          <w:color w:val="auto"/>
        </w:rPr>
      </w:pPr>
      <w:r>
        <w:rPr>
          <w:rFonts w:ascii="Arial" w:cs="Arial" w:eastAsia="Arial" w:hAnsi="Arial"/>
          <w:sz w:val="20"/>
          <w:szCs w:val="20"/>
          <w:color w:val="auto"/>
        </w:rPr>
        <w:t>date the Company has not incurred material costs to defend lawsuits or settle claims related to these indemnification provisions. As a result, the estimated fair value of these obligations is minimal.</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Litigation</w:t>
      </w:r>
    </w:p>
    <w:p>
      <w:pPr>
        <w:spacing w:after="0" w:line="240" w:lineRule="exact"/>
        <w:rPr>
          <w:sz w:val="20"/>
          <w:szCs w:val="20"/>
          <w:color w:val="auto"/>
        </w:rPr>
      </w:pPr>
    </w:p>
    <w:p>
      <w:pPr>
        <w:ind w:right="140" w:firstLine="490"/>
        <w:spacing w:after="0" w:line="257" w:lineRule="auto"/>
        <w:rPr>
          <w:sz w:val="20"/>
          <w:szCs w:val="20"/>
          <w:color w:val="auto"/>
        </w:rPr>
      </w:pPr>
      <w:r>
        <w:rPr>
          <w:rFonts w:ascii="Arial" w:cs="Arial" w:eastAsia="Arial" w:hAnsi="Arial"/>
          <w:sz w:val="19"/>
          <w:szCs w:val="19"/>
          <w:color w:val="auto"/>
        </w:rPr>
        <w:t>The Company, from time to time, may be party to litigation arising in the ordinary course of business. The Company was not subject to any material legal proceedings as of December 31, 2025,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Redeemable Convertible Preferred Stock</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Undesignated Preferred Stock</w:t>
      </w:r>
    </w:p>
    <w:p>
      <w:pPr>
        <w:spacing w:after="0" w:line="239" w:lineRule="exact"/>
        <w:rPr>
          <w:sz w:val="20"/>
          <w:szCs w:val="20"/>
          <w:color w:val="auto"/>
        </w:rPr>
      </w:pPr>
    </w:p>
    <w:p>
      <w:pPr>
        <w:jc w:val="both"/>
        <w:ind w:right="540" w:firstLine="490"/>
        <w:spacing w:after="0" w:line="252" w:lineRule="auto"/>
        <w:rPr>
          <w:sz w:val="20"/>
          <w:szCs w:val="20"/>
          <w:color w:val="auto"/>
        </w:rPr>
      </w:pPr>
      <w:r>
        <w:rPr>
          <w:rFonts w:ascii="Arial" w:cs="Arial" w:eastAsia="Arial" w:hAnsi="Arial"/>
          <w:sz w:val="20"/>
          <w:szCs w:val="20"/>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2025. The shares of preferred stock are currently undesignated and no shares are issued or outstanding.</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Common Stock</w:t>
      </w:r>
    </w:p>
    <w:p>
      <w:pPr>
        <w:spacing w:after="0" w:line="244" w:lineRule="exact"/>
        <w:rPr>
          <w:sz w:val="20"/>
          <w:szCs w:val="20"/>
          <w:color w:val="auto"/>
        </w:rPr>
      </w:pPr>
    </w:p>
    <w:p>
      <w:pPr>
        <w:ind w:right="140" w:firstLine="490"/>
        <w:spacing w:after="0" w:line="278" w:lineRule="auto"/>
        <w:rPr>
          <w:sz w:val="20"/>
          <w:szCs w:val="20"/>
          <w:color w:val="auto"/>
        </w:rPr>
      </w:pPr>
      <w:r>
        <w:rPr>
          <w:rFonts w:ascii="Arial" w:cs="Arial" w:eastAsia="Arial" w:hAnsi="Arial"/>
          <w:sz w:val="18"/>
          <w:szCs w:val="18"/>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2025.</w:t>
      </w:r>
    </w:p>
    <w:p>
      <w:pPr>
        <w:spacing w:after="0" w:line="171" w:lineRule="exact"/>
        <w:rPr>
          <w:sz w:val="20"/>
          <w:szCs w:val="20"/>
          <w:color w:val="auto"/>
        </w:rPr>
      </w:pPr>
    </w:p>
    <w:p>
      <w:pPr>
        <w:ind w:right="120" w:firstLine="490"/>
        <w:spacing w:after="0" w:line="250" w:lineRule="auto"/>
        <w:rPr>
          <w:sz w:val="20"/>
          <w:szCs w:val="20"/>
          <w:color w:val="auto"/>
        </w:rPr>
      </w:pPr>
      <w:r>
        <w:rPr>
          <w:rFonts w:ascii="Arial" w:cs="Arial" w:eastAsia="Arial" w:hAnsi="Arial"/>
          <w:sz w:val="20"/>
          <w:szCs w:val="20"/>
          <w:color w:val="auto"/>
        </w:rPr>
        <w:t xml:space="preserve">The Company increased the number of shares of common stock authorized to be issued to 200,000,000 shares in August 2021, at the time in which the Certificate of Incorporation was amended and restated. In June </w:t>
      </w:r>
      <w:r>
        <w:rPr>
          <w:rFonts w:ascii="Arial" w:cs="Arial" w:eastAsia="Arial" w:hAnsi="Arial"/>
          <w:sz w:val="19"/>
          <w:szCs w:val="19"/>
          <w:color w:val="auto"/>
        </w:rPr>
        <w:t>2025, the stockholders</w:t>
      </w:r>
      <w:r>
        <w:rPr>
          <w:rFonts w:ascii="Arial" w:cs="Arial" w:eastAsia="Arial" w:hAnsi="Arial"/>
          <w:sz w:val="20"/>
          <w:szCs w:val="20"/>
          <w:color w:val="auto"/>
        </w:rPr>
        <w:t xml:space="preserve"> </w:t>
      </w:r>
      <w:r>
        <w:rPr>
          <w:rFonts w:ascii="Arial" w:cs="Arial" w:eastAsia="Arial" w:hAnsi="Arial"/>
          <w:sz w:val="19"/>
          <w:szCs w:val="19"/>
          <w:color w:val="auto"/>
        </w:rPr>
        <w:t xml:space="preserve">of the Company approved an amendment to the Company’s Second Amended and Restated Certificate of Incorporation, as amended to date, to increase the number of authorized shares of common stock from 200,000,000 to 400,000,000. </w:t>
      </w:r>
      <w:r>
        <w:rPr>
          <w:rFonts w:ascii="Arial" w:cs="Arial" w:eastAsia="Arial" w:hAnsi="Arial"/>
          <w:sz w:val="20"/>
          <w:szCs w:val="20"/>
          <w:color w:val="auto"/>
        </w:rPr>
        <w:t>As of</w:t>
      </w:r>
      <w:r>
        <w:rPr>
          <w:rFonts w:ascii="Arial" w:cs="Arial" w:eastAsia="Arial" w:hAnsi="Arial"/>
          <w:sz w:val="19"/>
          <w:szCs w:val="19"/>
          <w:color w:val="auto"/>
        </w:rPr>
        <w:t xml:space="preserve"> </w:t>
      </w:r>
      <w:r>
        <w:rPr>
          <w:rFonts w:ascii="Arial" w:cs="Arial" w:eastAsia="Arial" w:hAnsi="Arial"/>
          <w:sz w:val="20"/>
          <w:szCs w:val="20"/>
          <w:color w:val="auto"/>
        </w:rPr>
        <w:t>December 31, 2025 and 2024, there were 135,940,454 and 107,729,343 shares of common stock issued and outstanding,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Equity Incentive Plans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2017 Stock Option and Grant Plan</w:t>
      </w:r>
    </w:p>
    <w:p>
      <w:pPr>
        <w:spacing w:after="0" w:line="240" w:lineRule="exact"/>
        <w:rPr>
          <w:sz w:val="20"/>
          <w:szCs w:val="20"/>
          <w:color w:val="auto"/>
        </w:rPr>
      </w:pPr>
    </w:p>
    <w:p>
      <w:pPr>
        <w:ind w:firstLine="490"/>
        <w:spacing w:after="0" w:line="289" w:lineRule="auto"/>
        <w:rPr>
          <w:sz w:val="20"/>
          <w:szCs w:val="20"/>
          <w:color w:val="auto"/>
        </w:rPr>
      </w:pPr>
      <w:r>
        <w:rPr>
          <w:rFonts w:ascii="Arial" w:cs="Arial" w:eastAsia="Arial" w:hAnsi="Arial"/>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63" w:lineRule="exact"/>
        <w:rPr>
          <w:sz w:val="20"/>
          <w:szCs w:val="20"/>
          <w:color w:val="auto"/>
        </w:rPr>
      </w:pPr>
    </w:p>
    <w:p>
      <w:pPr>
        <w:ind w:right="100" w:firstLine="490"/>
        <w:spacing w:after="0" w:line="265" w:lineRule="auto"/>
        <w:rPr>
          <w:sz w:val="20"/>
          <w:szCs w:val="20"/>
          <w:color w:val="auto"/>
        </w:rPr>
      </w:pPr>
      <w:r>
        <w:rPr>
          <w:rFonts w:ascii="Arial" w:cs="Arial" w:eastAsia="Arial" w:hAnsi="Arial"/>
          <w:sz w:val="19"/>
          <w:szCs w:val="19"/>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F-23</w:t>
      </w:r>
    </w:p>
    <w:p>
      <w:pPr>
        <w:sectPr>
          <w:pgSz w:w="12240" w:h="15840" w:orient="portrait"/>
          <w:cols w:equalWidth="0" w:num="1">
            <w:col w:w="10060"/>
          </w:cols>
          <w:pgMar w:left="1080" w:top="1060" w:right="1100" w:bottom="175" w:gutter="0" w:footer="0" w:header="0"/>
        </w:sectPr>
      </w:pPr>
    </w:p>
    <w:bookmarkStart w:id="131" w:name="page132"/>
    <w:bookmarkEnd w:id="131"/>
    <w:p>
      <w:pPr>
        <w:ind w:left="480"/>
        <w:spacing w:after="0"/>
        <w:rPr>
          <w:sz w:val="20"/>
          <w:szCs w:val="20"/>
          <w:color w:val="auto"/>
        </w:rPr>
      </w:pPr>
      <w:r>
        <w:rPr>
          <w:rFonts w:ascii="Arial" w:cs="Arial" w:eastAsia="Arial" w:hAnsi="Arial"/>
          <w:sz w:val="20"/>
          <w:szCs w:val="20"/>
          <w:b w:val="1"/>
          <w:bCs w:val="1"/>
          <w:i w:val="1"/>
          <w:iCs w:val="1"/>
          <w:color w:val="auto"/>
        </w:rPr>
        <w:t>2021 Stock Option and Incentive Plan</w:t>
      </w:r>
    </w:p>
    <w:p>
      <w:pPr>
        <w:spacing w:after="0" w:line="239" w:lineRule="exact"/>
        <w:rPr>
          <w:sz w:val="20"/>
          <w:szCs w:val="20"/>
          <w:color w:val="auto"/>
        </w:rPr>
      </w:pPr>
    </w:p>
    <w:p>
      <w:pPr>
        <w:ind w:right="60" w:firstLine="490"/>
        <w:spacing w:after="0" w:line="289" w:lineRule="auto"/>
        <w:rPr>
          <w:sz w:val="20"/>
          <w:szCs w:val="20"/>
          <w:color w:val="auto"/>
        </w:rPr>
      </w:pPr>
      <w:r>
        <w:rPr>
          <w:rFonts w:ascii="Arial" w:cs="Arial" w:eastAsia="Arial" w:hAnsi="Arial"/>
          <w:sz w:val="18"/>
          <w:szCs w:val="18"/>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63" w:lineRule="exact"/>
        <w:rPr>
          <w:sz w:val="20"/>
          <w:szCs w:val="20"/>
          <w:color w:val="auto"/>
        </w:rPr>
      </w:pPr>
    </w:p>
    <w:p>
      <w:pPr>
        <w:ind w:right="60" w:firstLine="490"/>
        <w:spacing w:after="0" w:line="259" w:lineRule="auto"/>
        <w:rPr>
          <w:sz w:val="20"/>
          <w:szCs w:val="20"/>
          <w:color w:val="auto"/>
        </w:rPr>
      </w:pPr>
      <w:r>
        <w:rPr>
          <w:rFonts w:ascii="Arial" w:cs="Arial" w:eastAsia="Arial" w:hAnsi="Arial"/>
          <w:sz w:val="19"/>
          <w:szCs w:val="19"/>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or cancellation, are reacquired by the Company prior to vesting, expiration, or any other form of termination (other than by exercise) are automatically made available for issuance under the 2021 Plan. As of December 31, 2025, there were 8,793,766 shares available for future grant under the 2021 Plan and on January 1, 2026, the number of shares available for future grant under the 2021 Plan increased by 6,797,023 shares.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2021 Employee Stock Purchase Plan</w:t>
      </w:r>
    </w:p>
    <w:p>
      <w:pPr>
        <w:spacing w:after="0" w:line="240" w:lineRule="exact"/>
        <w:rPr>
          <w:sz w:val="20"/>
          <w:szCs w:val="20"/>
          <w:color w:val="auto"/>
        </w:rPr>
      </w:pPr>
    </w:p>
    <w:p>
      <w:pPr>
        <w:ind w:right="140" w:firstLine="490"/>
        <w:spacing w:after="0" w:line="259" w:lineRule="auto"/>
        <w:rPr>
          <w:sz w:val="20"/>
          <w:szCs w:val="20"/>
          <w:color w:val="auto"/>
        </w:rPr>
      </w:pPr>
      <w:r>
        <w:rPr>
          <w:rFonts w:ascii="Arial" w:cs="Arial" w:eastAsia="Arial" w:hAnsi="Arial"/>
          <w:sz w:val="19"/>
          <w:szCs w:val="19"/>
          <w:color w:val="auto"/>
        </w:rPr>
        <w:t>The 2021 Employee Stock Purchase Plan (the 2021 ESPP) was adopted and approved by the Company’s board of directors and by the Company’s stockholders and became effective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During the year ended December 31, 2025, the Company issued 547,856 shares of common stock under the 2021 ESPP. As of December 31, 2025, there were 3,433,249 shares available for future purchase under the 2021 ESPP and on January 1, 2026, the number of shares available for future purchase under the 2021 ESPP increased by 949,873 shares.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2023 Inducement Plan</w:t>
      </w:r>
    </w:p>
    <w:p>
      <w:pPr>
        <w:spacing w:after="0" w:line="239" w:lineRule="exact"/>
        <w:rPr>
          <w:sz w:val="20"/>
          <w:szCs w:val="20"/>
          <w:color w:val="auto"/>
        </w:rPr>
      </w:pPr>
    </w:p>
    <w:p>
      <w:pPr>
        <w:ind w:right="120" w:firstLine="490"/>
        <w:spacing w:after="0" w:line="276" w:lineRule="auto"/>
        <w:rPr>
          <w:sz w:val="20"/>
          <w:szCs w:val="20"/>
          <w:color w:val="auto"/>
        </w:rPr>
      </w:pPr>
      <w:r>
        <w:rPr>
          <w:rFonts w:ascii="Arial" w:cs="Arial" w:eastAsia="Arial" w:hAnsi="Arial"/>
          <w:sz w:val="18"/>
          <w:szCs w:val="18"/>
          <w:color w:val="auto"/>
        </w:rPr>
        <w:t>In February 2023, the Company's board of directors approved the 2023 Inducement Plan (the Inducement Plan), under which the Company reserved 3,000,000 shares of common stock, to be used exclusively for grants of non-qualified stock options, restricted stock units and other equity-based awards, or any combination of these to individuals who were not previously employees or directors of the Company. Such issuances are subject to vesting, forfeiture and other restrictions as deemed appropriate by the board of directors at the time of issuance. Awards that are returned to the Company's Inducement Plan as a result of forfeiture or cancellation, are reacquired by the Company prior to vesting, expiration, or any other form of termination (other than by exercise) are automatically made available for issuance under the Inducement Plan. As of December 31, 2025, there were 2,041,015 shares available for future grant under the Inducement Plan.</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151765</wp:posOffset>
            </wp:positionV>
            <wp:extent cx="6386830" cy="1922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386830" cy="1922145"/>
                    </a:xfrm>
                    <a:prstGeom prst="rect">
                      <a:avLst/>
                    </a:prstGeom>
                    <a:noFill/>
                  </pic:spPr>
                </pic:pic>
              </a:graphicData>
            </a:graphic>
          </wp:anchor>
        </w:drawing>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RSU activity of the Company’s plans as of and for the years ended December 31,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87"/>
              <w:spacing w:after="0"/>
              <w:rPr>
                <w:sz w:val="20"/>
                <w:szCs w:val="20"/>
                <w:color w:val="auto"/>
              </w:rPr>
            </w:pPr>
            <w:r>
              <w:rPr>
                <w:rFonts w:ascii="Arial" w:cs="Arial" w:eastAsia="Arial" w:hAnsi="Arial"/>
                <w:sz w:val="16"/>
                <w:szCs w:val="16"/>
                <w:b w:val="1"/>
                <w:bCs w:val="1"/>
                <w:color w:val="auto"/>
                <w:w w:val="91"/>
              </w:rPr>
              <w:t>Weighted Average</w:t>
            </w:r>
          </w:p>
        </w:tc>
      </w:tr>
      <w:tr>
        <w:trPr>
          <w:trHeight w:val="185"/>
        </w:trPr>
        <w:tc>
          <w:tcPr>
            <w:tcW w:w="6040" w:type="dxa"/>
            <w:vAlign w:val="bottom"/>
          </w:tcPr>
          <w:p>
            <w:pPr>
              <w:spacing w:after="0"/>
              <w:rPr>
                <w:sz w:val="16"/>
                <w:szCs w:val="16"/>
                <w:color w:val="auto"/>
              </w:rPr>
            </w:pPr>
          </w:p>
        </w:tc>
        <w:tc>
          <w:tcPr>
            <w:tcW w:w="2200" w:type="dxa"/>
            <w:vAlign w:val="bottom"/>
          </w:tcPr>
          <w:p>
            <w:pPr>
              <w:jc w:val="right"/>
              <w:ind w:right="786"/>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740" w:type="dxa"/>
            <w:vAlign w:val="bottom"/>
          </w:tcPr>
          <w:p>
            <w:pPr>
              <w:jc w:val="center"/>
              <w:ind w:right="87"/>
              <w:spacing w:after="0"/>
              <w:rPr>
                <w:sz w:val="20"/>
                <w:szCs w:val="20"/>
                <w:color w:val="auto"/>
              </w:rPr>
            </w:pPr>
            <w:r>
              <w:rPr>
                <w:rFonts w:ascii="Arial" w:cs="Arial" w:eastAsia="Arial" w:hAnsi="Arial"/>
                <w:sz w:val="16"/>
                <w:szCs w:val="16"/>
                <w:b w:val="1"/>
                <w:bCs w:val="1"/>
                <w:color w:val="auto"/>
                <w:w w:val="95"/>
              </w:rPr>
              <w:t>Grant Date Fair Value</w:t>
            </w:r>
          </w:p>
        </w:tc>
      </w:tr>
      <w:tr>
        <w:trPr>
          <w:trHeight w:val="202"/>
        </w:trPr>
        <w:tc>
          <w:tcPr>
            <w:tcW w:w="6040" w:type="dxa"/>
            <w:vAlign w:val="bottom"/>
          </w:tcPr>
          <w:p>
            <w:pPr>
              <w:spacing w:after="0"/>
              <w:rPr>
                <w:sz w:val="17"/>
                <w:szCs w:val="17"/>
                <w:color w:val="auto"/>
              </w:rPr>
            </w:pPr>
          </w:p>
        </w:tc>
        <w:tc>
          <w:tcPr>
            <w:tcW w:w="2200" w:type="dxa"/>
            <w:vAlign w:val="bottom"/>
          </w:tcPr>
          <w:p>
            <w:pPr>
              <w:jc w:val="right"/>
              <w:ind w:right="766"/>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Pr>
          <w:p>
            <w:pPr>
              <w:spacing w:after="0"/>
              <w:rPr>
                <w:sz w:val="17"/>
                <w:szCs w:val="17"/>
                <w:color w:val="auto"/>
              </w:rPr>
            </w:pPr>
          </w:p>
        </w:tc>
        <w:tc>
          <w:tcPr>
            <w:tcW w:w="1740" w:type="dxa"/>
            <w:vAlign w:val="bottom"/>
          </w:tcPr>
          <w:p>
            <w:pPr>
              <w:jc w:val="center"/>
              <w:ind w:right="87"/>
              <w:spacing w:after="0"/>
              <w:rPr>
                <w:sz w:val="20"/>
                <w:szCs w:val="20"/>
                <w:color w:val="auto"/>
              </w:rPr>
            </w:pPr>
            <w:r>
              <w:rPr>
                <w:rFonts w:ascii="Arial" w:cs="Arial" w:eastAsia="Arial" w:hAnsi="Arial"/>
                <w:sz w:val="16"/>
                <w:szCs w:val="16"/>
                <w:b w:val="1"/>
                <w:bCs w:val="1"/>
                <w:color w:val="auto"/>
                <w:w w:val="90"/>
              </w:rPr>
              <w:t>Per Share</w:t>
            </w:r>
          </w:p>
        </w:tc>
      </w:tr>
      <w:tr>
        <w:trPr>
          <w:trHeight w:val="259"/>
        </w:trPr>
        <w:tc>
          <w:tcPr>
            <w:tcW w:w="6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Unvested and outstanding as of December 31, 2024</w:t>
            </w:r>
          </w:p>
        </w:tc>
        <w:tc>
          <w:tcPr>
            <w:tcW w:w="2200" w:type="dxa"/>
            <w:vAlign w:val="bottom"/>
            <w:shd w:val="clear" w:color="auto" w:fill="CFF0FC"/>
          </w:tcPr>
          <w:p>
            <w:pPr>
              <w:jc w:val="right"/>
              <w:ind w:right="226"/>
              <w:spacing w:after="0"/>
              <w:rPr>
                <w:sz w:val="20"/>
                <w:szCs w:val="20"/>
                <w:color w:val="auto"/>
              </w:rPr>
            </w:pPr>
            <w:r>
              <w:rPr>
                <w:rFonts w:ascii="Arial" w:cs="Arial" w:eastAsia="Arial" w:hAnsi="Arial"/>
                <w:sz w:val="20"/>
                <w:szCs w:val="20"/>
                <w:color w:val="auto"/>
              </w:rPr>
              <w:t>1,209,333</w:t>
            </w: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8.92</w:t>
            </w:r>
          </w:p>
        </w:tc>
      </w:tr>
      <w:tr>
        <w:trPr>
          <w:trHeight w:val="244"/>
        </w:trPr>
        <w:tc>
          <w:tcPr>
            <w:tcW w:w="6040" w:type="dxa"/>
            <w:vAlign w:val="bottom"/>
          </w:tcPr>
          <w:p>
            <w:pPr>
              <w:ind w:left="200"/>
              <w:spacing w:after="0"/>
              <w:rPr>
                <w:sz w:val="20"/>
                <w:szCs w:val="20"/>
                <w:color w:val="auto"/>
              </w:rPr>
            </w:pPr>
            <w:r>
              <w:rPr>
                <w:rFonts w:ascii="Arial" w:cs="Arial" w:eastAsia="Arial" w:hAnsi="Arial"/>
                <w:sz w:val="20"/>
                <w:szCs w:val="20"/>
                <w:color w:val="auto"/>
              </w:rPr>
              <w:t>Granted</w:t>
            </w:r>
          </w:p>
        </w:tc>
        <w:tc>
          <w:tcPr>
            <w:tcW w:w="2200" w:type="dxa"/>
            <w:vAlign w:val="bottom"/>
          </w:tcPr>
          <w:p>
            <w:pPr>
              <w:jc w:val="right"/>
              <w:ind w:right="226"/>
              <w:spacing w:after="0"/>
              <w:rPr>
                <w:sz w:val="20"/>
                <w:szCs w:val="20"/>
                <w:color w:val="auto"/>
              </w:rPr>
            </w:pPr>
            <w:r>
              <w:rPr>
                <w:rFonts w:ascii="Arial" w:cs="Arial" w:eastAsia="Arial" w:hAnsi="Arial"/>
                <w:sz w:val="20"/>
                <w:szCs w:val="20"/>
                <w:color w:val="auto"/>
              </w:rPr>
              <w:t>838,960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3.10</w:t>
            </w:r>
          </w:p>
        </w:tc>
      </w:tr>
      <w:tr>
        <w:trPr>
          <w:trHeight w:val="245"/>
        </w:trPr>
        <w:tc>
          <w:tcPr>
            <w:tcW w:w="60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Vested</w:t>
            </w:r>
          </w:p>
        </w:tc>
        <w:tc>
          <w:tcPr>
            <w:tcW w:w="2200" w:type="dxa"/>
            <w:vAlign w:val="bottom"/>
            <w:shd w:val="clear" w:color="auto" w:fill="CFF0FC"/>
          </w:tcPr>
          <w:p>
            <w:pPr>
              <w:jc w:val="right"/>
              <w:ind w:right="146"/>
              <w:spacing w:after="0"/>
              <w:rPr>
                <w:sz w:val="20"/>
                <w:szCs w:val="20"/>
                <w:color w:val="auto"/>
              </w:rPr>
            </w:pPr>
            <w:r>
              <w:rPr>
                <w:rFonts w:ascii="Arial" w:cs="Arial" w:eastAsia="Arial" w:hAnsi="Arial"/>
                <w:sz w:val="20"/>
                <w:szCs w:val="20"/>
                <w:color w:val="auto"/>
              </w:rPr>
              <w:t>(480,077)</w:t>
            </w: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8.40</w:t>
            </w:r>
          </w:p>
        </w:tc>
      </w:tr>
      <w:tr>
        <w:trPr>
          <w:trHeight w:val="244"/>
        </w:trPr>
        <w:tc>
          <w:tcPr>
            <w:tcW w:w="6040" w:type="dxa"/>
            <w:vAlign w:val="bottom"/>
          </w:tcPr>
          <w:p>
            <w:pPr>
              <w:ind w:left="200"/>
              <w:spacing w:after="0"/>
              <w:rPr>
                <w:sz w:val="20"/>
                <w:szCs w:val="20"/>
                <w:color w:val="auto"/>
              </w:rPr>
            </w:pPr>
            <w:r>
              <w:rPr>
                <w:rFonts w:ascii="Arial" w:cs="Arial" w:eastAsia="Arial" w:hAnsi="Arial"/>
                <w:sz w:val="20"/>
                <w:szCs w:val="20"/>
                <w:color w:val="auto"/>
              </w:rPr>
              <w:t>Forfeited</w:t>
            </w:r>
          </w:p>
        </w:tc>
        <w:tc>
          <w:tcPr>
            <w:tcW w:w="2200" w:type="dxa"/>
            <w:vAlign w:val="bottom"/>
          </w:tcPr>
          <w:p>
            <w:pPr>
              <w:jc w:val="right"/>
              <w:ind w:right="146"/>
              <w:spacing w:after="0"/>
              <w:rPr>
                <w:sz w:val="20"/>
                <w:szCs w:val="20"/>
                <w:color w:val="auto"/>
              </w:rPr>
            </w:pPr>
            <w:r>
              <w:rPr>
                <w:rFonts w:ascii="Arial" w:cs="Arial" w:eastAsia="Arial" w:hAnsi="Arial"/>
                <w:sz w:val="20"/>
                <w:szCs w:val="20"/>
                <w:color w:val="auto"/>
              </w:rPr>
              <w:t>(304,787)</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6.19</w:t>
            </w:r>
          </w:p>
        </w:tc>
      </w:tr>
      <w:tr>
        <w:trPr>
          <w:trHeight w:val="260"/>
        </w:trPr>
        <w:tc>
          <w:tcPr>
            <w:tcW w:w="6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Unvested and outstanding as of December 31, 2025</w:t>
            </w:r>
          </w:p>
        </w:tc>
        <w:tc>
          <w:tcPr>
            <w:tcW w:w="2200" w:type="dxa"/>
            <w:vAlign w:val="bottom"/>
            <w:shd w:val="clear" w:color="auto" w:fill="CFF0FC"/>
          </w:tcPr>
          <w:p>
            <w:pPr>
              <w:jc w:val="right"/>
              <w:ind w:right="226"/>
              <w:spacing w:after="0"/>
              <w:rPr>
                <w:sz w:val="20"/>
                <w:szCs w:val="20"/>
                <w:color w:val="auto"/>
              </w:rPr>
            </w:pPr>
            <w:r>
              <w:rPr>
                <w:rFonts w:ascii="Arial" w:cs="Arial" w:eastAsia="Arial" w:hAnsi="Arial"/>
                <w:sz w:val="20"/>
                <w:szCs w:val="20"/>
                <w:color w:val="auto"/>
              </w:rPr>
              <w:t>1,263,429</w:t>
            </w: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5.91</w:t>
            </w:r>
          </w:p>
        </w:tc>
      </w:tr>
    </w:tbl>
    <w:p>
      <w:pPr>
        <w:spacing w:after="0" w:line="219" w:lineRule="exact"/>
        <w:rPr>
          <w:sz w:val="20"/>
          <w:szCs w:val="20"/>
          <w:color w:val="auto"/>
        </w:rPr>
      </w:pPr>
    </w:p>
    <w:p>
      <w:pPr>
        <w:ind w:right="400" w:firstLine="490"/>
        <w:spacing w:after="0" w:line="254" w:lineRule="auto"/>
        <w:rPr>
          <w:sz w:val="20"/>
          <w:szCs w:val="20"/>
          <w:color w:val="auto"/>
        </w:rPr>
      </w:pPr>
      <w:r>
        <w:rPr>
          <w:rFonts w:ascii="Arial" w:cs="Arial" w:eastAsia="Arial" w:hAnsi="Arial"/>
          <w:sz w:val="20"/>
          <w:szCs w:val="20"/>
          <w:color w:val="auto"/>
        </w:rPr>
        <w:t>The total fair value of RSUs vested during the years ended December 31, 2025, 2024, and 2023 was $1.6 million,</w:t>
      </w:r>
      <w:r>
        <w:rPr>
          <w:sz w:val="1"/>
          <w:szCs w:val="1"/>
          <w:color w:val="auto"/>
        </w:rPr>
        <w:drawing>
          <wp:inline distT="0" distB="0" distL="0" distR="0">
            <wp:extent cx="64135"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4135" cy="133350"/>
                    </a:xfrm>
                    <a:prstGeom prst="rect">
                      <a:avLst/>
                    </a:prstGeom>
                    <a:noFill/>
                    <a:ln>
                      <a:noFill/>
                    </a:ln>
                  </pic:spPr>
                </pic:pic>
              </a:graphicData>
            </a:graphic>
          </wp:inline>
        </w:drawing>
      </w:r>
      <w:r>
        <w:rPr>
          <w:rFonts w:ascii="Arial" w:cs="Arial" w:eastAsia="Arial" w:hAnsi="Arial"/>
          <w:sz w:val="20"/>
          <w:szCs w:val="20"/>
          <w:color w:val="auto"/>
          <w:highlight w:val="white"/>
        </w:rPr>
        <w:t xml:space="preserve"> $3.0 million, and $0.1 million, respectively.</w:t>
      </w:r>
    </w:p>
    <w:p>
      <w:pPr>
        <w:spacing w:after="0" w:line="190" w:lineRule="exact"/>
        <w:rPr>
          <w:sz w:val="20"/>
          <w:szCs w:val="20"/>
          <w:color w:val="auto"/>
        </w:rPr>
      </w:pPr>
    </w:p>
    <w:p>
      <w:pPr>
        <w:ind w:right="520" w:firstLine="490"/>
        <w:spacing w:after="0" w:line="278" w:lineRule="auto"/>
        <w:rPr>
          <w:sz w:val="20"/>
          <w:szCs w:val="20"/>
          <w:color w:val="auto"/>
        </w:rPr>
      </w:pPr>
      <w:r>
        <w:rPr>
          <w:rFonts w:ascii="Arial" w:cs="Arial" w:eastAsia="Arial" w:hAnsi="Arial"/>
          <w:sz w:val="20"/>
          <w:szCs w:val="20"/>
          <w:color w:val="auto"/>
        </w:rPr>
        <w:t>As of December 31, 2025, total unrecognized compensation expense related to RSUs was $4.2 million, which the Company expects to recognize over a remaining weighted-average period of 1.5 years.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F-24</w:t>
      </w:r>
    </w:p>
    <w:p>
      <w:pPr>
        <w:sectPr>
          <w:pgSz w:w="12240" w:h="15840" w:orient="portrait"/>
          <w:cols w:equalWidth="0" w:num="1">
            <w:col w:w="10080"/>
          </w:cols>
          <w:pgMar w:left="1080" w:top="1060" w:right="1080" w:bottom="175" w:gutter="0" w:footer="0" w:header="0"/>
        </w:sectPr>
      </w:pPr>
    </w:p>
    <w:bookmarkStart w:id="132" w:name="page133"/>
    <w:bookmarkEnd w:id="132"/>
    <w:p>
      <w:pPr>
        <w:ind w:left="480"/>
        <w:spacing w:after="0"/>
        <w:rPr>
          <w:sz w:val="20"/>
          <w:szCs w:val="20"/>
          <w:color w:val="auto"/>
        </w:rPr>
      </w:pPr>
      <w:r>
        <w:rPr>
          <w:rFonts w:ascii="Arial" w:cs="Arial" w:eastAsia="Arial" w:hAnsi="Arial"/>
          <w:sz w:val="20"/>
          <w:szCs w:val="20"/>
          <w:b w:val="1"/>
          <w:bCs w:val="1"/>
          <w:i w:val="1"/>
          <w:iCs w:val="1"/>
          <w:color w:val="auto"/>
        </w:rPr>
        <w:t>Stock Options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stock option activity of the Company’s equity plans as of and for the years ended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Pr>
          <w:p>
            <w:pPr>
              <w:jc w:val="center"/>
              <w:ind w:left="348"/>
              <w:spacing w:after="0"/>
              <w:rPr>
                <w:sz w:val="20"/>
                <w:szCs w:val="20"/>
                <w:color w:val="auto"/>
              </w:rPr>
            </w:pPr>
            <w:r>
              <w:rPr>
                <w:rFonts w:ascii="Arial" w:cs="Arial" w:eastAsia="Arial" w:hAnsi="Arial"/>
                <w:sz w:val="16"/>
                <w:szCs w:val="16"/>
                <w:b w:val="1"/>
                <w:bCs w:val="1"/>
                <w:color w:val="auto"/>
                <w:w w:val="91"/>
              </w:rPr>
              <w:t>Weighted</w:t>
            </w:r>
          </w:p>
        </w:tc>
        <w:tc>
          <w:tcPr>
            <w:tcW w:w="360" w:type="dxa"/>
            <w:vAlign w:val="bottom"/>
          </w:tcPr>
          <w:p>
            <w:pPr>
              <w:spacing w:after="0"/>
              <w:rPr>
                <w:sz w:val="16"/>
                <w:szCs w:val="16"/>
                <w:color w:val="auto"/>
              </w:rPr>
            </w:pPr>
          </w:p>
        </w:tc>
        <w:tc>
          <w:tcPr>
            <w:tcW w:w="1800" w:type="dxa"/>
            <w:vAlign w:val="bottom"/>
          </w:tcPr>
          <w:p>
            <w:pPr>
              <w:jc w:val="center"/>
              <w:ind w:left="53"/>
              <w:spacing w:after="0"/>
              <w:rPr>
                <w:sz w:val="20"/>
                <w:szCs w:val="20"/>
                <w:color w:val="auto"/>
              </w:rPr>
            </w:pPr>
            <w:r>
              <w:rPr>
                <w:rFonts w:ascii="Arial" w:cs="Arial" w:eastAsia="Arial" w:hAnsi="Arial"/>
                <w:sz w:val="16"/>
                <w:szCs w:val="16"/>
                <w:b w:val="1"/>
                <w:bCs w:val="1"/>
                <w:color w:val="auto"/>
                <w:w w:val="91"/>
              </w:rPr>
              <w:t>Weighted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1560" w:type="dxa"/>
            <w:vAlign w:val="bottom"/>
            <w:vMerge w:val="restart"/>
          </w:tcPr>
          <w:p>
            <w:pPr>
              <w:jc w:val="right"/>
              <w:ind w:right="385"/>
              <w:spacing w:after="0"/>
              <w:rPr>
                <w:sz w:val="20"/>
                <w:szCs w:val="20"/>
                <w:color w:val="auto"/>
              </w:rPr>
            </w:pPr>
            <w:r>
              <w:rPr>
                <w:rFonts w:ascii="Arial" w:cs="Arial" w:eastAsia="Arial" w:hAnsi="Arial"/>
                <w:sz w:val="16"/>
                <w:szCs w:val="16"/>
                <w:b w:val="1"/>
                <w:bCs w:val="1"/>
                <w:color w:val="auto"/>
              </w:rPr>
              <w:t>Number of</w:t>
            </w:r>
          </w:p>
        </w:tc>
        <w:tc>
          <w:tcPr>
            <w:tcW w:w="1140" w:type="dxa"/>
            <w:vAlign w:val="bottom"/>
          </w:tcPr>
          <w:p>
            <w:pPr>
              <w:jc w:val="center"/>
              <w:ind w:left="368"/>
              <w:spacing w:after="0"/>
              <w:rPr>
                <w:sz w:val="20"/>
                <w:szCs w:val="20"/>
                <w:color w:val="auto"/>
              </w:rPr>
            </w:pPr>
            <w:r>
              <w:rPr>
                <w:rFonts w:ascii="Arial" w:cs="Arial" w:eastAsia="Arial" w:hAnsi="Arial"/>
                <w:sz w:val="16"/>
                <w:szCs w:val="16"/>
                <w:b w:val="1"/>
                <w:bCs w:val="1"/>
                <w:color w:val="auto"/>
                <w:w w:val="88"/>
              </w:rPr>
              <w:t>Average</w:t>
            </w:r>
          </w:p>
        </w:tc>
        <w:tc>
          <w:tcPr>
            <w:tcW w:w="360" w:type="dxa"/>
            <w:vAlign w:val="bottom"/>
          </w:tcPr>
          <w:p>
            <w:pPr>
              <w:spacing w:after="0"/>
              <w:rPr>
                <w:sz w:val="16"/>
                <w:szCs w:val="16"/>
                <w:color w:val="auto"/>
              </w:rPr>
            </w:pPr>
          </w:p>
        </w:tc>
        <w:tc>
          <w:tcPr>
            <w:tcW w:w="1800" w:type="dxa"/>
            <w:vAlign w:val="bottom"/>
          </w:tcPr>
          <w:p>
            <w:pPr>
              <w:jc w:val="center"/>
              <w:ind w:left="33"/>
              <w:spacing w:after="0"/>
              <w:rPr>
                <w:sz w:val="20"/>
                <w:szCs w:val="20"/>
                <w:color w:val="auto"/>
              </w:rPr>
            </w:pPr>
            <w:r>
              <w:rPr>
                <w:rFonts w:ascii="Arial" w:cs="Arial" w:eastAsia="Arial" w:hAnsi="Arial"/>
                <w:sz w:val="16"/>
                <w:szCs w:val="16"/>
                <w:b w:val="1"/>
                <w:bCs w:val="1"/>
                <w:color w:val="auto"/>
                <w:w w:val="88"/>
              </w:rPr>
              <w:t>Average</w:t>
            </w:r>
          </w:p>
        </w:tc>
        <w:tc>
          <w:tcPr>
            <w:tcW w:w="360" w:type="dxa"/>
            <w:vAlign w:val="bottom"/>
          </w:tcPr>
          <w:p>
            <w:pPr>
              <w:spacing w:after="0"/>
              <w:rPr>
                <w:sz w:val="16"/>
                <w:szCs w:val="16"/>
                <w:color w:val="auto"/>
              </w:rPr>
            </w:pPr>
          </w:p>
        </w:tc>
        <w:tc>
          <w:tcPr>
            <w:tcW w:w="1240" w:type="dxa"/>
            <w:vAlign w:val="bottom"/>
          </w:tcPr>
          <w:p>
            <w:pPr>
              <w:jc w:val="center"/>
              <w:ind w:right="21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jc w:val="center"/>
              <w:ind w:left="348"/>
              <w:spacing w:after="0"/>
              <w:rPr>
                <w:sz w:val="20"/>
                <w:szCs w:val="20"/>
                <w:color w:val="auto"/>
              </w:rPr>
            </w:pPr>
            <w:r>
              <w:rPr>
                <w:rFonts w:ascii="Arial" w:cs="Arial" w:eastAsia="Arial" w:hAnsi="Arial"/>
                <w:sz w:val="16"/>
                <w:szCs w:val="16"/>
                <w:b w:val="1"/>
                <w:bCs w:val="1"/>
                <w:color w:val="auto"/>
                <w:w w:val="88"/>
              </w:rPr>
              <w:t>Exercise</w:t>
            </w:r>
          </w:p>
        </w:tc>
        <w:tc>
          <w:tcPr>
            <w:tcW w:w="360" w:type="dxa"/>
            <w:vAlign w:val="bottom"/>
          </w:tcPr>
          <w:p>
            <w:pPr>
              <w:spacing w:after="0"/>
              <w:rPr>
                <w:sz w:val="15"/>
                <w:szCs w:val="15"/>
                <w:color w:val="auto"/>
              </w:rPr>
            </w:pPr>
          </w:p>
        </w:tc>
        <w:tc>
          <w:tcPr>
            <w:tcW w:w="1800" w:type="dxa"/>
            <w:vAlign w:val="bottom"/>
          </w:tcPr>
          <w:p>
            <w:pPr>
              <w:jc w:val="center"/>
              <w:ind w:left="53"/>
              <w:spacing w:after="0"/>
              <w:rPr>
                <w:sz w:val="20"/>
                <w:szCs w:val="20"/>
                <w:color w:val="auto"/>
              </w:rPr>
            </w:pPr>
            <w:r>
              <w:rPr>
                <w:rFonts w:ascii="Arial" w:cs="Arial" w:eastAsia="Arial" w:hAnsi="Arial"/>
                <w:sz w:val="16"/>
                <w:szCs w:val="16"/>
                <w:b w:val="1"/>
                <w:bCs w:val="1"/>
                <w:color w:val="auto"/>
                <w:w w:val="92"/>
              </w:rPr>
              <w:t>Contractual</w:t>
            </w:r>
          </w:p>
        </w:tc>
        <w:tc>
          <w:tcPr>
            <w:tcW w:w="360" w:type="dxa"/>
            <w:vAlign w:val="bottom"/>
          </w:tcPr>
          <w:p>
            <w:pPr>
              <w:spacing w:after="0"/>
              <w:rPr>
                <w:sz w:val="15"/>
                <w:szCs w:val="15"/>
                <w:color w:val="auto"/>
              </w:rPr>
            </w:pPr>
          </w:p>
        </w:tc>
        <w:tc>
          <w:tcPr>
            <w:tcW w:w="1240" w:type="dxa"/>
            <w:vAlign w:val="bottom"/>
          </w:tcPr>
          <w:p>
            <w:pPr>
              <w:jc w:val="center"/>
              <w:ind w:right="21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560" w:type="dxa"/>
            <w:vAlign w:val="bottom"/>
          </w:tcPr>
          <w:p>
            <w:pPr>
              <w:jc w:val="right"/>
              <w:ind w:right="545"/>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jc w:val="center"/>
              <w:ind w:left="368"/>
              <w:spacing w:after="0"/>
              <w:rPr>
                <w:sz w:val="20"/>
                <w:szCs w:val="20"/>
                <w:color w:val="auto"/>
              </w:rPr>
            </w:pPr>
            <w:r>
              <w:rPr>
                <w:rFonts w:ascii="Arial" w:cs="Arial" w:eastAsia="Arial" w:hAnsi="Arial"/>
                <w:sz w:val="16"/>
                <w:szCs w:val="16"/>
                <w:b w:val="1"/>
                <w:bCs w:val="1"/>
                <w:color w:val="auto"/>
                <w:w w:val="91"/>
              </w:rPr>
              <w:t>Price</w:t>
            </w:r>
          </w:p>
        </w:tc>
        <w:tc>
          <w:tcPr>
            <w:tcW w:w="360" w:type="dxa"/>
            <w:vAlign w:val="bottom"/>
          </w:tcPr>
          <w:p>
            <w:pPr>
              <w:spacing w:after="0"/>
              <w:rPr>
                <w:sz w:val="18"/>
                <w:szCs w:val="18"/>
                <w:color w:val="auto"/>
              </w:rPr>
            </w:pPr>
          </w:p>
        </w:tc>
        <w:tc>
          <w:tcPr>
            <w:tcW w:w="1800" w:type="dxa"/>
            <w:vAlign w:val="bottom"/>
          </w:tcPr>
          <w:p>
            <w:pPr>
              <w:jc w:val="center"/>
              <w:ind w:left="53"/>
              <w:spacing w:after="0"/>
              <w:rPr>
                <w:sz w:val="20"/>
                <w:szCs w:val="20"/>
                <w:color w:val="auto"/>
              </w:rPr>
            </w:pPr>
            <w:r>
              <w:rPr>
                <w:rFonts w:ascii="Arial" w:cs="Arial" w:eastAsia="Arial" w:hAnsi="Arial"/>
                <w:sz w:val="16"/>
                <w:szCs w:val="16"/>
                <w:b w:val="1"/>
                <w:bCs w:val="1"/>
                <w:color w:val="auto"/>
                <w:w w:val="97"/>
              </w:rPr>
              <w:t>Term</w:t>
            </w:r>
          </w:p>
        </w:tc>
        <w:tc>
          <w:tcPr>
            <w:tcW w:w="36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jc w:val="center"/>
              <w:ind w:left="33"/>
              <w:spacing w:after="0"/>
              <w:rPr>
                <w:sz w:val="20"/>
                <w:szCs w:val="20"/>
                <w:color w:val="auto"/>
              </w:rPr>
            </w:pPr>
            <w:r>
              <w:rPr>
                <w:rFonts w:ascii="Arial" w:cs="Arial" w:eastAsia="Arial" w:hAnsi="Arial"/>
                <w:sz w:val="16"/>
                <w:szCs w:val="16"/>
                <w:b w:val="1"/>
                <w:bCs w:val="1"/>
                <w:color w:val="auto"/>
                <w:w w:val="89"/>
              </w:rPr>
              <w:t>(in years)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620" w:type="dxa"/>
            <w:vAlign w:val="bottom"/>
            <w:shd w:val="clear" w:color="auto" w:fill="CFF0FC"/>
          </w:tcPr>
          <w:p>
            <w:pPr>
              <w:spacing w:after="0" w:line="220" w:lineRule="exact"/>
              <w:rPr>
                <w:sz w:val="20"/>
                <w:szCs w:val="20"/>
                <w:color w:val="auto"/>
              </w:rPr>
            </w:pPr>
            <w:r>
              <w:rPr>
                <w:rFonts w:ascii="Arial" w:cs="Arial" w:eastAsia="Arial" w:hAnsi="Arial"/>
                <w:sz w:val="20"/>
                <w:szCs w:val="20"/>
                <w:b w:val="1"/>
                <w:bCs w:val="1"/>
                <w:color w:val="auto"/>
                <w:w w:val="93"/>
              </w:rPr>
              <w:t>Options outstanding as of December 31,</w:t>
            </w:r>
          </w:p>
        </w:tc>
        <w:tc>
          <w:tcPr>
            <w:tcW w:w="1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2024</w:t>
            </w:r>
          </w:p>
        </w:tc>
        <w:tc>
          <w:tcPr>
            <w:tcW w:w="1560" w:type="dxa"/>
            <w:vAlign w:val="bottom"/>
            <w:shd w:val="clear" w:color="auto" w:fill="CFF0FC"/>
          </w:tcPr>
          <w:p>
            <w:pPr>
              <w:jc w:val="right"/>
              <w:ind w:right="65"/>
              <w:spacing w:after="0"/>
              <w:rPr>
                <w:sz w:val="20"/>
                <w:szCs w:val="20"/>
                <w:color w:val="auto"/>
              </w:rPr>
            </w:pPr>
            <w:r>
              <w:rPr>
                <w:rFonts w:ascii="Arial" w:cs="Arial" w:eastAsia="Arial" w:hAnsi="Arial"/>
                <w:sz w:val="20"/>
                <w:szCs w:val="20"/>
                <w:color w:val="auto"/>
              </w:rPr>
              <w:t>19,615,023</w:t>
            </w:r>
          </w:p>
        </w:tc>
        <w:tc>
          <w:tcPr>
            <w:tcW w:w="1140" w:type="dxa"/>
            <w:vAlign w:val="bottom"/>
            <w:shd w:val="clear" w:color="auto" w:fill="CFF0FC"/>
          </w:tcPr>
          <w:p>
            <w:pPr>
              <w:jc w:val="right"/>
              <w:ind w:right="848"/>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7.41</w:t>
            </w: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20"/>
                <w:szCs w:val="20"/>
                <w:color w:val="auto"/>
              </w:rPr>
              <w:t>7.43</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2,157,177</w:t>
            </w:r>
          </w:p>
        </w:tc>
        <w:tc>
          <w:tcPr>
            <w:tcW w:w="0" w:type="dxa"/>
            <w:vAlign w:val="bottom"/>
          </w:tcPr>
          <w:p>
            <w:pPr>
              <w:spacing w:after="0"/>
              <w:rPr>
                <w:sz w:val="1"/>
                <w:szCs w:val="1"/>
                <w:color w:val="auto"/>
              </w:rPr>
            </w:pPr>
          </w:p>
        </w:tc>
      </w:tr>
      <w:tr>
        <w:trPr>
          <w:trHeight w:val="244"/>
        </w:trPr>
        <w:tc>
          <w:tcPr>
            <w:tcW w:w="3620" w:type="dxa"/>
            <w:vAlign w:val="bottom"/>
          </w:tcPr>
          <w:p>
            <w:pPr>
              <w:ind w:left="200"/>
              <w:spacing w:after="0"/>
              <w:rPr>
                <w:sz w:val="20"/>
                <w:szCs w:val="20"/>
                <w:color w:val="auto"/>
              </w:rPr>
            </w:pPr>
            <w:r>
              <w:rPr>
                <w:rFonts w:ascii="Arial" w:cs="Arial" w:eastAsia="Arial" w:hAnsi="Arial"/>
                <w:sz w:val="20"/>
                <w:szCs w:val="20"/>
                <w:color w:val="auto"/>
              </w:rPr>
              <w:t>Granted</w:t>
            </w:r>
          </w:p>
        </w:tc>
        <w:tc>
          <w:tcPr>
            <w:tcW w:w="1560" w:type="dxa"/>
            <w:vAlign w:val="bottom"/>
          </w:tcPr>
          <w:p>
            <w:pPr>
              <w:jc w:val="right"/>
              <w:ind w:right="65"/>
              <w:spacing w:after="0"/>
              <w:rPr>
                <w:sz w:val="20"/>
                <w:szCs w:val="20"/>
                <w:color w:val="auto"/>
              </w:rPr>
            </w:pPr>
            <w:r>
              <w:rPr>
                <w:rFonts w:ascii="Arial" w:cs="Arial" w:eastAsia="Arial" w:hAnsi="Arial"/>
                <w:sz w:val="20"/>
                <w:szCs w:val="20"/>
                <w:color w:val="auto"/>
              </w:rPr>
              <w:t>5,277,408</w:t>
            </w:r>
          </w:p>
        </w:tc>
        <w:tc>
          <w:tcPr>
            <w:tcW w:w="1140" w:type="dxa"/>
            <w:vAlign w:val="bottom"/>
          </w:tcPr>
          <w:p>
            <w:pPr>
              <w:jc w:val="right"/>
              <w:ind w:right="848"/>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w w:val="82"/>
              </w:rPr>
              <w:t>3.23</w:t>
            </w: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CFF0FC"/>
          </w:tcPr>
          <w:p>
            <w:pPr>
              <w:ind w:left="200"/>
              <w:spacing w:after="0"/>
              <w:rPr>
                <w:sz w:val="20"/>
                <w:szCs w:val="20"/>
                <w:color w:val="auto"/>
              </w:rPr>
            </w:pPr>
            <w:r>
              <w:rPr>
                <w:rFonts w:ascii="Arial" w:cs="Arial" w:eastAsia="Arial" w:hAnsi="Arial"/>
                <w:sz w:val="20"/>
                <w:szCs w:val="20"/>
                <w:color w:val="auto"/>
              </w:rPr>
              <w:t>Exercised</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(2,106,579)</w:t>
            </w:r>
          </w:p>
        </w:tc>
        <w:tc>
          <w:tcPr>
            <w:tcW w:w="1140" w:type="dxa"/>
            <w:vAlign w:val="bottom"/>
            <w:shd w:val="clear" w:color="auto" w:fill="CFF0FC"/>
          </w:tcPr>
          <w:p>
            <w:pPr>
              <w:jc w:val="right"/>
              <w:ind w:right="848"/>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4.56</w:t>
            </w:r>
          </w:p>
        </w:tc>
        <w:tc>
          <w:tcPr>
            <w:tcW w:w="1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20" w:type="dxa"/>
            <w:vAlign w:val="bottom"/>
          </w:tcPr>
          <w:p>
            <w:pPr>
              <w:ind w:left="200"/>
              <w:spacing w:after="0"/>
              <w:rPr>
                <w:sz w:val="20"/>
                <w:szCs w:val="20"/>
                <w:color w:val="auto"/>
              </w:rPr>
            </w:pPr>
            <w:r>
              <w:rPr>
                <w:rFonts w:ascii="Arial" w:cs="Arial" w:eastAsia="Arial" w:hAnsi="Arial"/>
                <w:sz w:val="20"/>
                <w:szCs w:val="20"/>
                <w:color w:val="auto"/>
              </w:rPr>
              <w:t>Cancelled</w:t>
            </w:r>
          </w:p>
        </w:tc>
        <w:tc>
          <w:tcPr>
            <w:tcW w:w="1560" w:type="dxa"/>
            <w:vAlign w:val="bottom"/>
          </w:tcPr>
          <w:p>
            <w:pPr>
              <w:jc w:val="right"/>
              <w:spacing w:after="0"/>
              <w:rPr>
                <w:sz w:val="20"/>
                <w:szCs w:val="20"/>
                <w:color w:val="auto"/>
              </w:rPr>
            </w:pPr>
            <w:r>
              <w:rPr>
                <w:rFonts w:ascii="Arial" w:cs="Arial" w:eastAsia="Arial" w:hAnsi="Arial"/>
                <w:sz w:val="20"/>
                <w:szCs w:val="20"/>
                <w:color w:val="auto"/>
              </w:rPr>
              <w:t>(2,320,273)</w:t>
            </w:r>
          </w:p>
        </w:tc>
        <w:tc>
          <w:tcPr>
            <w:tcW w:w="1140" w:type="dxa"/>
            <w:vAlign w:val="bottom"/>
          </w:tcPr>
          <w:p>
            <w:pPr>
              <w:jc w:val="right"/>
              <w:ind w:right="848"/>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w w:val="82"/>
              </w:rPr>
              <w:t>8.20</w:t>
            </w:r>
          </w:p>
        </w:tc>
        <w:tc>
          <w:tcPr>
            <w:tcW w:w="1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w w:val="93"/>
              </w:rPr>
              <w:t>Options outstanding as of December 31,</w:t>
            </w:r>
          </w:p>
        </w:tc>
        <w:tc>
          <w:tcPr>
            <w:tcW w:w="15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6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2025</w:t>
            </w:r>
          </w:p>
        </w:tc>
        <w:tc>
          <w:tcPr>
            <w:tcW w:w="1560" w:type="dxa"/>
            <w:vAlign w:val="bottom"/>
            <w:shd w:val="clear" w:color="auto" w:fill="CFF0FC"/>
          </w:tcPr>
          <w:p>
            <w:pPr>
              <w:jc w:val="right"/>
              <w:ind w:right="65"/>
              <w:spacing w:after="0"/>
              <w:rPr>
                <w:sz w:val="20"/>
                <w:szCs w:val="20"/>
                <w:color w:val="auto"/>
              </w:rPr>
            </w:pPr>
            <w:r>
              <w:rPr>
                <w:rFonts w:ascii="Arial" w:cs="Arial" w:eastAsia="Arial" w:hAnsi="Arial"/>
                <w:sz w:val="20"/>
                <w:szCs w:val="20"/>
                <w:color w:val="auto"/>
              </w:rPr>
              <w:t>20,465,579</w:t>
            </w:r>
          </w:p>
        </w:tc>
        <w:tc>
          <w:tcPr>
            <w:tcW w:w="1140" w:type="dxa"/>
            <w:vAlign w:val="bottom"/>
            <w:shd w:val="clear" w:color="auto" w:fill="CFF0FC"/>
          </w:tcPr>
          <w:p>
            <w:pPr>
              <w:jc w:val="right"/>
              <w:ind w:right="848"/>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2"/>
              </w:rPr>
              <w:t>6.53</w:t>
            </w:r>
          </w:p>
        </w:tc>
        <w:tc>
          <w:tcPr>
            <w:tcW w:w="1800" w:type="dxa"/>
            <w:vAlign w:val="bottom"/>
            <w:shd w:val="clear" w:color="auto" w:fill="CFF0FC"/>
          </w:tcPr>
          <w:p>
            <w:pPr>
              <w:jc w:val="right"/>
              <w:ind w:right="53"/>
              <w:spacing w:after="0"/>
              <w:rPr>
                <w:sz w:val="20"/>
                <w:szCs w:val="20"/>
                <w:color w:val="auto"/>
              </w:rPr>
            </w:pPr>
            <w:r>
              <w:rPr>
                <w:rFonts w:ascii="Arial" w:cs="Arial" w:eastAsia="Arial" w:hAnsi="Arial"/>
                <w:sz w:val="20"/>
                <w:szCs w:val="20"/>
                <w:color w:val="auto"/>
              </w:rPr>
              <w:t>6.83</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60,720,990</w:t>
            </w:r>
          </w:p>
        </w:tc>
        <w:tc>
          <w:tcPr>
            <w:tcW w:w="0" w:type="dxa"/>
            <w:vAlign w:val="bottom"/>
          </w:tcPr>
          <w:p>
            <w:pPr>
              <w:spacing w:after="0"/>
              <w:rPr>
                <w:sz w:val="1"/>
                <w:szCs w:val="1"/>
                <w:color w:val="auto"/>
              </w:rPr>
            </w:pPr>
          </w:p>
        </w:tc>
      </w:tr>
      <w:tr>
        <w:trPr>
          <w:trHeight w:val="225"/>
        </w:trPr>
        <w:tc>
          <w:tcPr>
            <w:tcW w:w="3620" w:type="dxa"/>
            <w:vAlign w:val="bottom"/>
          </w:tcPr>
          <w:p>
            <w:pPr>
              <w:ind w:left="200"/>
              <w:spacing w:after="0" w:line="226" w:lineRule="exact"/>
              <w:rPr>
                <w:sz w:val="20"/>
                <w:szCs w:val="20"/>
                <w:color w:val="auto"/>
              </w:rPr>
            </w:pPr>
            <w:r>
              <w:rPr>
                <w:rFonts w:ascii="Arial" w:cs="Arial" w:eastAsia="Arial" w:hAnsi="Arial"/>
                <w:sz w:val="20"/>
                <w:szCs w:val="20"/>
                <w:color w:val="auto"/>
                <w:w w:val="95"/>
              </w:rPr>
              <w:t>Options exercisable as of December 31,</w:t>
            </w: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00"/>
              <w:spacing w:after="0"/>
              <w:rPr>
                <w:sz w:val="20"/>
                <w:szCs w:val="20"/>
                <w:color w:val="auto"/>
              </w:rPr>
            </w:pPr>
            <w:r>
              <w:rPr>
                <w:rFonts w:ascii="Arial" w:cs="Arial" w:eastAsia="Arial" w:hAnsi="Arial"/>
                <w:sz w:val="20"/>
                <w:szCs w:val="20"/>
                <w:color w:val="auto"/>
              </w:rPr>
              <w:t>2025</w:t>
            </w:r>
          </w:p>
        </w:tc>
        <w:tc>
          <w:tcPr>
            <w:tcW w:w="1560" w:type="dxa"/>
            <w:vAlign w:val="bottom"/>
          </w:tcPr>
          <w:p>
            <w:pPr>
              <w:jc w:val="right"/>
              <w:ind w:right="65"/>
              <w:spacing w:after="0"/>
              <w:rPr>
                <w:sz w:val="20"/>
                <w:szCs w:val="20"/>
                <w:color w:val="auto"/>
              </w:rPr>
            </w:pPr>
            <w:r>
              <w:rPr>
                <w:rFonts w:ascii="Arial" w:cs="Arial" w:eastAsia="Arial" w:hAnsi="Arial"/>
                <w:sz w:val="20"/>
                <w:szCs w:val="20"/>
                <w:color w:val="auto"/>
              </w:rPr>
              <w:t>13,155,441</w:t>
            </w:r>
          </w:p>
        </w:tc>
        <w:tc>
          <w:tcPr>
            <w:tcW w:w="1140" w:type="dxa"/>
            <w:vAlign w:val="bottom"/>
          </w:tcPr>
          <w:p>
            <w:pPr>
              <w:jc w:val="right"/>
              <w:ind w:right="848"/>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w w:val="82"/>
              </w:rPr>
              <w:t>7.02</w:t>
            </w:r>
          </w:p>
        </w:tc>
        <w:tc>
          <w:tcPr>
            <w:tcW w:w="1800" w:type="dxa"/>
            <w:vAlign w:val="bottom"/>
          </w:tcPr>
          <w:p>
            <w:pPr>
              <w:jc w:val="right"/>
              <w:ind w:right="53"/>
              <w:spacing w:after="0"/>
              <w:rPr>
                <w:sz w:val="20"/>
                <w:szCs w:val="20"/>
                <w:color w:val="auto"/>
              </w:rPr>
            </w:pPr>
            <w:r>
              <w:rPr>
                <w:rFonts w:ascii="Arial" w:cs="Arial" w:eastAsia="Arial" w:hAnsi="Arial"/>
                <w:sz w:val="20"/>
                <w:szCs w:val="20"/>
                <w:color w:val="auto"/>
              </w:rPr>
              <w:t>5.85</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32,222,885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-1525270</wp:posOffset>
            </wp:positionV>
            <wp:extent cx="4082415" cy="936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4082415" cy="936625"/>
                    </a:xfrm>
                    <a:prstGeom prst="rect">
                      <a:avLst/>
                    </a:prstGeom>
                    <a:noFill/>
                  </pic:spPr>
                </pic:pic>
              </a:graphicData>
            </a:graphic>
          </wp:anchor>
        </w:drawing>
      </w:r>
    </w:p>
    <w:p>
      <w:pPr>
        <w:spacing w:after="0" w:line="201" w:lineRule="exact"/>
        <w:rPr>
          <w:sz w:val="20"/>
          <w:szCs w:val="20"/>
          <w:color w:val="auto"/>
        </w:rPr>
      </w:pPr>
    </w:p>
    <w:p>
      <w:pPr>
        <w:ind w:right="60" w:firstLine="490"/>
        <w:spacing w:after="0" w:line="258" w:lineRule="auto"/>
        <w:rPr>
          <w:sz w:val="20"/>
          <w:szCs w:val="20"/>
          <w:color w:val="auto"/>
        </w:rPr>
      </w:pPr>
      <w:r>
        <w:rPr>
          <w:rFonts w:ascii="Arial" w:cs="Arial" w:eastAsia="Arial" w:hAnsi="Arial"/>
          <w:sz w:val="20"/>
          <w:szCs w:val="20"/>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88" w:lineRule="exact"/>
        <w:rPr>
          <w:sz w:val="20"/>
          <w:szCs w:val="20"/>
          <w:color w:val="auto"/>
        </w:rPr>
      </w:pPr>
    </w:p>
    <w:p>
      <w:pPr>
        <w:ind w:right="340" w:firstLine="490"/>
        <w:spacing w:after="0" w:line="300" w:lineRule="auto"/>
        <w:rPr>
          <w:sz w:val="20"/>
          <w:szCs w:val="20"/>
          <w:color w:val="auto"/>
        </w:rPr>
      </w:pPr>
      <w:r>
        <w:rPr>
          <w:rFonts w:ascii="Arial" w:cs="Arial" w:eastAsia="Arial" w:hAnsi="Arial"/>
          <w:sz w:val="18"/>
          <w:szCs w:val="18"/>
          <w:color w:val="auto"/>
        </w:rPr>
        <w:t>The total intrinsic value of options exercised totaled $7.8 million, $4.9 million, and $2.8 million for the years ended December 31, 2025, 2024, and 2023, respectively. The weighted-average grant date fair value per share of stock options granted was $2.25, $7.46, and $5.41 for the years ended December 31, 2025, 2024, and 2023, respectively.</w:t>
      </w:r>
    </w:p>
    <w:p>
      <w:pPr>
        <w:spacing w:after="0" w:line="154" w:lineRule="exact"/>
        <w:rPr>
          <w:sz w:val="20"/>
          <w:szCs w:val="20"/>
          <w:color w:val="auto"/>
        </w:rPr>
      </w:pPr>
    </w:p>
    <w:p>
      <w:pPr>
        <w:ind w:right="120" w:firstLine="490"/>
        <w:spacing w:after="0" w:line="258" w:lineRule="auto"/>
        <w:rPr>
          <w:sz w:val="20"/>
          <w:szCs w:val="20"/>
          <w:color w:val="auto"/>
        </w:rPr>
      </w:pPr>
      <w:r>
        <w:rPr>
          <w:rFonts w:ascii="Arial" w:cs="Arial" w:eastAsia="Arial" w:hAnsi="Arial"/>
          <w:sz w:val="20"/>
          <w:szCs w:val="20"/>
          <w:color w:val="auto"/>
        </w:rPr>
        <w:t>As of December 31, 2025, total unrecognized compensation expense related to stock options was $25.2 million, which the Company expects to recognize over a remaining weighted-average period of 2.4 years. Substantially all options outstanding as of December 31, 2025 are expected to vest.</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Stock Option Valuation</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weighted average assumptions used to estimate the grant date fair value of the stock options using the Black-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Scholes option pricing model were as follows:</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2025</w:t>
            </w:r>
          </w:p>
        </w:tc>
        <w:tc>
          <w:tcPr>
            <w:tcW w:w="1640" w:type="dxa"/>
            <w:vAlign w:val="bottom"/>
          </w:tcPr>
          <w:p>
            <w:pPr>
              <w:jc w:val="center"/>
              <w:ind w:left="64"/>
              <w:spacing w:after="0"/>
              <w:rPr>
                <w:sz w:val="20"/>
                <w:szCs w:val="20"/>
                <w:color w:val="auto"/>
              </w:rPr>
            </w:pPr>
            <w:r>
              <w:rPr>
                <w:rFonts w:ascii="Arial" w:cs="Arial" w:eastAsia="Arial" w:hAnsi="Arial"/>
                <w:sz w:val="16"/>
                <w:szCs w:val="16"/>
                <w:b w:val="1"/>
                <w:bCs w:val="1"/>
                <w:color w:val="auto"/>
                <w:w w:val="89"/>
              </w:rPr>
              <w:t>2024</w:t>
            </w:r>
          </w:p>
        </w:tc>
        <w:tc>
          <w:tcPr>
            <w:tcW w:w="1620" w:type="dxa"/>
            <w:vAlign w:val="bottom"/>
          </w:tcPr>
          <w:p>
            <w:pPr>
              <w:jc w:val="center"/>
              <w:ind w:left="44"/>
              <w:spacing w:after="0"/>
              <w:rPr>
                <w:sz w:val="20"/>
                <w:szCs w:val="20"/>
                <w:color w:val="auto"/>
              </w:rPr>
            </w:pPr>
            <w:r>
              <w:rPr>
                <w:rFonts w:ascii="Arial" w:cs="Arial" w:eastAsia="Arial" w:hAnsi="Arial"/>
                <w:sz w:val="16"/>
                <w:szCs w:val="16"/>
                <w:b w:val="1"/>
                <w:bCs w:val="1"/>
                <w:color w:val="auto"/>
                <w:w w:val="89"/>
              </w:rPr>
              <w:t>2023</w:t>
            </w:r>
          </w:p>
        </w:tc>
      </w:tr>
      <w:tr>
        <w:trPr>
          <w:trHeight w:val="245"/>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Expected option life (in years)</w:t>
            </w:r>
          </w:p>
        </w:tc>
        <w:tc>
          <w:tcPr>
            <w:tcW w:w="14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3"/>
              </w:rPr>
              <w:t>6.2</w:t>
            </w:r>
          </w:p>
        </w:tc>
        <w:tc>
          <w:tcPr>
            <w:tcW w:w="1640" w:type="dxa"/>
            <w:vAlign w:val="bottom"/>
            <w:shd w:val="clear" w:color="auto" w:fill="CFF0FC"/>
          </w:tcPr>
          <w:p>
            <w:pPr>
              <w:jc w:val="center"/>
              <w:ind w:left="44"/>
              <w:spacing w:after="0"/>
              <w:rPr>
                <w:sz w:val="20"/>
                <w:szCs w:val="20"/>
                <w:color w:val="auto"/>
              </w:rPr>
            </w:pPr>
            <w:r>
              <w:rPr>
                <w:rFonts w:ascii="Arial" w:cs="Arial" w:eastAsia="Arial" w:hAnsi="Arial"/>
                <w:sz w:val="20"/>
                <w:szCs w:val="20"/>
                <w:color w:val="auto"/>
                <w:w w:val="93"/>
              </w:rPr>
              <w:t>6.2</w:t>
            </w:r>
          </w:p>
        </w:tc>
        <w:tc>
          <w:tcPr>
            <w:tcW w:w="1620" w:type="dxa"/>
            <w:vAlign w:val="bottom"/>
            <w:shd w:val="clear" w:color="auto" w:fill="CFF0FC"/>
          </w:tcPr>
          <w:p>
            <w:pPr>
              <w:jc w:val="center"/>
              <w:ind w:left="44"/>
              <w:spacing w:after="0"/>
              <w:rPr>
                <w:sz w:val="20"/>
                <w:szCs w:val="20"/>
                <w:color w:val="auto"/>
              </w:rPr>
            </w:pPr>
            <w:r>
              <w:rPr>
                <w:rFonts w:ascii="Arial" w:cs="Arial" w:eastAsia="Arial" w:hAnsi="Arial"/>
                <w:sz w:val="20"/>
                <w:szCs w:val="20"/>
                <w:color w:val="auto"/>
                <w:w w:val="86"/>
              </w:rPr>
              <w:t>6.2</w:t>
            </w: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Expected volatility</w:t>
            </w:r>
          </w:p>
        </w:tc>
        <w:tc>
          <w:tcPr>
            <w:tcW w:w="1460" w:type="dxa"/>
            <w:vAlign w:val="bottom"/>
          </w:tcPr>
          <w:p>
            <w:pPr>
              <w:jc w:val="center"/>
              <w:spacing w:after="0"/>
              <w:rPr>
                <w:sz w:val="20"/>
                <w:szCs w:val="20"/>
                <w:color w:val="auto"/>
              </w:rPr>
            </w:pPr>
            <w:r>
              <w:rPr>
                <w:rFonts w:ascii="Arial" w:cs="Arial" w:eastAsia="Arial" w:hAnsi="Arial"/>
                <w:sz w:val="20"/>
                <w:szCs w:val="20"/>
                <w:color w:val="auto"/>
                <w:w w:val="94"/>
              </w:rPr>
              <w:t>75%</w:t>
            </w:r>
          </w:p>
        </w:tc>
        <w:tc>
          <w:tcPr>
            <w:tcW w:w="1640" w:type="dxa"/>
            <w:vAlign w:val="bottom"/>
          </w:tcPr>
          <w:p>
            <w:pPr>
              <w:jc w:val="center"/>
              <w:ind w:left="64"/>
              <w:spacing w:after="0"/>
              <w:rPr>
                <w:sz w:val="20"/>
                <w:szCs w:val="20"/>
                <w:color w:val="auto"/>
              </w:rPr>
            </w:pPr>
            <w:r>
              <w:rPr>
                <w:rFonts w:ascii="Arial" w:cs="Arial" w:eastAsia="Arial" w:hAnsi="Arial"/>
                <w:sz w:val="20"/>
                <w:szCs w:val="20"/>
                <w:color w:val="auto"/>
                <w:w w:val="89"/>
              </w:rPr>
              <w:t>73%</w:t>
            </w:r>
          </w:p>
        </w:tc>
        <w:tc>
          <w:tcPr>
            <w:tcW w:w="1620" w:type="dxa"/>
            <w:vAlign w:val="bottom"/>
          </w:tcPr>
          <w:p>
            <w:pPr>
              <w:jc w:val="center"/>
              <w:ind w:left="44"/>
              <w:spacing w:after="0"/>
              <w:rPr>
                <w:sz w:val="20"/>
                <w:szCs w:val="20"/>
                <w:color w:val="auto"/>
              </w:rPr>
            </w:pPr>
            <w:r>
              <w:rPr>
                <w:rFonts w:ascii="Arial" w:cs="Arial" w:eastAsia="Arial" w:hAnsi="Arial"/>
                <w:sz w:val="20"/>
                <w:szCs w:val="20"/>
                <w:color w:val="auto"/>
                <w:w w:val="89"/>
              </w:rPr>
              <w:t>72%</w:t>
            </w: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Risk-free interest rate</w:t>
            </w:r>
          </w:p>
        </w:tc>
        <w:tc>
          <w:tcPr>
            <w:tcW w:w="14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4.3%</w:t>
            </w:r>
          </w:p>
        </w:tc>
        <w:tc>
          <w:tcPr>
            <w:tcW w:w="1640" w:type="dxa"/>
            <w:vAlign w:val="bottom"/>
            <w:shd w:val="clear" w:color="auto" w:fill="CFF0FC"/>
          </w:tcPr>
          <w:p>
            <w:pPr>
              <w:jc w:val="center"/>
              <w:ind w:left="44"/>
              <w:spacing w:after="0"/>
              <w:rPr>
                <w:sz w:val="20"/>
                <w:szCs w:val="20"/>
                <w:color w:val="auto"/>
              </w:rPr>
            </w:pPr>
            <w:r>
              <w:rPr>
                <w:rFonts w:ascii="Arial" w:cs="Arial" w:eastAsia="Arial" w:hAnsi="Arial"/>
                <w:sz w:val="20"/>
                <w:szCs w:val="20"/>
                <w:color w:val="auto"/>
                <w:w w:val="92"/>
              </w:rPr>
              <w:t>3.9%</w:t>
            </w:r>
          </w:p>
        </w:tc>
        <w:tc>
          <w:tcPr>
            <w:tcW w:w="1620" w:type="dxa"/>
            <w:vAlign w:val="bottom"/>
            <w:shd w:val="clear" w:color="auto" w:fill="CFF0FC"/>
          </w:tcPr>
          <w:p>
            <w:pPr>
              <w:jc w:val="center"/>
              <w:ind w:left="44"/>
              <w:spacing w:after="0"/>
              <w:rPr>
                <w:sz w:val="20"/>
                <w:szCs w:val="20"/>
                <w:color w:val="auto"/>
              </w:rPr>
            </w:pPr>
            <w:r>
              <w:rPr>
                <w:rFonts w:ascii="Arial" w:cs="Arial" w:eastAsia="Arial" w:hAnsi="Arial"/>
                <w:sz w:val="20"/>
                <w:szCs w:val="20"/>
                <w:color w:val="auto"/>
                <w:w w:val="87"/>
              </w:rPr>
              <w:t>4.1%</w:t>
            </w:r>
          </w:p>
        </w:tc>
      </w:tr>
      <w:tr>
        <w:trPr>
          <w:trHeight w:val="232"/>
        </w:trPr>
        <w:tc>
          <w:tcPr>
            <w:tcW w:w="436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20"/>
                <w:szCs w:val="20"/>
                <w:color w:val="auto"/>
                <w:w w:val="96"/>
              </w:rPr>
              <w:t>— %</w:t>
            </w:r>
          </w:p>
        </w:tc>
        <w:tc>
          <w:tcPr>
            <w:tcW w:w="1640" w:type="dxa"/>
            <w:vAlign w:val="bottom"/>
          </w:tcPr>
          <w:p>
            <w:pPr>
              <w:jc w:val="center"/>
              <w:ind w:left="44"/>
              <w:spacing w:after="0"/>
              <w:rPr>
                <w:sz w:val="20"/>
                <w:szCs w:val="20"/>
                <w:color w:val="auto"/>
              </w:rPr>
            </w:pPr>
            <w:r>
              <w:rPr>
                <w:rFonts w:ascii="Arial" w:cs="Arial" w:eastAsia="Arial" w:hAnsi="Arial"/>
                <w:sz w:val="20"/>
                <w:szCs w:val="20"/>
                <w:color w:val="auto"/>
                <w:w w:val="96"/>
              </w:rPr>
              <w:t>— %</w:t>
            </w:r>
          </w:p>
        </w:tc>
        <w:tc>
          <w:tcPr>
            <w:tcW w:w="1620" w:type="dxa"/>
            <w:vAlign w:val="bottom"/>
          </w:tcPr>
          <w:p>
            <w:pPr>
              <w:jc w:val="center"/>
              <w:ind w:left="44"/>
              <w:spacing w:after="0"/>
              <w:rPr>
                <w:sz w:val="20"/>
                <w:szCs w:val="20"/>
                <w:color w:val="auto"/>
              </w:rPr>
            </w:pPr>
            <w:r>
              <w:rPr>
                <w:rFonts w:ascii="Arial" w:cs="Arial" w:eastAsia="Arial" w:hAnsi="Arial"/>
                <w:sz w:val="20"/>
                <w:szCs w:val="20"/>
                <w:color w:val="auto"/>
                <w:w w:val="92"/>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-606425</wp:posOffset>
            </wp:positionV>
            <wp:extent cx="3020695" cy="26581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3020695" cy="2658110"/>
                    </a:xfrm>
                    <a:prstGeom prst="rect">
                      <a:avLst/>
                    </a:prstGeom>
                    <a:noFill/>
                  </pic:spPr>
                </pic:pic>
              </a:graphicData>
            </a:graphic>
          </wp:anchor>
        </w:drawing>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240" w:lineRule="exact"/>
        <w:rPr>
          <w:sz w:val="20"/>
          <w:szCs w:val="20"/>
          <w:color w:val="auto"/>
        </w:rPr>
      </w:pPr>
    </w:p>
    <w:p>
      <w:pPr>
        <w:ind w:right="320" w:firstLine="490"/>
        <w:spacing w:after="0" w:line="258" w:lineRule="auto"/>
        <w:rPr>
          <w:sz w:val="20"/>
          <w:szCs w:val="20"/>
          <w:color w:val="auto"/>
        </w:rPr>
      </w:pPr>
      <w:r>
        <w:rPr>
          <w:rFonts w:ascii="Arial" w:cs="Arial" w:eastAsia="Arial" w:hAnsi="Arial"/>
          <w:sz w:val="20"/>
          <w:szCs w:val="20"/>
          <w:color w:val="auto"/>
          <w:highlight w:val="white"/>
        </w:rPr>
        <w:t>The Company measures stock-based awards at their grant-date fair value and records compensation expense on a straight-line basis over the vesting period of the awards. The C</w:t>
      </w:r>
      <w:r>
        <w:rPr>
          <w:rFonts w:ascii="Arial" w:cs="Arial" w:eastAsia="Arial" w:hAnsi="Arial"/>
          <w:sz w:val="19"/>
          <w:szCs w:val="19"/>
          <w:color w:val="auto"/>
          <w:highlight w:val="white"/>
        </w:rPr>
        <w:t>ompany recorded stock-based compensation expense in the</w:t>
      </w:r>
      <w:r>
        <w:rPr>
          <w:rFonts w:ascii="Arial" w:cs="Arial" w:eastAsia="Arial" w:hAnsi="Arial"/>
          <w:sz w:val="20"/>
          <w:szCs w:val="20"/>
          <w:color w:val="auto"/>
          <w:highlight w:val="white"/>
        </w:rPr>
        <w:t xml:space="preserve"> </w:t>
      </w:r>
      <w:r>
        <w:rPr>
          <w:rFonts w:ascii="Arial" w:cs="Arial" w:eastAsia="Arial" w:hAnsi="Arial"/>
          <w:sz w:val="19"/>
          <w:szCs w:val="19"/>
          <w:color w:val="auto"/>
          <w:highlight w:val="white"/>
        </w:rPr>
        <w:t>following expense categories in its accompanying statem</w:t>
      </w:r>
      <w:r>
        <w:rPr>
          <w:rFonts w:ascii="Arial" w:cs="Arial" w:eastAsia="Arial" w:hAnsi="Arial"/>
          <w:sz w:val="20"/>
          <w:szCs w:val="20"/>
          <w:color w:val="auto"/>
          <w:highlight w:val="white"/>
        </w:rPr>
        <w:t>ents of operations:</w:t>
      </w:r>
    </w:p>
    <w:p>
      <w:pPr>
        <w:spacing w:after="0" w:line="20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Year Ended</w:t>
      </w:r>
    </w:p>
    <w:p>
      <w:pPr>
        <w:spacing w:after="0" w:line="27"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December 31,</w:t>
      </w:r>
    </w:p>
    <w:p>
      <w:pPr>
        <w:spacing w:after="0" w:line="10"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3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jc w:val="right"/>
              <w:ind w:right="305"/>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7"/>
                <w:szCs w:val="17"/>
                <w:color w:val="auto"/>
              </w:rPr>
            </w:pPr>
          </w:p>
        </w:tc>
        <w:tc>
          <w:tcPr>
            <w:tcW w:w="880" w:type="dxa"/>
            <w:vAlign w:val="bottom"/>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460" w:type="dxa"/>
            <w:vAlign w:val="bottom"/>
          </w:tcPr>
          <w:p>
            <w:pPr>
              <w:spacing w:after="0"/>
              <w:rPr>
                <w:sz w:val="17"/>
                <w:szCs w:val="17"/>
                <w:color w:val="auto"/>
              </w:rPr>
            </w:pPr>
          </w:p>
        </w:tc>
        <w:tc>
          <w:tcPr>
            <w:tcW w:w="940" w:type="dxa"/>
            <w:vAlign w:val="bottom"/>
          </w:tcPr>
          <w:p>
            <w:pPr>
              <w:jc w:val="right"/>
              <w:ind w:right="385"/>
              <w:spacing w:after="0"/>
              <w:rPr>
                <w:sz w:val="20"/>
                <w:szCs w:val="20"/>
                <w:color w:val="auto"/>
              </w:rPr>
            </w:pPr>
            <w:r>
              <w:rPr>
                <w:rFonts w:ascii="Arial" w:cs="Arial" w:eastAsia="Arial" w:hAnsi="Arial"/>
                <w:sz w:val="16"/>
                <w:szCs w:val="16"/>
                <w:b w:val="1"/>
                <w:bCs w:val="1"/>
                <w:color w:val="auto"/>
              </w:rPr>
              <w:t>2023</w:t>
            </w:r>
          </w:p>
        </w:tc>
      </w:tr>
      <w:tr>
        <w:trPr>
          <w:trHeight w:val="202"/>
        </w:trPr>
        <w:tc>
          <w:tcPr>
            <w:tcW w:w="3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4"/>
        </w:trPr>
        <w:tc>
          <w:tcPr>
            <w:tcW w:w="3700" w:type="dxa"/>
            <w:vAlign w:val="bottom"/>
            <w:shd w:val="clear" w:color="auto" w:fill="CFF0FC"/>
          </w:tcPr>
          <w:p>
            <w:pPr>
              <w:spacing w:after="0"/>
              <w:rPr>
                <w:sz w:val="20"/>
                <w:szCs w:val="20"/>
                <w:color w:val="auto"/>
              </w:rPr>
            </w:pPr>
            <w:r>
              <w:rPr>
                <w:rFonts w:ascii="Arial" w:cs="Arial" w:eastAsia="Arial" w:hAnsi="Arial"/>
                <w:sz w:val="20"/>
                <w:szCs w:val="20"/>
                <w:color w:val="auto"/>
              </w:rPr>
              <w:t>Research and development</w:t>
            </w:r>
          </w:p>
        </w:tc>
        <w:tc>
          <w:tcPr>
            <w:tcW w:w="17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15,318</w:t>
            </w:r>
          </w:p>
        </w:tc>
        <w:tc>
          <w:tcPr>
            <w:tcW w:w="460" w:type="dxa"/>
            <w:vAlign w:val="bottom"/>
            <w:shd w:val="clear" w:color="auto" w:fill="CFF0FC"/>
          </w:tcPr>
          <w:p>
            <w:pPr>
              <w:jc w:val="right"/>
              <w:ind w:right="47"/>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15,728</w:t>
            </w:r>
          </w:p>
        </w:tc>
        <w:tc>
          <w:tcPr>
            <w:tcW w:w="4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10,047</w:t>
            </w:r>
          </w:p>
        </w:tc>
      </w:tr>
      <w:tr>
        <w:trPr>
          <w:trHeight w:val="245"/>
        </w:trPr>
        <w:tc>
          <w:tcPr>
            <w:tcW w:w="3700" w:type="dxa"/>
            <w:vAlign w:val="bottom"/>
          </w:tcPr>
          <w:p>
            <w:pPr>
              <w:spacing w:after="0"/>
              <w:rPr>
                <w:sz w:val="20"/>
                <w:szCs w:val="20"/>
                <w:color w:val="auto"/>
              </w:rPr>
            </w:pPr>
            <w:r>
              <w:rPr>
                <w:rFonts w:ascii="Arial" w:cs="Arial" w:eastAsia="Arial" w:hAnsi="Arial"/>
                <w:sz w:val="20"/>
                <w:szCs w:val="20"/>
                <w:color w:val="auto"/>
              </w:rPr>
              <w:t>General and administrative</w:t>
            </w:r>
          </w:p>
        </w:tc>
        <w:tc>
          <w:tcPr>
            <w:tcW w:w="17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11,112</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13,169</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9,032</w:t>
            </w:r>
          </w:p>
        </w:tc>
      </w:tr>
      <w:tr>
        <w:trPr>
          <w:trHeight w:val="259"/>
        </w:trPr>
        <w:tc>
          <w:tcPr>
            <w:tcW w:w="37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Total</w:t>
            </w:r>
          </w:p>
        </w:tc>
        <w:tc>
          <w:tcPr>
            <w:tcW w:w="17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26,430</w:t>
            </w:r>
          </w:p>
        </w:tc>
        <w:tc>
          <w:tcPr>
            <w:tcW w:w="460" w:type="dxa"/>
            <w:vAlign w:val="bottom"/>
            <w:shd w:val="clear" w:color="auto" w:fill="CFF0FC"/>
          </w:tcPr>
          <w:p>
            <w:pPr>
              <w:jc w:val="right"/>
              <w:ind w:right="47"/>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28,897</w:t>
            </w:r>
          </w:p>
        </w:tc>
        <w:tc>
          <w:tcPr>
            <w:tcW w:w="4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19,079</w:t>
            </w:r>
          </w:p>
        </w:tc>
      </w:tr>
    </w:tbl>
    <w:p>
      <w:pPr>
        <w:spacing w:after="0" w:line="200" w:lineRule="exact"/>
        <w:rPr>
          <w:sz w:val="20"/>
          <w:szCs w:val="20"/>
          <w:color w:val="auto"/>
        </w:rPr>
      </w:pPr>
    </w:p>
    <w:p>
      <w:pPr>
        <w:sectPr>
          <w:pgSz w:w="12240" w:h="15840" w:orient="portrait"/>
          <w:cols w:equalWidth="0" w:num="1">
            <w:col w:w="10080"/>
          </w:cols>
          <w:pgMar w:left="1080" w:top="1060" w:right="10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2240" w:h="15840" w:orient="portrait"/>
          <w:cols w:equalWidth="0" w:num="1">
            <w:col w:w="10080"/>
          </w:cols>
          <w:pgMar w:left="1080" w:top="1060" w:right="1080" w:bottom="21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12. Income Taxes</w:t>
      </w:r>
    </w:p>
    <w:p>
      <w:pPr>
        <w:spacing w:after="0" w:line="243" w:lineRule="exact"/>
        <w:rPr>
          <w:sz w:val="20"/>
          <w:szCs w:val="20"/>
          <w:color w:val="auto"/>
        </w:rPr>
      </w:pPr>
    </w:p>
    <w:p>
      <w:pPr>
        <w:ind w:firstLine="490"/>
        <w:spacing w:after="0" w:line="259" w:lineRule="auto"/>
        <w:rPr>
          <w:sz w:val="20"/>
          <w:szCs w:val="20"/>
          <w:color w:val="auto"/>
        </w:rPr>
      </w:pPr>
      <w:r>
        <w:rPr>
          <w:rFonts w:ascii="Arial" w:cs="Arial" w:eastAsia="Arial" w:hAnsi="Arial"/>
          <w:sz w:val="20"/>
          <w:szCs w:val="20"/>
          <w:color w:val="auto"/>
        </w:rPr>
        <w:t>During the year ended December 31, 2025, 2024, and 2023 the Company recorded total tax provisions of less than $0.1 million, $0.2 million, and $0.1 million, respectively, related to current state taxes. All of the Company’s operating losses since inception have been generated in the United States.</w:t>
      </w:r>
    </w:p>
    <w:p>
      <w:pPr>
        <w:spacing w:after="0" w:line="185" w:lineRule="exact"/>
        <w:rPr>
          <w:sz w:val="20"/>
          <w:szCs w:val="20"/>
          <w:color w:val="auto"/>
        </w:rPr>
      </w:pPr>
    </w:p>
    <w:p>
      <w:pPr>
        <w:ind w:right="140" w:firstLine="490"/>
        <w:spacing w:after="0" w:line="278" w:lineRule="auto"/>
        <w:rPr>
          <w:sz w:val="20"/>
          <w:szCs w:val="20"/>
          <w:color w:val="auto"/>
        </w:rPr>
      </w:pPr>
      <w:r>
        <w:rPr>
          <w:rFonts w:ascii="Arial" w:cs="Arial" w:eastAsia="Arial" w:hAnsi="Arial"/>
          <w:sz w:val="20"/>
          <w:szCs w:val="20"/>
          <w:color w:val="auto"/>
        </w:rPr>
        <w:t>A reconciliation of the U.S. federal statutory income tax rate of 21% to the Company’s effective income tax rate, post the adoption of ASU 2023-09, is as follows (in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-191770</wp:posOffset>
            </wp:positionV>
            <wp:extent cx="6385560" cy="3508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6385560" cy="3508375"/>
                    </a:xfrm>
                    <a:prstGeom prst="rect">
                      <a:avLst/>
                    </a:prstGeom>
                    <a:noFill/>
                  </pic:spPr>
                </pic:pic>
              </a:graphicData>
            </a:graphic>
          </wp:anchor>
        </w:drawing>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14"/>
        </w:trPr>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622"/>
              <w:spacing w:after="0"/>
              <w:rPr>
                <w:sz w:val="20"/>
                <w:szCs w:val="20"/>
                <w:color w:val="auto"/>
              </w:rPr>
            </w:pPr>
            <w:r>
              <w:rPr>
                <w:rFonts w:ascii="Arial" w:cs="Arial" w:eastAsia="Arial" w:hAnsi="Arial"/>
                <w:sz w:val="16"/>
                <w:szCs w:val="16"/>
                <w:b w:val="1"/>
                <w:bCs w:val="1"/>
                <w:color w:val="auto"/>
                <w:w w:val="97"/>
              </w:rPr>
              <w:t>Year Ended December 31,</w:t>
            </w:r>
          </w:p>
        </w:tc>
      </w:tr>
      <w:tr>
        <w:trPr>
          <w:trHeight w:val="212"/>
        </w:trPr>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65"/>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622"/>
              <w:spacing w:after="0"/>
              <w:rPr>
                <w:sz w:val="20"/>
                <w:szCs w:val="20"/>
                <w:color w:val="auto"/>
              </w:rPr>
            </w:pPr>
            <w:r>
              <w:rPr>
                <w:rFonts w:ascii="Arial" w:cs="Arial" w:eastAsia="Arial" w:hAnsi="Arial"/>
                <w:sz w:val="16"/>
                <w:szCs w:val="16"/>
                <w:b w:val="1"/>
                <w:bCs w:val="1"/>
                <w:color w:val="auto"/>
                <w:w w:val="95"/>
              </w:rPr>
              <w:t>2025</w:t>
            </w:r>
          </w:p>
        </w:tc>
      </w:tr>
      <w:tr>
        <w:trPr>
          <w:trHeight w:val="203"/>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ind w:left="560"/>
              <w:spacing w:after="0"/>
              <w:rPr>
                <w:sz w:val="20"/>
                <w:szCs w:val="20"/>
                <w:color w:val="auto"/>
              </w:rPr>
            </w:pPr>
            <w:r>
              <w:rPr>
                <w:rFonts w:ascii="Arial" w:cs="Arial" w:eastAsia="Arial" w:hAnsi="Arial"/>
                <w:sz w:val="16"/>
                <w:szCs w:val="16"/>
                <w:b w:val="1"/>
                <w:bCs w:val="1"/>
                <w:color w:val="auto"/>
                <w:w w:val="90"/>
              </w:rPr>
              <w:t>(in thousands)</w:t>
            </w:r>
          </w:p>
        </w:tc>
        <w:tc>
          <w:tcPr>
            <w:tcW w:w="1080" w:type="dxa"/>
            <w:vAlign w:val="bottom"/>
          </w:tcPr>
          <w:p>
            <w:pPr>
              <w:spacing w:after="0"/>
              <w:rPr>
                <w:sz w:val="17"/>
                <w:szCs w:val="17"/>
                <w:color w:val="auto"/>
              </w:rPr>
            </w:pPr>
          </w:p>
        </w:tc>
      </w:tr>
      <w:tr>
        <w:trPr>
          <w:trHeight w:val="244"/>
        </w:trPr>
        <w:tc>
          <w:tcPr>
            <w:tcW w:w="422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Income taxes at U.S. federal statutory rate</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(21,334)</w:t>
            </w: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21.0%</w:t>
            </w:r>
          </w:p>
        </w:tc>
      </w:tr>
      <w:tr>
        <w:trPr>
          <w:trHeight w:val="244"/>
        </w:trPr>
        <w:tc>
          <w:tcPr>
            <w:tcW w:w="4220" w:type="dxa"/>
            <w:vAlign w:val="bottom"/>
          </w:tcPr>
          <w:p>
            <w:pPr>
              <w:ind w:left="20"/>
              <w:spacing w:after="0"/>
              <w:rPr>
                <w:sz w:val="20"/>
                <w:szCs w:val="20"/>
                <w:color w:val="auto"/>
              </w:rPr>
            </w:pPr>
            <w:r>
              <w:rPr>
                <w:rFonts w:ascii="Arial" w:cs="Arial" w:eastAsia="Arial" w:hAnsi="Arial"/>
                <w:sz w:val="20"/>
                <w:szCs w:val="20"/>
                <w:color w:val="auto"/>
              </w:rPr>
              <w:t>State income taxes, net of federal benefit</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02"/>
              <w:spacing w:after="0"/>
              <w:rPr>
                <w:sz w:val="20"/>
                <w:szCs w:val="20"/>
                <w:color w:val="auto"/>
              </w:rPr>
            </w:pPr>
            <w:r>
              <w:rPr>
                <w:rFonts w:ascii="Arial" w:cs="Arial" w:eastAsia="Arial" w:hAnsi="Arial"/>
                <w:sz w:val="20"/>
                <w:szCs w:val="20"/>
                <w:color w:val="auto"/>
              </w:rPr>
              <w:t>—</w:t>
            </w:r>
          </w:p>
        </w:tc>
      </w:tr>
      <w:tr>
        <w:trPr>
          <w:trHeight w:val="245"/>
        </w:trPr>
        <w:tc>
          <w:tcPr>
            <w:tcW w:w="42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Nontaxable or nondeductible items</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44"/>
        </w:trPr>
        <w:tc>
          <w:tcPr>
            <w:tcW w:w="4220" w:type="dxa"/>
            <w:vAlign w:val="bottom"/>
          </w:tcPr>
          <w:p>
            <w:pPr>
              <w:ind w:left="320"/>
              <w:spacing w:after="0"/>
              <w:rPr>
                <w:sz w:val="20"/>
                <w:szCs w:val="20"/>
                <w:color w:val="auto"/>
              </w:rPr>
            </w:pPr>
            <w:r>
              <w:rPr>
                <w:rFonts w:ascii="Arial" w:cs="Arial" w:eastAsia="Arial" w:hAnsi="Arial"/>
                <w:sz w:val="20"/>
                <w:szCs w:val="20"/>
                <w:color w:val="auto"/>
              </w:rPr>
              <w:t>Stock-based compensation expense</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1,925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2"/>
              <w:spacing w:after="0"/>
              <w:rPr>
                <w:sz w:val="20"/>
                <w:szCs w:val="20"/>
                <w:color w:val="auto"/>
              </w:rPr>
            </w:pPr>
            <w:r>
              <w:rPr>
                <w:rFonts w:ascii="Arial" w:cs="Arial" w:eastAsia="Arial" w:hAnsi="Arial"/>
                <w:sz w:val="20"/>
                <w:szCs w:val="20"/>
                <w:color w:val="auto"/>
              </w:rPr>
              <w:t>(1.9)</w:t>
            </w:r>
          </w:p>
        </w:tc>
      </w:tr>
      <w:tr>
        <w:trPr>
          <w:trHeight w:val="244"/>
        </w:trPr>
        <w:tc>
          <w:tcPr>
            <w:tcW w:w="4220" w:type="dxa"/>
            <w:vAlign w:val="bottom"/>
            <w:shd w:val="clear" w:color="auto" w:fill="CFF0FC"/>
          </w:tcPr>
          <w:p>
            <w:pPr>
              <w:ind w:left="320"/>
              <w:spacing w:after="0"/>
              <w:rPr>
                <w:sz w:val="20"/>
                <w:szCs w:val="20"/>
                <w:color w:val="auto"/>
              </w:rPr>
            </w:pPr>
            <w:r>
              <w:rPr>
                <w:rFonts w:ascii="Arial" w:cs="Arial" w:eastAsia="Arial" w:hAnsi="Arial"/>
                <w:sz w:val="20"/>
                <w:szCs w:val="20"/>
                <w:color w:val="auto"/>
              </w:rPr>
              <w:t>Limitation on executive compensation</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2,903</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(2.9)</w:t>
            </w:r>
          </w:p>
        </w:tc>
      </w:tr>
      <w:tr>
        <w:trPr>
          <w:trHeight w:val="245"/>
        </w:trPr>
        <w:tc>
          <w:tcPr>
            <w:tcW w:w="4220" w:type="dxa"/>
            <w:vAlign w:val="bottom"/>
          </w:tcPr>
          <w:p>
            <w:pPr>
              <w:ind w:left="320"/>
              <w:spacing w:after="0"/>
              <w:rPr>
                <w:sz w:val="20"/>
                <w:szCs w:val="20"/>
                <w:color w:val="auto"/>
              </w:rPr>
            </w:pPr>
            <w:r>
              <w:rPr>
                <w:rFonts w:ascii="Arial" w:cs="Arial" w:eastAsia="Arial" w:hAnsi="Arial"/>
                <w:sz w:val="20"/>
                <w:szCs w:val="20"/>
                <w:color w:val="auto"/>
              </w:rPr>
              <w:t>Other</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02"/>
              <w:spacing w:after="0"/>
              <w:rPr>
                <w:sz w:val="20"/>
                <w:szCs w:val="20"/>
                <w:color w:val="auto"/>
              </w:rPr>
            </w:pPr>
            <w:r>
              <w:rPr>
                <w:rFonts w:ascii="Arial" w:cs="Arial" w:eastAsia="Arial" w:hAnsi="Arial"/>
                <w:sz w:val="20"/>
                <w:szCs w:val="20"/>
                <w:color w:val="auto"/>
              </w:rPr>
              <w:t>—</w:t>
            </w:r>
          </w:p>
        </w:tc>
      </w:tr>
      <w:tr>
        <w:trPr>
          <w:trHeight w:val="244"/>
        </w:trPr>
        <w:tc>
          <w:tcPr>
            <w:tcW w:w="4220" w:type="dxa"/>
            <w:vAlign w:val="bottom"/>
            <w:shd w:val="clear" w:color="auto" w:fill="CFF0FC"/>
          </w:tcPr>
          <w:p>
            <w:pPr>
              <w:ind w:left="20"/>
              <w:spacing w:after="0"/>
              <w:rPr>
                <w:sz w:val="20"/>
                <w:szCs w:val="20"/>
                <w:color w:val="auto"/>
              </w:rPr>
            </w:pPr>
            <w:r>
              <w:rPr>
                <w:rFonts w:ascii="Arial" w:cs="Arial" w:eastAsia="Arial" w:hAnsi="Arial"/>
                <w:sz w:val="20"/>
                <w:szCs w:val="20"/>
                <w:color w:val="auto"/>
              </w:rPr>
              <w:t>Tax credits</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44"/>
        </w:trPr>
        <w:tc>
          <w:tcPr>
            <w:tcW w:w="4220" w:type="dxa"/>
            <w:vAlign w:val="bottom"/>
          </w:tcPr>
          <w:p>
            <w:pPr>
              <w:ind w:left="320"/>
              <w:spacing w:after="0"/>
              <w:rPr>
                <w:sz w:val="20"/>
                <w:szCs w:val="20"/>
                <w:color w:val="auto"/>
              </w:rPr>
            </w:pPr>
            <w:r>
              <w:rPr>
                <w:rFonts w:ascii="Arial" w:cs="Arial" w:eastAsia="Arial" w:hAnsi="Arial"/>
                <w:sz w:val="20"/>
                <w:szCs w:val="20"/>
                <w:color w:val="auto"/>
                <w:w w:val="95"/>
              </w:rPr>
              <w:t>Federal research and development tax credits</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(6,128)</w:t>
            </w:r>
          </w:p>
        </w:tc>
        <w:tc>
          <w:tcPr>
            <w:tcW w:w="380" w:type="dxa"/>
            <w:vAlign w:val="bottom"/>
          </w:tcPr>
          <w:p>
            <w:pPr>
              <w:spacing w:after="0"/>
              <w:rPr>
                <w:sz w:val="21"/>
                <w:szCs w:val="21"/>
                <w:color w:val="auto"/>
              </w:rPr>
            </w:pPr>
          </w:p>
        </w:tc>
        <w:tc>
          <w:tcPr>
            <w:tcW w:w="1080" w:type="dxa"/>
            <w:vAlign w:val="bottom"/>
          </w:tcPr>
          <w:p>
            <w:pPr>
              <w:jc w:val="right"/>
              <w:ind w:right="202"/>
              <w:spacing w:after="0"/>
              <w:rPr>
                <w:sz w:val="20"/>
                <w:szCs w:val="20"/>
                <w:color w:val="auto"/>
              </w:rPr>
            </w:pPr>
            <w:r>
              <w:rPr>
                <w:rFonts w:ascii="Arial" w:cs="Arial" w:eastAsia="Arial" w:hAnsi="Arial"/>
                <w:sz w:val="20"/>
                <w:szCs w:val="20"/>
                <w:color w:val="auto"/>
              </w:rPr>
              <w:t>6.0</w:t>
            </w:r>
          </w:p>
        </w:tc>
      </w:tr>
      <w:tr>
        <w:trPr>
          <w:trHeight w:val="245"/>
        </w:trPr>
        <w:tc>
          <w:tcPr>
            <w:tcW w:w="4220" w:type="dxa"/>
            <w:vAlign w:val="bottom"/>
            <w:shd w:val="clear" w:color="auto" w:fill="CFF0FC"/>
          </w:tcPr>
          <w:p>
            <w:pPr>
              <w:ind w:left="20"/>
              <w:spacing w:after="0"/>
              <w:rPr>
                <w:sz w:val="20"/>
                <w:szCs w:val="20"/>
                <w:color w:val="auto"/>
              </w:rPr>
            </w:pPr>
            <w:r>
              <w:rPr>
                <w:rFonts w:ascii="Arial" w:cs="Arial" w:eastAsia="Arial" w:hAnsi="Arial"/>
                <w:sz w:val="20"/>
                <w:szCs w:val="20"/>
                <w:color w:val="auto"/>
              </w:rPr>
              <w:t>Change in valuation allowance</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22,975</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22"/>
              <w:spacing w:after="0"/>
              <w:rPr>
                <w:sz w:val="20"/>
                <w:szCs w:val="20"/>
                <w:color w:val="auto"/>
              </w:rPr>
            </w:pPr>
            <w:r>
              <w:rPr>
                <w:rFonts w:ascii="Arial" w:cs="Arial" w:eastAsia="Arial" w:hAnsi="Arial"/>
                <w:sz w:val="20"/>
                <w:szCs w:val="20"/>
                <w:color w:val="auto"/>
              </w:rPr>
              <w:t>(22.6)</w:t>
            </w:r>
          </w:p>
        </w:tc>
      </w:tr>
      <w:tr>
        <w:trPr>
          <w:trHeight w:val="244"/>
        </w:trPr>
        <w:tc>
          <w:tcPr>
            <w:tcW w:w="4220" w:type="dxa"/>
            <w:vAlign w:val="bottom"/>
          </w:tcPr>
          <w:p>
            <w:pPr>
              <w:ind w:left="20"/>
              <w:spacing w:after="0"/>
              <w:rPr>
                <w:sz w:val="20"/>
                <w:szCs w:val="20"/>
                <w:color w:val="auto"/>
              </w:rPr>
            </w:pPr>
            <w:r>
              <w:rPr>
                <w:rFonts w:ascii="Arial" w:cs="Arial" w:eastAsia="Arial" w:hAnsi="Arial"/>
                <w:sz w:val="20"/>
                <w:szCs w:val="20"/>
                <w:color w:val="auto"/>
              </w:rPr>
              <w:t>Other adjustments</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(390)</w:t>
            </w:r>
          </w:p>
        </w:tc>
        <w:tc>
          <w:tcPr>
            <w:tcW w:w="380" w:type="dxa"/>
            <w:vAlign w:val="bottom"/>
          </w:tcPr>
          <w:p>
            <w:pPr>
              <w:spacing w:after="0"/>
              <w:rPr>
                <w:sz w:val="21"/>
                <w:szCs w:val="21"/>
                <w:color w:val="auto"/>
              </w:rPr>
            </w:pPr>
          </w:p>
        </w:tc>
        <w:tc>
          <w:tcPr>
            <w:tcW w:w="1080" w:type="dxa"/>
            <w:vAlign w:val="bottom"/>
          </w:tcPr>
          <w:p>
            <w:pPr>
              <w:jc w:val="right"/>
              <w:ind w:right="202"/>
              <w:spacing w:after="0"/>
              <w:rPr>
                <w:sz w:val="20"/>
                <w:szCs w:val="20"/>
                <w:color w:val="auto"/>
              </w:rPr>
            </w:pPr>
            <w:r>
              <w:rPr>
                <w:rFonts w:ascii="Arial" w:cs="Arial" w:eastAsia="Arial" w:hAnsi="Arial"/>
                <w:sz w:val="20"/>
                <w:szCs w:val="20"/>
                <w:color w:val="auto"/>
              </w:rPr>
              <w:t>0.4</w:t>
            </w:r>
          </w:p>
        </w:tc>
      </w:tr>
      <w:tr>
        <w:trPr>
          <w:trHeight w:val="240"/>
        </w:trPr>
        <w:tc>
          <w:tcPr>
            <w:tcW w:w="42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Income tax expense and effective tax rate</w:t>
            </w:r>
          </w:p>
        </w:tc>
        <w:tc>
          <w:tcPr>
            <w:tcW w:w="320" w:type="dxa"/>
            <w:vAlign w:val="bottom"/>
            <w:tcBorders>
              <w:top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220" w:type="dxa"/>
            <w:vAlign w:val="bottom"/>
            <w:tcBorders>
              <w:top w:val="single" w:sz="8" w:color="CFF0FC"/>
            </w:tcBorders>
            <w:shd w:val="clear" w:color="auto" w:fill="CFF0FC"/>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20"/>
                <w:szCs w:val="20"/>
                <w:color w:val="auto"/>
              </w:rPr>
              <w:t>0.0%</w:t>
            </w:r>
          </w:p>
        </w:tc>
      </w:tr>
    </w:tbl>
    <w:p>
      <w:pPr>
        <w:spacing w:after="0" w:line="235" w:lineRule="exact"/>
        <w:rPr>
          <w:sz w:val="20"/>
          <w:szCs w:val="20"/>
          <w:color w:val="auto"/>
        </w:rPr>
      </w:pPr>
    </w:p>
    <w:p>
      <w:pPr>
        <w:ind w:right="80" w:firstLine="490"/>
        <w:spacing w:after="0" w:line="253" w:lineRule="auto"/>
        <w:rPr>
          <w:sz w:val="20"/>
          <w:szCs w:val="20"/>
          <w:color w:val="auto"/>
        </w:rPr>
      </w:pPr>
      <w:r>
        <w:rPr>
          <w:rFonts w:ascii="Arial" w:cs="Arial" w:eastAsia="Arial" w:hAnsi="Arial"/>
          <w:sz w:val="20"/>
          <w:szCs w:val="20"/>
          <w:color w:val="auto"/>
        </w:rPr>
        <w:t>For the year-ended December 31, 2025, state income taxes in Massachusetts make up the majority (greater than 50%)</w:t>
      </w:r>
      <w:r>
        <w:rPr>
          <w:sz w:val="1"/>
          <w:szCs w:val="1"/>
          <w:color w:val="auto"/>
        </w:rPr>
        <w:drawing>
          <wp:inline distT="0" distB="0" distL="0" distR="0">
            <wp:extent cx="33020" cy="1333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33020" cy="133350"/>
                    </a:xfrm>
                    <a:prstGeom prst="rect">
                      <a:avLst/>
                    </a:prstGeom>
                    <a:noFill/>
                    <a:ln>
                      <a:noFill/>
                    </a:ln>
                  </pic:spPr>
                </pic:pic>
              </a:graphicData>
            </a:graphic>
          </wp:inline>
        </w:drawing>
      </w:r>
      <w:r>
        <w:rPr>
          <w:rFonts w:ascii="Arial" w:cs="Arial" w:eastAsia="Arial" w:hAnsi="Arial"/>
          <w:sz w:val="20"/>
          <w:szCs w:val="20"/>
          <w:color w:val="auto"/>
        </w:rPr>
        <w:t xml:space="preserve"> of the state income taxes, net of federal benefit category.</w:t>
      </w:r>
    </w:p>
    <w:p>
      <w:pPr>
        <w:spacing w:after="0" w:line="191" w:lineRule="exact"/>
        <w:rPr>
          <w:sz w:val="20"/>
          <w:szCs w:val="20"/>
          <w:color w:val="auto"/>
        </w:rPr>
      </w:pPr>
    </w:p>
    <w:p>
      <w:pPr>
        <w:ind w:right="80" w:firstLine="490"/>
        <w:spacing w:after="0" w:line="279" w:lineRule="auto"/>
        <w:rPr>
          <w:sz w:val="20"/>
          <w:szCs w:val="20"/>
          <w:color w:val="auto"/>
        </w:rPr>
      </w:pPr>
      <w:r>
        <w:rPr>
          <w:rFonts w:ascii="Arial" w:cs="Arial" w:eastAsia="Arial" w:hAnsi="Arial"/>
          <w:sz w:val="20"/>
          <w:szCs w:val="20"/>
          <w:color w:val="auto"/>
        </w:rPr>
        <w:t xml:space="preserve">A reconciliation of the U.S. federal statutory income tax rate of 21% to the Company’s effective income tax rate, prior </w:t>
      </w:r>
      <w:r>
        <w:rPr>
          <w:rFonts w:ascii="Arial" w:cs="Arial" w:eastAsia="Arial" w:hAnsi="Arial"/>
          <w:sz w:val="20"/>
          <w:szCs w:val="20"/>
          <w:color w:val="auto"/>
          <w:highlight w:val="white"/>
        </w:rPr>
        <w:t>to the adoption of ASU 2023-09, is as follows: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98"/>
        </w:trPr>
        <w:tc>
          <w:tcPr>
            <w:tcW w:w="5660" w:type="dxa"/>
            <w:vAlign w:val="bottom"/>
          </w:tcPr>
          <w:p>
            <w:pPr>
              <w:spacing w:after="0"/>
              <w:rPr>
                <w:sz w:val="17"/>
                <w:szCs w:val="17"/>
                <w:color w:val="auto"/>
              </w:rPr>
            </w:pPr>
          </w:p>
        </w:tc>
        <w:tc>
          <w:tcPr>
            <w:tcW w:w="264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17"/>
                <w:szCs w:val="17"/>
                <w:color w:val="auto"/>
              </w:rPr>
            </w:pPr>
          </w:p>
        </w:tc>
      </w:tr>
      <w:tr>
        <w:trPr>
          <w:trHeight w:val="203"/>
        </w:trPr>
        <w:tc>
          <w:tcPr>
            <w:tcW w:w="6520" w:type="dxa"/>
            <w:vAlign w:val="bottom"/>
            <w:gridSpan w:val="2"/>
          </w:tcPr>
          <w:p>
            <w:pPr>
              <w:ind w:left="6160"/>
              <w:spacing w:after="0"/>
              <w:rPr>
                <w:sz w:val="20"/>
                <w:szCs w:val="20"/>
                <w:color w:val="auto"/>
              </w:rPr>
            </w:pPr>
            <w:r>
              <w:rPr>
                <w:rFonts w:ascii="Arial" w:cs="Arial" w:eastAsia="Arial" w:hAnsi="Arial"/>
                <w:sz w:val="16"/>
                <w:szCs w:val="16"/>
                <w:b w:val="1"/>
                <w:bCs w:val="1"/>
                <w:color w:val="auto"/>
                <w:w w:val="95"/>
              </w:rPr>
              <w:t>2024</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780" w:type="dxa"/>
            <w:vAlign w:val="bottom"/>
          </w:tcPr>
          <w:p>
            <w:pPr>
              <w:spacing w:after="0"/>
              <w:rPr>
                <w:sz w:val="17"/>
                <w:szCs w:val="17"/>
                <w:color w:val="auto"/>
              </w:rPr>
            </w:pPr>
          </w:p>
        </w:tc>
      </w:tr>
      <w:tr>
        <w:trPr>
          <w:trHeight w:val="259"/>
        </w:trPr>
        <w:tc>
          <w:tcPr>
            <w:tcW w:w="5660" w:type="dxa"/>
            <w:vAlign w:val="bottom"/>
            <w:shd w:val="clear" w:color="auto" w:fill="CFF0FC"/>
          </w:tcPr>
          <w:p>
            <w:pPr>
              <w:spacing w:after="0"/>
              <w:rPr>
                <w:sz w:val="20"/>
                <w:szCs w:val="20"/>
                <w:color w:val="auto"/>
              </w:rPr>
            </w:pPr>
            <w:r>
              <w:rPr>
                <w:rFonts w:ascii="Arial" w:cs="Arial" w:eastAsia="Arial" w:hAnsi="Arial"/>
                <w:sz w:val="20"/>
                <w:szCs w:val="20"/>
                <w:color w:val="auto"/>
              </w:rPr>
              <w:t>Income taxes at U.S. federal statutory rate</w:t>
            </w:r>
          </w:p>
        </w:tc>
        <w:tc>
          <w:tcPr>
            <w:tcW w:w="860" w:type="dxa"/>
            <w:vAlign w:val="bottom"/>
          </w:tcPr>
          <w:p>
            <w:pPr>
              <w:spacing w:after="0"/>
              <w:rPr>
                <w:sz w:val="22"/>
                <w:szCs w:val="22"/>
                <w:color w:val="auto"/>
              </w:rPr>
            </w:pPr>
          </w:p>
        </w:tc>
        <w:tc>
          <w:tcPr>
            <w:tcW w:w="1780" w:type="dxa"/>
            <w:vAlign w:val="bottom"/>
          </w:tcPr>
          <w:p>
            <w:pPr>
              <w:jc w:val="right"/>
              <w:ind w:right="1062"/>
              <w:spacing w:after="0"/>
              <w:rPr>
                <w:sz w:val="20"/>
                <w:szCs w:val="20"/>
                <w:color w:val="auto"/>
              </w:rPr>
            </w:pPr>
            <w:r>
              <w:rPr>
                <w:rFonts w:ascii="Arial" w:cs="Arial" w:eastAsia="Arial" w:hAnsi="Arial"/>
                <w:sz w:val="20"/>
                <w:szCs w:val="20"/>
                <w:color w:val="auto"/>
              </w:rPr>
              <w:t>21.0%</w:t>
            </w: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21.0%</w:t>
            </w:r>
          </w:p>
        </w:tc>
      </w:tr>
      <w:tr>
        <w:trPr>
          <w:trHeight w:val="242"/>
        </w:trPr>
        <w:tc>
          <w:tcPr>
            <w:tcW w:w="5660" w:type="dxa"/>
            <w:vAlign w:val="bottom"/>
          </w:tcPr>
          <w:p>
            <w:pPr>
              <w:spacing w:after="0"/>
              <w:rPr>
                <w:sz w:val="20"/>
                <w:szCs w:val="20"/>
                <w:color w:val="auto"/>
              </w:rPr>
            </w:pPr>
            <w:r>
              <w:rPr>
                <w:rFonts w:ascii="Arial" w:cs="Arial" w:eastAsia="Arial" w:hAnsi="Arial"/>
                <w:sz w:val="20"/>
                <w:szCs w:val="20"/>
                <w:color w:val="auto"/>
              </w:rPr>
              <w:t>State income taxes, net of federal benefit</w:t>
            </w:r>
          </w:p>
        </w:tc>
        <w:tc>
          <w:tcPr>
            <w:tcW w:w="860" w:type="dxa"/>
            <w:vAlign w:val="bottom"/>
          </w:tcPr>
          <w:p>
            <w:pPr>
              <w:spacing w:after="0"/>
              <w:rPr>
                <w:sz w:val="21"/>
                <w:szCs w:val="21"/>
                <w:color w:val="auto"/>
              </w:rPr>
            </w:pPr>
          </w:p>
        </w:tc>
        <w:tc>
          <w:tcPr>
            <w:tcW w:w="1780" w:type="dxa"/>
            <w:vAlign w:val="bottom"/>
          </w:tcPr>
          <w:p>
            <w:pPr>
              <w:jc w:val="right"/>
              <w:ind w:right="1242"/>
              <w:spacing w:after="0"/>
              <w:rPr>
                <w:sz w:val="20"/>
                <w:szCs w:val="20"/>
                <w:color w:val="auto"/>
              </w:rPr>
            </w:pPr>
            <w:r>
              <w:rPr>
                <w:rFonts w:ascii="Arial" w:cs="Arial" w:eastAsia="Arial" w:hAnsi="Arial"/>
                <w:sz w:val="20"/>
                <w:szCs w:val="20"/>
                <w:color w:val="auto"/>
              </w:rPr>
              <w:t>6.8</w:t>
            </w:r>
          </w:p>
        </w:tc>
        <w:tc>
          <w:tcPr>
            <w:tcW w:w="780" w:type="dxa"/>
            <w:vAlign w:val="bottom"/>
          </w:tcPr>
          <w:p>
            <w:pPr>
              <w:jc w:val="right"/>
              <w:ind w:right="220"/>
              <w:spacing w:after="0"/>
              <w:rPr>
                <w:sz w:val="20"/>
                <w:szCs w:val="20"/>
                <w:color w:val="auto"/>
              </w:rPr>
            </w:pPr>
            <w:r>
              <w:rPr>
                <w:rFonts w:ascii="Arial" w:cs="Arial" w:eastAsia="Arial" w:hAnsi="Arial"/>
                <w:sz w:val="20"/>
                <w:szCs w:val="20"/>
                <w:color w:val="auto"/>
              </w:rPr>
              <w:t>6.7</w:t>
            </w:r>
          </w:p>
        </w:tc>
      </w:tr>
      <w:tr>
        <w:trPr>
          <w:trHeight w:val="245"/>
        </w:trPr>
        <w:tc>
          <w:tcPr>
            <w:tcW w:w="65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Federal and state research and development tax credits</w:t>
            </w:r>
          </w:p>
        </w:tc>
        <w:tc>
          <w:tcPr>
            <w:tcW w:w="1780" w:type="dxa"/>
            <w:vAlign w:val="bottom"/>
            <w:shd w:val="clear" w:color="auto" w:fill="CFF0FC"/>
          </w:tcPr>
          <w:p>
            <w:pPr>
              <w:jc w:val="right"/>
              <w:ind w:right="1242"/>
              <w:spacing w:after="0"/>
              <w:rPr>
                <w:sz w:val="20"/>
                <w:szCs w:val="20"/>
                <w:color w:val="auto"/>
              </w:rPr>
            </w:pPr>
            <w:r>
              <w:rPr>
                <w:rFonts w:ascii="Arial" w:cs="Arial" w:eastAsia="Arial" w:hAnsi="Arial"/>
                <w:sz w:val="20"/>
                <w:szCs w:val="20"/>
                <w:color w:val="auto"/>
              </w:rPr>
              <w:t>6.9</w:t>
            </w:r>
          </w:p>
        </w:tc>
        <w:tc>
          <w:tcPr>
            <w:tcW w:w="78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6.3</w:t>
            </w:r>
          </w:p>
        </w:tc>
      </w:tr>
      <w:tr>
        <w:trPr>
          <w:trHeight w:val="244"/>
        </w:trPr>
        <w:tc>
          <w:tcPr>
            <w:tcW w:w="6520" w:type="dxa"/>
            <w:vAlign w:val="bottom"/>
            <w:gridSpan w:val="2"/>
          </w:tcPr>
          <w:p>
            <w:pPr>
              <w:spacing w:after="0"/>
              <w:rPr>
                <w:sz w:val="20"/>
                <w:szCs w:val="20"/>
                <w:color w:val="auto"/>
              </w:rPr>
            </w:pPr>
            <w:r>
              <w:rPr>
                <w:rFonts w:ascii="Arial" w:cs="Arial" w:eastAsia="Arial" w:hAnsi="Arial"/>
                <w:sz w:val="20"/>
                <w:szCs w:val="20"/>
                <w:color w:val="auto"/>
              </w:rPr>
              <w:t>Stock-based compensation expense</w:t>
            </w:r>
          </w:p>
        </w:tc>
        <w:tc>
          <w:tcPr>
            <w:tcW w:w="1780" w:type="dxa"/>
            <w:vAlign w:val="bottom"/>
          </w:tcPr>
          <w:p>
            <w:pPr>
              <w:jc w:val="right"/>
              <w:ind w:right="1162"/>
              <w:spacing w:after="0"/>
              <w:rPr>
                <w:sz w:val="20"/>
                <w:szCs w:val="20"/>
                <w:color w:val="auto"/>
              </w:rPr>
            </w:pPr>
            <w:r>
              <w:rPr>
                <w:rFonts w:ascii="Arial" w:cs="Arial" w:eastAsia="Arial" w:hAnsi="Arial"/>
                <w:sz w:val="20"/>
                <w:szCs w:val="20"/>
                <w:color w:val="auto"/>
              </w:rPr>
              <w:t>(1.5)</w:t>
            </w:r>
          </w:p>
        </w:tc>
        <w:tc>
          <w:tcPr>
            <w:tcW w:w="780" w:type="dxa"/>
            <w:vAlign w:val="bottom"/>
          </w:tcPr>
          <w:p>
            <w:pPr>
              <w:jc w:val="right"/>
              <w:ind w:right="140"/>
              <w:spacing w:after="0"/>
              <w:rPr>
                <w:sz w:val="20"/>
                <w:szCs w:val="20"/>
                <w:color w:val="auto"/>
              </w:rPr>
            </w:pPr>
            <w:r>
              <w:rPr>
                <w:rFonts w:ascii="Arial" w:cs="Arial" w:eastAsia="Arial" w:hAnsi="Arial"/>
                <w:sz w:val="20"/>
                <w:szCs w:val="20"/>
                <w:color w:val="auto"/>
              </w:rPr>
              <w:t>(2.1)</w:t>
            </w:r>
          </w:p>
        </w:tc>
      </w:tr>
      <w:tr>
        <w:trPr>
          <w:trHeight w:val="245"/>
        </w:trPr>
        <w:tc>
          <w:tcPr>
            <w:tcW w:w="65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Nondeductible/nontaxable permanent items</w:t>
            </w:r>
          </w:p>
        </w:tc>
        <w:tc>
          <w:tcPr>
            <w:tcW w:w="1780" w:type="dxa"/>
            <w:vAlign w:val="bottom"/>
            <w:shd w:val="clear" w:color="auto" w:fill="CFF0FC"/>
          </w:tcPr>
          <w:p>
            <w:pPr>
              <w:jc w:val="right"/>
              <w:ind w:right="1142"/>
              <w:spacing w:after="0"/>
              <w:rPr>
                <w:sz w:val="20"/>
                <w:szCs w:val="20"/>
                <w:color w:val="auto"/>
              </w:rPr>
            </w:pPr>
            <w:r>
              <w:rPr>
                <w:rFonts w:ascii="Arial" w:cs="Arial" w:eastAsia="Arial" w:hAnsi="Arial"/>
                <w:sz w:val="20"/>
                <w:szCs w:val="20"/>
                <w:color w:val="auto"/>
              </w:rPr>
              <w:t>(0.1)</w:t>
            </w:r>
          </w:p>
        </w:tc>
        <w:tc>
          <w:tcPr>
            <w:tcW w:w="78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(0.2)</w:t>
            </w:r>
          </w:p>
        </w:tc>
      </w:tr>
      <w:tr>
        <w:trPr>
          <w:trHeight w:val="244"/>
        </w:trPr>
        <w:tc>
          <w:tcPr>
            <w:tcW w:w="6520" w:type="dxa"/>
            <w:vAlign w:val="bottom"/>
            <w:gridSpan w:val="2"/>
          </w:tcPr>
          <w:p>
            <w:pPr>
              <w:spacing w:after="0"/>
              <w:rPr>
                <w:sz w:val="20"/>
                <w:szCs w:val="20"/>
                <w:color w:val="auto"/>
              </w:rPr>
            </w:pPr>
            <w:r>
              <w:rPr>
                <w:rFonts w:ascii="Arial" w:cs="Arial" w:eastAsia="Arial" w:hAnsi="Arial"/>
                <w:sz w:val="20"/>
                <w:szCs w:val="20"/>
                <w:color w:val="auto"/>
              </w:rPr>
              <w:t>Other</w:t>
            </w:r>
          </w:p>
        </w:tc>
        <w:tc>
          <w:tcPr>
            <w:tcW w:w="1780" w:type="dxa"/>
            <w:vAlign w:val="bottom"/>
          </w:tcPr>
          <w:p>
            <w:pPr>
              <w:jc w:val="right"/>
              <w:ind w:right="1142"/>
              <w:spacing w:after="0"/>
              <w:rPr>
                <w:sz w:val="20"/>
                <w:szCs w:val="20"/>
                <w:color w:val="auto"/>
              </w:rPr>
            </w:pPr>
            <w:r>
              <w:rPr>
                <w:rFonts w:ascii="Arial" w:cs="Arial" w:eastAsia="Arial" w:hAnsi="Arial"/>
                <w:sz w:val="20"/>
                <w:szCs w:val="20"/>
                <w:color w:val="auto"/>
              </w:rPr>
              <w:t>(0.2)</w:t>
            </w:r>
          </w:p>
        </w:tc>
        <w:tc>
          <w:tcPr>
            <w:tcW w:w="780" w:type="dxa"/>
            <w:vAlign w:val="bottom"/>
          </w:tcPr>
          <w:p>
            <w:pPr>
              <w:jc w:val="right"/>
              <w:ind w:right="220"/>
              <w:spacing w:after="0"/>
              <w:rPr>
                <w:sz w:val="20"/>
                <w:szCs w:val="20"/>
                <w:color w:val="auto"/>
              </w:rPr>
            </w:pPr>
            <w:r>
              <w:rPr>
                <w:rFonts w:ascii="Arial" w:cs="Arial" w:eastAsia="Arial" w:hAnsi="Arial"/>
                <w:sz w:val="20"/>
                <w:szCs w:val="20"/>
                <w:color w:val="auto"/>
              </w:rPr>
              <w:t>—</w:t>
            </w:r>
          </w:p>
        </w:tc>
      </w:tr>
      <w:tr>
        <w:trPr>
          <w:trHeight w:val="246"/>
        </w:trPr>
        <w:tc>
          <w:tcPr>
            <w:tcW w:w="65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Change in valuation allowance</w:t>
            </w:r>
          </w:p>
        </w:tc>
        <w:tc>
          <w:tcPr>
            <w:tcW w:w="1780" w:type="dxa"/>
            <w:vAlign w:val="bottom"/>
            <w:shd w:val="clear" w:color="auto" w:fill="CFF0FC"/>
          </w:tcPr>
          <w:p>
            <w:pPr>
              <w:jc w:val="right"/>
              <w:ind w:right="1142"/>
              <w:spacing w:after="0"/>
              <w:rPr>
                <w:sz w:val="20"/>
                <w:szCs w:val="20"/>
                <w:color w:val="auto"/>
              </w:rPr>
            </w:pPr>
            <w:r>
              <w:rPr>
                <w:rFonts w:ascii="Arial" w:cs="Arial" w:eastAsia="Arial" w:hAnsi="Arial"/>
                <w:sz w:val="20"/>
                <w:szCs w:val="20"/>
                <w:color w:val="auto"/>
                <w:w w:val="99"/>
              </w:rPr>
              <w:t>(33.1)</w:t>
            </w:r>
          </w:p>
        </w:tc>
        <w:tc>
          <w:tcPr>
            <w:tcW w:w="78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w w:val="99"/>
              </w:rPr>
              <w:t>(31.8)</w:t>
            </w:r>
          </w:p>
        </w:tc>
      </w:tr>
      <w:tr>
        <w:trPr>
          <w:trHeight w:val="258"/>
        </w:trPr>
        <w:tc>
          <w:tcPr>
            <w:tcW w:w="5660" w:type="dxa"/>
            <w:vAlign w:val="bottom"/>
          </w:tcPr>
          <w:p>
            <w:pPr>
              <w:spacing w:after="0"/>
              <w:rPr>
                <w:sz w:val="20"/>
                <w:szCs w:val="20"/>
                <w:color w:val="auto"/>
              </w:rPr>
            </w:pPr>
            <w:r>
              <w:rPr>
                <w:rFonts w:ascii="Arial" w:cs="Arial" w:eastAsia="Arial" w:hAnsi="Arial"/>
                <w:sz w:val="20"/>
                <w:szCs w:val="20"/>
                <w:color w:val="auto"/>
              </w:rPr>
              <w:t>Effective tax rate</w:t>
            </w:r>
          </w:p>
        </w:tc>
        <w:tc>
          <w:tcPr>
            <w:tcW w:w="860" w:type="dxa"/>
            <w:vAlign w:val="bottom"/>
          </w:tcPr>
          <w:p>
            <w:pPr>
              <w:spacing w:after="0"/>
              <w:rPr>
                <w:sz w:val="22"/>
                <w:szCs w:val="22"/>
                <w:color w:val="auto"/>
              </w:rPr>
            </w:pPr>
          </w:p>
        </w:tc>
        <w:tc>
          <w:tcPr>
            <w:tcW w:w="1780" w:type="dxa"/>
            <w:vAlign w:val="bottom"/>
          </w:tcPr>
          <w:p>
            <w:pPr>
              <w:jc w:val="right"/>
              <w:ind w:right="982"/>
              <w:spacing w:after="0"/>
              <w:rPr>
                <w:sz w:val="20"/>
                <w:szCs w:val="20"/>
                <w:color w:val="auto"/>
              </w:rPr>
            </w:pPr>
            <w:r>
              <w:rPr>
                <w:rFonts w:ascii="Arial" w:cs="Arial" w:eastAsia="Arial" w:hAnsi="Arial"/>
                <w:sz w:val="20"/>
                <w:szCs w:val="20"/>
                <w:color w:val="auto"/>
              </w:rPr>
              <w:t>(0.2)%</w:t>
            </w:r>
          </w:p>
        </w:tc>
        <w:tc>
          <w:tcPr>
            <w:tcW w:w="780" w:type="dxa"/>
            <w:vAlign w:val="bottom"/>
          </w:tcPr>
          <w:p>
            <w:pPr>
              <w:jc w:val="right"/>
              <w:spacing w:after="0"/>
              <w:rPr>
                <w:sz w:val="20"/>
                <w:szCs w:val="20"/>
                <w:color w:val="auto"/>
              </w:rPr>
            </w:pPr>
            <w:r>
              <w:rPr>
                <w:rFonts w:ascii="Arial" w:cs="Arial" w:eastAsia="Arial" w:hAnsi="Arial"/>
                <w:sz w:val="20"/>
                <w:szCs w:val="20"/>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-1270635</wp:posOffset>
            </wp:positionV>
            <wp:extent cx="2184400" cy="1271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2184400" cy="1271270"/>
                    </a:xfrm>
                    <a:prstGeom prst="rect">
                      <a:avLst/>
                    </a:prstGeom>
                    <a:noFill/>
                  </pic:spPr>
                </pic:pic>
              </a:graphicData>
            </a:graphic>
          </wp:anchor>
        </w:drawing>
      </w:r>
    </w:p>
    <w:p>
      <w:pPr>
        <w:sectPr>
          <w:pgSz w:w="12240" w:h="15840" w:orient="portrait"/>
          <w:cols w:equalWidth="0" w:num="1">
            <w:col w:w="10040"/>
          </w:cols>
          <w:pgMar w:left="1080" w:top="1056" w:right="112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ectPr>
          <w:pgSz w:w="12240" w:h="15840" w:orient="portrait"/>
          <w:cols w:equalWidth="0" w:num="1">
            <w:col w:w="10040"/>
          </w:cols>
          <w:pgMar w:left="1080" w:top="1056" w:right="1120" w:bottom="210" w:gutter="0" w:footer="0" w:header="0"/>
          <w:type w:val="continuous"/>
        </w:sectPr>
      </w:pPr>
    </w:p>
    <w:bookmarkStart w:id="134" w:name="page135"/>
    <w:bookmarkEnd w:id="134"/>
    <w:p>
      <w:pPr>
        <w:ind w:firstLine="490"/>
        <w:spacing w:after="0" w:line="277" w:lineRule="auto"/>
        <w:rPr>
          <w:sz w:val="20"/>
          <w:szCs w:val="20"/>
          <w:color w:val="auto"/>
        </w:rPr>
      </w:pPr>
      <w:r>
        <w:rPr>
          <w:rFonts w:ascii="Arial" w:cs="Arial" w:eastAsia="Arial" w:hAnsi="Arial"/>
          <w:sz w:val="20"/>
          <w:szCs w:val="20"/>
          <w:color w:val="auto"/>
        </w:rPr>
        <w:t>The tax effects of temporary differences that give rise to significant components of the deferred tax assets and liabilities are as follows:</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540" w:type="dxa"/>
            <w:vAlign w:val="bottom"/>
          </w:tcPr>
          <w:p>
            <w:pPr>
              <w:spacing w:after="0"/>
              <w:rPr>
                <w:sz w:val="19"/>
                <w:szCs w:val="19"/>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180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vMerge w:val="restart"/>
          </w:tcPr>
          <w:p>
            <w:pPr>
              <w:jc w:val="right"/>
              <w:ind w:right="681"/>
              <w:spacing w:after="0"/>
              <w:rPr>
                <w:sz w:val="20"/>
                <w:szCs w:val="20"/>
                <w:color w:val="auto"/>
              </w:rPr>
            </w:pPr>
            <w:r>
              <w:rPr>
                <w:rFonts w:ascii="Arial" w:cs="Arial" w:eastAsia="Arial" w:hAnsi="Arial"/>
                <w:sz w:val="16"/>
                <w:szCs w:val="16"/>
                <w:b w:val="1"/>
                <w:bCs w:val="1"/>
                <w:color w:val="auto"/>
                <w:w w:val="84"/>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800" w:type="dxa"/>
            <w:vAlign w:val="bottom"/>
            <w:gridSpan w:val="5"/>
            <w:vMerge w:val="restart"/>
          </w:tcPr>
          <w:p>
            <w:pPr>
              <w:jc w:val="right"/>
              <w:ind w:right="30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CFF0FC"/>
          </w:tcPr>
          <w:p>
            <w:pPr>
              <w:spacing w:after="0"/>
              <w:rPr>
                <w:sz w:val="20"/>
                <w:szCs w:val="20"/>
                <w:color w:val="auto"/>
              </w:rPr>
            </w:pPr>
            <w:r>
              <w:rPr>
                <w:rFonts w:ascii="Arial" w:cs="Arial" w:eastAsia="Arial" w:hAnsi="Arial"/>
                <w:sz w:val="20"/>
                <w:szCs w:val="20"/>
                <w:color w:val="auto"/>
              </w:rPr>
              <w:t>Deferred tax assets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200"/>
              <w:spacing w:after="0"/>
              <w:rPr>
                <w:sz w:val="20"/>
                <w:szCs w:val="20"/>
                <w:color w:val="auto"/>
              </w:rPr>
            </w:pPr>
            <w:r>
              <w:rPr>
                <w:rFonts w:ascii="Arial" w:cs="Arial" w:eastAsia="Arial" w:hAnsi="Arial"/>
                <w:sz w:val="20"/>
                <w:szCs w:val="20"/>
                <w:color w:val="auto"/>
              </w:rPr>
              <w:t>Net operating loss carryforwards</w:t>
            </w:r>
          </w:p>
        </w:tc>
        <w:tc>
          <w:tcPr>
            <w:tcW w:w="156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78,500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30,640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Research and development credit carryforwards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35,934</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27,775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color w:val="auto"/>
              </w:rPr>
              <w:t>Operating lease liability</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10,588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11,746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Deferred revenue</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17,027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color w:val="auto"/>
              </w:rPr>
              <w:t>Accruals and reserves</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2,278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Capitalized research costs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63,298</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71,315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40" w:type="dxa"/>
            <w:vAlign w:val="bottom"/>
          </w:tcPr>
          <w:p>
            <w:pPr>
              <w:ind w:left="200"/>
              <w:spacing w:after="0"/>
              <w:rPr>
                <w:sz w:val="20"/>
                <w:szCs w:val="20"/>
                <w:color w:val="auto"/>
              </w:rPr>
            </w:pPr>
            <w:r>
              <w:rPr>
                <w:rFonts w:ascii="Arial" w:cs="Arial" w:eastAsia="Arial" w:hAnsi="Arial"/>
                <w:sz w:val="20"/>
                <w:szCs w:val="20"/>
                <w:color w:val="auto"/>
              </w:rPr>
              <w:t>Stock compensation and other</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7,324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8,123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gross deferred tax assets</w:t>
            </w:r>
          </w:p>
        </w:tc>
        <w:tc>
          <w:tcPr>
            <w:tcW w:w="5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197,922</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168,852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40" w:type="dxa"/>
            <w:vAlign w:val="bottom"/>
          </w:tcPr>
          <w:p>
            <w:pPr>
              <w:spacing w:after="0"/>
              <w:rPr>
                <w:sz w:val="20"/>
                <w:szCs w:val="20"/>
                <w:color w:val="auto"/>
              </w:rPr>
            </w:pPr>
            <w:r>
              <w:rPr>
                <w:rFonts w:ascii="Arial" w:cs="Arial" w:eastAsia="Arial" w:hAnsi="Arial"/>
                <w:sz w:val="20"/>
                <w:szCs w:val="20"/>
                <w:color w:val="auto"/>
              </w:rPr>
              <w:t>Valuation allowance</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88"/>
              </w:rPr>
              <w:t>(186,603)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(156,402)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40" w:type="dxa"/>
            <w:vAlign w:val="bottom"/>
            <w:shd w:val="clear" w:color="auto" w:fill="CFF0FC"/>
          </w:tcPr>
          <w:p>
            <w:pPr>
              <w:spacing w:after="0"/>
              <w:rPr>
                <w:sz w:val="20"/>
                <w:szCs w:val="20"/>
                <w:color w:val="auto"/>
              </w:rPr>
            </w:pPr>
            <w:r>
              <w:rPr>
                <w:rFonts w:ascii="Arial" w:cs="Arial" w:eastAsia="Arial" w:hAnsi="Arial"/>
                <w:sz w:val="20"/>
                <w:szCs w:val="20"/>
                <w:color w:val="auto"/>
              </w:rPr>
              <w:t>Net deferred tax assets</w:t>
            </w:r>
          </w:p>
        </w:tc>
        <w:tc>
          <w:tcPr>
            <w:tcW w:w="500" w:type="dxa"/>
            <w:vAlign w:val="bottom"/>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860"/>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11,319</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540"/>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12,450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Depreciation</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60"/>
              <w:spacing w:after="0"/>
              <w:rPr>
                <w:sz w:val="20"/>
                <w:szCs w:val="20"/>
                <w:color w:val="auto"/>
              </w:rPr>
            </w:pPr>
            <w:r>
              <w:rPr>
                <w:rFonts w:ascii="Arial" w:cs="Arial" w:eastAsia="Arial" w:hAnsi="Arial"/>
                <w:sz w:val="20"/>
                <w:szCs w:val="20"/>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(1,470)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40"/>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color w:val="auto"/>
              </w:rPr>
              <w:t>Right-of-use asset and other</w:t>
            </w:r>
          </w:p>
        </w:tc>
        <w:tc>
          <w:tcPr>
            <w:tcW w:w="1560" w:type="dxa"/>
            <w:vAlign w:val="bottom"/>
            <w:gridSpan w:val="2"/>
          </w:tcPr>
          <w:p>
            <w:pPr>
              <w:jc w:val="right"/>
              <w:ind w:right="860"/>
              <w:spacing w:after="0"/>
              <w:rPr>
                <w:sz w:val="20"/>
                <w:szCs w:val="20"/>
                <w:color w:val="auto"/>
              </w:rPr>
            </w:pPr>
            <w:r>
              <w:rPr>
                <w:rFonts w:ascii="Arial" w:cs="Arial" w:eastAsia="Arial" w:hAnsi="Arial"/>
                <w:sz w:val="20"/>
                <w:szCs w:val="20"/>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20"/>
                <w:szCs w:val="20"/>
                <w:color w:val="auto"/>
              </w:rPr>
              <w:t>(9,849)</w:t>
            </w:r>
          </w:p>
        </w:tc>
        <w:tc>
          <w:tcPr>
            <w:tcW w:w="86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rPr>
              <w:t>(10,745)</w:t>
            </w:r>
          </w:p>
        </w:tc>
        <w:tc>
          <w:tcPr>
            <w:tcW w:w="0" w:type="dxa"/>
            <w:vAlign w:val="bottom"/>
          </w:tcPr>
          <w:p>
            <w:pPr>
              <w:spacing w:after="0"/>
              <w:rPr>
                <w:sz w:val="1"/>
                <w:szCs w:val="1"/>
                <w:color w:val="auto"/>
              </w:rPr>
            </w:pPr>
          </w:p>
        </w:tc>
      </w:tr>
      <w:tr>
        <w:trPr>
          <w:trHeight w:val="244"/>
        </w:trPr>
        <w:tc>
          <w:tcPr>
            <w:tcW w:w="45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Total gross deferred tax liabilities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(11,319)</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(12,450)</w:t>
            </w:r>
          </w:p>
        </w:tc>
        <w:tc>
          <w:tcPr>
            <w:tcW w:w="0" w:type="dxa"/>
            <w:vAlign w:val="bottom"/>
          </w:tcPr>
          <w:p>
            <w:pPr>
              <w:spacing w:after="0"/>
              <w:rPr>
                <w:sz w:val="1"/>
                <w:szCs w:val="1"/>
                <w:color w:val="auto"/>
              </w:rPr>
            </w:pPr>
          </w:p>
        </w:tc>
      </w:tr>
      <w:tr>
        <w:trPr>
          <w:trHeight w:val="240"/>
        </w:trPr>
        <w:tc>
          <w:tcPr>
            <w:tcW w:w="4540" w:type="dxa"/>
            <w:vAlign w:val="bottom"/>
          </w:tcPr>
          <w:p>
            <w:pPr>
              <w:spacing w:after="0"/>
              <w:rPr>
                <w:sz w:val="20"/>
                <w:szCs w:val="20"/>
                <w:color w:val="auto"/>
              </w:rPr>
            </w:pPr>
            <w:r>
              <w:rPr>
                <w:rFonts w:ascii="Arial" w:cs="Arial" w:eastAsia="Arial" w:hAnsi="Arial"/>
                <w:sz w:val="20"/>
                <w:szCs w:val="20"/>
                <w:color w:val="auto"/>
              </w:rPr>
              <w:t>Net deferred taxes</w:t>
            </w:r>
          </w:p>
        </w:tc>
        <w:tc>
          <w:tcPr>
            <w:tcW w:w="500" w:type="dxa"/>
            <w:vAlign w:val="bottom"/>
          </w:tcPr>
          <w:p>
            <w:pPr>
              <w:spacing w:after="0"/>
              <w:rPr>
                <w:sz w:val="20"/>
                <w:szCs w:val="20"/>
                <w:color w:val="auto"/>
              </w:rPr>
            </w:pPr>
          </w:p>
        </w:tc>
        <w:tc>
          <w:tcPr>
            <w:tcW w:w="1060" w:type="dxa"/>
            <w:vAlign w:val="bottom"/>
            <w:tcBorders>
              <w:top w:val="single" w:sz="8" w:color="CFF0FC"/>
            </w:tcBorders>
          </w:tcPr>
          <w:p>
            <w:pPr>
              <w:jc w:val="right"/>
              <w:ind w:right="860"/>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CFF0FC"/>
            </w:tcBorders>
          </w:tcPr>
          <w:p>
            <w:pPr>
              <w:jc w:val="right"/>
              <w:ind w:right="540"/>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-2800985</wp:posOffset>
            </wp:positionV>
            <wp:extent cx="2534920" cy="2030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2534920" cy="203009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-177165</wp:posOffset>
            </wp:positionV>
            <wp:extent cx="2534920" cy="2000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2534920" cy="200025"/>
                    </a:xfrm>
                    <a:prstGeom prst="rect">
                      <a:avLst/>
                    </a:prstGeom>
                    <a:noFill/>
                  </pic:spPr>
                </pic:pic>
              </a:graphicData>
            </a:graphic>
          </wp:anchor>
        </w:drawing>
      </w:r>
    </w:p>
    <w:p>
      <w:pPr>
        <w:spacing w:after="0" w:line="214" w:lineRule="exact"/>
        <w:rPr>
          <w:sz w:val="20"/>
          <w:szCs w:val="20"/>
          <w:color w:val="auto"/>
        </w:rPr>
      </w:pPr>
    </w:p>
    <w:p>
      <w:pPr>
        <w:ind w:right="620" w:firstLine="490"/>
        <w:spacing w:after="0" w:line="278" w:lineRule="auto"/>
        <w:rPr>
          <w:sz w:val="20"/>
          <w:szCs w:val="20"/>
          <w:color w:val="auto"/>
        </w:rPr>
      </w:pPr>
      <w:r>
        <w:rPr>
          <w:rFonts w:ascii="Arial" w:cs="Arial" w:eastAsia="Arial" w:hAnsi="Arial"/>
          <w:sz w:val="20"/>
          <w:szCs w:val="20"/>
          <w:color w:val="auto"/>
        </w:rPr>
        <w:t>The operating lease liability deferred tax asset in the table above includes leasehold improvements related to the Company's 201 Brookline Avenue facility lease that has tax basis with no book basis.</w:t>
      </w:r>
    </w:p>
    <w:p>
      <w:pPr>
        <w:spacing w:after="0" w:line="168" w:lineRule="exact"/>
        <w:rPr>
          <w:sz w:val="20"/>
          <w:szCs w:val="20"/>
          <w:color w:val="auto"/>
        </w:rPr>
      </w:pPr>
    </w:p>
    <w:p>
      <w:pPr>
        <w:ind w:right="140" w:firstLine="490"/>
        <w:spacing w:after="0" w:line="280" w:lineRule="auto"/>
        <w:rPr>
          <w:sz w:val="20"/>
          <w:szCs w:val="20"/>
          <w:color w:val="auto"/>
        </w:rPr>
      </w:pPr>
      <w:r>
        <w:rPr>
          <w:rFonts w:ascii="Arial" w:cs="Arial" w:eastAsia="Arial" w:hAnsi="Arial"/>
          <w:sz w:val="18"/>
          <w:szCs w:val="18"/>
          <w:color w:val="auto"/>
        </w:rPr>
        <w:t>As of December 31, 2025, the Company had U.S. federal and state net operating loss (NOL) carryforwards of $287.0 million and $302.5 million, respectively, which may be available to offset future taxable income. The federal NOLs include $2.8 million which expire at various dates beginning in 2036 and $284.2 million which carry forward indefinitely. The state NOLs expire at various dates beginning in 2036. As of December 31, 2025, the Company also had U.S. federal and state research and development tax credit carryforwards of $26.1 million and $ 12.7 million, respectively, which may be available to offset future tax. The federal credits will expire beginning in 2034, and the state credits will expire beginning in 2026.</w:t>
      </w:r>
    </w:p>
    <w:p>
      <w:pPr>
        <w:spacing w:after="0" w:line="171" w:lineRule="exact"/>
        <w:rPr>
          <w:sz w:val="20"/>
          <w:szCs w:val="20"/>
          <w:color w:val="auto"/>
        </w:rPr>
      </w:pPr>
    </w:p>
    <w:p>
      <w:pPr>
        <w:ind w:right="120" w:firstLine="490"/>
        <w:spacing w:after="0" w:line="258" w:lineRule="auto"/>
        <w:rPr>
          <w:sz w:val="20"/>
          <w:szCs w:val="20"/>
          <w:color w:val="auto"/>
        </w:rPr>
      </w:pPr>
      <w:r>
        <w:rPr>
          <w:rFonts w:ascii="Arial" w:cs="Arial" w:eastAsia="Arial" w:hAnsi="Arial"/>
          <w:sz w:val="19"/>
          <w:szCs w:val="19"/>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last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expired unutilized.</w:t>
      </w:r>
    </w:p>
    <w:p>
      <w:pPr>
        <w:spacing w:after="0" w:line="190" w:lineRule="exact"/>
        <w:rPr>
          <w:sz w:val="20"/>
          <w:szCs w:val="20"/>
          <w:color w:val="auto"/>
        </w:rPr>
      </w:pPr>
    </w:p>
    <w:p>
      <w:pPr>
        <w:ind w:firstLine="490"/>
        <w:spacing w:after="0" w:line="257" w:lineRule="auto"/>
        <w:rPr>
          <w:sz w:val="20"/>
          <w:szCs w:val="20"/>
          <w:color w:val="auto"/>
        </w:rPr>
      </w:pPr>
      <w:r>
        <w:rPr>
          <w:rFonts w:ascii="Arial" w:cs="Arial" w:eastAsia="Arial" w:hAnsi="Arial"/>
          <w:sz w:val="19"/>
          <w:szCs w:val="19"/>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2025 and 2024. Management reevaluates the positive and negative evidence at each reporting period. The Company recorded an increase to the valuation allowance of $30.2 million during 2025 related primarily to the increase in net operating loss carryforwards and research and development tax credit carryforwards, partially offset by the recognition of deferred collaboration revenue in 2025 that was previously recognized for tax purposes.</w:t>
      </w:r>
    </w:p>
    <w:p>
      <w:pPr>
        <w:sectPr>
          <w:pgSz w:w="12240" w:h="15840" w:orient="portrait"/>
          <w:cols w:equalWidth="0" w:num="1">
            <w:col w:w="10060"/>
          </w:cols>
          <w:pgMar w:left="108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ectPr>
          <w:pgSz w:w="12240" w:h="15840" w:orient="portrait"/>
          <w:cols w:equalWidth="0" w:num="1">
            <w:col w:w="10060"/>
          </w:cols>
          <w:pgMar w:left="1080" w:top="1060" w:right="1100" w:bottom="210" w:gutter="0" w:footer="0" w:header="0"/>
          <w:type w:val="continuous"/>
        </w:sectPr>
      </w:pPr>
    </w:p>
    <w:bookmarkStart w:id="135" w:name="page136"/>
    <w:bookmarkEnd w:id="135"/>
    <w:p>
      <w:pPr>
        <w:ind w:right="300" w:firstLine="490"/>
        <w:spacing w:after="0" w:line="252" w:lineRule="auto"/>
        <w:rPr>
          <w:sz w:val="20"/>
          <w:szCs w:val="20"/>
          <w:color w:val="auto"/>
        </w:rPr>
      </w:pPr>
      <w:r>
        <w:rPr>
          <w:rFonts w:ascii="Arial" w:cs="Arial" w:eastAsia="Arial" w:hAnsi="Arial"/>
          <w:sz w:val="20"/>
          <w:szCs w:val="20"/>
          <w:color w:val="auto"/>
        </w:rPr>
        <w:t>As of December 31, 2025 and 2024, the Company had not recorded any amounts for unrecognized tax benefits. The Company’s policy is to record interest and penalties related to income taxes as part of its income tax provision. As of December 31, 2025 and 2024, the Company had no accrued interest or penalties related to uncertain tax positions in the consolidated statements of operations and comprehensive loss.</w:t>
      </w:r>
    </w:p>
    <w:p>
      <w:pPr>
        <w:spacing w:after="0" w:line="192" w:lineRule="exact"/>
        <w:rPr>
          <w:sz w:val="20"/>
          <w:szCs w:val="20"/>
          <w:color w:val="auto"/>
        </w:rPr>
      </w:pPr>
    </w:p>
    <w:p>
      <w:pPr>
        <w:ind w:right="100" w:firstLine="490"/>
        <w:spacing w:after="0" w:line="284" w:lineRule="auto"/>
        <w:rPr>
          <w:sz w:val="20"/>
          <w:szCs w:val="20"/>
          <w:color w:val="auto"/>
        </w:rPr>
      </w:pPr>
      <w:r>
        <w:rPr>
          <w:rFonts w:ascii="Arial" w:cs="Arial" w:eastAsia="Arial" w:hAnsi="Arial"/>
          <w:sz w:val="18"/>
          <w:szCs w:val="18"/>
          <w:color w:val="auto"/>
        </w:rPr>
        <w:t>The Company files income tax returns in the U.S. federal and state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2022, although carryforward attributes that were generated prior to 2022 may still be subject to change upon examination if they are utilized to offset taxable income in subsequent tax years. There are currently no federal or state income tax audits in progress.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made the following income tax payments (net of refunds received) during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2025:</w:t>
      </w:r>
    </w:p>
    <w:tbl>
      <w:tblPr>
        <w:tblLayout w:type="fixed"/>
        <w:tblInd w:w="1820" w:type="dxa"/>
        <w:tblCellMar>
          <w:top w:w="0" w:type="dxa"/>
          <w:left w:w="0" w:type="dxa"/>
          <w:bottom w:w="0" w:type="dxa"/>
          <w:right w:w="0" w:type="dxa"/>
        </w:tblCellMar>
      </w:tblPr>
      <w:tr>
        <w:trPr>
          <w:trHeight w:val="172"/>
        </w:trPr>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line="171" w:lineRule="exact"/>
              <w:rPr>
                <w:sz w:val="20"/>
                <w:szCs w:val="20"/>
                <w:color w:val="auto"/>
              </w:rPr>
            </w:pPr>
            <w:r>
              <w:rPr>
                <w:rFonts w:ascii="Arial" w:cs="Arial" w:eastAsia="Arial" w:hAnsi="Arial"/>
                <w:sz w:val="16"/>
                <w:szCs w:val="16"/>
                <w:b w:val="1"/>
                <w:bCs w:val="1"/>
                <w:color w:val="auto"/>
                <w:w w:val="93"/>
              </w:rPr>
              <w:t>Year Ended</w:t>
            </w:r>
          </w:p>
        </w:tc>
      </w:tr>
      <w:tr>
        <w:trPr>
          <w:trHeight w:val="212"/>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r>
      <w:tr>
        <w:trPr>
          <w:trHeight w:val="214"/>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1"/>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r>
      <w:tr>
        <w:trPr>
          <w:trHeight w:val="202"/>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 thousands)</w:t>
            </w:r>
          </w:p>
        </w:tc>
      </w:tr>
      <w:tr>
        <w:trPr>
          <w:trHeight w:val="244"/>
        </w:trPr>
        <w:tc>
          <w:tcPr>
            <w:tcW w:w="4540" w:type="dxa"/>
            <w:vAlign w:val="bottom"/>
            <w:shd w:val="clear" w:color="auto" w:fill="CFF0FC"/>
          </w:tcPr>
          <w:p>
            <w:pPr>
              <w:spacing w:after="0"/>
              <w:rPr>
                <w:sz w:val="20"/>
                <w:szCs w:val="20"/>
                <w:color w:val="auto"/>
              </w:rPr>
            </w:pPr>
            <w:r>
              <w:rPr>
                <w:rFonts w:ascii="Arial" w:cs="Arial" w:eastAsia="Arial" w:hAnsi="Arial"/>
                <w:sz w:val="20"/>
                <w:szCs w:val="20"/>
                <w:color w:val="auto"/>
              </w:rPr>
              <w:t>US state and local</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5"/>
        </w:trPr>
        <w:tc>
          <w:tcPr>
            <w:tcW w:w="4540" w:type="dxa"/>
            <w:vAlign w:val="bottom"/>
          </w:tcPr>
          <w:p>
            <w:pPr>
              <w:ind w:left="200"/>
              <w:spacing w:after="0"/>
              <w:rPr>
                <w:sz w:val="20"/>
                <w:szCs w:val="20"/>
                <w:color w:val="auto"/>
              </w:rPr>
            </w:pPr>
            <w:r>
              <w:rPr>
                <w:rFonts w:ascii="Arial" w:cs="Arial" w:eastAsia="Arial" w:hAnsi="Arial"/>
                <w:sz w:val="20"/>
                <w:szCs w:val="20"/>
                <w:color w:val="auto"/>
              </w:rPr>
              <w:t>Massachusetts</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1"/>
                <w:szCs w:val="21"/>
                <w:color w:val="auto"/>
              </w:rPr>
            </w:pPr>
          </w:p>
        </w:tc>
      </w:tr>
      <w:tr>
        <w:trPr>
          <w:trHeight w:val="244"/>
        </w:trPr>
        <w:tc>
          <w:tcPr>
            <w:tcW w:w="45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California</w:t>
            </w:r>
          </w:p>
        </w:tc>
        <w:tc>
          <w:tcPr>
            <w:tcW w:w="340" w:type="dxa"/>
            <w:vAlign w:val="bottom"/>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 w:type="dxa"/>
            <w:vAlign w:val="bottom"/>
            <w:shd w:val="clear" w:color="auto" w:fill="CFF0FC"/>
          </w:tcPr>
          <w:p>
            <w:pPr>
              <w:spacing w:after="0"/>
              <w:rPr>
                <w:sz w:val="21"/>
                <w:szCs w:val="21"/>
                <w:color w:val="auto"/>
              </w:rPr>
            </w:pPr>
          </w:p>
        </w:tc>
      </w:tr>
      <w:tr>
        <w:trPr>
          <w:trHeight w:val="240"/>
        </w:trPr>
        <w:tc>
          <w:tcPr>
            <w:tcW w:w="4540" w:type="dxa"/>
            <w:vAlign w:val="bottom"/>
          </w:tcPr>
          <w:p>
            <w:pPr>
              <w:spacing w:after="0"/>
              <w:rPr>
                <w:sz w:val="20"/>
                <w:szCs w:val="20"/>
                <w:color w:val="auto"/>
              </w:rPr>
            </w:pPr>
            <w:r>
              <w:rPr>
                <w:rFonts w:ascii="Arial" w:cs="Arial" w:eastAsia="Arial" w:hAnsi="Arial"/>
                <w:sz w:val="20"/>
                <w:szCs w:val="20"/>
                <w:color w:val="auto"/>
                <w:w w:val="97"/>
              </w:rPr>
              <w:t>Total income tax payments (net of refunds received)</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-913765</wp:posOffset>
            </wp:positionV>
            <wp:extent cx="6341110" cy="5149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341110" cy="51498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401(K) Savings Plan</w:t>
      </w:r>
    </w:p>
    <w:p>
      <w:pPr>
        <w:spacing w:after="0" w:line="244" w:lineRule="exact"/>
        <w:rPr>
          <w:sz w:val="20"/>
          <w:szCs w:val="20"/>
          <w:color w:val="auto"/>
        </w:rPr>
      </w:pPr>
    </w:p>
    <w:p>
      <w:pPr>
        <w:ind w:firstLine="490"/>
        <w:spacing w:after="0" w:line="260" w:lineRule="auto"/>
        <w:rPr>
          <w:sz w:val="20"/>
          <w:szCs w:val="20"/>
          <w:color w:val="auto"/>
        </w:rPr>
      </w:pPr>
      <w:r>
        <w:rPr>
          <w:rFonts w:ascii="Arial" w:cs="Arial" w:eastAsia="Arial" w:hAnsi="Arial"/>
          <w:sz w:val="19"/>
          <w:szCs w:val="19"/>
          <w:color w:val="auto"/>
        </w:rPr>
        <w:t xml:space="preserve">The Company maintains a 401(k) retirement savings plan for employees who satisfy certain eligibility requirements. </w:t>
      </w:r>
      <w:r>
        <w:rPr>
          <w:rFonts w:ascii="Arial" w:cs="Arial" w:eastAsia="Arial" w:hAnsi="Arial"/>
          <w:sz w:val="19"/>
          <w:szCs w:val="19"/>
          <w:color w:val="auto"/>
          <w:highlight w:val="white"/>
        </w:rPr>
        <w:t xml:space="preserve">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The Company made matching contributions to participants in the 401(k) plan of $1.2 million, $1.3 million and $0.9 million during the years ended </w:t>
      </w:r>
      <w:r>
        <w:rPr>
          <w:rFonts w:ascii="Arial" w:cs="Arial" w:eastAsia="Arial" w:hAnsi="Arial"/>
          <w:sz w:val="19"/>
          <w:szCs w:val="19"/>
          <w:color w:val="auto"/>
        </w:rPr>
        <w:t>December 31, 2025, 2024 and 2023,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Net Loss Per Share</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Basic and diluted net loss per share attributable to common stockholders was calculated as follows:</w:t>
      </w:r>
    </w:p>
    <w:p>
      <w:pPr>
        <w:spacing w:after="0" w:line="24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83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2940" w:type="dxa"/>
            <w:vAlign w:val="bottom"/>
            <w:gridSpan w:val="4"/>
          </w:tcPr>
          <w:p>
            <w:pPr>
              <w:jc w:val="center"/>
              <w:ind w:left="770"/>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Pr>
          <w:p>
            <w:pPr>
              <w:spacing w:after="0"/>
              <w:rPr>
                <w:sz w:val="16"/>
                <w:szCs w:val="16"/>
                <w:color w:val="auto"/>
              </w:rPr>
            </w:pPr>
          </w:p>
        </w:tc>
      </w:tr>
      <w:tr>
        <w:trPr>
          <w:trHeight w:val="184"/>
        </w:trPr>
        <w:tc>
          <w:tcPr>
            <w:tcW w:w="483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4040" w:type="dxa"/>
            <w:vAlign w:val="bottom"/>
            <w:gridSpan w:val="5"/>
          </w:tcPr>
          <w:p>
            <w:pPr>
              <w:jc w:val="center"/>
              <w:ind w:right="165"/>
              <w:spacing w:after="0"/>
              <w:rPr>
                <w:sz w:val="20"/>
                <w:szCs w:val="20"/>
                <w:color w:val="auto"/>
              </w:rPr>
            </w:pPr>
            <w:r>
              <w:rPr>
                <w:rFonts w:ascii="Arial" w:cs="Arial" w:eastAsia="Arial" w:hAnsi="Arial"/>
                <w:sz w:val="16"/>
                <w:szCs w:val="16"/>
                <w:b w:val="1"/>
                <w:bCs w:val="1"/>
                <w:color w:val="auto"/>
                <w:w w:val="88"/>
              </w:rPr>
              <w:t>(in thousands, except share and per</w:t>
            </w:r>
          </w:p>
        </w:tc>
      </w:tr>
      <w:tr>
        <w:trPr>
          <w:trHeight w:val="184"/>
        </w:trPr>
        <w:tc>
          <w:tcPr>
            <w:tcW w:w="483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253" w:type="dxa"/>
            <w:vAlign w:val="bottom"/>
          </w:tcPr>
          <w:p>
            <w:pPr>
              <w:spacing w:after="0"/>
              <w:rPr>
                <w:sz w:val="15"/>
                <w:szCs w:val="15"/>
                <w:color w:val="auto"/>
              </w:rPr>
            </w:pPr>
          </w:p>
        </w:tc>
        <w:tc>
          <w:tcPr>
            <w:tcW w:w="188" w:type="dxa"/>
            <w:vAlign w:val="bottom"/>
          </w:tcPr>
          <w:p>
            <w:pPr>
              <w:spacing w:after="0"/>
              <w:rPr>
                <w:sz w:val="15"/>
                <w:szCs w:val="15"/>
                <w:color w:val="auto"/>
              </w:rPr>
            </w:pPr>
          </w:p>
        </w:tc>
        <w:tc>
          <w:tcPr>
            <w:tcW w:w="1250" w:type="dxa"/>
            <w:vAlign w:val="bottom"/>
          </w:tcPr>
          <w:p>
            <w:pPr>
              <w:jc w:val="center"/>
              <w:ind w:right="238"/>
              <w:spacing w:after="0"/>
              <w:rPr>
                <w:sz w:val="20"/>
                <w:szCs w:val="20"/>
                <w:color w:val="auto"/>
              </w:rPr>
            </w:pPr>
            <w:r>
              <w:rPr>
                <w:rFonts w:ascii="Arial" w:cs="Arial" w:eastAsia="Arial" w:hAnsi="Arial"/>
                <w:sz w:val="16"/>
                <w:szCs w:val="16"/>
                <w:b w:val="1"/>
                <w:bCs w:val="1"/>
                <w:color w:val="auto"/>
                <w:w w:val="88"/>
              </w:rPr>
              <w:t>share data)</w:t>
            </w:r>
          </w:p>
        </w:tc>
        <w:tc>
          <w:tcPr>
            <w:tcW w:w="25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483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253" w:type="dxa"/>
            <w:vAlign w:val="bottom"/>
          </w:tcPr>
          <w:p>
            <w:pPr>
              <w:jc w:val="right"/>
              <w:ind w:right="543"/>
              <w:spacing w:after="0"/>
              <w:rPr>
                <w:sz w:val="20"/>
                <w:szCs w:val="20"/>
                <w:color w:val="auto"/>
              </w:rPr>
            </w:pPr>
            <w:r>
              <w:rPr>
                <w:rFonts w:ascii="Arial" w:cs="Arial" w:eastAsia="Arial" w:hAnsi="Arial"/>
                <w:sz w:val="16"/>
                <w:szCs w:val="16"/>
                <w:b w:val="1"/>
                <w:bCs w:val="1"/>
                <w:color w:val="auto"/>
              </w:rPr>
              <w:t>2025</w:t>
            </w:r>
          </w:p>
        </w:tc>
        <w:tc>
          <w:tcPr>
            <w:tcW w:w="188" w:type="dxa"/>
            <w:vAlign w:val="bottom"/>
          </w:tcPr>
          <w:p>
            <w:pPr>
              <w:spacing w:after="0"/>
              <w:rPr>
                <w:sz w:val="17"/>
                <w:szCs w:val="17"/>
                <w:color w:val="auto"/>
              </w:rPr>
            </w:pPr>
          </w:p>
        </w:tc>
        <w:tc>
          <w:tcPr>
            <w:tcW w:w="1250" w:type="dxa"/>
            <w:vAlign w:val="bottom"/>
          </w:tcPr>
          <w:p>
            <w:pPr>
              <w:jc w:val="center"/>
              <w:ind w:right="238"/>
              <w:spacing w:after="0"/>
              <w:rPr>
                <w:sz w:val="20"/>
                <w:szCs w:val="20"/>
                <w:color w:val="auto"/>
              </w:rPr>
            </w:pPr>
            <w:r>
              <w:rPr>
                <w:rFonts w:ascii="Arial" w:cs="Arial" w:eastAsia="Arial" w:hAnsi="Arial"/>
                <w:sz w:val="16"/>
                <w:szCs w:val="16"/>
                <w:b w:val="1"/>
                <w:bCs w:val="1"/>
                <w:color w:val="auto"/>
                <w:w w:val="89"/>
              </w:rPr>
              <w:t>2024</w:t>
            </w:r>
          </w:p>
        </w:tc>
        <w:tc>
          <w:tcPr>
            <w:tcW w:w="250" w:type="dxa"/>
            <w:vAlign w:val="bottom"/>
          </w:tcPr>
          <w:p>
            <w:pPr>
              <w:spacing w:after="0"/>
              <w:rPr>
                <w:sz w:val="17"/>
                <w:szCs w:val="17"/>
                <w:color w:val="auto"/>
              </w:rPr>
            </w:pPr>
          </w:p>
        </w:tc>
        <w:tc>
          <w:tcPr>
            <w:tcW w:w="1100" w:type="dxa"/>
            <w:vAlign w:val="bottom"/>
          </w:tcPr>
          <w:p>
            <w:pPr>
              <w:jc w:val="right"/>
              <w:ind w:right="445"/>
              <w:spacing w:after="0"/>
              <w:rPr>
                <w:sz w:val="20"/>
                <w:szCs w:val="20"/>
                <w:color w:val="auto"/>
              </w:rPr>
            </w:pPr>
            <w:r>
              <w:rPr>
                <w:rFonts w:ascii="Arial" w:cs="Arial" w:eastAsia="Arial" w:hAnsi="Arial"/>
                <w:sz w:val="16"/>
                <w:szCs w:val="16"/>
                <w:b w:val="1"/>
                <w:bCs w:val="1"/>
                <w:color w:val="auto"/>
              </w:rPr>
              <w:t>2023</w:t>
            </w:r>
          </w:p>
        </w:tc>
      </w:tr>
      <w:tr>
        <w:trPr>
          <w:trHeight w:val="245"/>
        </w:trPr>
        <w:tc>
          <w:tcPr>
            <w:tcW w:w="4830" w:type="dxa"/>
            <w:vAlign w:val="bottom"/>
            <w:shd w:val="clear" w:color="auto" w:fill="CFF0FC"/>
          </w:tcPr>
          <w:p>
            <w:pPr>
              <w:spacing w:after="0"/>
              <w:rPr>
                <w:sz w:val="20"/>
                <w:szCs w:val="20"/>
                <w:color w:val="auto"/>
              </w:rPr>
            </w:pPr>
            <w:r>
              <w:rPr>
                <w:rFonts w:ascii="Arial" w:cs="Arial" w:eastAsia="Arial" w:hAnsi="Arial"/>
                <w:sz w:val="20"/>
                <w:szCs w:val="20"/>
                <w:color w:val="auto"/>
              </w:rPr>
              <w:t>Numerator:</w:t>
            </w:r>
          </w:p>
        </w:tc>
        <w:tc>
          <w:tcPr>
            <w:tcW w:w="210" w:type="dxa"/>
            <w:vAlign w:val="bottom"/>
            <w:shd w:val="clear" w:color="auto" w:fill="CFF0FC"/>
          </w:tcPr>
          <w:p>
            <w:pPr>
              <w:spacing w:after="0"/>
              <w:rPr>
                <w:sz w:val="21"/>
                <w:szCs w:val="21"/>
                <w:color w:val="auto"/>
              </w:rPr>
            </w:pPr>
          </w:p>
        </w:tc>
        <w:tc>
          <w:tcPr>
            <w:tcW w:w="1253" w:type="dxa"/>
            <w:vAlign w:val="bottom"/>
            <w:shd w:val="clear" w:color="auto" w:fill="CFF0FC"/>
          </w:tcPr>
          <w:p>
            <w:pPr>
              <w:spacing w:after="0"/>
              <w:rPr>
                <w:sz w:val="21"/>
                <w:szCs w:val="21"/>
                <w:color w:val="auto"/>
              </w:rPr>
            </w:pPr>
          </w:p>
        </w:tc>
        <w:tc>
          <w:tcPr>
            <w:tcW w:w="188" w:type="dxa"/>
            <w:vAlign w:val="bottom"/>
            <w:shd w:val="clear" w:color="auto" w:fill="CFF0FC"/>
          </w:tcPr>
          <w:p>
            <w:pPr>
              <w:spacing w:after="0"/>
              <w:rPr>
                <w:sz w:val="21"/>
                <w:szCs w:val="21"/>
                <w:color w:val="auto"/>
              </w:rPr>
            </w:pPr>
          </w:p>
        </w:tc>
        <w:tc>
          <w:tcPr>
            <w:tcW w:w="1250" w:type="dxa"/>
            <w:vAlign w:val="bottom"/>
            <w:shd w:val="clear" w:color="auto" w:fill="CFF0FC"/>
          </w:tcPr>
          <w:p>
            <w:pPr>
              <w:spacing w:after="0"/>
              <w:rPr>
                <w:sz w:val="21"/>
                <w:szCs w:val="21"/>
                <w:color w:val="auto"/>
              </w:rPr>
            </w:pPr>
          </w:p>
        </w:tc>
        <w:tc>
          <w:tcPr>
            <w:tcW w:w="25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0"/>
        </w:trPr>
        <w:tc>
          <w:tcPr>
            <w:tcW w:w="4830" w:type="dxa"/>
            <w:vAlign w:val="bottom"/>
          </w:tcPr>
          <w:p>
            <w:pPr>
              <w:ind w:left="200"/>
              <w:spacing w:after="0"/>
              <w:rPr>
                <w:sz w:val="20"/>
                <w:szCs w:val="20"/>
                <w:color w:val="auto"/>
              </w:rPr>
            </w:pPr>
            <w:r>
              <w:rPr>
                <w:rFonts w:ascii="Arial" w:cs="Arial" w:eastAsia="Arial" w:hAnsi="Arial"/>
                <w:sz w:val="20"/>
                <w:szCs w:val="20"/>
                <w:color w:val="auto"/>
              </w:rPr>
              <w:t>Net loss</w:t>
            </w:r>
          </w:p>
        </w:tc>
        <w:tc>
          <w:tcPr>
            <w:tcW w:w="210" w:type="dxa"/>
            <w:vAlign w:val="bottom"/>
          </w:tcPr>
          <w:p>
            <w:pPr>
              <w:jc w:val="right"/>
              <w:spacing w:after="0"/>
              <w:rPr>
                <w:sz w:val="20"/>
                <w:szCs w:val="20"/>
                <w:color w:val="auto"/>
              </w:rPr>
            </w:pPr>
            <w:r>
              <w:rPr>
                <w:rFonts w:ascii="Arial" w:cs="Arial" w:eastAsia="Arial" w:hAnsi="Arial"/>
                <w:sz w:val="20"/>
                <w:szCs w:val="20"/>
                <w:color w:val="auto"/>
              </w:rPr>
              <w:t>$</w:t>
            </w:r>
          </w:p>
        </w:tc>
        <w:tc>
          <w:tcPr>
            <w:tcW w:w="1253" w:type="dxa"/>
            <w:vAlign w:val="bottom"/>
          </w:tcPr>
          <w:p>
            <w:pPr>
              <w:jc w:val="right"/>
              <w:ind w:right="103"/>
              <w:spacing w:after="0"/>
              <w:rPr>
                <w:sz w:val="20"/>
                <w:szCs w:val="20"/>
                <w:color w:val="auto"/>
              </w:rPr>
            </w:pPr>
            <w:r>
              <w:rPr>
                <w:rFonts w:ascii="Arial" w:cs="Arial" w:eastAsia="Arial" w:hAnsi="Arial"/>
                <w:sz w:val="20"/>
                <w:szCs w:val="20"/>
                <w:color w:val="auto"/>
              </w:rPr>
              <w:t>(101,594)</w:t>
            </w:r>
          </w:p>
        </w:tc>
        <w:tc>
          <w:tcPr>
            <w:tcW w:w="188"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50" w:type="dxa"/>
            <w:vAlign w:val="bottom"/>
          </w:tcPr>
          <w:p>
            <w:pPr>
              <w:jc w:val="right"/>
              <w:ind w:right="98"/>
              <w:spacing w:after="0"/>
              <w:rPr>
                <w:sz w:val="20"/>
                <w:szCs w:val="20"/>
                <w:color w:val="auto"/>
              </w:rPr>
            </w:pPr>
            <w:r>
              <w:rPr>
                <w:rFonts w:ascii="Arial" w:cs="Arial" w:eastAsia="Arial" w:hAnsi="Arial"/>
                <w:sz w:val="20"/>
                <w:szCs w:val="20"/>
                <w:color w:val="auto"/>
              </w:rPr>
              <w:t>(130,302)</w:t>
            </w:r>
          </w:p>
        </w:tc>
        <w:tc>
          <w:tcPr>
            <w:tcW w:w="25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(101,744)</w:t>
            </w:r>
          </w:p>
        </w:tc>
      </w:tr>
      <w:tr>
        <w:trPr>
          <w:trHeight w:val="245"/>
        </w:trPr>
        <w:tc>
          <w:tcPr>
            <w:tcW w:w="4830" w:type="dxa"/>
            <w:vAlign w:val="bottom"/>
            <w:shd w:val="clear" w:color="auto" w:fill="CFF0FC"/>
          </w:tcPr>
          <w:p>
            <w:pPr>
              <w:spacing w:after="0"/>
              <w:rPr>
                <w:sz w:val="20"/>
                <w:szCs w:val="20"/>
                <w:color w:val="auto"/>
              </w:rPr>
            </w:pPr>
            <w:r>
              <w:rPr>
                <w:rFonts w:ascii="Arial" w:cs="Arial" w:eastAsia="Arial" w:hAnsi="Arial"/>
                <w:sz w:val="20"/>
                <w:szCs w:val="20"/>
                <w:color w:val="auto"/>
              </w:rPr>
              <w:t>Denominator:</w:t>
            </w:r>
          </w:p>
        </w:tc>
        <w:tc>
          <w:tcPr>
            <w:tcW w:w="210" w:type="dxa"/>
            <w:vAlign w:val="bottom"/>
            <w:shd w:val="clear" w:color="auto" w:fill="CFF0FC"/>
          </w:tcPr>
          <w:p>
            <w:pPr>
              <w:spacing w:after="0"/>
              <w:rPr>
                <w:sz w:val="21"/>
                <w:szCs w:val="21"/>
                <w:color w:val="auto"/>
              </w:rPr>
            </w:pPr>
          </w:p>
        </w:tc>
        <w:tc>
          <w:tcPr>
            <w:tcW w:w="1253" w:type="dxa"/>
            <w:vAlign w:val="bottom"/>
            <w:shd w:val="clear" w:color="auto" w:fill="CFF0FC"/>
          </w:tcPr>
          <w:p>
            <w:pPr>
              <w:spacing w:after="0"/>
              <w:rPr>
                <w:sz w:val="21"/>
                <w:szCs w:val="21"/>
                <w:color w:val="auto"/>
              </w:rPr>
            </w:pPr>
          </w:p>
        </w:tc>
        <w:tc>
          <w:tcPr>
            <w:tcW w:w="188" w:type="dxa"/>
            <w:vAlign w:val="bottom"/>
            <w:shd w:val="clear" w:color="auto" w:fill="CFF0FC"/>
          </w:tcPr>
          <w:p>
            <w:pPr>
              <w:spacing w:after="0"/>
              <w:rPr>
                <w:sz w:val="21"/>
                <w:szCs w:val="21"/>
                <w:color w:val="auto"/>
              </w:rPr>
            </w:pPr>
          </w:p>
        </w:tc>
        <w:tc>
          <w:tcPr>
            <w:tcW w:w="1250" w:type="dxa"/>
            <w:vAlign w:val="bottom"/>
            <w:shd w:val="clear" w:color="auto" w:fill="CFF0FC"/>
          </w:tcPr>
          <w:p>
            <w:pPr>
              <w:spacing w:after="0"/>
              <w:rPr>
                <w:sz w:val="21"/>
                <w:szCs w:val="21"/>
                <w:color w:val="auto"/>
              </w:rPr>
            </w:pPr>
          </w:p>
        </w:tc>
        <w:tc>
          <w:tcPr>
            <w:tcW w:w="25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11"/>
        </w:trPr>
        <w:tc>
          <w:tcPr>
            <w:tcW w:w="4830" w:type="dxa"/>
            <w:vAlign w:val="bottom"/>
          </w:tcPr>
          <w:p>
            <w:pPr>
              <w:ind w:left="200"/>
              <w:spacing w:after="0" w:line="211" w:lineRule="exact"/>
              <w:rPr>
                <w:sz w:val="20"/>
                <w:szCs w:val="20"/>
                <w:color w:val="auto"/>
              </w:rPr>
            </w:pPr>
            <w:r>
              <w:rPr>
                <w:rFonts w:ascii="Arial" w:cs="Arial" w:eastAsia="Arial" w:hAnsi="Arial"/>
                <w:sz w:val="20"/>
                <w:szCs w:val="20"/>
                <w:color w:val="auto"/>
                <w:w w:val="97"/>
              </w:rPr>
              <w:t>Weighted-average common stock outstanding – basic</w:t>
            </w:r>
          </w:p>
        </w:tc>
        <w:tc>
          <w:tcPr>
            <w:tcW w:w="210" w:type="dxa"/>
            <w:vAlign w:val="bottom"/>
          </w:tcPr>
          <w:p>
            <w:pPr>
              <w:spacing w:after="0"/>
              <w:rPr>
                <w:sz w:val="18"/>
                <w:szCs w:val="18"/>
                <w:color w:val="auto"/>
              </w:rPr>
            </w:pPr>
          </w:p>
        </w:tc>
        <w:tc>
          <w:tcPr>
            <w:tcW w:w="1253" w:type="dxa"/>
            <w:vAlign w:val="bottom"/>
          </w:tcPr>
          <w:p>
            <w:pPr>
              <w:spacing w:after="0"/>
              <w:rPr>
                <w:sz w:val="18"/>
                <w:szCs w:val="18"/>
                <w:color w:val="auto"/>
              </w:rPr>
            </w:pPr>
          </w:p>
        </w:tc>
        <w:tc>
          <w:tcPr>
            <w:tcW w:w="188"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4830" w:type="dxa"/>
            <w:vAlign w:val="bottom"/>
          </w:tcPr>
          <w:p>
            <w:pPr>
              <w:ind w:left="200"/>
              <w:spacing w:after="0"/>
              <w:rPr>
                <w:sz w:val="20"/>
                <w:szCs w:val="20"/>
                <w:color w:val="auto"/>
              </w:rPr>
            </w:pPr>
            <w:r>
              <w:rPr>
                <w:rFonts w:ascii="Arial" w:cs="Arial" w:eastAsia="Arial" w:hAnsi="Arial"/>
                <w:sz w:val="20"/>
                <w:szCs w:val="20"/>
                <w:color w:val="auto"/>
              </w:rPr>
              <w:t>and diluted</w:t>
            </w:r>
          </w:p>
        </w:tc>
        <w:tc>
          <w:tcPr>
            <w:tcW w:w="210" w:type="dxa"/>
            <w:vAlign w:val="bottom"/>
          </w:tcPr>
          <w:p>
            <w:pPr>
              <w:spacing w:after="0"/>
              <w:rPr>
                <w:sz w:val="21"/>
                <w:szCs w:val="21"/>
                <w:color w:val="auto"/>
              </w:rPr>
            </w:pPr>
          </w:p>
        </w:tc>
        <w:tc>
          <w:tcPr>
            <w:tcW w:w="1253" w:type="dxa"/>
            <w:vAlign w:val="bottom"/>
          </w:tcPr>
          <w:p>
            <w:pPr>
              <w:jc w:val="right"/>
              <w:ind w:right="103"/>
              <w:spacing w:after="0"/>
              <w:rPr>
                <w:sz w:val="20"/>
                <w:szCs w:val="20"/>
                <w:color w:val="auto"/>
              </w:rPr>
            </w:pPr>
            <w:r>
              <w:rPr>
                <w:rFonts w:ascii="Arial" w:cs="Arial" w:eastAsia="Arial" w:hAnsi="Arial"/>
                <w:sz w:val="20"/>
                <w:szCs w:val="20"/>
                <w:color w:val="auto"/>
                <w:w w:val="93"/>
              </w:rPr>
              <w:t>116,166,187</w:t>
            </w:r>
          </w:p>
        </w:tc>
        <w:tc>
          <w:tcPr>
            <w:tcW w:w="188" w:type="dxa"/>
            <w:vAlign w:val="bottom"/>
          </w:tcPr>
          <w:p>
            <w:pPr>
              <w:spacing w:after="0"/>
              <w:rPr>
                <w:sz w:val="21"/>
                <w:szCs w:val="21"/>
                <w:color w:val="auto"/>
              </w:rPr>
            </w:pPr>
          </w:p>
        </w:tc>
        <w:tc>
          <w:tcPr>
            <w:tcW w:w="1250" w:type="dxa"/>
            <w:vAlign w:val="bottom"/>
          </w:tcPr>
          <w:p>
            <w:pPr>
              <w:jc w:val="right"/>
              <w:ind w:right="98"/>
              <w:spacing w:after="0"/>
              <w:rPr>
                <w:sz w:val="20"/>
                <w:szCs w:val="20"/>
                <w:color w:val="auto"/>
              </w:rPr>
            </w:pPr>
            <w:r>
              <w:rPr>
                <w:rFonts w:ascii="Arial" w:cs="Arial" w:eastAsia="Arial" w:hAnsi="Arial"/>
                <w:sz w:val="20"/>
                <w:szCs w:val="20"/>
                <w:color w:val="auto"/>
                <w:w w:val="93"/>
              </w:rPr>
              <w:t>109,226,731</w:t>
            </w:r>
          </w:p>
        </w:tc>
        <w:tc>
          <w:tcPr>
            <w:tcW w:w="250" w:type="dxa"/>
            <w:vAlign w:val="bottom"/>
          </w:tcPr>
          <w:p>
            <w:pPr>
              <w:spacing w:after="0"/>
              <w:rPr>
                <w:sz w:val="21"/>
                <w:szCs w:val="21"/>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color w:val="auto"/>
                <w:w w:val="97"/>
              </w:rPr>
              <w:t>94,572,448</w:t>
            </w:r>
          </w:p>
        </w:tc>
      </w:tr>
      <w:tr>
        <w:trPr>
          <w:trHeight w:val="246"/>
        </w:trPr>
        <w:tc>
          <w:tcPr>
            <w:tcW w:w="483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Net loss per common share – basic and diluted</w:t>
            </w:r>
          </w:p>
        </w:tc>
        <w:tc>
          <w:tcPr>
            <w:tcW w:w="210" w:type="dxa"/>
            <w:vAlign w:val="bottom"/>
            <w:shd w:val="clear" w:color="auto" w:fill="CFF0FC"/>
          </w:tcPr>
          <w:p>
            <w:pPr>
              <w:jc w:val="right"/>
              <w:spacing w:after="0"/>
              <w:rPr>
                <w:sz w:val="20"/>
                <w:szCs w:val="20"/>
                <w:color w:val="auto"/>
              </w:rPr>
            </w:pPr>
            <w:r>
              <w:rPr>
                <w:rFonts w:ascii="Arial" w:cs="Arial" w:eastAsia="Arial" w:hAnsi="Arial"/>
                <w:sz w:val="20"/>
                <w:szCs w:val="20"/>
                <w:color w:val="auto"/>
                <w:highlight w:val="black"/>
              </w:rPr>
              <w:t>$</w:t>
            </w:r>
          </w:p>
        </w:tc>
        <w:tc>
          <w:tcPr>
            <w:tcW w:w="1253" w:type="dxa"/>
            <w:vAlign w:val="bottom"/>
            <w:shd w:val="clear" w:color="auto" w:fill="CFF0FC"/>
          </w:tcPr>
          <w:p>
            <w:pPr>
              <w:jc w:val="right"/>
              <w:ind w:right="103"/>
              <w:spacing w:after="0"/>
              <w:rPr>
                <w:sz w:val="20"/>
                <w:szCs w:val="20"/>
                <w:color w:val="auto"/>
              </w:rPr>
            </w:pPr>
            <w:r>
              <w:rPr>
                <w:rFonts w:ascii="Arial" w:cs="Arial" w:eastAsia="Arial" w:hAnsi="Arial"/>
                <w:sz w:val="20"/>
                <w:szCs w:val="20"/>
                <w:color w:val="auto"/>
              </w:rPr>
              <w:t>(0.87)</w:t>
            </w:r>
          </w:p>
        </w:tc>
        <w:tc>
          <w:tcPr>
            <w:tcW w:w="188"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250" w:type="dxa"/>
            <w:vAlign w:val="bottom"/>
            <w:shd w:val="clear" w:color="auto" w:fill="CFF0FC"/>
          </w:tcPr>
          <w:p>
            <w:pPr>
              <w:jc w:val="right"/>
              <w:ind w:right="98"/>
              <w:spacing w:after="0"/>
              <w:rPr>
                <w:sz w:val="20"/>
                <w:szCs w:val="20"/>
                <w:color w:val="auto"/>
              </w:rPr>
            </w:pPr>
            <w:r>
              <w:rPr>
                <w:rFonts w:ascii="Arial" w:cs="Arial" w:eastAsia="Arial" w:hAnsi="Arial"/>
                <w:sz w:val="20"/>
                <w:szCs w:val="20"/>
                <w:color w:val="auto"/>
              </w:rPr>
              <w:t>(1.19)</w:t>
            </w:r>
          </w:p>
        </w:tc>
        <w:tc>
          <w:tcPr>
            <w:tcW w:w="25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w:t>
            </w:r>
          </w:p>
        </w:tc>
      </w:tr>
    </w:tbl>
    <w:p>
      <w:pPr>
        <w:spacing w:after="0" w:line="235" w:lineRule="exact"/>
        <w:rPr>
          <w:sz w:val="20"/>
          <w:szCs w:val="20"/>
          <w:color w:val="auto"/>
        </w:rPr>
      </w:pPr>
    </w:p>
    <w:p>
      <w:pPr>
        <w:ind w:right="100" w:firstLine="490"/>
        <w:spacing w:after="0" w:line="251" w:lineRule="auto"/>
        <w:rPr>
          <w:sz w:val="20"/>
          <w:szCs w:val="20"/>
          <w:color w:val="auto"/>
        </w:rPr>
      </w:pPr>
      <w:r>
        <w:rPr>
          <w:rFonts w:ascii="Arial" w:cs="Arial" w:eastAsia="Arial" w:hAnsi="Arial"/>
          <w:sz w:val="19"/>
          <w:szCs w:val="19"/>
          <w:color w:val="auto"/>
        </w:rPr>
        <w:t>From time to time, the Company may issue pre-funded warrants which are classified as a component of permanent</w:t>
      </w:r>
      <w:r>
        <w:rPr>
          <w:sz w:val="1"/>
          <w:szCs w:val="1"/>
          <w:color w:val="auto"/>
        </w:rPr>
        <w:drawing>
          <wp:inline distT="0" distB="0" distL="0" distR="0">
            <wp:extent cx="33020" cy="1460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33020" cy="146050"/>
                    </a:xfrm>
                    <a:prstGeom prst="rect">
                      <a:avLst/>
                    </a:prstGeom>
                    <a:noFill/>
                    <a:ln>
                      <a:noFill/>
                    </a:ln>
                  </pic:spPr>
                </pic:pic>
              </a:graphicData>
            </a:graphic>
          </wp:inline>
        </w:drawing>
      </w:r>
      <w:r>
        <w:rPr>
          <w:rFonts w:ascii="Arial" w:cs="Arial" w:eastAsia="Arial" w:hAnsi="Arial"/>
          <w:sz w:val="19"/>
          <w:szCs w:val="19"/>
          <w:color w:val="auto"/>
          <w:highlight w:val="white"/>
        </w:rPr>
        <w:t xml:space="preserve">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pre-funded warrants are included in the </w:t>
      </w:r>
      <w:r>
        <w:rPr>
          <w:rFonts w:ascii="Arial" w:cs="Arial" w:eastAsia="Arial" w:hAnsi="Arial"/>
          <w:sz w:val="19"/>
          <w:szCs w:val="19"/>
          <w:color w:val="auto"/>
        </w:rPr>
        <w:t>weighted-average number of shares of common stock used to calculate basic and diluted net loss per common share immediately upon issuance because the shares may be issued for little or no consideration, are fully vested and are exercisable after the original issuance date of the pre-funded warrants.</w:t>
      </w:r>
    </w:p>
    <w:p>
      <w:pPr>
        <w:sectPr>
          <w:pgSz w:w="12240" w:h="15840" w:orient="portrait"/>
          <w:cols w:equalWidth="0" w:num="1">
            <w:col w:w="10060"/>
          </w:cols>
          <w:pgMar w:left="1080" w:top="1060" w:right="110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ectPr>
          <w:pgSz w:w="12240" w:h="15840" w:orient="portrait"/>
          <w:cols w:equalWidth="0" w:num="1">
            <w:col w:w="10060"/>
          </w:cols>
          <w:pgMar w:left="1080" w:top="1060" w:right="1100" w:bottom="210" w:gutter="0" w:footer="0" w:header="0"/>
          <w:type w:val="continuous"/>
        </w:sectPr>
      </w:pPr>
    </w:p>
    <w:bookmarkStart w:id="136" w:name="page137"/>
    <w:bookmarkEnd w:id="136"/>
    <w:p>
      <w:pPr>
        <w:ind w:right="100" w:firstLine="490"/>
        <w:spacing w:after="0" w:line="265" w:lineRule="auto"/>
        <w:rPr>
          <w:sz w:val="20"/>
          <w:szCs w:val="20"/>
          <w:color w:val="auto"/>
        </w:rPr>
      </w:pPr>
      <w:r>
        <w:rPr>
          <w:rFonts w:ascii="Arial" w:cs="Arial" w:eastAsia="Arial" w:hAnsi="Arial"/>
          <w:sz w:val="19"/>
          <w:szCs w:val="19"/>
          <w:color w:val="auto"/>
        </w:rPr>
        <w:t xml:space="preserve">In August 2023, the Company completed a private placement, in which pre-funded warrants to purchase 2,340,579 shares of common stock with an exercise price of $0.001 per share were issued. </w:t>
      </w:r>
      <w:r>
        <w:rPr>
          <w:rFonts w:ascii="Arial" w:cs="Arial" w:eastAsia="Arial" w:hAnsi="Arial"/>
          <w:sz w:val="18"/>
          <w:szCs w:val="18"/>
          <w:color w:val="auto"/>
        </w:rPr>
        <w:t>In June 2025, all of these pre-funded</w:t>
      </w:r>
      <w:r>
        <w:rPr>
          <w:rFonts w:ascii="Arial" w:cs="Arial" w:eastAsia="Arial" w:hAnsi="Arial"/>
          <w:sz w:val="19"/>
          <w:szCs w:val="19"/>
          <w:color w:val="auto"/>
        </w:rPr>
        <w:t xml:space="preserve"> </w:t>
      </w:r>
      <w:r>
        <w:rPr>
          <w:rFonts w:ascii="Arial" w:cs="Arial" w:eastAsia="Arial" w:hAnsi="Arial"/>
          <w:sz w:val="18"/>
          <w:szCs w:val="18"/>
          <w:color w:val="auto"/>
        </w:rPr>
        <w:t xml:space="preserve">warrants were exercised. </w:t>
      </w:r>
      <w:r>
        <w:rPr>
          <w:rFonts w:ascii="Arial" w:cs="Arial" w:eastAsia="Arial" w:hAnsi="Arial"/>
          <w:sz w:val="19"/>
          <w:szCs w:val="19"/>
          <w:color w:val="auto"/>
        </w:rPr>
        <w:t>In October 2025, the Company completed a private placement, in which pre-funded warrants to</w:t>
      </w:r>
      <w:r>
        <w:rPr>
          <w:rFonts w:ascii="Arial" w:cs="Arial" w:eastAsia="Arial" w:hAnsi="Arial"/>
          <w:sz w:val="18"/>
          <w:szCs w:val="18"/>
          <w:color w:val="auto"/>
        </w:rPr>
        <w:t xml:space="preserve"> </w:t>
      </w:r>
      <w:r>
        <w:rPr>
          <w:rFonts w:ascii="Arial" w:cs="Arial" w:eastAsia="Arial" w:hAnsi="Arial"/>
          <w:sz w:val="19"/>
          <w:szCs w:val="19"/>
          <w:color w:val="auto"/>
        </w:rPr>
        <w:t>purchase 3,226,458 shares of common stock with an exercise price of $0.001 per share were issued. All of these pre-funded warrants remain unexercised as of the December 31, 2025 balance sheet date.</w:t>
      </w:r>
    </w:p>
    <w:p>
      <w:pPr>
        <w:spacing w:after="0" w:line="183" w:lineRule="exact"/>
        <w:rPr>
          <w:sz w:val="20"/>
          <w:szCs w:val="20"/>
          <w:color w:val="auto"/>
        </w:rPr>
      </w:pPr>
    </w:p>
    <w:p>
      <w:pPr>
        <w:ind w:right="60" w:firstLine="490"/>
        <w:spacing w:after="0" w:line="246" w:lineRule="auto"/>
        <w:rPr>
          <w:sz w:val="20"/>
          <w:szCs w:val="20"/>
          <w:color w:val="auto"/>
        </w:rPr>
      </w:pPr>
      <w:r>
        <w:rPr>
          <w:rFonts w:ascii="Arial" w:cs="Arial" w:eastAsia="Arial" w:hAnsi="Arial"/>
          <w:sz w:val="20"/>
          <w:szCs w:val="20"/>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370" w:type="dxa"/>
            <w:vAlign w:val="bottom"/>
          </w:tcPr>
          <w:p>
            <w:pPr>
              <w:spacing w:after="0"/>
              <w:rPr>
                <w:sz w:val="16"/>
                <w:szCs w:val="16"/>
                <w:color w:val="auto"/>
              </w:rPr>
            </w:pPr>
          </w:p>
        </w:tc>
        <w:tc>
          <w:tcPr>
            <w:tcW w:w="1830" w:type="dxa"/>
            <w:vAlign w:val="bottom"/>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440" w:type="dxa"/>
            <w:vAlign w:val="bottom"/>
          </w:tcPr>
          <w:p>
            <w:pPr>
              <w:spacing w:after="0"/>
              <w:rPr>
                <w:sz w:val="16"/>
                <w:szCs w:val="16"/>
                <w:color w:val="auto"/>
              </w:rPr>
            </w:pPr>
          </w:p>
        </w:tc>
      </w:tr>
      <w:tr>
        <w:trPr>
          <w:trHeight w:val="202"/>
        </w:trPr>
        <w:tc>
          <w:tcPr>
            <w:tcW w:w="4440" w:type="dxa"/>
            <w:vAlign w:val="bottom"/>
          </w:tcPr>
          <w:p>
            <w:pPr>
              <w:spacing w:after="0"/>
              <w:rPr>
                <w:sz w:val="17"/>
                <w:szCs w:val="17"/>
                <w:color w:val="auto"/>
              </w:rPr>
            </w:pPr>
          </w:p>
        </w:tc>
        <w:tc>
          <w:tcPr>
            <w:tcW w:w="1370" w:type="dxa"/>
            <w:vAlign w:val="bottom"/>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830" w:type="dxa"/>
            <w:vAlign w:val="bottom"/>
          </w:tcPr>
          <w:p>
            <w:pPr>
              <w:jc w:val="right"/>
              <w:ind w:right="668"/>
              <w:spacing w:after="0"/>
              <w:rPr>
                <w:sz w:val="20"/>
                <w:szCs w:val="20"/>
                <w:color w:val="auto"/>
              </w:rPr>
            </w:pPr>
            <w:r>
              <w:rPr>
                <w:rFonts w:ascii="Arial" w:cs="Arial" w:eastAsia="Arial" w:hAnsi="Arial"/>
                <w:sz w:val="16"/>
                <w:szCs w:val="16"/>
                <w:b w:val="1"/>
                <w:bCs w:val="1"/>
                <w:color w:val="auto"/>
              </w:rPr>
              <w:t>2024</w:t>
            </w:r>
          </w:p>
        </w:tc>
        <w:tc>
          <w:tcPr>
            <w:tcW w:w="1440" w:type="dxa"/>
            <w:vAlign w:val="bottom"/>
          </w:tcPr>
          <w:p>
            <w:pPr>
              <w:jc w:val="right"/>
              <w:ind w:right="505"/>
              <w:spacing w:after="0"/>
              <w:rPr>
                <w:sz w:val="20"/>
                <w:szCs w:val="20"/>
                <w:color w:val="auto"/>
              </w:rPr>
            </w:pPr>
            <w:r>
              <w:rPr>
                <w:rFonts w:ascii="Arial" w:cs="Arial" w:eastAsia="Arial" w:hAnsi="Arial"/>
                <w:sz w:val="16"/>
                <w:szCs w:val="16"/>
                <w:b w:val="1"/>
                <w:bCs w:val="1"/>
                <w:color w:val="auto"/>
              </w:rPr>
              <w:t>2023</w:t>
            </w:r>
          </w:p>
        </w:tc>
      </w:tr>
      <w:tr>
        <w:trPr>
          <w:trHeight w:val="245"/>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Stock options to purchase common stock</w:t>
            </w:r>
          </w:p>
        </w:tc>
        <w:tc>
          <w:tcPr>
            <w:tcW w:w="137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20,465,579</w:t>
            </w:r>
          </w:p>
        </w:tc>
        <w:tc>
          <w:tcPr>
            <w:tcW w:w="1830" w:type="dxa"/>
            <w:vAlign w:val="bottom"/>
            <w:shd w:val="clear" w:color="auto" w:fill="CFF0FC"/>
          </w:tcPr>
          <w:p>
            <w:pPr>
              <w:jc w:val="right"/>
              <w:ind w:right="148"/>
              <w:spacing w:after="0"/>
              <w:rPr>
                <w:sz w:val="20"/>
                <w:szCs w:val="20"/>
                <w:color w:val="auto"/>
              </w:rPr>
            </w:pPr>
            <w:r>
              <w:rPr>
                <w:rFonts w:ascii="Arial" w:cs="Arial" w:eastAsia="Arial" w:hAnsi="Arial"/>
                <w:sz w:val="20"/>
                <w:szCs w:val="20"/>
                <w:color w:val="auto"/>
              </w:rPr>
              <w:t>19,615,023</w:t>
            </w: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16,734,960</w:t>
            </w:r>
          </w:p>
        </w:tc>
      </w:tr>
      <w:tr>
        <w:trPr>
          <w:trHeight w:val="230"/>
        </w:trPr>
        <w:tc>
          <w:tcPr>
            <w:tcW w:w="4440" w:type="dxa"/>
            <w:vAlign w:val="bottom"/>
          </w:tcPr>
          <w:p>
            <w:pPr>
              <w:spacing w:after="0"/>
              <w:rPr>
                <w:sz w:val="20"/>
                <w:szCs w:val="20"/>
                <w:color w:val="auto"/>
              </w:rPr>
            </w:pPr>
            <w:r>
              <w:rPr>
                <w:rFonts w:ascii="Arial" w:cs="Arial" w:eastAsia="Arial" w:hAnsi="Arial"/>
                <w:sz w:val="20"/>
                <w:szCs w:val="20"/>
                <w:color w:val="auto"/>
              </w:rPr>
              <w:t>Unvested restricted common stock</w:t>
            </w:r>
          </w:p>
        </w:tc>
        <w:tc>
          <w:tcPr>
            <w:tcW w:w="1370" w:type="dxa"/>
            <w:vAlign w:val="bottom"/>
          </w:tcPr>
          <w:p>
            <w:pPr>
              <w:jc w:val="right"/>
              <w:spacing w:after="0"/>
              <w:rPr>
                <w:sz w:val="20"/>
                <w:szCs w:val="20"/>
                <w:color w:val="auto"/>
              </w:rPr>
            </w:pPr>
            <w:r>
              <w:rPr>
                <w:rFonts w:ascii="Arial" w:cs="Arial" w:eastAsia="Arial" w:hAnsi="Arial"/>
                <w:sz w:val="20"/>
                <w:szCs w:val="20"/>
                <w:color w:val="auto"/>
              </w:rPr>
              <w:t>1,263,429</w:t>
            </w:r>
          </w:p>
        </w:tc>
        <w:tc>
          <w:tcPr>
            <w:tcW w:w="1830" w:type="dxa"/>
            <w:vAlign w:val="bottom"/>
          </w:tcPr>
          <w:p>
            <w:pPr>
              <w:jc w:val="right"/>
              <w:ind w:right="148"/>
              <w:spacing w:after="0"/>
              <w:rPr>
                <w:sz w:val="20"/>
                <w:szCs w:val="20"/>
                <w:color w:val="auto"/>
              </w:rPr>
            </w:pPr>
            <w:r>
              <w:rPr>
                <w:rFonts w:ascii="Arial" w:cs="Arial" w:eastAsia="Arial" w:hAnsi="Arial"/>
                <w:sz w:val="20"/>
                <w:szCs w:val="20"/>
                <w:color w:val="auto"/>
              </w:rPr>
              <w:t>1,209,333</w:t>
            </w:r>
          </w:p>
        </w:tc>
        <w:tc>
          <w:tcPr>
            <w:tcW w:w="1440" w:type="dxa"/>
            <w:vAlign w:val="bottom"/>
          </w:tcPr>
          <w:p>
            <w:pPr>
              <w:jc w:val="right"/>
              <w:spacing w:after="0"/>
              <w:rPr>
                <w:sz w:val="20"/>
                <w:szCs w:val="20"/>
                <w:color w:val="auto"/>
              </w:rPr>
            </w:pPr>
            <w:r>
              <w:rPr>
                <w:rFonts w:ascii="Arial" w:cs="Arial" w:eastAsia="Arial" w:hAnsi="Arial"/>
                <w:sz w:val="20"/>
                <w:szCs w:val="20"/>
                <w:color w:val="auto"/>
              </w:rPr>
              <w:t>757,514</w:t>
            </w:r>
          </w:p>
        </w:tc>
      </w:tr>
      <w:tr>
        <w:trPr>
          <w:trHeight w:val="246"/>
        </w:trPr>
        <w:tc>
          <w:tcPr>
            <w:tcW w:w="44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Total</w:t>
            </w:r>
          </w:p>
        </w:tc>
        <w:tc>
          <w:tcPr>
            <w:tcW w:w="137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21,729,008</w:t>
            </w:r>
          </w:p>
        </w:tc>
        <w:tc>
          <w:tcPr>
            <w:tcW w:w="1830" w:type="dxa"/>
            <w:vAlign w:val="bottom"/>
            <w:shd w:val="clear" w:color="auto" w:fill="CFF0FC"/>
          </w:tcPr>
          <w:p>
            <w:pPr>
              <w:jc w:val="right"/>
              <w:ind w:right="148"/>
              <w:spacing w:after="0"/>
              <w:rPr>
                <w:sz w:val="20"/>
                <w:szCs w:val="20"/>
                <w:color w:val="auto"/>
              </w:rPr>
            </w:pPr>
            <w:r>
              <w:rPr>
                <w:rFonts w:ascii="Arial" w:cs="Arial" w:eastAsia="Arial" w:hAnsi="Arial"/>
                <w:sz w:val="20"/>
                <w:szCs w:val="20"/>
                <w:color w:val="auto"/>
              </w:rPr>
              <w:t>20,824,356</w:t>
            </w:r>
          </w:p>
        </w:tc>
        <w:tc>
          <w:tcPr>
            <w:tcW w:w="1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17,492,474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-469900</wp:posOffset>
            </wp:positionV>
            <wp:extent cx="2924810"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2924810" cy="36195"/>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-168275</wp:posOffset>
            </wp:positionV>
            <wp:extent cx="2924810" cy="191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2924810" cy="19177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Segment Information</w:t>
      </w:r>
    </w:p>
    <w:p>
      <w:pPr>
        <w:spacing w:after="0" w:line="244" w:lineRule="exact"/>
        <w:rPr>
          <w:sz w:val="20"/>
          <w:szCs w:val="20"/>
          <w:color w:val="auto"/>
        </w:rPr>
      </w:pPr>
    </w:p>
    <w:p>
      <w:pPr>
        <w:ind w:right="80" w:firstLine="490"/>
        <w:spacing w:after="0" w:line="275" w:lineRule="auto"/>
        <w:rPr>
          <w:sz w:val="20"/>
          <w:szCs w:val="20"/>
          <w:color w:val="auto"/>
        </w:rPr>
      </w:pPr>
      <w:r>
        <w:rPr>
          <w:rFonts w:ascii="Arial" w:cs="Arial" w:eastAsia="Arial" w:hAnsi="Arial"/>
          <w:sz w:val="18"/>
          <w:szCs w:val="18"/>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175" w:lineRule="exact"/>
        <w:rPr>
          <w:sz w:val="20"/>
          <w:szCs w:val="20"/>
          <w:color w:val="auto"/>
        </w:rPr>
      </w:pPr>
    </w:p>
    <w:p>
      <w:pPr>
        <w:ind w:right="360" w:firstLine="490"/>
        <w:spacing w:after="0" w:line="305" w:lineRule="auto"/>
        <w:rPr>
          <w:sz w:val="20"/>
          <w:szCs w:val="20"/>
          <w:color w:val="auto"/>
        </w:rPr>
      </w:pPr>
      <w:r>
        <w:rPr>
          <w:rFonts w:ascii="Arial" w:cs="Arial" w:eastAsia="Arial" w:hAnsi="Arial"/>
          <w:sz w:val="19"/>
          <w:szCs w:val="19"/>
          <w:color w:val="auto"/>
        </w:rPr>
        <w:t>The CODM assesses performance and decides how to allocate resources based on segment net income (loss). This measure is used to monitor budget versus actual results to assess performance of the segment.</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Company’s segment expense for the years ended December 31, 2025, 2024 and 2023:</w:t>
      </w:r>
    </w:p>
    <w:p>
      <w:pPr>
        <w:spacing w:after="0" w:line="326" w:lineRule="exact"/>
        <w:rPr>
          <w:sz w:val="20"/>
          <w:szCs w:val="20"/>
          <w:color w:val="auto"/>
        </w:rPr>
      </w:pPr>
    </w:p>
    <w:tbl>
      <w:tblPr>
        <w:tblLayout w:type="fixed"/>
        <w:tblInd w:w="260" w:type="dxa"/>
        <w:tblCellMar>
          <w:top w:w="0" w:type="dxa"/>
          <w:left w:w="0" w:type="dxa"/>
          <w:bottom w:w="0" w:type="dxa"/>
          <w:right w:w="0" w:type="dxa"/>
        </w:tblCellMar>
      </w:tblPr>
      <w:tr>
        <w:trPr>
          <w:trHeight w:val="198"/>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5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1700" w:type="dxa"/>
            <w:vAlign w:val="bottom"/>
          </w:tcPr>
          <w:p>
            <w:pPr>
              <w:jc w:val="center"/>
              <w:ind w:right="244"/>
              <w:spacing w:after="0"/>
              <w:rPr>
                <w:sz w:val="20"/>
                <w:szCs w:val="20"/>
                <w:color w:val="auto"/>
              </w:rPr>
            </w:pPr>
            <w:r>
              <w:rPr>
                <w:rFonts w:ascii="Arial" w:cs="Arial" w:eastAsia="Arial" w:hAnsi="Arial"/>
                <w:sz w:val="16"/>
                <w:szCs w:val="16"/>
                <w:b w:val="1"/>
                <w:bCs w:val="1"/>
                <w:color w:val="auto"/>
                <w:w w:val="87"/>
              </w:rPr>
              <w:t>Oncology Segment</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50" w:type="dxa"/>
            <w:vAlign w:val="bottom"/>
          </w:tcPr>
          <w:p>
            <w:pPr>
              <w:spacing w:after="0"/>
              <w:rPr>
                <w:sz w:val="18"/>
                <w:szCs w:val="18"/>
                <w:color w:val="auto"/>
              </w:rPr>
            </w:pPr>
          </w:p>
        </w:tc>
        <w:tc>
          <w:tcPr>
            <w:tcW w:w="207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50" w:type="dxa"/>
            <w:vAlign w:val="bottom"/>
          </w:tcPr>
          <w:p>
            <w:pPr>
              <w:jc w:val="right"/>
              <w:ind w:right="651"/>
              <w:spacing w:after="0"/>
              <w:rPr>
                <w:sz w:val="20"/>
                <w:szCs w:val="20"/>
                <w:color w:val="auto"/>
              </w:rPr>
            </w:pPr>
            <w:r>
              <w:rPr>
                <w:rFonts w:ascii="Arial" w:cs="Arial" w:eastAsia="Arial" w:hAnsi="Arial"/>
                <w:sz w:val="16"/>
                <w:szCs w:val="16"/>
                <w:b w:val="1"/>
                <w:bCs w:val="1"/>
                <w:color w:val="auto"/>
              </w:rPr>
              <w:t>2025</w:t>
            </w:r>
          </w:p>
        </w:tc>
        <w:tc>
          <w:tcPr>
            <w:tcW w:w="370" w:type="dxa"/>
            <w:vAlign w:val="bottom"/>
          </w:tcPr>
          <w:p>
            <w:pPr>
              <w:spacing w:after="0"/>
              <w:rPr>
                <w:sz w:val="18"/>
                <w:szCs w:val="18"/>
                <w:color w:val="auto"/>
              </w:rPr>
            </w:pPr>
          </w:p>
        </w:tc>
        <w:tc>
          <w:tcPr>
            <w:tcW w:w="1700" w:type="dxa"/>
            <w:vAlign w:val="bottom"/>
          </w:tcPr>
          <w:p>
            <w:pPr>
              <w:jc w:val="center"/>
              <w:ind w:right="244"/>
              <w:spacing w:after="0"/>
              <w:rPr>
                <w:sz w:val="20"/>
                <w:szCs w:val="20"/>
                <w:color w:val="auto"/>
              </w:rPr>
            </w:pPr>
            <w:r>
              <w:rPr>
                <w:rFonts w:ascii="Arial" w:cs="Arial" w:eastAsia="Arial" w:hAnsi="Arial"/>
                <w:sz w:val="16"/>
                <w:szCs w:val="16"/>
                <w:b w:val="1"/>
                <w:bCs w:val="1"/>
                <w:color w:val="auto"/>
                <w:w w:val="89"/>
              </w:rPr>
              <w:t>2024</w:t>
            </w:r>
          </w:p>
        </w:tc>
        <w:tc>
          <w:tcPr>
            <w:tcW w:w="500" w:type="dxa"/>
            <w:vAlign w:val="bottom"/>
          </w:tcPr>
          <w:p>
            <w:pPr>
              <w:spacing w:after="0"/>
              <w:rPr>
                <w:sz w:val="18"/>
                <w:szCs w:val="18"/>
                <w:color w:val="auto"/>
              </w:rPr>
            </w:pPr>
          </w:p>
        </w:tc>
        <w:tc>
          <w:tcPr>
            <w:tcW w:w="1360" w:type="dxa"/>
            <w:vAlign w:val="bottom"/>
          </w:tcPr>
          <w:p>
            <w:pPr>
              <w:jc w:val="right"/>
              <w:ind w:right="661"/>
              <w:spacing w:after="0"/>
              <w:rPr>
                <w:sz w:val="20"/>
                <w:szCs w:val="20"/>
                <w:color w:val="auto"/>
              </w:rPr>
            </w:pPr>
            <w:r>
              <w:rPr>
                <w:rFonts w:ascii="Arial" w:cs="Arial" w:eastAsia="Arial" w:hAnsi="Arial"/>
                <w:sz w:val="16"/>
                <w:szCs w:val="16"/>
                <w:b w:val="1"/>
                <w:bCs w:val="1"/>
                <w:color w:val="auto"/>
              </w:rPr>
              <w:t>2023</w:t>
            </w:r>
          </w:p>
        </w:tc>
      </w:tr>
      <w:tr>
        <w:trPr>
          <w:trHeight w:val="202"/>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5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1700" w:type="dxa"/>
            <w:vAlign w:val="bottom"/>
          </w:tcPr>
          <w:p>
            <w:pPr>
              <w:jc w:val="center"/>
              <w:ind w:right="244"/>
              <w:spacing w:after="0"/>
              <w:rPr>
                <w:sz w:val="20"/>
                <w:szCs w:val="20"/>
                <w:color w:val="auto"/>
              </w:rPr>
            </w:pPr>
            <w:r>
              <w:rPr>
                <w:rFonts w:ascii="Arial" w:cs="Arial" w:eastAsia="Arial" w:hAnsi="Arial"/>
                <w:sz w:val="16"/>
                <w:szCs w:val="16"/>
                <w:b w:val="1"/>
                <w:bCs w:val="1"/>
                <w:color w:val="auto"/>
                <w:w w:val="87"/>
              </w:rPr>
              <w:t>(in thousands)</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4"/>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Revenue</w:t>
            </w:r>
          </w:p>
        </w:tc>
        <w:tc>
          <w:tcPr>
            <w:tcW w:w="52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62,384</w:t>
            </w:r>
          </w:p>
        </w:tc>
        <w:tc>
          <w:tcPr>
            <w:tcW w:w="37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ind w:right="104"/>
              <w:spacing w:after="0"/>
              <w:rPr>
                <w:sz w:val="20"/>
                <w:szCs w:val="20"/>
                <w:color w:val="auto"/>
              </w:rPr>
            </w:pPr>
            <w:r>
              <w:rPr>
                <w:rFonts w:ascii="Arial" w:cs="Arial" w:eastAsia="Arial" w:hAnsi="Arial"/>
                <w:sz w:val="20"/>
                <w:szCs w:val="20"/>
                <w:color w:val="auto"/>
              </w:rPr>
              <w:t>42,069</w:t>
            </w:r>
          </w:p>
        </w:tc>
        <w:tc>
          <w:tcPr>
            <w:tcW w:w="50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36,527</w:t>
            </w:r>
          </w:p>
        </w:tc>
      </w:tr>
      <w:tr>
        <w:trPr>
          <w:trHeight w:val="275"/>
        </w:trPr>
        <w:tc>
          <w:tcPr>
            <w:tcW w:w="3760" w:type="dxa"/>
            <w:vAlign w:val="bottom"/>
          </w:tcPr>
          <w:p>
            <w:pPr>
              <w:ind w:left="340"/>
              <w:spacing w:after="0"/>
              <w:rPr>
                <w:sz w:val="20"/>
                <w:szCs w:val="20"/>
                <w:color w:val="auto"/>
              </w:rPr>
            </w:pPr>
            <w:r>
              <w:rPr>
                <w:rFonts w:ascii="Arial" w:cs="Arial" w:eastAsia="Arial" w:hAnsi="Arial"/>
                <w:sz w:val="20"/>
                <w:szCs w:val="20"/>
                <w:color w:val="auto"/>
              </w:rPr>
              <w:t>Less:</w:t>
            </w:r>
          </w:p>
        </w:tc>
        <w:tc>
          <w:tcPr>
            <w:tcW w:w="520" w:type="dxa"/>
            <w:vAlign w:val="bottom"/>
          </w:tcPr>
          <w:p>
            <w:pPr>
              <w:spacing w:after="0"/>
              <w:rPr>
                <w:sz w:val="23"/>
                <w:szCs w:val="23"/>
                <w:color w:val="auto"/>
              </w:rPr>
            </w:pPr>
          </w:p>
        </w:tc>
        <w:tc>
          <w:tcPr>
            <w:tcW w:w="1350" w:type="dxa"/>
            <w:vAlign w:val="bottom"/>
          </w:tcPr>
          <w:p>
            <w:pPr>
              <w:spacing w:after="0"/>
              <w:rPr>
                <w:sz w:val="23"/>
                <w:szCs w:val="23"/>
                <w:color w:val="auto"/>
              </w:rPr>
            </w:pPr>
          </w:p>
        </w:tc>
        <w:tc>
          <w:tcPr>
            <w:tcW w:w="37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2"/>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w w:val="93"/>
              </w:rPr>
              <w:t>vopimetostat direct program expenses - R&amp;D</w:t>
            </w:r>
          </w:p>
        </w:tc>
        <w:tc>
          <w:tcPr>
            <w:tcW w:w="520" w:type="dxa"/>
            <w:vAlign w:val="bottom"/>
            <w:shd w:val="clear" w:color="auto" w:fill="CFF0FC"/>
          </w:tcPr>
          <w:p>
            <w:pPr>
              <w:spacing w:after="0"/>
              <w:rPr>
                <w:sz w:val="21"/>
                <w:szCs w:val="21"/>
                <w:color w:val="auto"/>
              </w:rPr>
            </w:pP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26,522</w:t>
            </w:r>
          </w:p>
        </w:tc>
        <w:tc>
          <w:tcPr>
            <w:tcW w:w="37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04"/>
              <w:spacing w:after="0"/>
              <w:rPr>
                <w:sz w:val="20"/>
                <w:szCs w:val="20"/>
                <w:color w:val="auto"/>
              </w:rPr>
            </w:pPr>
            <w:r>
              <w:rPr>
                <w:rFonts w:ascii="Arial" w:cs="Arial" w:eastAsia="Arial" w:hAnsi="Arial"/>
                <w:sz w:val="20"/>
                <w:szCs w:val="20"/>
                <w:color w:val="auto"/>
              </w:rPr>
              <w:t>16,161</w:t>
            </w:r>
          </w:p>
        </w:tc>
        <w:tc>
          <w:tcPr>
            <w:tcW w:w="5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10,158</w:t>
            </w:r>
          </w:p>
        </w:tc>
      </w:tr>
      <w:tr>
        <w:trPr>
          <w:trHeight w:val="283"/>
        </w:trPr>
        <w:tc>
          <w:tcPr>
            <w:tcW w:w="3760" w:type="dxa"/>
            <w:vAlign w:val="bottom"/>
          </w:tcPr>
          <w:p>
            <w:pPr>
              <w:spacing w:after="0"/>
              <w:rPr>
                <w:sz w:val="20"/>
                <w:szCs w:val="20"/>
                <w:color w:val="auto"/>
              </w:rPr>
            </w:pPr>
            <w:r>
              <w:rPr>
                <w:rFonts w:ascii="Arial" w:cs="Arial" w:eastAsia="Arial" w:hAnsi="Arial"/>
                <w:sz w:val="20"/>
                <w:szCs w:val="20"/>
                <w:color w:val="auto"/>
              </w:rPr>
              <w:t>TNG456 direct program expenses - R&amp;D</w:t>
            </w:r>
          </w:p>
        </w:tc>
        <w:tc>
          <w:tcPr>
            <w:tcW w:w="520" w:type="dxa"/>
            <w:vAlign w:val="bottom"/>
          </w:tcPr>
          <w:p>
            <w:pPr>
              <w:spacing w:after="0"/>
              <w:rPr>
                <w:sz w:val="24"/>
                <w:szCs w:val="24"/>
                <w:color w:val="auto"/>
              </w:rPr>
            </w:pPr>
          </w:p>
        </w:tc>
        <w:tc>
          <w:tcPr>
            <w:tcW w:w="1350" w:type="dxa"/>
            <w:vAlign w:val="bottom"/>
          </w:tcPr>
          <w:p>
            <w:pPr>
              <w:jc w:val="right"/>
              <w:spacing w:after="0"/>
              <w:rPr>
                <w:sz w:val="20"/>
                <w:szCs w:val="20"/>
                <w:color w:val="auto"/>
              </w:rPr>
            </w:pPr>
            <w:r>
              <w:rPr>
                <w:rFonts w:ascii="Arial" w:cs="Arial" w:eastAsia="Arial" w:hAnsi="Arial"/>
                <w:sz w:val="20"/>
                <w:szCs w:val="20"/>
                <w:color w:val="auto"/>
              </w:rPr>
              <w:t>6,557</w:t>
            </w:r>
          </w:p>
        </w:tc>
        <w:tc>
          <w:tcPr>
            <w:tcW w:w="370" w:type="dxa"/>
            <w:vAlign w:val="bottom"/>
          </w:tcPr>
          <w:p>
            <w:pPr>
              <w:spacing w:after="0"/>
              <w:rPr>
                <w:sz w:val="24"/>
                <w:szCs w:val="24"/>
                <w:color w:val="auto"/>
              </w:rPr>
            </w:pPr>
          </w:p>
        </w:tc>
        <w:tc>
          <w:tcPr>
            <w:tcW w:w="1700" w:type="dxa"/>
            <w:vAlign w:val="bottom"/>
          </w:tcPr>
          <w:p>
            <w:pPr>
              <w:jc w:val="right"/>
              <w:ind w:right="84"/>
              <w:spacing w:after="0"/>
              <w:rPr>
                <w:sz w:val="20"/>
                <w:szCs w:val="20"/>
                <w:color w:val="auto"/>
              </w:rPr>
            </w:pPr>
            <w:r>
              <w:rPr>
                <w:rFonts w:ascii="Arial" w:cs="Arial" w:eastAsia="Arial" w:hAnsi="Arial"/>
                <w:sz w:val="20"/>
                <w:szCs w:val="20"/>
                <w:color w:val="auto"/>
              </w:rPr>
              <w:t>4,531</w:t>
            </w:r>
          </w:p>
        </w:tc>
        <w:tc>
          <w:tcPr>
            <w:tcW w:w="50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4"/>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TNG260 direct program expenses - R&amp;D</w:t>
            </w:r>
          </w:p>
        </w:tc>
        <w:tc>
          <w:tcPr>
            <w:tcW w:w="520" w:type="dxa"/>
            <w:vAlign w:val="bottom"/>
            <w:shd w:val="clear" w:color="auto" w:fill="CFF0FC"/>
          </w:tcPr>
          <w:p>
            <w:pPr>
              <w:spacing w:after="0"/>
              <w:rPr>
                <w:sz w:val="21"/>
                <w:szCs w:val="21"/>
                <w:color w:val="auto"/>
              </w:rPr>
            </w:pP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6,278</w:t>
            </w:r>
          </w:p>
        </w:tc>
        <w:tc>
          <w:tcPr>
            <w:tcW w:w="37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04"/>
              <w:spacing w:after="0"/>
              <w:rPr>
                <w:sz w:val="20"/>
                <w:szCs w:val="20"/>
                <w:color w:val="auto"/>
              </w:rPr>
            </w:pPr>
            <w:r>
              <w:rPr>
                <w:rFonts w:ascii="Arial" w:cs="Arial" w:eastAsia="Arial" w:hAnsi="Arial"/>
                <w:sz w:val="20"/>
                <w:szCs w:val="20"/>
                <w:color w:val="auto"/>
              </w:rPr>
              <w:t>9,382</w:t>
            </w:r>
          </w:p>
        </w:tc>
        <w:tc>
          <w:tcPr>
            <w:tcW w:w="5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8,171</w:t>
            </w:r>
          </w:p>
        </w:tc>
      </w:tr>
      <w:tr>
        <w:trPr>
          <w:trHeight w:val="283"/>
        </w:trPr>
        <w:tc>
          <w:tcPr>
            <w:tcW w:w="3760" w:type="dxa"/>
            <w:vAlign w:val="bottom"/>
          </w:tcPr>
          <w:p>
            <w:pPr>
              <w:spacing w:after="0"/>
              <w:rPr>
                <w:sz w:val="20"/>
                <w:szCs w:val="20"/>
                <w:color w:val="auto"/>
              </w:rPr>
            </w:pPr>
            <w:r>
              <w:rPr>
                <w:rFonts w:ascii="Arial" w:cs="Arial" w:eastAsia="Arial" w:hAnsi="Arial"/>
                <w:sz w:val="20"/>
                <w:szCs w:val="20"/>
                <w:color w:val="auto"/>
              </w:rPr>
              <w:t>TNG961 direct program expenses - R&amp;D</w:t>
            </w:r>
          </w:p>
        </w:tc>
        <w:tc>
          <w:tcPr>
            <w:tcW w:w="520" w:type="dxa"/>
            <w:vAlign w:val="bottom"/>
          </w:tcPr>
          <w:p>
            <w:pPr>
              <w:spacing w:after="0"/>
              <w:rPr>
                <w:sz w:val="24"/>
                <w:szCs w:val="24"/>
                <w:color w:val="auto"/>
              </w:rPr>
            </w:pPr>
          </w:p>
        </w:tc>
        <w:tc>
          <w:tcPr>
            <w:tcW w:w="1350" w:type="dxa"/>
            <w:vAlign w:val="bottom"/>
          </w:tcPr>
          <w:p>
            <w:pPr>
              <w:jc w:val="right"/>
              <w:spacing w:after="0"/>
              <w:rPr>
                <w:sz w:val="20"/>
                <w:szCs w:val="20"/>
                <w:color w:val="auto"/>
              </w:rPr>
            </w:pPr>
            <w:r>
              <w:rPr>
                <w:rFonts w:ascii="Arial" w:cs="Arial" w:eastAsia="Arial" w:hAnsi="Arial"/>
                <w:sz w:val="20"/>
                <w:szCs w:val="20"/>
                <w:color w:val="auto"/>
              </w:rPr>
              <w:t>5,675</w:t>
            </w:r>
          </w:p>
        </w:tc>
        <w:tc>
          <w:tcPr>
            <w:tcW w:w="370" w:type="dxa"/>
            <w:vAlign w:val="bottom"/>
          </w:tcPr>
          <w:p>
            <w:pPr>
              <w:spacing w:after="0"/>
              <w:rPr>
                <w:sz w:val="24"/>
                <w:szCs w:val="24"/>
                <w:color w:val="auto"/>
              </w:rPr>
            </w:pPr>
          </w:p>
        </w:tc>
        <w:tc>
          <w:tcPr>
            <w:tcW w:w="1700" w:type="dxa"/>
            <w:vAlign w:val="bottom"/>
          </w:tcPr>
          <w:p>
            <w:pPr>
              <w:jc w:val="right"/>
              <w:ind w:right="104"/>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4"/>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TNG908 direct program expenses* - R&amp;D</w:t>
            </w:r>
          </w:p>
        </w:tc>
        <w:tc>
          <w:tcPr>
            <w:tcW w:w="520" w:type="dxa"/>
            <w:vAlign w:val="bottom"/>
            <w:shd w:val="clear" w:color="auto" w:fill="CFF0FC"/>
          </w:tcPr>
          <w:p>
            <w:pPr>
              <w:spacing w:after="0"/>
              <w:rPr>
                <w:sz w:val="21"/>
                <w:szCs w:val="21"/>
                <w:color w:val="auto"/>
              </w:rPr>
            </w:pP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5,027</w:t>
            </w:r>
          </w:p>
        </w:tc>
        <w:tc>
          <w:tcPr>
            <w:tcW w:w="37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04"/>
              <w:spacing w:after="0"/>
              <w:rPr>
                <w:sz w:val="20"/>
                <w:szCs w:val="20"/>
                <w:color w:val="auto"/>
              </w:rPr>
            </w:pPr>
            <w:r>
              <w:rPr>
                <w:rFonts w:ascii="Arial" w:cs="Arial" w:eastAsia="Arial" w:hAnsi="Arial"/>
                <w:sz w:val="20"/>
                <w:szCs w:val="20"/>
                <w:color w:val="auto"/>
              </w:rPr>
              <w:t>13,587</w:t>
            </w:r>
          </w:p>
        </w:tc>
        <w:tc>
          <w:tcPr>
            <w:tcW w:w="5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10,851</w:t>
            </w:r>
          </w:p>
        </w:tc>
      </w:tr>
      <w:tr>
        <w:trPr>
          <w:trHeight w:val="244"/>
        </w:trPr>
        <w:tc>
          <w:tcPr>
            <w:tcW w:w="3760" w:type="dxa"/>
            <w:vAlign w:val="bottom"/>
          </w:tcPr>
          <w:p>
            <w:pPr>
              <w:spacing w:after="0"/>
              <w:rPr>
                <w:sz w:val="20"/>
                <w:szCs w:val="20"/>
                <w:color w:val="auto"/>
              </w:rPr>
            </w:pPr>
            <w:r>
              <w:rPr>
                <w:rFonts w:ascii="Arial" w:cs="Arial" w:eastAsia="Arial" w:hAnsi="Arial"/>
                <w:sz w:val="20"/>
                <w:szCs w:val="20"/>
                <w:color w:val="auto"/>
                <w:w w:val="99"/>
              </w:rPr>
              <w:t>TNG348 direct program expenses** - R&amp;D</w:t>
            </w:r>
          </w:p>
        </w:tc>
        <w:tc>
          <w:tcPr>
            <w:tcW w:w="520" w:type="dxa"/>
            <w:vAlign w:val="bottom"/>
          </w:tcPr>
          <w:p>
            <w:pPr>
              <w:spacing w:after="0"/>
              <w:rPr>
                <w:sz w:val="21"/>
                <w:szCs w:val="21"/>
                <w:color w:val="auto"/>
              </w:rPr>
            </w:pPr>
          </w:p>
        </w:tc>
        <w:tc>
          <w:tcPr>
            <w:tcW w:w="1350" w:type="dxa"/>
            <w:vAlign w:val="bottom"/>
          </w:tcPr>
          <w:p>
            <w:pPr>
              <w:jc w:val="right"/>
              <w:spacing w:after="0"/>
              <w:rPr>
                <w:sz w:val="20"/>
                <w:szCs w:val="20"/>
                <w:color w:val="auto"/>
              </w:rPr>
            </w:pPr>
            <w:r>
              <w:rPr>
                <w:rFonts w:ascii="Arial" w:cs="Arial" w:eastAsia="Arial" w:hAnsi="Arial"/>
                <w:sz w:val="20"/>
                <w:szCs w:val="20"/>
                <w:color w:val="auto"/>
              </w:rPr>
              <w:t>-</w:t>
            </w:r>
          </w:p>
        </w:tc>
        <w:tc>
          <w:tcPr>
            <w:tcW w:w="370" w:type="dxa"/>
            <w:vAlign w:val="bottom"/>
          </w:tcPr>
          <w:p>
            <w:pPr>
              <w:spacing w:after="0"/>
              <w:rPr>
                <w:sz w:val="21"/>
                <w:szCs w:val="21"/>
                <w:color w:val="auto"/>
              </w:rPr>
            </w:pPr>
          </w:p>
        </w:tc>
        <w:tc>
          <w:tcPr>
            <w:tcW w:w="1700" w:type="dxa"/>
            <w:vAlign w:val="bottom"/>
          </w:tcPr>
          <w:p>
            <w:pPr>
              <w:jc w:val="right"/>
              <w:ind w:right="104"/>
              <w:spacing w:after="0"/>
              <w:rPr>
                <w:sz w:val="20"/>
                <w:szCs w:val="20"/>
                <w:color w:val="auto"/>
              </w:rPr>
            </w:pPr>
            <w:r>
              <w:rPr>
                <w:rFonts w:ascii="Arial" w:cs="Arial" w:eastAsia="Arial" w:hAnsi="Arial"/>
                <w:sz w:val="20"/>
                <w:szCs w:val="20"/>
                <w:color w:val="auto"/>
              </w:rPr>
              <w:t>5,476</w:t>
            </w:r>
          </w:p>
        </w:tc>
        <w:tc>
          <w:tcPr>
            <w:tcW w:w="50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6,564</w:t>
            </w:r>
          </w:p>
        </w:tc>
      </w:tr>
      <w:tr>
        <w:trPr>
          <w:trHeight w:val="244"/>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Discovery direct program expenses - R&amp;D</w:t>
            </w:r>
          </w:p>
        </w:tc>
        <w:tc>
          <w:tcPr>
            <w:tcW w:w="520" w:type="dxa"/>
            <w:vAlign w:val="bottom"/>
            <w:shd w:val="clear" w:color="auto" w:fill="CFF0FC"/>
          </w:tcPr>
          <w:p>
            <w:pPr>
              <w:spacing w:after="0"/>
              <w:rPr>
                <w:sz w:val="21"/>
                <w:szCs w:val="21"/>
                <w:color w:val="auto"/>
              </w:rPr>
            </w:pP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10,167</w:t>
            </w:r>
          </w:p>
        </w:tc>
        <w:tc>
          <w:tcPr>
            <w:tcW w:w="37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04"/>
              <w:spacing w:after="0"/>
              <w:rPr>
                <w:sz w:val="20"/>
                <w:szCs w:val="20"/>
                <w:color w:val="auto"/>
              </w:rPr>
            </w:pPr>
            <w:r>
              <w:rPr>
                <w:rFonts w:ascii="Arial" w:cs="Arial" w:eastAsia="Arial" w:hAnsi="Arial"/>
                <w:sz w:val="20"/>
                <w:szCs w:val="20"/>
                <w:color w:val="auto"/>
              </w:rPr>
              <w:t>24,440</w:t>
            </w:r>
          </w:p>
        </w:tc>
        <w:tc>
          <w:tcPr>
            <w:tcW w:w="5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23,426</w:t>
            </w:r>
          </w:p>
        </w:tc>
      </w:tr>
      <w:tr>
        <w:trPr>
          <w:trHeight w:val="245"/>
        </w:trPr>
        <w:tc>
          <w:tcPr>
            <w:tcW w:w="3760" w:type="dxa"/>
            <w:vAlign w:val="bottom"/>
          </w:tcPr>
          <w:p>
            <w:pPr>
              <w:spacing w:after="0"/>
              <w:rPr>
                <w:sz w:val="20"/>
                <w:szCs w:val="20"/>
                <w:color w:val="auto"/>
              </w:rPr>
            </w:pPr>
            <w:r>
              <w:rPr>
                <w:rFonts w:ascii="Arial" w:cs="Arial" w:eastAsia="Arial" w:hAnsi="Arial"/>
                <w:sz w:val="20"/>
                <w:szCs w:val="20"/>
                <w:color w:val="auto"/>
              </w:rPr>
              <w:t>Personnel-related expenses - R&amp;D</w:t>
            </w:r>
          </w:p>
        </w:tc>
        <w:tc>
          <w:tcPr>
            <w:tcW w:w="520" w:type="dxa"/>
            <w:vAlign w:val="bottom"/>
          </w:tcPr>
          <w:p>
            <w:pPr>
              <w:spacing w:after="0"/>
              <w:rPr>
                <w:sz w:val="21"/>
                <w:szCs w:val="21"/>
                <w:color w:val="auto"/>
              </w:rPr>
            </w:pPr>
          </w:p>
        </w:tc>
        <w:tc>
          <w:tcPr>
            <w:tcW w:w="1350" w:type="dxa"/>
            <w:vAlign w:val="bottom"/>
          </w:tcPr>
          <w:p>
            <w:pPr>
              <w:jc w:val="right"/>
              <w:spacing w:after="0"/>
              <w:rPr>
                <w:sz w:val="20"/>
                <w:szCs w:val="20"/>
                <w:color w:val="auto"/>
              </w:rPr>
            </w:pPr>
            <w:r>
              <w:rPr>
                <w:rFonts w:ascii="Arial" w:cs="Arial" w:eastAsia="Arial" w:hAnsi="Arial"/>
                <w:sz w:val="20"/>
                <w:szCs w:val="20"/>
                <w:color w:val="auto"/>
              </w:rPr>
              <w:t>51,474</w:t>
            </w:r>
          </w:p>
        </w:tc>
        <w:tc>
          <w:tcPr>
            <w:tcW w:w="370" w:type="dxa"/>
            <w:vAlign w:val="bottom"/>
          </w:tcPr>
          <w:p>
            <w:pPr>
              <w:spacing w:after="0"/>
              <w:rPr>
                <w:sz w:val="21"/>
                <w:szCs w:val="21"/>
                <w:color w:val="auto"/>
              </w:rPr>
            </w:pPr>
          </w:p>
        </w:tc>
        <w:tc>
          <w:tcPr>
            <w:tcW w:w="1700" w:type="dxa"/>
            <w:vAlign w:val="bottom"/>
          </w:tcPr>
          <w:p>
            <w:pPr>
              <w:jc w:val="right"/>
              <w:ind w:right="104"/>
              <w:spacing w:after="0"/>
              <w:rPr>
                <w:sz w:val="20"/>
                <w:szCs w:val="20"/>
                <w:color w:val="auto"/>
              </w:rPr>
            </w:pPr>
            <w:r>
              <w:rPr>
                <w:rFonts w:ascii="Arial" w:cs="Arial" w:eastAsia="Arial" w:hAnsi="Arial"/>
                <w:sz w:val="20"/>
                <w:szCs w:val="20"/>
                <w:color w:val="auto"/>
              </w:rPr>
              <w:t>51,457</w:t>
            </w:r>
          </w:p>
        </w:tc>
        <w:tc>
          <w:tcPr>
            <w:tcW w:w="50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38,469</w:t>
            </w:r>
          </w:p>
        </w:tc>
      </w:tr>
      <w:tr>
        <w:trPr>
          <w:trHeight w:val="244"/>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w w:val="96"/>
              </w:rPr>
              <w:t>Facilities and other related expenses - R&amp;D</w:t>
            </w:r>
          </w:p>
        </w:tc>
        <w:tc>
          <w:tcPr>
            <w:tcW w:w="520" w:type="dxa"/>
            <w:vAlign w:val="bottom"/>
            <w:shd w:val="clear" w:color="auto" w:fill="CFF0FC"/>
          </w:tcPr>
          <w:p>
            <w:pPr>
              <w:spacing w:after="0"/>
              <w:rPr>
                <w:sz w:val="21"/>
                <w:szCs w:val="21"/>
                <w:color w:val="auto"/>
              </w:rPr>
            </w:pP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20,465</w:t>
            </w:r>
          </w:p>
        </w:tc>
        <w:tc>
          <w:tcPr>
            <w:tcW w:w="37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04"/>
              <w:spacing w:after="0"/>
              <w:rPr>
                <w:sz w:val="20"/>
                <w:szCs w:val="20"/>
                <w:color w:val="auto"/>
              </w:rPr>
            </w:pPr>
            <w:r>
              <w:rPr>
                <w:rFonts w:ascii="Arial" w:cs="Arial" w:eastAsia="Arial" w:hAnsi="Arial"/>
                <w:sz w:val="20"/>
                <w:szCs w:val="20"/>
                <w:color w:val="auto"/>
              </w:rPr>
              <w:t>18,884</w:t>
            </w:r>
          </w:p>
        </w:tc>
        <w:tc>
          <w:tcPr>
            <w:tcW w:w="5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17,559</w:t>
            </w:r>
          </w:p>
        </w:tc>
      </w:tr>
      <w:tr>
        <w:trPr>
          <w:trHeight w:val="244"/>
        </w:trPr>
        <w:tc>
          <w:tcPr>
            <w:tcW w:w="3760" w:type="dxa"/>
            <w:vAlign w:val="bottom"/>
          </w:tcPr>
          <w:p>
            <w:pPr>
              <w:spacing w:after="0"/>
              <w:rPr>
                <w:sz w:val="20"/>
                <w:szCs w:val="20"/>
                <w:color w:val="auto"/>
              </w:rPr>
            </w:pPr>
            <w:r>
              <w:rPr>
                <w:rFonts w:ascii="Arial" w:cs="Arial" w:eastAsia="Arial" w:hAnsi="Arial"/>
                <w:sz w:val="20"/>
                <w:szCs w:val="20"/>
                <w:color w:val="auto"/>
              </w:rPr>
              <w:t>Other segment expenses (a)</w:t>
            </w:r>
          </w:p>
        </w:tc>
        <w:tc>
          <w:tcPr>
            <w:tcW w:w="520" w:type="dxa"/>
            <w:vAlign w:val="bottom"/>
          </w:tcPr>
          <w:p>
            <w:pPr>
              <w:spacing w:after="0"/>
              <w:rPr>
                <w:sz w:val="21"/>
                <w:szCs w:val="21"/>
                <w:color w:val="auto"/>
              </w:rPr>
            </w:pPr>
          </w:p>
        </w:tc>
        <w:tc>
          <w:tcPr>
            <w:tcW w:w="1350" w:type="dxa"/>
            <w:vAlign w:val="bottom"/>
          </w:tcPr>
          <w:p>
            <w:pPr>
              <w:jc w:val="right"/>
              <w:spacing w:after="0"/>
              <w:rPr>
                <w:sz w:val="20"/>
                <w:szCs w:val="20"/>
                <w:color w:val="auto"/>
              </w:rPr>
            </w:pPr>
            <w:r>
              <w:rPr>
                <w:rFonts w:ascii="Arial" w:cs="Arial" w:eastAsia="Arial" w:hAnsi="Arial"/>
                <w:sz w:val="20"/>
                <w:szCs w:val="20"/>
                <w:color w:val="auto"/>
              </w:rPr>
              <w:t>31,813</w:t>
            </w:r>
          </w:p>
        </w:tc>
        <w:tc>
          <w:tcPr>
            <w:tcW w:w="370" w:type="dxa"/>
            <w:vAlign w:val="bottom"/>
          </w:tcPr>
          <w:p>
            <w:pPr>
              <w:spacing w:after="0"/>
              <w:rPr>
                <w:sz w:val="21"/>
                <w:szCs w:val="21"/>
                <w:color w:val="auto"/>
              </w:rPr>
            </w:pPr>
          </w:p>
        </w:tc>
        <w:tc>
          <w:tcPr>
            <w:tcW w:w="1700" w:type="dxa"/>
            <w:vAlign w:val="bottom"/>
          </w:tcPr>
          <w:p>
            <w:pPr>
              <w:jc w:val="right"/>
              <w:ind w:right="104"/>
              <w:spacing w:after="0"/>
              <w:rPr>
                <w:sz w:val="20"/>
                <w:szCs w:val="20"/>
                <w:color w:val="auto"/>
              </w:rPr>
            </w:pPr>
            <w:r>
              <w:rPr>
                <w:rFonts w:ascii="Arial" w:cs="Arial" w:eastAsia="Arial" w:hAnsi="Arial"/>
                <w:sz w:val="20"/>
                <w:szCs w:val="20"/>
                <w:color w:val="auto"/>
              </w:rPr>
              <w:t>28,453</w:t>
            </w:r>
          </w:p>
        </w:tc>
        <w:tc>
          <w:tcPr>
            <w:tcW w:w="50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23,073</w:t>
            </w:r>
          </w:p>
        </w:tc>
      </w:tr>
      <w:tr>
        <w:trPr>
          <w:trHeight w:val="260"/>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Segment net loss</w:t>
            </w:r>
          </w:p>
        </w:tc>
        <w:tc>
          <w:tcPr>
            <w:tcW w:w="52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35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(101,594)</w:t>
            </w:r>
          </w:p>
        </w:tc>
        <w:tc>
          <w:tcPr>
            <w:tcW w:w="37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ind w:right="84"/>
              <w:spacing w:after="0"/>
              <w:rPr>
                <w:sz w:val="20"/>
                <w:szCs w:val="20"/>
                <w:color w:val="auto"/>
              </w:rPr>
            </w:pPr>
            <w:r>
              <w:rPr>
                <w:rFonts w:ascii="Arial" w:cs="Arial" w:eastAsia="Arial" w:hAnsi="Arial"/>
                <w:sz w:val="20"/>
                <w:szCs w:val="20"/>
                <w:color w:val="auto"/>
              </w:rPr>
              <w:t>(130,302)</w:t>
            </w:r>
          </w:p>
        </w:tc>
        <w:tc>
          <w:tcPr>
            <w:tcW w:w="50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-2380615</wp:posOffset>
            </wp:positionV>
            <wp:extent cx="3573780" cy="2421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3573780" cy="2421890"/>
                    </a:xfrm>
                    <a:prstGeom prst="rect">
                      <a:avLst/>
                    </a:prstGeom>
                    <a:noFill/>
                  </pic:spPr>
                </pic:pic>
              </a:graphicData>
            </a:graphic>
          </wp:anchor>
        </w:drawing>
      </w:r>
    </w:p>
    <w:p>
      <w:pPr>
        <w:sectPr>
          <w:pgSz w:w="12240" w:h="15840" w:orient="portrait"/>
          <w:cols w:equalWidth="0" w:num="1">
            <w:col w:w="9980"/>
          </w:cols>
          <w:pgMar w:left="1080" w:top="1060" w:right="118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F-29</w:t>
      </w:r>
    </w:p>
    <w:p>
      <w:pPr>
        <w:sectPr>
          <w:pgSz w:w="12240" w:h="15840" w:orient="portrait"/>
          <w:cols w:equalWidth="0" w:num="1">
            <w:col w:w="9980"/>
          </w:cols>
          <w:pgMar w:left="1080" w:top="1060" w:right="1180" w:bottom="210" w:gutter="0" w:footer="0" w:header="0"/>
          <w:type w:val="continuous"/>
        </w:sectPr>
      </w:pPr>
    </w:p>
    <w:bookmarkStart w:id="137" w:name="page138"/>
    <w:bookmarkEnd w:id="137"/>
    <w:p>
      <w:pPr>
        <w:ind w:left="480" w:right="180"/>
        <w:spacing w:after="0" w:line="258" w:lineRule="auto"/>
        <w:rPr>
          <w:sz w:val="20"/>
          <w:szCs w:val="20"/>
          <w:color w:val="auto"/>
        </w:rPr>
      </w:pPr>
      <w:r>
        <w:rPr>
          <w:rFonts w:ascii="Arial" w:cs="Arial" w:eastAsia="Arial" w:hAnsi="Arial"/>
          <w:sz w:val="20"/>
          <w:szCs w:val="20"/>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480" w:right="100"/>
        <w:spacing w:after="0" w:line="333" w:lineRule="auto"/>
        <w:rPr>
          <w:sz w:val="20"/>
          <w:szCs w:val="20"/>
          <w:color w:val="auto"/>
        </w:rPr>
      </w:pPr>
      <w:r>
        <w:rPr>
          <w:rFonts w:ascii="Arial" w:cs="Arial" w:eastAsia="Arial" w:hAnsi="Arial"/>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5" w:lineRule="exact"/>
        <w:rPr>
          <w:sz w:val="20"/>
          <w:szCs w:val="20"/>
          <w:color w:val="auto"/>
        </w:rPr>
      </w:pPr>
    </w:p>
    <w:p>
      <w:pPr>
        <w:ind w:left="480" w:firstLine="10"/>
        <w:spacing w:after="0" w:line="278" w:lineRule="auto"/>
        <w:tabs>
          <w:tab w:leader="none" w:pos="752" w:val="left"/>
        </w:tabs>
        <w:numPr>
          <w:ilvl w:val="0"/>
          <w:numId w:val="55"/>
        </w:numPr>
        <w:rPr>
          <w:rFonts w:ascii="Arial" w:cs="Arial" w:eastAsia="Arial" w:hAnsi="Arial"/>
          <w:sz w:val="20"/>
          <w:szCs w:val="20"/>
          <w:color w:val="auto"/>
        </w:rPr>
      </w:pPr>
      <w:r>
        <w:rPr>
          <w:rFonts w:ascii="Arial" w:cs="Arial" w:eastAsia="Arial" w:hAnsi="Arial"/>
          <w:sz w:val="20"/>
          <w:szCs w:val="20"/>
          <w:color w:val="auto"/>
        </w:rPr>
        <w:t>Other segment expenses included in Segment net loss includes general and administrative expense, interest income, other income and provision for income taxes.</w:t>
      </w:r>
    </w:p>
    <w:p>
      <w:pPr>
        <w:spacing w:after="0" w:line="167" w:lineRule="exact"/>
        <w:rPr>
          <w:sz w:val="20"/>
          <w:szCs w:val="20"/>
          <w:color w:val="auto"/>
        </w:rPr>
      </w:pPr>
    </w:p>
    <w:p>
      <w:pPr>
        <w:ind w:right="160" w:firstLine="490"/>
        <w:spacing w:after="0" w:line="252" w:lineRule="auto"/>
        <w:rPr>
          <w:sz w:val="20"/>
          <w:szCs w:val="20"/>
          <w:color w:val="auto"/>
        </w:rPr>
      </w:pPr>
      <w:r>
        <w:rPr>
          <w:rFonts w:ascii="Arial" w:cs="Arial" w:eastAsia="Arial" w:hAnsi="Arial"/>
          <w:sz w:val="20"/>
          <w:szCs w:val="20"/>
          <w:color w:val="auto"/>
        </w:rPr>
        <w:t>The measure of segment assets is reported on the consolidated balance sheet as total consolidated assets. The CODM reviews cash, cash equivalents and marketable securities as a measure of segment assets. As of December 31, 2025, the Company’s cash, cash equivalents and marketable securities were $343.1 million. All long-lived assets of the Company reside in the U.S.</w:t>
      </w:r>
    </w:p>
    <w:p>
      <w:pPr>
        <w:sectPr>
          <w:pgSz w:w="12240" w:h="15840" w:orient="portrait"/>
          <w:cols w:equalWidth="0" w:num="1">
            <w:col w:w="10000"/>
          </w:cols>
          <w:pgMar w:left="1080" w:top="1060" w:right="1160"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F-30</w:t>
      </w:r>
    </w:p>
    <w:p>
      <w:pPr>
        <w:sectPr>
          <w:pgSz w:w="12240" w:h="15840" w:orient="portrait"/>
          <w:cols w:equalWidth="0" w:num="1">
            <w:col w:w="10000"/>
          </w:cols>
          <w:pgMar w:left="1080" w:top="1060" w:right="1160" w:bottom="210" w:gutter="0" w:footer="0" w:header="0"/>
          <w:type w:val="continuous"/>
        </w:sectPr>
      </w:pPr>
    </w:p>
    <w:bookmarkStart w:id="138" w:name="page139"/>
    <w:bookmarkEnd w:id="138"/>
    <w:p>
      <w:pPr>
        <w:spacing w:after="0"/>
        <w:rPr>
          <w:sz w:val="20"/>
          <w:szCs w:val="20"/>
          <w:color w:val="auto"/>
        </w:rPr>
      </w:pPr>
      <w:r>
        <w:rPr>
          <w:rFonts w:ascii="Arial" w:cs="Arial" w:eastAsia="Arial" w:hAnsi="Arial"/>
          <w:sz w:val="19"/>
          <w:szCs w:val="19"/>
          <w:b w:val="1"/>
          <w:bCs w:val="1"/>
          <w:u w:val="single" w:color="auto"/>
          <w:color w:val="auto"/>
        </w:rPr>
        <w:t>EXECUTIVE OFFICERS*</w:t>
      </w:r>
      <w:r>
        <w:rPr>
          <w:rFonts w:ascii="Arial" w:cs="Arial" w:eastAsia="Arial" w:hAnsi="Arial"/>
          <w:sz w:val="19"/>
          <w:szCs w:val="19"/>
          <w:color w:val="auto"/>
        </w:rPr>
        <w:t>_________________________________________________________________</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Malte Peters, M.D.</w:t>
      </w:r>
    </w:p>
    <w:p>
      <w:pPr>
        <w:spacing w:after="0" w:line="50" w:lineRule="exact"/>
        <w:rPr>
          <w:sz w:val="20"/>
          <w:szCs w:val="20"/>
          <w:color w:val="auto"/>
        </w:rPr>
      </w:pPr>
    </w:p>
    <w:p>
      <w:pPr>
        <w:spacing w:after="0"/>
        <w:tabs>
          <w:tab w:leader="none" w:pos="2960" w:val="left"/>
        </w:tabs>
        <w:rPr>
          <w:sz w:val="20"/>
          <w:szCs w:val="20"/>
          <w:color w:val="auto"/>
        </w:rPr>
      </w:pPr>
      <w:r>
        <w:rPr>
          <w:rFonts w:ascii="Arial" w:cs="Arial" w:eastAsia="Arial" w:hAnsi="Arial"/>
          <w:sz w:val="21"/>
          <w:szCs w:val="21"/>
          <w:i w:val="1"/>
          <w:iCs w:val="1"/>
          <w:color w:val="auto"/>
        </w:rPr>
        <w:t>President and Chief Execu</w:t>
      </w:r>
      <w:r>
        <w:rPr>
          <w:sz w:val="1"/>
          <w:szCs w:val="1"/>
          <w:color w:val="auto"/>
        </w:rPr>
        <w:drawing>
          <wp:inline distT="0" distB="0" distL="0" distR="0">
            <wp:extent cx="97155" cy="1174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1"/>
          <w:szCs w:val="21"/>
          <w:i w:val="1"/>
          <w:iCs w:val="1"/>
          <w:color w:val="auto"/>
        </w:rPr>
        <w:t>ve O</w:t>
      </w:r>
      <w:r>
        <w:rPr>
          <w:sz w:val="20"/>
          <w:szCs w:val="20"/>
          <w:color w:val="auto"/>
        </w:rPr>
        <w:tab/>
      </w:r>
      <w:r>
        <w:rPr>
          <w:rFonts w:ascii="Arial" w:cs="Arial" w:eastAsia="Arial" w:hAnsi="Arial"/>
          <w:sz w:val="20"/>
          <w:szCs w:val="20"/>
          <w:i w:val="1"/>
          <w:iCs w:val="1"/>
          <w:color w:val="auto"/>
        </w:rPr>
        <w: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-125095</wp:posOffset>
            </wp:positionV>
            <wp:extent cx="15240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15240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801370" cy="121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801370" cy="1212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Chief Financial O</w:t>
      </w:r>
      <w:r>
        <w:rPr>
          <w:sz w:val="1"/>
          <w:szCs w:val="1"/>
          <w:color w:val="auto"/>
        </w:rPr>
        <w:drawing>
          <wp:inline distT="0" distB="0" distL="0" distR="0">
            <wp:extent cx="153670" cy="1460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153670" cy="146050"/>
                    </a:xfrm>
                    <a:prstGeom prst="rect">
                      <a:avLst/>
                    </a:prstGeom>
                    <a:noFill/>
                    <a:ln>
                      <a:noFill/>
                    </a:ln>
                  </pic:spPr>
                </pic:pic>
              </a:graphicData>
            </a:graphic>
          </wp:inline>
        </w:drawing>
      </w:r>
      <w:r>
        <w:rPr>
          <w:rFonts w:ascii="Arial" w:cs="Arial" w:eastAsia="Arial" w:hAnsi="Arial"/>
          <w:sz w:val="22"/>
          <w:szCs w:val="22"/>
          <w:i w:val="1"/>
          <w:iCs w:val="1"/>
          <w:color w:val="auto"/>
        </w:rPr>
        <w:t>cer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Adam Crystal, M.D., PhD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President,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Barbara Weber, M.D.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w:t>
      </w:r>
      <w:r>
        <w:rPr>
          <w:sz w:val="1"/>
          <w:szCs w:val="1"/>
          <w:color w:val="auto"/>
        </w:rPr>
        <w:drawing>
          <wp:inline distT="0" distB="0" distL="0" distR="0">
            <wp:extent cx="97155" cy="11747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ve Chairman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BOARD OF DIRECTORS*</w:t>
      </w:r>
      <w:r>
        <w:rPr>
          <w:rFonts w:ascii="Arial" w:cs="Arial" w:eastAsia="Arial" w:hAnsi="Arial"/>
          <w:sz w:val="19"/>
          <w:szCs w:val="19"/>
          <w:u w:val="single" w:color="auto"/>
          <w:color w:val="auto"/>
        </w:rPr>
        <w:t>_________________________________________________________________</w:t>
      </w:r>
    </w:p>
    <w:p>
      <w:pPr>
        <w:sectPr>
          <w:pgSz w:w="12240" w:h="15840" w:orient="portrait"/>
          <w:cols w:equalWidth="0" w:num="1">
            <w:col w:w="9360"/>
          </w:cols>
          <w:pgMar w:left="1440" w:top="1423" w:right="1440"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Malte Peters, M.D.</w:t>
      </w:r>
    </w:p>
    <w:p>
      <w:pPr>
        <w:spacing w:after="0" w:line="50" w:lineRule="exact"/>
        <w:rPr>
          <w:sz w:val="20"/>
          <w:szCs w:val="20"/>
          <w:color w:val="auto"/>
        </w:rPr>
      </w:pPr>
    </w:p>
    <w:p>
      <w:pPr>
        <w:ind w:left="100"/>
        <w:spacing w:after="0"/>
        <w:tabs>
          <w:tab w:leader="none" w:pos="3040" w:val="left"/>
        </w:tabs>
        <w:rPr>
          <w:sz w:val="20"/>
          <w:szCs w:val="20"/>
          <w:color w:val="auto"/>
        </w:rPr>
      </w:pPr>
      <w:r>
        <w:rPr>
          <w:rFonts w:ascii="Arial" w:cs="Arial" w:eastAsia="Arial" w:hAnsi="Arial"/>
          <w:sz w:val="21"/>
          <w:szCs w:val="21"/>
          <w:i w:val="1"/>
          <w:iCs w:val="1"/>
          <w:color w:val="auto"/>
        </w:rPr>
        <w:t>President and Chief Execu</w:t>
      </w:r>
      <w:r>
        <w:rPr>
          <w:sz w:val="1"/>
          <w:szCs w:val="1"/>
          <w:color w:val="auto"/>
        </w:rPr>
        <w:drawing>
          <wp:inline distT="0" distB="0" distL="0" distR="0">
            <wp:extent cx="97155" cy="11747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1"/>
          <w:szCs w:val="21"/>
          <w:i w:val="1"/>
          <w:iCs w:val="1"/>
          <w:color w:val="auto"/>
        </w:rPr>
        <w:t>ve O</w:t>
      </w:r>
      <w:r>
        <w:rPr>
          <w:sz w:val="20"/>
          <w:szCs w:val="20"/>
          <w:color w:val="auto"/>
        </w:rPr>
        <w:tab/>
      </w:r>
      <w:r>
        <w:rPr>
          <w:rFonts w:ascii="Arial" w:cs="Arial" w:eastAsia="Arial" w:hAnsi="Arial"/>
          <w:sz w:val="20"/>
          <w:szCs w:val="20"/>
          <w:i w:val="1"/>
          <w:iCs w:val="1"/>
          <w:color w:val="auto"/>
        </w:rPr>
        <w: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-138430</wp:posOffset>
            </wp:positionV>
            <wp:extent cx="15367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1">
                      <a:extLst>
                        <a:ext uri="{28A0092B-C50C-407E-A947-70E740481C1C}"/>
                      </a:extLst>
                    </a:blip>
                    <a:srcRect/>
                    <a:stretch>
                      <a:fillRect/>
                    </a:stretch>
                  </pic:blipFill>
                  <pic:spPr bwMode="auto">
                    <a:xfrm>
                      <a:off x="0" y="0"/>
                      <a:ext cx="153670" cy="14605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Alexis Borisy</w:t>
      </w:r>
    </w:p>
    <w:p>
      <w:pPr>
        <w:spacing w:after="0" w:line="50" w:lineRule="exact"/>
        <w:rPr>
          <w:sz w:val="20"/>
          <w:szCs w:val="20"/>
          <w:color w:val="auto"/>
        </w:rPr>
      </w:pPr>
    </w:p>
    <w:p>
      <w:pPr>
        <w:ind w:right="980"/>
        <w:spacing w:after="0" w:line="254" w:lineRule="auto"/>
        <w:rPr>
          <w:sz w:val="20"/>
          <w:szCs w:val="20"/>
          <w:color w:val="auto"/>
        </w:rPr>
      </w:pPr>
      <w:r>
        <w:rPr>
          <w:rFonts w:ascii="Arial" w:cs="Arial" w:eastAsia="Arial" w:hAnsi="Arial"/>
          <w:sz w:val="22"/>
          <w:szCs w:val="22"/>
          <w:i w:val="1"/>
          <w:iCs w:val="1"/>
          <w:color w:val="auto"/>
        </w:rPr>
        <w:t>Founder and Opera</w:t>
      </w:r>
      <w:r>
        <w:rPr>
          <w:sz w:val="1"/>
          <w:szCs w:val="1"/>
          <w:color w:val="auto"/>
        </w:rPr>
        <w:drawing>
          <wp:inline distT="0" distB="0" distL="0" distR="0">
            <wp:extent cx="97155" cy="1174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2">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ng Chairman Curie.Bio</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John Ketchum</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Senior Business Advisor</w:t>
      </w:r>
    </w:p>
    <w:p>
      <w:pPr>
        <w:spacing w:after="0"/>
        <w:rPr>
          <w:sz w:val="20"/>
          <w:szCs w:val="20"/>
          <w:color w:val="auto"/>
        </w:rPr>
      </w:pPr>
      <w:r>
        <w:rPr>
          <w:rFonts w:ascii="Arial" w:cs="Arial" w:eastAsia="Arial" w:hAnsi="Arial"/>
          <w:sz w:val="22"/>
          <w:szCs w:val="22"/>
          <w:i w:val="1"/>
          <w:iCs w:val="1"/>
          <w:color w:val="auto"/>
        </w:rPr>
        <w:t>Bonnieview Consul</w:t>
      </w:r>
      <w:r>
        <w:rPr>
          <w:sz w:val="1"/>
          <w:szCs w:val="1"/>
          <w:color w:val="auto"/>
        </w:rPr>
        <w:drawing>
          <wp:inline distT="0" distB="0" distL="0" distR="0">
            <wp:extent cx="97155" cy="1174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3">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ng</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Kanishka Pothula</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Managing Partner</w:t>
      </w:r>
    </w:p>
    <w:p>
      <w:pPr>
        <w:spacing w:after="0"/>
        <w:rPr>
          <w:sz w:val="20"/>
          <w:szCs w:val="20"/>
          <w:color w:val="auto"/>
        </w:rPr>
      </w:pPr>
      <w:r>
        <w:rPr>
          <w:rFonts w:ascii="Arial" w:cs="Arial" w:eastAsia="Arial" w:hAnsi="Arial"/>
          <w:sz w:val="22"/>
          <w:szCs w:val="22"/>
          <w:i w:val="1"/>
          <w:iCs w:val="1"/>
          <w:color w:val="auto"/>
        </w:rPr>
        <w:t>Nextech Ventures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Barbara Weber, M.D.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w:t>
      </w:r>
      <w:r>
        <w:rPr>
          <w:sz w:val="1"/>
          <w:szCs w:val="1"/>
          <w:color w:val="auto"/>
        </w:rPr>
        <w:drawing>
          <wp:inline distT="0" distB="0" distL="0" distR="0">
            <wp:extent cx="97155" cy="1174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4">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ve Chairman</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Lesley Ann Calhoun</w:t>
      </w:r>
    </w:p>
    <w:p>
      <w:pPr>
        <w:spacing w:after="0" w:line="50" w:lineRule="exact"/>
        <w:rPr>
          <w:sz w:val="20"/>
          <w:szCs w:val="20"/>
          <w:color w:val="auto"/>
        </w:rPr>
      </w:pPr>
    </w:p>
    <w:p>
      <w:pPr>
        <w:ind w:right="460"/>
        <w:spacing w:after="0" w:line="245" w:lineRule="auto"/>
        <w:rPr>
          <w:sz w:val="20"/>
          <w:szCs w:val="20"/>
          <w:color w:val="auto"/>
        </w:rPr>
      </w:pPr>
      <w:r>
        <w:rPr>
          <w:rFonts w:ascii="Arial" w:cs="Arial" w:eastAsia="Arial" w:hAnsi="Arial"/>
          <w:sz w:val="22"/>
          <w:szCs w:val="22"/>
          <w:i w:val="1"/>
          <w:iCs w:val="1"/>
          <w:color w:val="auto"/>
        </w:rPr>
        <w:t>Execu</w:t>
      </w:r>
      <w:r>
        <w:rPr>
          <w:sz w:val="1"/>
          <w:szCs w:val="1"/>
          <w:color w:val="auto"/>
        </w:rPr>
        <w:drawing>
          <wp:inline distT="0" distB="0" distL="0" distR="0">
            <wp:extent cx="97155" cy="11747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5">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ve Vice President, Chief Financial O</w:t>
      </w:r>
      <w:r>
        <w:rPr>
          <w:sz w:val="1"/>
          <w:szCs w:val="1"/>
          <w:color w:val="auto"/>
        </w:rPr>
        <w:drawing>
          <wp:inline distT="0" distB="0" distL="0" distR="0">
            <wp:extent cx="152400" cy="1333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6">
                      <a:extLst>
                        <a:ext uri="{28A0092B-C50C-407E-A947-70E740481C1C}"/>
                      </a:extLst>
                    </a:blip>
                    <a:srcRect/>
                    <a:stretch>
                      <a:fillRect/>
                    </a:stretch>
                  </pic:blipFill>
                  <pic:spPr bwMode="auto">
                    <a:xfrm>
                      <a:off x="0" y="0"/>
                      <a:ext cx="152400" cy="133350"/>
                    </a:xfrm>
                    <a:prstGeom prst="rect">
                      <a:avLst/>
                    </a:prstGeom>
                    <a:noFill/>
                    <a:ln>
                      <a:noFill/>
                    </a:ln>
                  </pic:spPr>
                </pic:pic>
              </a:graphicData>
            </a:graphic>
          </wp:inline>
        </w:drawing>
      </w:r>
      <w:r>
        <w:rPr>
          <w:rFonts w:ascii="Arial" w:cs="Arial" w:eastAsia="Arial" w:hAnsi="Arial"/>
          <w:sz w:val="22"/>
          <w:szCs w:val="22"/>
          <w:i w:val="1"/>
          <w:iCs w:val="1"/>
          <w:color w:val="auto"/>
        </w:rPr>
        <w:t>cer, Chief Opera</w:t>
      </w:r>
      <w:r>
        <w:rPr>
          <w:sz w:val="1"/>
          <w:szCs w:val="1"/>
          <w:color w:val="auto"/>
        </w:rPr>
        <w:drawing>
          <wp:inline distT="0" distB="0" distL="0" distR="0">
            <wp:extent cx="97155" cy="1174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7">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ng O 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-144780</wp:posOffset>
            </wp:positionV>
            <wp:extent cx="15367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8">
                      <a:extLst>
                        <a:ext uri="{28A0092B-C50C-407E-A947-70E740481C1C}"/>
                      </a:extLst>
                    </a:blip>
                    <a:srcRect/>
                    <a:stretch>
                      <a:fillRect/>
                    </a:stretch>
                  </pic:blipFill>
                  <pic:spPr bwMode="auto">
                    <a:xfrm>
                      <a:off x="0" y="0"/>
                      <a:ext cx="153670" cy="1460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color w:val="auto"/>
        </w:rPr>
        <w:t>Agilos Therapeu</w:t>
      </w:r>
      <w:r>
        <w:rPr>
          <w:sz w:val="1"/>
          <w:szCs w:val="1"/>
          <w:color w:val="auto"/>
        </w:rPr>
        <w:drawing>
          <wp:inline distT="0" distB="0" distL="0" distR="0">
            <wp:extent cx="97155" cy="11747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9">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cs, Inc.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Sung Lee</w:t>
      </w:r>
    </w:p>
    <w:p>
      <w:pPr>
        <w:spacing w:after="0" w:line="50"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i w:val="1"/>
          <w:iCs w:val="1"/>
          <w:color w:val="auto"/>
        </w:rPr>
        <w:t>Execu</w:t>
      </w:r>
      <w:r>
        <w:rPr>
          <w:sz w:val="1"/>
          <w:szCs w:val="1"/>
          <w:color w:val="auto"/>
        </w:rPr>
        <w:drawing>
          <wp:inline distT="0" distB="0" distL="0" distR="0">
            <wp:extent cx="97155" cy="11747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0">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ve Vice President, Chief Financial O</w:t>
      </w:r>
      <w:r>
        <w:rPr>
          <w:sz w:val="1"/>
          <w:szCs w:val="1"/>
          <w:color w:val="auto"/>
        </w:rPr>
        <w:drawing>
          <wp:inline distT="0" distB="0" distL="0" distR="0">
            <wp:extent cx="153670" cy="1333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1">
                      <a:extLst>
                        <a:ext uri="{28A0092B-C50C-407E-A947-70E740481C1C}"/>
                      </a:extLst>
                    </a:blip>
                    <a:srcRect/>
                    <a:stretch>
                      <a:fillRect/>
                    </a:stretch>
                  </pic:blipFill>
                  <pic:spPr bwMode="auto">
                    <a:xfrm>
                      <a:off x="0" y="0"/>
                      <a:ext cx="153670" cy="133350"/>
                    </a:xfrm>
                    <a:prstGeom prst="rect">
                      <a:avLst/>
                    </a:prstGeom>
                    <a:noFill/>
                    <a:ln>
                      <a:noFill/>
                    </a:ln>
                  </pic:spPr>
                </pic:pic>
              </a:graphicData>
            </a:graphic>
          </wp:inline>
        </w:drawing>
      </w:r>
      <w:r>
        <w:rPr>
          <w:rFonts w:ascii="Arial" w:cs="Arial" w:eastAsia="Arial" w:hAnsi="Arial"/>
          <w:sz w:val="22"/>
          <w:szCs w:val="22"/>
          <w:i w:val="1"/>
          <w:iCs w:val="1"/>
          <w:color w:val="auto"/>
        </w:rPr>
        <w:t>cer Cytokine</w:t>
      </w:r>
      <w:r>
        <w:rPr>
          <w:sz w:val="1"/>
          <w:szCs w:val="1"/>
          <w:color w:val="auto"/>
        </w:rPr>
        <w:drawing>
          <wp:inline distT="0" distB="0" distL="0" distR="0">
            <wp:extent cx="97155" cy="11747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2">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cs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Mace Rothenberg, M.D.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President, Execu</w:t>
      </w:r>
      <w:r>
        <w:rPr>
          <w:sz w:val="1"/>
          <w:szCs w:val="1"/>
          <w:color w:val="auto"/>
        </w:rPr>
        <w:drawing>
          <wp:inline distT="0" distB="0" distL="0" distR="0">
            <wp:extent cx="97155" cy="11747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3">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ve Director</w:t>
      </w:r>
    </w:p>
    <w:p>
      <w:pPr>
        <w:spacing w:after="0"/>
        <w:rPr>
          <w:sz w:val="20"/>
          <w:szCs w:val="20"/>
          <w:color w:val="auto"/>
        </w:rPr>
      </w:pPr>
      <w:r>
        <w:rPr>
          <w:rFonts w:ascii="Arial" w:cs="Arial" w:eastAsia="Arial" w:hAnsi="Arial"/>
          <w:sz w:val="20"/>
          <w:szCs w:val="20"/>
          <w:i w:val="1"/>
          <w:iCs w:val="1"/>
          <w:color w:val="auto"/>
        </w:rPr>
        <w:t>Museum of Medicine and Biomedical Discovery</w:t>
      </w:r>
    </w:p>
    <w:p>
      <w:pPr>
        <w:spacing w:after="0" w:line="222" w:lineRule="exact"/>
        <w:rPr>
          <w:sz w:val="20"/>
          <w:szCs w:val="20"/>
          <w:color w:val="auto"/>
        </w:rPr>
      </w:pPr>
    </w:p>
    <w:p>
      <w:pPr>
        <w:sectPr>
          <w:pgSz w:w="12240" w:h="15840" w:orient="portrait"/>
          <w:cols w:equalWidth="0" w:num="2">
            <w:col w:w="3960" w:space="720"/>
            <w:col w:w="4680"/>
          </w:cols>
          <w:pgMar w:left="1440" w:top="1423" w:right="1440"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CORPORATE INFORMATION</w:t>
      </w:r>
      <w:r>
        <w:rPr>
          <w:rFonts w:ascii="Arial" w:cs="Arial" w:eastAsia="Arial" w:hAnsi="Arial"/>
          <w:sz w:val="19"/>
          <w:szCs w:val="19"/>
          <w:u w:val="single" w:color="auto"/>
          <w:color w:val="auto"/>
        </w:rPr>
        <w:t>______________________________________________________________</w:t>
      </w:r>
    </w:p>
    <w:p>
      <w:pPr>
        <w:spacing w:after="0" w:line="230" w:lineRule="exact"/>
        <w:rPr>
          <w:sz w:val="20"/>
          <w:szCs w:val="20"/>
          <w:color w:val="auto"/>
        </w:rPr>
      </w:pPr>
    </w:p>
    <w:p>
      <w:pPr>
        <w:spacing w:after="0"/>
        <w:tabs>
          <w:tab w:leader="none" w:pos="4660" w:val="left"/>
        </w:tabs>
        <w:rPr>
          <w:sz w:val="20"/>
          <w:szCs w:val="20"/>
          <w:color w:val="auto"/>
        </w:rPr>
      </w:pPr>
      <w:r>
        <w:rPr>
          <w:rFonts w:ascii="Arial" w:cs="Arial" w:eastAsia="Arial" w:hAnsi="Arial"/>
          <w:sz w:val="22"/>
          <w:szCs w:val="22"/>
          <w:b w:val="1"/>
          <w:bCs w:val="1"/>
          <w:color w:val="auto"/>
        </w:rPr>
        <w:t>Corporate Headquarters</w:t>
      </w:r>
      <w:r>
        <w:rPr>
          <w:sz w:val="20"/>
          <w:szCs w:val="20"/>
          <w:color w:val="auto"/>
        </w:rPr>
        <w:tab/>
      </w:r>
      <w:r>
        <w:rPr>
          <w:rFonts w:ascii="Arial" w:cs="Arial" w:eastAsia="Arial" w:hAnsi="Arial"/>
          <w:sz w:val="18"/>
          <w:szCs w:val="18"/>
          <w:b w:val="1"/>
          <w:bCs w:val="1"/>
          <w:color w:val="auto"/>
        </w:rPr>
        <w:t>Transfer Agent</w:t>
      </w:r>
    </w:p>
    <w:p>
      <w:pPr>
        <w:spacing w:after="0" w:line="50" w:lineRule="exact"/>
        <w:rPr>
          <w:sz w:val="20"/>
          <w:szCs w:val="20"/>
          <w:color w:val="auto"/>
        </w:rPr>
      </w:pPr>
    </w:p>
    <w:p>
      <w:pPr>
        <w:spacing w:after="0"/>
        <w:tabs>
          <w:tab w:leader="none" w:pos="4660" w:val="left"/>
        </w:tabs>
        <w:rPr>
          <w:sz w:val="20"/>
          <w:szCs w:val="20"/>
          <w:color w:val="auto"/>
        </w:rPr>
      </w:pPr>
      <w:r>
        <w:rPr>
          <w:rFonts w:ascii="Arial" w:cs="Arial" w:eastAsia="Arial" w:hAnsi="Arial"/>
          <w:sz w:val="22"/>
          <w:szCs w:val="22"/>
          <w:i w:val="1"/>
          <w:iCs w:val="1"/>
          <w:color w:val="auto"/>
        </w:rPr>
        <w:t>201 Brookline Avenue, Suite 901</w:t>
      </w:r>
      <w:r>
        <w:rPr>
          <w:sz w:val="20"/>
          <w:szCs w:val="20"/>
          <w:color w:val="auto"/>
        </w:rPr>
        <w:tab/>
      </w:r>
      <w:r>
        <w:rPr>
          <w:rFonts w:ascii="Arial" w:cs="Arial" w:eastAsia="Arial" w:hAnsi="Arial"/>
          <w:sz w:val="19"/>
          <w:szCs w:val="19"/>
          <w:i w:val="1"/>
          <w:iCs w:val="1"/>
          <w:color w:val="auto"/>
        </w:rPr>
        <w:t>Computershare Trust Company, N.A.</w:t>
      </w:r>
    </w:p>
    <w:p>
      <w:pPr>
        <w:spacing w:after="0"/>
        <w:tabs>
          <w:tab w:leader="none" w:pos="4660" w:val="left"/>
        </w:tabs>
        <w:rPr>
          <w:sz w:val="20"/>
          <w:szCs w:val="20"/>
          <w:color w:val="auto"/>
        </w:rPr>
      </w:pPr>
      <w:r>
        <w:rPr>
          <w:rFonts w:ascii="Arial" w:cs="Arial" w:eastAsia="Arial" w:hAnsi="Arial"/>
          <w:sz w:val="22"/>
          <w:szCs w:val="22"/>
          <w:i w:val="1"/>
          <w:iCs w:val="1"/>
          <w:color w:val="auto"/>
        </w:rPr>
        <w:t>Boston, MA 02215</w:t>
      </w:r>
      <w:r>
        <w:rPr>
          <w:sz w:val="20"/>
          <w:szCs w:val="20"/>
          <w:color w:val="auto"/>
        </w:rPr>
        <w:tab/>
      </w:r>
      <w:r>
        <w:rPr>
          <w:rFonts w:ascii="Arial" w:cs="Arial" w:eastAsia="Arial" w:hAnsi="Arial"/>
          <w:sz w:val="19"/>
          <w:szCs w:val="19"/>
          <w:i w:val="1"/>
          <w:iCs w:val="1"/>
          <w:color w:val="auto"/>
        </w:rPr>
        <w:t>250 Royall Street</w:t>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22"/>
          <w:szCs w:val="22"/>
          <w:i w:val="1"/>
          <w:iCs w:val="1"/>
          <w:color w:val="auto"/>
        </w:rPr>
        <w:t>Canton, MA 02021</w:t>
      </w:r>
    </w:p>
    <w:p>
      <w:pPr>
        <w:spacing w:after="0" w:line="265" w:lineRule="exact"/>
        <w:rPr>
          <w:sz w:val="20"/>
          <w:szCs w:val="20"/>
          <w:color w:val="auto"/>
        </w:rPr>
      </w:pPr>
    </w:p>
    <w:p>
      <w:pPr>
        <w:spacing w:after="0"/>
        <w:tabs>
          <w:tab w:leader="none" w:pos="4660" w:val="left"/>
        </w:tabs>
        <w:rPr>
          <w:sz w:val="20"/>
          <w:szCs w:val="20"/>
          <w:color w:val="auto"/>
        </w:rPr>
      </w:pPr>
      <w:r>
        <w:rPr>
          <w:rFonts w:ascii="Arial" w:cs="Arial" w:eastAsia="Arial" w:hAnsi="Arial"/>
          <w:sz w:val="22"/>
          <w:szCs w:val="22"/>
          <w:b w:val="1"/>
          <w:bCs w:val="1"/>
          <w:color w:val="auto"/>
        </w:rPr>
        <w:t>Independent Registered Public Accoun</w:t>
      </w:r>
      <w:r>
        <w:rPr>
          <w:sz w:val="1"/>
          <w:szCs w:val="1"/>
          <w:color w:val="auto"/>
        </w:rPr>
        <w:drawing>
          <wp:inline distT="0" distB="0" distL="0" distR="0">
            <wp:extent cx="98425" cy="12001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4">
                      <a:extLst>
                        <a:ext uri="{28A0092B-C50C-407E-A947-70E740481C1C}"/>
                      </a:extLst>
                    </a:blip>
                    <a:srcRect/>
                    <a:stretch>
                      <a:fillRect/>
                    </a:stretch>
                  </pic:blipFill>
                  <pic:spPr bwMode="auto">
                    <a:xfrm>
                      <a:off x="0" y="0"/>
                      <a:ext cx="98425" cy="120015"/>
                    </a:xfrm>
                    <a:prstGeom prst="rect">
                      <a:avLst/>
                    </a:prstGeom>
                    <a:noFill/>
                    <a:ln>
                      <a:noFill/>
                    </a:ln>
                  </pic:spPr>
                </pic:pic>
              </a:graphicData>
            </a:graphic>
          </wp:inline>
        </w:drawing>
      </w:r>
      <w:r>
        <w:rPr>
          <w:rFonts w:ascii="Arial" w:cs="Arial" w:eastAsia="Arial" w:hAnsi="Arial"/>
          <w:sz w:val="22"/>
          <w:szCs w:val="22"/>
          <w:b w:val="1"/>
          <w:bCs w:val="1"/>
          <w:color w:val="auto"/>
        </w:rPr>
        <w:t>ng Firm</w:t>
      </w:r>
      <w:r>
        <w:rPr>
          <w:sz w:val="20"/>
          <w:szCs w:val="20"/>
          <w:color w:val="auto"/>
        </w:rPr>
        <w:tab/>
      </w:r>
      <w:r>
        <w:rPr>
          <w:rFonts w:ascii="Arial" w:cs="Arial" w:eastAsia="Arial" w:hAnsi="Arial"/>
          <w:sz w:val="16"/>
          <w:szCs w:val="16"/>
          <w:b w:val="1"/>
          <w:bCs w:val="1"/>
          <w:color w:val="auto"/>
        </w:rPr>
        <w:t>Investor Rela</w:t>
      </w:r>
      <w:r>
        <w:rPr>
          <w:sz w:val="1"/>
          <w:szCs w:val="1"/>
          <w:color w:val="auto"/>
        </w:rPr>
        <w:drawing>
          <wp:inline distT="0" distB="0" distL="0" distR="0">
            <wp:extent cx="98425" cy="12001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5">
                      <a:extLst>
                        <a:ext uri="{28A0092B-C50C-407E-A947-70E740481C1C}"/>
                      </a:extLst>
                    </a:blip>
                    <a:srcRect/>
                    <a:stretch>
                      <a:fillRect/>
                    </a:stretch>
                  </pic:blipFill>
                  <pic:spPr bwMode="auto">
                    <a:xfrm>
                      <a:off x="0" y="0"/>
                      <a:ext cx="98425" cy="120015"/>
                    </a:xfrm>
                    <a:prstGeom prst="rect">
                      <a:avLst/>
                    </a:prstGeom>
                    <a:noFill/>
                    <a:ln>
                      <a:noFill/>
                    </a:ln>
                  </pic:spPr>
                </pic:pic>
              </a:graphicData>
            </a:graphic>
          </wp:inline>
        </w:drawing>
      </w:r>
      <w:r>
        <w:rPr>
          <w:rFonts w:ascii="Arial" w:cs="Arial" w:eastAsia="Arial" w:hAnsi="Arial"/>
          <w:sz w:val="16"/>
          <w:szCs w:val="16"/>
          <w:b w:val="1"/>
          <w:bCs w:val="1"/>
          <w:color w:val="auto"/>
        </w:rPr>
        <w:t>ons</w:t>
      </w:r>
    </w:p>
    <w:p>
      <w:pPr>
        <w:spacing w:after="0" w:line="50" w:lineRule="exact"/>
        <w:rPr>
          <w:sz w:val="20"/>
          <w:szCs w:val="20"/>
          <w:color w:val="auto"/>
        </w:rPr>
      </w:pPr>
    </w:p>
    <w:p>
      <w:pPr>
        <w:spacing w:after="0"/>
        <w:tabs>
          <w:tab w:leader="none" w:pos="4660" w:val="left"/>
        </w:tabs>
        <w:rPr>
          <w:sz w:val="20"/>
          <w:szCs w:val="20"/>
          <w:color w:val="auto"/>
        </w:rPr>
      </w:pPr>
      <w:r>
        <w:rPr>
          <w:rFonts w:ascii="Arial" w:cs="Arial" w:eastAsia="Arial" w:hAnsi="Arial"/>
          <w:sz w:val="22"/>
          <w:szCs w:val="22"/>
          <w:i w:val="1"/>
          <w:iCs w:val="1"/>
          <w:color w:val="auto"/>
        </w:rPr>
        <w:t>PricewaterhouseCoopers, LLP</w:t>
      </w:r>
      <w:r>
        <w:rPr>
          <w:sz w:val="20"/>
          <w:szCs w:val="20"/>
          <w:color w:val="auto"/>
        </w:rPr>
        <w:tab/>
      </w:r>
      <w:r>
        <w:rPr>
          <w:rFonts w:ascii="Arial" w:cs="Arial" w:eastAsia="Arial" w:hAnsi="Arial"/>
          <w:sz w:val="18"/>
          <w:szCs w:val="18"/>
          <w:i w:val="1"/>
          <w:iCs w:val="1"/>
          <w:color w:val="auto"/>
        </w:rPr>
        <w:t>Tango Therapeu</w:t>
      </w:r>
      <w:r>
        <w:rPr>
          <w:sz w:val="1"/>
          <w:szCs w:val="1"/>
          <w:color w:val="auto"/>
        </w:rPr>
        <w:drawing>
          <wp:inline distT="0" distB="0" distL="0" distR="0">
            <wp:extent cx="97155" cy="11747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6">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18"/>
          <w:szCs w:val="18"/>
          <w:i w:val="1"/>
          <w:iCs w:val="1"/>
          <w:color w:val="auto"/>
        </w:rPr>
        <w:t>cs, Inc.</w:t>
      </w:r>
    </w:p>
    <w:p>
      <w:pPr>
        <w:spacing w:after="0"/>
        <w:tabs>
          <w:tab w:leader="none" w:pos="4660" w:val="left"/>
        </w:tabs>
        <w:rPr>
          <w:sz w:val="20"/>
          <w:szCs w:val="20"/>
          <w:color w:val="auto"/>
        </w:rPr>
      </w:pPr>
      <w:r>
        <w:rPr>
          <w:rFonts w:ascii="Arial" w:cs="Arial" w:eastAsia="Arial" w:hAnsi="Arial"/>
          <w:sz w:val="22"/>
          <w:szCs w:val="22"/>
          <w:i w:val="1"/>
          <w:iCs w:val="1"/>
          <w:color w:val="auto"/>
        </w:rPr>
        <w:t>101 Seaport Boulevard</w:t>
      </w:r>
      <w:r>
        <w:rPr>
          <w:sz w:val="20"/>
          <w:szCs w:val="20"/>
          <w:color w:val="auto"/>
        </w:rPr>
        <w:tab/>
      </w:r>
      <w:r>
        <w:rPr>
          <w:rFonts w:ascii="Arial" w:cs="Arial" w:eastAsia="Arial" w:hAnsi="Arial"/>
          <w:sz w:val="19"/>
          <w:szCs w:val="19"/>
          <w:i w:val="1"/>
          <w:iCs w:val="1"/>
          <w:color w:val="auto"/>
        </w:rPr>
        <w:t>201 Brookline Avenue, Suite 901</w:t>
      </w:r>
    </w:p>
    <w:p>
      <w:pPr>
        <w:spacing w:after="0" w:line="16" w:lineRule="exact"/>
        <w:rPr>
          <w:sz w:val="20"/>
          <w:szCs w:val="20"/>
          <w:color w:val="auto"/>
        </w:rPr>
      </w:pPr>
    </w:p>
    <w:p>
      <w:pPr>
        <w:spacing w:after="0"/>
        <w:tabs>
          <w:tab w:leader="none" w:pos="4660" w:val="left"/>
        </w:tabs>
        <w:rPr>
          <w:sz w:val="20"/>
          <w:szCs w:val="20"/>
          <w:color w:val="auto"/>
        </w:rPr>
      </w:pPr>
      <w:r>
        <w:rPr>
          <w:rFonts w:ascii="Arial" w:cs="Arial" w:eastAsia="Arial" w:hAnsi="Arial"/>
          <w:sz w:val="22"/>
          <w:szCs w:val="22"/>
          <w:i w:val="1"/>
          <w:iCs w:val="1"/>
          <w:color w:val="auto"/>
        </w:rPr>
        <w:t>Boston, MA 02210</w:t>
      </w:r>
      <w:r>
        <w:rPr>
          <w:sz w:val="20"/>
          <w:szCs w:val="20"/>
          <w:color w:val="auto"/>
        </w:rPr>
        <w:tab/>
      </w:r>
      <w:r>
        <w:rPr>
          <w:rFonts w:ascii="Arial" w:cs="Arial" w:eastAsia="Arial" w:hAnsi="Arial"/>
          <w:sz w:val="19"/>
          <w:szCs w:val="19"/>
          <w:i w:val="1"/>
          <w:iCs w:val="1"/>
          <w:color w:val="auto"/>
        </w:rPr>
        <w:t>Boston, MA 02215</w:t>
      </w:r>
    </w:p>
    <w:p>
      <w:pPr>
        <w:sectPr>
          <w:pgSz w:w="12240" w:h="15840" w:orient="portrait"/>
          <w:cols w:equalWidth="0" w:num="1">
            <w:col w:w="9360"/>
          </w:cols>
          <w:pgMar w:left="1440" w:top="1423" w:right="1440" w:bottom="1440" w:gutter="0" w:footer="0" w:header="0"/>
          <w:type w:val="continuous"/>
        </w:sectPr>
      </w:pPr>
    </w:p>
    <w:p>
      <w:pPr>
        <w:spacing w:after="0" w:line="269" w:lineRule="exact"/>
        <w:rPr>
          <w:sz w:val="20"/>
          <w:szCs w:val="20"/>
          <w:color w:val="auto"/>
        </w:rPr>
      </w:pPr>
    </w:p>
    <w:p>
      <w:pPr>
        <w:ind w:right="440"/>
        <w:spacing w:after="0" w:line="288" w:lineRule="exact"/>
        <w:rPr>
          <w:sz w:val="20"/>
          <w:szCs w:val="20"/>
          <w:color w:val="auto"/>
        </w:rPr>
      </w:pPr>
      <w:r>
        <w:rPr>
          <w:rFonts w:ascii="Arial" w:cs="Arial" w:eastAsia="Arial" w:hAnsi="Arial"/>
          <w:sz w:val="22"/>
          <w:szCs w:val="22"/>
          <w:i w:val="1"/>
          <w:iCs w:val="1"/>
          <w:color w:val="auto"/>
        </w:rPr>
        <w:t>*Biographies of our Directors and Execu</w:t>
      </w:r>
      <w:r>
        <w:rPr>
          <w:sz w:val="1"/>
          <w:szCs w:val="1"/>
          <w:color w:val="auto"/>
        </w:rPr>
        <w:drawing>
          <wp:inline distT="0" distB="0" distL="0" distR="0">
            <wp:extent cx="96520" cy="11747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7">
                      <a:extLst>
                        <a:ext uri="{28A0092B-C50C-407E-A947-70E740481C1C}"/>
                      </a:extLst>
                    </a:blip>
                    <a:srcRect/>
                    <a:stretch>
                      <a:fillRect/>
                    </a:stretch>
                  </pic:blipFill>
                  <pic:spPr bwMode="auto">
                    <a:xfrm>
                      <a:off x="0" y="0"/>
                      <a:ext cx="96520" cy="117475"/>
                    </a:xfrm>
                    <a:prstGeom prst="rect">
                      <a:avLst/>
                    </a:prstGeom>
                    <a:noFill/>
                    <a:ln>
                      <a:noFill/>
                    </a:ln>
                  </pic:spPr>
                </pic:pic>
              </a:graphicData>
            </a:graphic>
          </wp:inline>
        </w:drawing>
      </w:r>
      <w:r>
        <w:rPr>
          <w:rFonts w:ascii="Arial" w:cs="Arial" w:eastAsia="Arial" w:hAnsi="Arial"/>
          <w:sz w:val="22"/>
          <w:szCs w:val="22"/>
          <w:i w:val="1"/>
          <w:iCs w:val="1"/>
          <w:color w:val="auto"/>
        </w:rPr>
        <w:t>ve O</w:t>
      </w:r>
      <w:r>
        <w:rPr>
          <w:sz w:val="1"/>
          <w:szCs w:val="1"/>
          <w:color w:val="auto"/>
        </w:rPr>
        <w:drawing>
          <wp:inline distT="0" distB="0" distL="0" distR="0">
            <wp:extent cx="153670" cy="1460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8">
                      <a:extLst>
                        <a:ext uri="{28A0092B-C50C-407E-A947-70E740481C1C}"/>
                      </a:extLst>
                    </a:blip>
                    <a:srcRect/>
                    <a:stretch>
                      <a:fillRect/>
                    </a:stretch>
                  </pic:blipFill>
                  <pic:spPr bwMode="auto">
                    <a:xfrm>
                      <a:off x="0" y="0"/>
                      <a:ext cx="153670" cy="146050"/>
                    </a:xfrm>
                    <a:prstGeom prst="rect">
                      <a:avLst/>
                    </a:prstGeom>
                    <a:noFill/>
                    <a:ln>
                      <a:noFill/>
                    </a:ln>
                  </pic:spPr>
                </pic:pic>
              </a:graphicData>
            </a:graphic>
          </wp:inline>
        </w:drawing>
      </w:r>
      <w:r>
        <w:rPr>
          <w:rFonts w:ascii="Arial" w:cs="Arial" w:eastAsia="Arial" w:hAnsi="Arial"/>
          <w:sz w:val="22"/>
          <w:szCs w:val="22"/>
          <w:i w:val="1"/>
          <w:iCs w:val="1"/>
          <w:color w:val="auto"/>
        </w:rPr>
        <w:t xml:space="preserve">cers are contained under the headings </w:t>
      </w:r>
      <w:r>
        <w:rPr>
          <w:rFonts w:ascii="PMingLiU" w:cs="PMingLiU" w:eastAsia="PMingLiU" w:hAnsi="PMingLiU"/>
          <w:sz w:val="22"/>
          <w:szCs w:val="22"/>
          <w:i w:val="1"/>
          <w:iCs w:val="1"/>
          <w:color w:val="auto"/>
        </w:rPr>
        <w:t></w:t>
      </w:r>
      <w:r>
        <w:rPr>
          <w:rFonts w:ascii="Arial" w:cs="Arial" w:eastAsia="Arial" w:hAnsi="Arial"/>
          <w:sz w:val="22"/>
          <w:szCs w:val="22"/>
          <w:i w:val="1"/>
          <w:iCs w:val="1"/>
          <w:color w:val="auto"/>
        </w:rPr>
        <w:t>General Informa</w:t>
      </w:r>
      <w:r>
        <w:rPr>
          <w:sz w:val="1"/>
          <w:szCs w:val="1"/>
          <w:color w:val="auto"/>
        </w:rPr>
        <w:drawing>
          <wp:inline distT="0" distB="0" distL="0" distR="0">
            <wp:extent cx="97155" cy="11747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9">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on About Execu</w:t>
      </w:r>
      <w:r>
        <w:rPr>
          <w:sz w:val="1"/>
          <w:szCs w:val="1"/>
          <w:color w:val="auto"/>
        </w:rPr>
        <w:drawing>
          <wp:inline distT="0" distB="0" distL="0" distR="0">
            <wp:extent cx="97155" cy="11747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0">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ve O cers</w:t>
      </w:r>
      <w:r>
        <w:rPr>
          <w:rFonts w:ascii="PMingLiU" w:cs="PMingLiU" w:eastAsia="PMingLiU" w:hAnsi="PMingLiU"/>
          <w:sz w:val="22"/>
          <w:szCs w:val="22"/>
          <w:i w:val="1"/>
          <w:iCs w:val="1"/>
          <w:color w:val="auto"/>
        </w:rPr>
        <w:t></w:t>
      </w:r>
      <w:r>
        <w:rPr>
          <w:rFonts w:ascii="Arial" w:cs="Arial" w:eastAsia="Arial" w:hAnsi="Arial"/>
          <w:sz w:val="22"/>
          <w:szCs w:val="22"/>
          <w:i w:val="1"/>
          <w:iCs w:val="1"/>
          <w:color w:val="auto"/>
        </w:rPr>
        <w:t xml:space="preserve"> and </w:t>
      </w:r>
      <w:r>
        <w:rPr>
          <w:rFonts w:ascii="PMingLiU" w:cs="PMingLiU" w:eastAsia="PMingLiU" w:hAnsi="PMingLiU"/>
          <w:sz w:val="22"/>
          <w:szCs w:val="22"/>
          <w:i w:val="1"/>
          <w:iCs w:val="1"/>
          <w:color w:val="auto"/>
        </w:rPr>
        <w:t></w:t>
      </w:r>
      <w:r>
        <w:rPr>
          <w:rFonts w:ascii="Arial" w:cs="Arial" w:eastAsia="Arial" w:hAnsi="Arial"/>
          <w:sz w:val="22"/>
          <w:szCs w:val="22"/>
          <w:i w:val="1"/>
          <w:iCs w:val="1"/>
          <w:color w:val="auto"/>
        </w:rPr>
        <w:t>General Informa</w:t>
      </w:r>
      <w:r>
        <w:rPr>
          <w:sz w:val="1"/>
          <w:szCs w:val="1"/>
          <w:color w:val="auto"/>
        </w:rPr>
        <w:drawing>
          <wp:inline distT="0" distB="0" distL="0" distR="0">
            <wp:extent cx="97155" cy="11747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1">
                      <a:extLst>
                        <a:ext uri="{28A0092B-C50C-407E-A947-70E740481C1C}"/>
                      </a:extLst>
                    </a:blip>
                    <a:srcRect/>
                    <a:stretch>
                      <a:fillRect/>
                    </a:stretch>
                  </pic:blipFill>
                  <pic:spPr bwMode="auto">
                    <a:xfrm>
                      <a:off x="0" y="0"/>
                      <a:ext cx="97155" cy="117475"/>
                    </a:xfrm>
                    <a:prstGeom prst="rect">
                      <a:avLst/>
                    </a:prstGeom>
                    <a:noFill/>
                    <a:ln>
                      <a:noFill/>
                    </a:ln>
                  </pic:spPr>
                </pic:pic>
              </a:graphicData>
            </a:graphic>
          </wp:inline>
        </w:drawing>
      </w:r>
      <w:r>
        <w:rPr>
          <w:rFonts w:ascii="Arial" w:cs="Arial" w:eastAsia="Arial" w:hAnsi="Arial"/>
          <w:sz w:val="22"/>
          <w:szCs w:val="22"/>
          <w:i w:val="1"/>
          <w:iCs w:val="1"/>
          <w:color w:val="auto"/>
        </w:rPr>
        <w:t>on About the Board of Directors</w:t>
      </w:r>
      <w:r>
        <w:rPr>
          <w:rFonts w:ascii="PMingLiU" w:cs="PMingLiU" w:eastAsia="PMingLiU" w:hAnsi="PMingLiU"/>
          <w:sz w:val="22"/>
          <w:szCs w:val="22"/>
          <w:i w:val="1"/>
          <w:iCs w:val="1"/>
          <w:color w:val="auto"/>
        </w:rPr>
        <w:t></w:t>
      </w:r>
      <w:r>
        <w:rPr>
          <w:rFonts w:ascii="Arial" w:cs="Arial" w:eastAsia="Arial" w:hAnsi="Arial"/>
          <w:sz w:val="22"/>
          <w:szCs w:val="22"/>
          <w:i w:val="1"/>
          <w:iCs w:val="1"/>
          <w:color w:val="auto"/>
        </w:rPr>
        <w:t xml:space="preserve"> in the proxy statement,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-328295</wp:posOffset>
            </wp:positionV>
            <wp:extent cx="15367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2">
                      <a:extLst>
                        <a:ext uri="{28A0092B-C50C-407E-A947-70E740481C1C}"/>
                      </a:extLst>
                    </a:blip>
                    <a:srcRect/>
                    <a:stretch>
                      <a:fillRect/>
                    </a:stretch>
                  </pic:blipFill>
                  <pic:spPr bwMode="auto">
                    <a:xfrm>
                      <a:off x="0" y="0"/>
                      <a:ext cx="153670" cy="146050"/>
                    </a:xfrm>
                    <a:prstGeom prst="rect">
                      <a:avLst/>
                    </a:prstGeom>
                    <a:noFill/>
                  </pic:spPr>
                </pic:pic>
              </a:graphicData>
            </a:graphic>
          </wp:anchor>
        </w:drawing>
      </w:r>
    </w:p>
    <w:sectPr>
      <w:pgSz w:w="12240" w:h="15840" w:orient="portrait"/>
      <w:cols w:equalWidth="0" w:num="1">
        <w:col w:w="9360"/>
      </w:cols>
      <w:pgMar w:left="1440" w:top="14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Roman"/>
      <w:start w:val="1"/>
    </w:lvl>
  </w:abstractNum>
  <w:abstractNum w:abstractNumId="5">
    <w:nsid w:val="1E7FF521"/>
    <w:multiLevelType w:val="hybridMultilevel"/>
    <w:lvl w:ilvl="0">
      <w:lvlJc w:val="left"/>
      <w:lvlText w:val="x"/>
      <w:numFmt w:val="bullet"/>
      <w:start w:val="1"/>
    </w:lvl>
  </w:abstractNum>
  <w:abstractNum w:abstractNumId="6">
    <w:nsid w:val="7C3DBD3D"/>
    <w:multiLevelType w:val="hybridMultilevel"/>
    <w:lvl w:ilvl="0">
      <w:lvlJc w:val="left"/>
      <w:lvlText w:val="x"/>
      <w:numFmt w:val="bullet"/>
      <w:start w:val="1"/>
    </w:lvl>
  </w:abstractNum>
  <w:abstractNum w:abstractNumId="7">
    <w:nsid w:val="737B8DDC"/>
    <w:multiLevelType w:val="hybridMultilevel"/>
    <w:lvl w:ilvl="0">
      <w:lvlJc w:val="left"/>
      <w:lvlText w:val="x"/>
      <w:numFmt w:val="bullet"/>
      <w:start w:val="1"/>
    </w:lvl>
  </w:abstractNum>
  <w:abstractNum w:abstractNumId="8">
    <w:nsid w:val="6CEAF087"/>
    <w:multiLevelType w:val="hybridMultilevel"/>
    <w:lvl w:ilvl="0">
      <w:lvlJc w:val="left"/>
      <w:lvlText w:val="x"/>
      <w:numFmt w:val="bullet"/>
      <w:start w:val="1"/>
    </w:lvl>
  </w:abstractNum>
  <w:abstractNum w:abstractNumId="9">
    <w:nsid w:val="22221A70"/>
    <w:multiLevelType w:val="hybridMultilevel"/>
    <w:lvl w:ilvl="0">
      <w:lvlJc w:val="left"/>
      <w:lvlText w:val="x"/>
      <w:numFmt w:val="bullet"/>
      <w:start w:val="1"/>
    </w:lvl>
  </w:abstractNum>
  <w:abstractNum w:abstractNumId="10">
    <w:nsid w:val="4516DDE9"/>
    <w:multiLevelType w:val="hybridMultilevel"/>
    <w:lvl w:ilvl="0">
      <w:lvlJc w:val="left"/>
      <w:lvlText w:val="x"/>
      <w:numFmt w:val="bullet"/>
      <w:start w:val="1"/>
    </w:lvl>
  </w:abstractNum>
  <w:abstractNum w:abstractNumId="11">
    <w:nsid w:val="3006C83E"/>
    <w:multiLevelType w:val="hybridMultilevel"/>
    <w:lvl w:ilvl="0">
      <w:lvlJc w:val="left"/>
      <w:lvlText w:val="x"/>
      <w:numFmt w:val="bullet"/>
      <w:start w:val="1"/>
    </w:lvl>
  </w:abstractNum>
  <w:abstractNum w:abstractNumId="12">
    <w:nsid w:val="614FD4A1"/>
    <w:multiLevelType w:val="hybridMultilevel"/>
    <w:lvl w:ilvl="0">
      <w:lvlJc w:val="left"/>
      <w:lvlText w:val="x"/>
      <w:numFmt w:val="bullet"/>
      <w:start w:val="1"/>
    </w:lvl>
  </w:abstractNum>
  <w:abstractNum w:abstractNumId="13">
    <w:nsid w:val="419AC241"/>
    <w:multiLevelType w:val="hybridMultilevel"/>
    <w:lvl w:ilvl="0">
      <w:lvlJc w:val="left"/>
      <w:lvlText w:val="x"/>
      <w:numFmt w:val="bullet"/>
      <w:start w:val="1"/>
    </w:lvl>
  </w:abstractNum>
  <w:abstractNum w:abstractNumId="14">
    <w:nsid w:val="5577F8E1"/>
    <w:multiLevelType w:val="hybridMultilevel"/>
    <w:lvl w:ilvl="0">
      <w:lvlJc w:val="left"/>
      <w:lvlText w:val="x"/>
      <w:numFmt w:val="bullet"/>
      <w:start w:val="1"/>
    </w:lvl>
  </w:abstractNum>
  <w:abstractNum w:abstractNumId="15">
    <w:nsid w:val="440BADFC"/>
    <w:multiLevelType w:val="hybridMultilevel"/>
    <w:lvl w:ilvl="0">
      <w:lvlJc w:val="left"/>
      <w:lvlText w:val="x"/>
      <w:numFmt w:val="bullet"/>
      <w:start w:val="1"/>
    </w:lvl>
  </w:abstractNum>
  <w:abstractNum w:abstractNumId="16">
    <w:nsid w:val="5072367"/>
    <w:multiLevelType w:val="hybridMultilevel"/>
    <w:lvl w:ilvl="0">
      <w:lvlJc w:val="left"/>
      <w:lvlText w:val="R"/>
      <w:numFmt w:val="bullet"/>
      <w:start w:val="1"/>
    </w:lvl>
  </w:abstractNum>
  <w:abstractNum w:abstractNumId="17">
    <w:nsid w:val="3804823E"/>
    <w:multiLevelType w:val="hybridMultilevel"/>
    <w:lvl w:ilvl="0">
      <w:lvlJc w:val="left"/>
      <w:lvlText w:val="x"/>
      <w:numFmt w:val="bullet"/>
      <w:start w:val="1"/>
    </w:lvl>
  </w:abstractNum>
  <w:abstractNum w:abstractNumId="18">
    <w:nsid w:val="77465F01"/>
    <w:multiLevelType w:val="hybridMultilevel"/>
    <w:lvl w:ilvl="0">
      <w:lvlJc w:val="left"/>
      <w:lvlText w:val="x"/>
      <w:numFmt w:val="bullet"/>
      <w:start w:val="1"/>
    </w:lvl>
  </w:abstractNum>
  <w:abstractNum w:abstractNumId="19">
    <w:nsid w:val="7724C67E"/>
    <w:multiLevelType w:val="hybridMultilevel"/>
    <w:lvl w:ilvl="0">
      <w:lvlJc w:val="left"/>
      <w:lvlText w:val="x"/>
      <w:numFmt w:val="bullet"/>
      <w:start w:val="1"/>
    </w:lvl>
  </w:abstractNum>
  <w:abstractNum w:abstractNumId="20">
    <w:nsid w:val="5C482A97"/>
    <w:multiLevelType w:val="hybridMultilevel"/>
    <w:lvl w:ilvl="0">
      <w:lvlJc w:val="left"/>
      <w:lvlText w:val="x"/>
      <w:numFmt w:val="bullet"/>
      <w:start w:val="1"/>
    </w:lvl>
  </w:abstractNum>
  <w:abstractNum w:abstractNumId="21">
    <w:nsid w:val="2463B9EA"/>
    <w:multiLevelType w:val="hybridMultilevel"/>
    <w:lvl w:ilvl="0">
      <w:lvlJc w:val="left"/>
      <w:lvlText w:val="x"/>
      <w:numFmt w:val="bullet"/>
      <w:start w:val="1"/>
    </w:lvl>
  </w:abstractNum>
  <w:abstractNum w:abstractNumId="22">
    <w:nsid w:val="5E884ADC"/>
    <w:multiLevelType w:val="hybridMultilevel"/>
    <w:lvl w:ilvl="0">
      <w:lvlJc w:val="left"/>
      <w:lvlText w:val="x"/>
      <w:numFmt w:val="bullet"/>
      <w:start w:val="1"/>
    </w:lvl>
  </w:abstractNum>
  <w:abstractNum w:abstractNumId="23">
    <w:nsid w:val="51EAD36B"/>
    <w:multiLevelType w:val="hybridMultilevel"/>
    <w:lvl w:ilvl="0">
      <w:lvlJc w:val="left"/>
      <w:lvlText w:val="x"/>
      <w:numFmt w:val="bullet"/>
      <w:start w:val="1"/>
    </w:lvl>
  </w:abstractNum>
  <w:abstractNum w:abstractNumId="24">
    <w:nsid w:val="2D517796"/>
    <w:multiLevelType w:val="hybridMultilevel"/>
    <w:lvl w:ilvl="0">
      <w:lvlJc w:val="left"/>
      <w:lvlText w:val="x"/>
      <w:numFmt w:val="bullet"/>
      <w:start w:val="1"/>
    </w:lvl>
  </w:abstractNum>
  <w:abstractNum w:abstractNumId="25">
    <w:nsid w:val="580BD78F"/>
    <w:multiLevelType w:val="hybridMultilevel"/>
    <w:lvl w:ilvl="0">
      <w:lvlJc w:val="left"/>
      <w:lvlText w:val="x"/>
      <w:numFmt w:val="bullet"/>
      <w:start w:val="1"/>
    </w:lvl>
  </w:abstractNum>
  <w:abstractNum w:abstractNumId="26">
    <w:nsid w:val="153EA438"/>
    <w:multiLevelType w:val="hybridMultilevel"/>
    <w:lvl w:ilvl="0">
      <w:lvlJc w:val="left"/>
      <w:lvlText w:val="x"/>
      <w:numFmt w:val="bullet"/>
      <w:start w:val="1"/>
    </w:lvl>
  </w:abstractNum>
  <w:abstractNum w:abstractNumId="27">
    <w:nsid w:val="3855585C"/>
    <w:multiLevelType w:val="hybridMultilevel"/>
    <w:lvl w:ilvl="0">
      <w:lvlJc w:val="left"/>
      <w:lvlText w:val="x"/>
      <w:numFmt w:val="bullet"/>
      <w:start w:val="1"/>
    </w:lvl>
  </w:abstractNum>
  <w:abstractNum w:abstractNumId="28">
    <w:nsid w:val="70A64E2A"/>
    <w:multiLevelType w:val="hybridMultilevel"/>
    <w:lvl w:ilvl="0">
      <w:lvlJc w:val="left"/>
      <w:lvlText w:val="x"/>
      <w:numFmt w:val="bullet"/>
      <w:start w:val="1"/>
    </w:lvl>
  </w:abstractNum>
  <w:abstractNum w:abstractNumId="29">
    <w:nsid w:val="6A2342EC"/>
    <w:multiLevelType w:val="hybridMultilevel"/>
    <w:lvl w:ilvl="0">
      <w:lvlJc w:val="left"/>
      <w:lvlText w:val="x"/>
      <w:numFmt w:val="bullet"/>
      <w:start w:val="1"/>
    </w:lvl>
  </w:abstractNum>
  <w:abstractNum w:abstractNumId="30">
    <w:nsid w:val="2A487CB0"/>
    <w:multiLevelType w:val="hybridMultilevel"/>
    <w:lvl w:ilvl="0">
      <w:lvlJc w:val="left"/>
      <w:lvlText w:val="x"/>
      <w:numFmt w:val="bullet"/>
      <w:start w:val="1"/>
    </w:lvl>
  </w:abstractNum>
  <w:abstractNum w:abstractNumId="31">
    <w:nsid w:val="1D4ED43B"/>
    <w:multiLevelType w:val="hybridMultilevel"/>
    <w:lvl w:ilvl="0">
      <w:lvlJc w:val="left"/>
      <w:lvlText w:val="x"/>
      <w:numFmt w:val="bullet"/>
      <w:start w:val="1"/>
    </w:lvl>
  </w:abstractNum>
  <w:abstractNum w:abstractNumId="32">
    <w:nsid w:val="725A06FB"/>
    <w:multiLevelType w:val="hybridMultilevel"/>
    <w:lvl w:ilvl="0">
      <w:lvlJc w:val="left"/>
      <w:lvlText w:val="x"/>
      <w:numFmt w:val="bullet"/>
      <w:start w:val="1"/>
    </w:lvl>
  </w:abstractNum>
  <w:abstractNum w:abstractNumId="33">
    <w:nsid w:val="2CD89A32"/>
    <w:multiLevelType w:val="hybridMultilevel"/>
    <w:lvl w:ilvl="0">
      <w:lvlJc w:val="left"/>
      <w:lvlText w:val="x"/>
      <w:numFmt w:val="bullet"/>
      <w:start w:val="1"/>
    </w:lvl>
  </w:abstractNum>
  <w:abstractNum w:abstractNumId="34">
    <w:nsid w:val="57E4CCAF"/>
    <w:multiLevelType w:val="hybridMultilevel"/>
    <w:lvl w:ilvl="0">
      <w:lvlJc w:val="left"/>
      <w:lvlText w:val="x"/>
      <w:numFmt w:val="bullet"/>
      <w:start w:val="1"/>
    </w:lvl>
  </w:abstractNum>
  <w:abstractNum w:abstractNumId="35">
    <w:nsid w:val="7A6D8D3C"/>
    <w:multiLevelType w:val="hybridMultilevel"/>
    <w:lvl w:ilvl="0">
      <w:lvlJc w:val="left"/>
      <w:lvlText w:val="x"/>
      <w:numFmt w:val="bullet"/>
      <w:start w:val="1"/>
    </w:lvl>
  </w:abstractNum>
  <w:abstractNum w:abstractNumId="36">
    <w:nsid w:val="4B588F54"/>
    <w:multiLevelType w:val="hybridMultilevel"/>
    <w:lvl w:ilvl="0">
      <w:lvlJc w:val="left"/>
      <w:lvlText w:val="x"/>
      <w:numFmt w:val="bullet"/>
      <w:start w:val="1"/>
    </w:lvl>
  </w:abstractNum>
  <w:abstractNum w:abstractNumId="37">
    <w:nsid w:val="542289EC"/>
    <w:multiLevelType w:val="hybridMultilevel"/>
    <w:lvl w:ilvl="0">
      <w:lvlJc w:val="left"/>
      <w:lvlText w:val="x"/>
      <w:numFmt w:val="bullet"/>
      <w:start w:val="1"/>
    </w:lvl>
  </w:abstractNum>
  <w:abstractNum w:abstractNumId="38">
    <w:nsid w:val="6DE91B18"/>
    <w:multiLevelType w:val="hybridMultilevel"/>
    <w:lvl w:ilvl="0">
      <w:lvlJc w:val="left"/>
      <w:lvlText w:val="x"/>
      <w:numFmt w:val="bullet"/>
      <w:start w:val="1"/>
    </w:lvl>
  </w:abstractNum>
  <w:abstractNum w:abstractNumId="39">
    <w:nsid w:val="38437FDB"/>
    <w:multiLevelType w:val="hybridMultilevel"/>
    <w:lvl w:ilvl="0">
      <w:lvlJc w:val="left"/>
      <w:lvlText w:val="x"/>
      <w:numFmt w:val="bullet"/>
      <w:start w:val="1"/>
    </w:lvl>
  </w:abstractNum>
  <w:abstractNum w:abstractNumId="40">
    <w:nsid w:val="7644A45C"/>
    <w:multiLevelType w:val="hybridMultilevel"/>
    <w:lvl w:ilvl="0">
      <w:lvlJc w:val="left"/>
      <w:lvlText w:val="x"/>
      <w:numFmt w:val="bullet"/>
      <w:start w:val="1"/>
    </w:lvl>
  </w:abstractNum>
  <w:abstractNum w:abstractNumId="41">
    <w:nsid w:val="32FFF902"/>
    <w:multiLevelType w:val="hybridMultilevel"/>
    <w:lvl w:ilvl="0">
      <w:lvlJc w:val="left"/>
      <w:lvlText w:val="x"/>
      <w:numFmt w:val="bullet"/>
      <w:start w:val="1"/>
    </w:lvl>
  </w:abstractNum>
  <w:abstractNum w:abstractNumId="42">
    <w:nsid w:val="684A481A"/>
    <w:multiLevelType w:val="hybridMultilevel"/>
    <w:lvl w:ilvl="0">
      <w:lvlJc w:val="left"/>
      <w:lvlText w:val="x"/>
      <w:numFmt w:val="bullet"/>
      <w:start w:val="1"/>
    </w:lvl>
  </w:abstractNum>
  <w:abstractNum w:abstractNumId="43">
    <w:nsid w:val="579478FE"/>
    <w:multiLevelType w:val="hybridMultilevel"/>
    <w:lvl w:ilvl="0">
      <w:lvlJc w:val="left"/>
      <w:lvlText w:val="x"/>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2"/>
    </w:lvl>
  </w:abstractNum>
  <w:abstractNum w:abstractNumId="50">
    <w:nsid w:val="70C6A529"/>
    <w:multiLevelType w:val="hybridMultilevel"/>
    <w:lvl w:ilvl="0">
      <w:lvlJc w:val="left"/>
      <w:lvlText w:val="x"/>
      <w:numFmt w:val="bullet"/>
      <w:start w:val="1"/>
    </w:lvl>
  </w:abstractNum>
  <w:abstractNum w:abstractNumId="51">
    <w:nsid w:val="520EEDD1"/>
    <w:multiLevelType w:val="hybridMultilevel"/>
    <w:lvl w:ilvl="0">
      <w:lvlJc w:val="left"/>
      <w:lvlText w:val="x"/>
      <w:numFmt w:val="bullet"/>
      <w:start w:val="1"/>
    </w:lvl>
  </w:abstractNum>
  <w:abstractNum w:abstractNumId="52">
    <w:nsid w:val="374A3FE6"/>
    <w:multiLevelType w:val="hybridMultilevel"/>
    <w:lvl w:ilvl="0">
      <w:lvlJc w:val="left"/>
      <w:lvlText w:val="%1."/>
      <w:numFmt w:val="decimal"/>
      <w:start w:val="6"/>
    </w:lvl>
  </w:abstractNum>
  <w:abstractNum w:abstractNumId="53">
    <w:nsid w:val="4F4EF005"/>
    <w:multiLevelType w:val="hybridMultilevel"/>
    <w:lvl w:ilvl="0">
      <w:lvlJc w:val="left"/>
      <w:lvlText w:val="%1."/>
      <w:numFmt w:val="decimal"/>
      <w:start w:val="8"/>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2026-04-17T06:47:50Z</dcterms:created>
  <dcterms:modified xsi:type="dcterms:W3CDTF">2026-04-17T06:47:50Z</dcterms:modified>
</cp:coreProperties>
</file>