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0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003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Crystal Adam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TANGO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BROOKLINE AVE., SUITE 901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Tango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TNGX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1037"/>
        <w:spacing w:after="0"/>
        <w:rPr>
          <w:sz w:val="20"/>
          <w:szCs w:val="20"/>
          <w:color w:val="auto"/>
        </w:rPr>
      </w:pPr>
      <w:r>
        <w:rPr>
          <w:rFonts w:ascii="Times New Roman" w:cs="Times New Roman" w:eastAsia="Times New Roman" w:hAnsi="Times New Roman"/>
          <w:sz w:val="17"/>
          <w:szCs w:val="17"/>
          <w:color w:val="0000FF"/>
        </w:rPr>
        <w:t>President, R&amp;D</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ind w:left="2"/>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02215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120,743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3,900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22.2617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116,843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22.9882</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115,743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1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2.91</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11/02/2026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5,000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02/03/2035</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20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9"/>
              </w:rPr>
              <w:t>313,090</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June 10, 2026.</w:t>
      </w:r>
    </w:p>
    <w:p>
      <w:pPr>
        <w:spacing w:after="0" w:line="45" w:lineRule="exact"/>
        <w:rPr>
          <w:rFonts w:ascii="Times New Roman" w:cs="Times New Roman" w:eastAsia="Times New Roman" w:hAnsi="Times New Roman"/>
          <w:sz w:val="13"/>
          <w:szCs w:val="13"/>
          <w:color w:val="008000"/>
        </w:rPr>
      </w:pPr>
    </w:p>
    <w:p>
      <w:pPr>
        <w:ind w:left="40" w:right="5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$21.83 to $22.8299 per share. Full information regarding the number of shares sold at each price shall be provided upon request to the staff of the U.S. Securities and Exchange Commission, the Issuer, or a security holder of the Issuer.</w:t>
      </w:r>
    </w:p>
    <w:p>
      <w:pPr>
        <w:spacing w:after="0" w:line="16" w:lineRule="exact"/>
        <w:rPr>
          <w:rFonts w:ascii="Times New Roman" w:cs="Times New Roman" w:eastAsia="Times New Roman" w:hAnsi="Times New Roman"/>
          <w:sz w:val="13"/>
          <w:szCs w:val="13"/>
          <w:color w:val="008000"/>
        </w:rPr>
      </w:pPr>
    </w:p>
    <w:p>
      <w:pPr>
        <w:ind w:left="40" w:right="5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$22.84 to $23.8399 per share. Full information regarding the number of shares sold at each price shall be provided upon request to the staff of the U.S. Securities and Exchange Commission, the Issuer, or a security holder of the Issuer.</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over a four-year period, at a rate of 25% on January 1, 2026, with the remaining option shares vesting in 36 equal monthly installments thereafter.</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Julie Fogarty, as attorney-in- </w:t>
      </w:r>
      <w:r>
        <w:rPr>
          <w:rFonts w:ascii="Times New Roman" w:cs="Times New Roman" w:eastAsia="Times New Roman" w:hAnsi="Times New Roman"/>
          <w:sz w:val="33"/>
          <w:szCs w:val="33"/>
          <w:color w:val="0000FF"/>
          <w:vertAlign w:val="subscript"/>
        </w:rPr>
        <w:t>11/04/2026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60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065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5445"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2026-11-04T18:36:08Z</dcterms:created>
  <dcterms:modified xsi:type="dcterms:W3CDTF">2026-11-04T18:36:08Z</dcterms:modified>
</cp:coreProperties>
</file>