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TANGO THERAPEUTICS,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4166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16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TANGO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201 BROOKLINE AVENUE, SUITE 901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8"/>
        </w:rPr>
        <w:t>BOSTON, MA 02215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V90761-P50670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4878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-71120</wp:posOffset>
            </wp:positionV>
            <wp:extent cx="771525" cy="774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8"/>
        </w:rPr>
        <w:t>You invested in TANGO THERAPEUTICS,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20" w:right="48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Important Notice Regarding the Availability of</w:t>
      </w:r>
      <w:r>
        <w:rPr>
          <w:rFonts w:ascii="Arial" w:cs="Arial" w:eastAsia="Arial" w:hAnsi="Arial"/>
          <w:sz w:val="18"/>
          <w:szCs w:val="18"/>
          <w:color w:val="004878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Proxy Materials for the Shareholder Meeting to Be Held on June 4, 2026.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8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View the Notice and Proxy Statement and Annual Report online at www.ProxyVote.com OR you can receive a free paper or email copy of the material(s) by requesting them prior to May 21, 2026.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143510</wp:posOffset>
            </wp:positionV>
            <wp:extent cx="7089140" cy="254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254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940"/>
          </w:cols>
          <w:pgMar w:left="440" w:top="1440" w:right="519" w:bottom="1440" w:gutter="0" w:footer="0" w:header="0"/>
        </w:sectPr>
      </w:pPr>
    </w:p>
    <w:bookmarkStart w:id="2" w:name="page3"/>
    <w:bookmarkEnd w:id="2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147320</wp:posOffset>
            </wp:positionV>
            <wp:extent cx="6995160" cy="431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8"/>
        </w:rPr>
        <w:t>THIS IS NOT A VOTABLE BALLOT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This is an overview of the proposals being presented at the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upcoming shareholder meeting. Please follow the instructions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on the reverse side to vote on these important matters.</w:t>
      </w:r>
    </w:p>
    <w:p>
      <w:pPr>
        <w:sectPr>
          <w:pgSz w:w="11900" w:h="16838" w:orient="portrait"/>
          <w:cols w:equalWidth="0" w:num="1">
            <w:col w:w="11044"/>
          </w:cols>
          <w:pgMar w:left="436" w:top="259" w:right="4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4878"/>
        </w:rPr>
        <w:t>  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19685</wp:posOffset>
            </wp:positionV>
            <wp:extent cx="6995160" cy="42348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3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Recommends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64" w:space="720"/>
            <w:col w:w="1060"/>
          </w:cols>
          <w:pgMar w:left="436" w:top="259" w:right="419" w:bottom="1440" w:gutter="0" w:footer="0" w:header="0"/>
          <w:type w:val="continuous"/>
        </w:sectPr>
      </w:pPr>
    </w:p>
    <w:p>
      <w:pPr>
        <w:ind w:left="84" w:hanging="84"/>
        <w:spacing w:after="0"/>
        <w:tabs>
          <w:tab w:leader="none" w:pos="84" w:val="left"/>
        </w:tabs>
        <w:numPr>
          <w:ilvl w:val="0"/>
          <w:numId w:val="6"/>
        </w:numPr>
        <w:rPr>
          <w:rFonts w:ascii="Arial" w:cs="Arial" w:eastAsia="Arial" w:hAnsi="Arial"/>
          <w:sz w:val="16"/>
          <w:szCs w:val="16"/>
          <w:color w:val="004878"/>
        </w:rPr>
      </w:pPr>
      <w:r>
        <w:rPr>
          <w:rFonts w:ascii="Arial" w:cs="Arial" w:eastAsia="Arial" w:hAnsi="Arial"/>
          <w:sz w:val="16"/>
          <w:szCs w:val="16"/>
          <w:color w:val="004878"/>
        </w:rPr>
        <w:t>1.   Election of Class II Directors</w:t>
      </w:r>
    </w:p>
    <w:p>
      <w:pPr>
        <w:spacing w:after="0" w:line="72" w:lineRule="exact"/>
        <w:rPr>
          <w:rFonts w:ascii="Arial" w:cs="Arial" w:eastAsia="Arial" w:hAnsi="Arial"/>
          <w:sz w:val="16"/>
          <w:szCs w:val="16"/>
          <w:color w:val="004878"/>
        </w:rPr>
      </w:pPr>
    </w:p>
    <w:p>
      <w:pPr>
        <w:ind w:left="544"/>
        <w:spacing w:after="0"/>
        <w:rPr>
          <w:rFonts w:ascii="Arial" w:cs="Arial" w:eastAsia="Arial" w:hAnsi="Arial"/>
          <w:sz w:val="16"/>
          <w:szCs w:val="16"/>
          <w:color w:val="004878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Company Nominees: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  1a.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shd w:val="clear" w:color="auto" w:fill="F0EFF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20" w:type="dxa"/>
            <w:vAlign w:val="bottom"/>
            <w:tcBorders>
              <w:bottom w:val="single" w:sz="8" w:color="004878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Malte Peters, M.D.</w:t>
            </w:r>
          </w:p>
        </w:tc>
        <w:tc>
          <w:tcPr>
            <w:tcW w:w="67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20" w:type="dxa"/>
            <w:vAlign w:val="bottom"/>
            <w:tcBorders>
              <w:bottom w:val="single" w:sz="8" w:color="00487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  1b.</w:t>
            </w:r>
          </w:p>
        </w:tc>
        <w:tc>
          <w:tcPr>
            <w:tcW w:w="26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Kanishka Pothula</w:t>
            </w:r>
          </w:p>
        </w:tc>
        <w:tc>
          <w:tcPr>
            <w:tcW w:w="67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20" w:type="dxa"/>
            <w:vAlign w:val="bottom"/>
            <w:tcBorders>
              <w:bottom w:val="single" w:sz="8" w:color="00487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  1c.</w:t>
            </w:r>
          </w:p>
        </w:tc>
        <w:tc>
          <w:tcPr>
            <w:tcW w:w="26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Mace Rothenberg, M.D.</w:t>
            </w:r>
          </w:p>
        </w:tc>
        <w:tc>
          <w:tcPr>
            <w:tcW w:w="678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  2.</w:t>
            </w:r>
          </w:p>
        </w:tc>
        <w:tc>
          <w:tcPr>
            <w:tcW w:w="9440" w:type="dxa"/>
            <w:vAlign w:val="bottom"/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To ratify the selection of PricewaterhouseCoopers LLP as our independent registered public accounting firm for the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40" w:type="dxa"/>
            <w:vAlign w:val="bottom"/>
            <w:gridSpan w:val="2"/>
            <w:vMerge w:val="restart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fiscal year ending December 31, 2026.</w:t>
            </w:r>
          </w:p>
        </w:tc>
        <w:tc>
          <w:tcPr>
            <w:tcW w:w="116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F0EFF7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20" w:type="dxa"/>
            <w:vAlign w:val="bottom"/>
            <w:tcBorders>
              <w:top w:val="single" w:sz="8" w:color="00487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  3.</w:t>
            </w:r>
          </w:p>
        </w:tc>
        <w:tc>
          <w:tcPr>
            <w:tcW w:w="9440" w:type="dxa"/>
            <w:vAlign w:val="bottom"/>
            <w:tcBorders>
              <w:top w:val="single" w:sz="8" w:color="004878"/>
            </w:tcBorders>
            <w:gridSpan w:val="2"/>
            <w:shd w:val="clear" w:color="auto" w:fill="F0EFF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To approve, on a non-binding, advisory basis, the compensation of our named executive officers.</w:t>
            </w:r>
          </w:p>
        </w:tc>
        <w:tc>
          <w:tcPr>
            <w:tcW w:w="116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shd w:val="clear" w:color="auto" w:fill="F0EFF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780" w:type="dxa"/>
            <w:vAlign w:val="bottom"/>
            <w:shd w:val="clear" w:color="auto" w:fill="F0EFF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F0EFF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84" w:right="118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8"/>
        </w:rPr>
        <w:t>The Board of Directors will consider and act upon such other business as may properly come before the meeting or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 xml:space="preserve"> </w:t>
      </w:r>
      <w:r>
        <w:rPr>
          <w:rFonts w:ascii="Arial" w:cs="Arial" w:eastAsia="Arial" w:hAnsi="Arial"/>
          <w:sz w:val="18"/>
          <w:szCs w:val="18"/>
          <w:color w:val="004878"/>
        </w:rPr>
        <w:t>any adjournment or postponement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2518410</wp:posOffset>
            </wp:positionV>
            <wp:extent cx="6995160" cy="1974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4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V90762-P50670</w:t>
      </w:r>
    </w:p>
    <w:sectPr>
      <w:pgSz w:w="11900" w:h="16838" w:orient="portrait"/>
      <w:cols w:equalWidth="0" w:num="1">
        <w:col w:w="11044"/>
      </w:cols>
      <w:pgMar w:left="436" w:top="259" w:right="4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 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2026-04-17T06:44:05Z</dcterms:created>
  <dcterms:modified xsi:type="dcterms:W3CDTF">2026-04-17T06:44:05Z</dcterms:modified>
</cp:coreProperties>
</file>