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BCTG Acquisition Corp.</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 value $0.0001 per share</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05492W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14,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98"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-560070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178435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831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683196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Southpoint Master Fund,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w w:val="81"/>
              </w:rPr>
              <w:t>(b)</w:t>
            </w:r>
          </w:p>
        </w:tc>
        <w:tc>
          <w:tcPr>
            <w:tcW w:w="95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2"/>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5"/>
              </w:rPr>
              <w:t>Number of</w:t>
            </w: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vMerge w:val="restart"/>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520" w:type="dxa"/>
            <w:vAlign w:val="bottom"/>
          </w:tcPr>
          <w:p>
            <w:pPr>
              <w:spacing w:after="0" w:line="244" w:lineRule="exact"/>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10620" w:type="dxa"/>
            <w:vAlign w:val="bottom"/>
            <w:gridSpan w:val="4"/>
          </w:tcPr>
          <w:p>
            <w:pPr>
              <w:ind w:left="80"/>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83"/>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N/A</w:t>
            </w:r>
          </w:p>
        </w:tc>
        <w:tc>
          <w:tcPr>
            <w:tcW w:w="0" w:type="dxa"/>
            <w:vAlign w:val="bottom"/>
          </w:tcPr>
          <w:p>
            <w:pPr>
              <w:spacing w:after="0"/>
              <w:rPr>
                <w:sz w:val="1"/>
                <w:szCs w:val="1"/>
                <w:color w:val="auto"/>
              </w:rPr>
            </w:pPr>
          </w:p>
        </w:tc>
      </w:tr>
      <w:tr>
        <w:trPr>
          <w:trHeight w:val="406"/>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22"/>
                <w:szCs w:val="22"/>
                <w:color w:val="auto"/>
              </w:rPr>
              <w:t>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PN (Limited Partnership)</w:t>
            </w: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2" w:name="page3"/>
    <w:bookmarkEnd w:id="2"/>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831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683196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Southpoint Capital Advisors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w w:val="81"/>
              </w:rPr>
              <w:t>(b)</w:t>
            </w:r>
          </w:p>
        </w:tc>
        <w:tc>
          <w:tcPr>
            <w:tcW w:w="95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2"/>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5"/>
              </w:rPr>
              <w:t>Number of</w:t>
            </w: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vMerge w:val="restart"/>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520" w:type="dxa"/>
            <w:vAlign w:val="bottom"/>
          </w:tcPr>
          <w:p>
            <w:pPr>
              <w:spacing w:after="0" w:line="244" w:lineRule="exact"/>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10620" w:type="dxa"/>
            <w:vAlign w:val="bottom"/>
            <w:gridSpan w:val="4"/>
          </w:tcPr>
          <w:p>
            <w:pPr>
              <w:ind w:left="80"/>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83"/>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N/A</w:t>
            </w:r>
          </w:p>
        </w:tc>
        <w:tc>
          <w:tcPr>
            <w:tcW w:w="0" w:type="dxa"/>
            <w:vAlign w:val="bottom"/>
          </w:tcPr>
          <w:p>
            <w:pPr>
              <w:spacing w:after="0"/>
              <w:rPr>
                <w:sz w:val="1"/>
                <w:szCs w:val="1"/>
                <w:color w:val="auto"/>
              </w:rPr>
            </w:pPr>
          </w:p>
        </w:tc>
      </w:tr>
      <w:tr>
        <w:trPr>
          <w:trHeight w:val="406"/>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22"/>
                <w:szCs w:val="22"/>
                <w:color w:val="auto"/>
              </w:rPr>
              <w:t>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PN (Limited Partnership)</w:t>
            </w: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3" w:name="page4"/>
    <w:bookmarkEnd w:id="3"/>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831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683196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Southpoint Capital Advisors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w w:val="81"/>
              </w:rPr>
              <w:t>(b)</w:t>
            </w:r>
          </w:p>
        </w:tc>
        <w:tc>
          <w:tcPr>
            <w:tcW w:w="95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2"/>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5"/>
              </w:rPr>
              <w:t>Number of</w:t>
            </w: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vMerge w:val="restart"/>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520" w:type="dxa"/>
            <w:vAlign w:val="bottom"/>
          </w:tcPr>
          <w:p>
            <w:pPr>
              <w:spacing w:after="0" w:line="244" w:lineRule="exact"/>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10620" w:type="dxa"/>
            <w:vAlign w:val="bottom"/>
            <w:gridSpan w:val="4"/>
          </w:tcPr>
          <w:p>
            <w:pPr>
              <w:ind w:left="80"/>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83"/>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N/A</w:t>
            </w:r>
          </w:p>
        </w:tc>
        <w:tc>
          <w:tcPr>
            <w:tcW w:w="0" w:type="dxa"/>
            <w:vAlign w:val="bottom"/>
          </w:tcPr>
          <w:p>
            <w:pPr>
              <w:spacing w:after="0"/>
              <w:rPr>
                <w:sz w:val="1"/>
                <w:szCs w:val="1"/>
                <w:color w:val="auto"/>
              </w:rPr>
            </w:pPr>
          </w:p>
        </w:tc>
      </w:tr>
      <w:tr>
        <w:trPr>
          <w:trHeight w:val="406"/>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22"/>
                <w:szCs w:val="22"/>
                <w:color w:val="auto"/>
              </w:rPr>
              <w:t>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OO (Limited Liability Company)</w:t>
            </w: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4" w:name="page5"/>
    <w:bookmarkEnd w:id="4"/>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831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683196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Southpoint GP,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w w:val="81"/>
              </w:rPr>
              <w:t>(b)</w:t>
            </w:r>
          </w:p>
        </w:tc>
        <w:tc>
          <w:tcPr>
            <w:tcW w:w="95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2"/>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5"/>
              </w:rPr>
              <w:t>Number of</w:t>
            </w: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vMerge w:val="restart"/>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520" w:type="dxa"/>
            <w:vAlign w:val="bottom"/>
          </w:tcPr>
          <w:p>
            <w:pPr>
              <w:spacing w:after="0" w:line="244" w:lineRule="exact"/>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10620" w:type="dxa"/>
            <w:vAlign w:val="bottom"/>
            <w:gridSpan w:val="4"/>
          </w:tcPr>
          <w:p>
            <w:pPr>
              <w:ind w:left="80"/>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83"/>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N/A</w:t>
            </w:r>
          </w:p>
        </w:tc>
        <w:tc>
          <w:tcPr>
            <w:tcW w:w="0" w:type="dxa"/>
            <w:vAlign w:val="bottom"/>
          </w:tcPr>
          <w:p>
            <w:pPr>
              <w:spacing w:after="0"/>
              <w:rPr>
                <w:sz w:val="1"/>
                <w:szCs w:val="1"/>
                <w:color w:val="auto"/>
              </w:rPr>
            </w:pPr>
          </w:p>
        </w:tc>
      </w:tr>
      <w:tr>
        <w:trPr>
          <w:trHeight w:val="406"/>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22"/>
                <w:szCs w:val="22"/>
                <w:color w:val="auto"/>
              </w:rPr>
              <w:t>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PN (Limited Partnership)</w:t>
            </w: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5" w:name="page6"/>
    <w:bookmarkEnd w:id="5"/>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831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683196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Southpoint GP,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w w:val="81"/>
              </w:rPr>
              <w:t>(b)</w:t>
            </w:r>
          </w:p>
        </w:tc>
        <w:tc>
          <w:tcPr>
            <w:tcW w:w="95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2"/>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5"/>
              </w:rPr>
              <w:t>Number of</w:t>
            </w: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vMerge w:val="restart"/>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520" w:type="dxa"/>
            <w:vAlign w:val="bottom"/>
          </w:tcPr>
          <w:p>
            <w:pPr>
              <w:spacing w:after="0" w:line="244" w:lineRule="exact"/>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10620" w:type="dxa"/>
            <w:vAlign w:val="bottom"/>
            <w:gridSpan w:val="4"/>
          </w:tcPr>
          <w:p>
            <w:pPr>
              <w:ind w:left="80"/>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83"/>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N/A</w:t>
            </w:r>
          </w:p>
        </w:tc>
        <w:tc>
          <w:tcPr>
            <w:tcW w:w="0" w:type="dxa"/>
            <w:vAlign w:val="bottom"/>
          </w:tcPr>
          <w:p>
            <w:pPr>
              <w:spacing w:after="0"/>
              <w:rPr>
                <w:sz w:val="1"/>
                <w:szCs w:val="1"/>
                <w:color w:val="auto"/>
              </w:rPr>
            </w:pPr>
          </w:p>
        </w:tc>
      </w:tr>
      <w:tr>
        <w:trPr>
          <w:trHeight w:val="406"/>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22"/>
                <w:szCs w:val="22"/>
                <w:color w:val="auto"/>
              </w:rPr>
              <w:t>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OO (Limited Liability Company)</w:t>
            </w: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6" w:name="page7"/>
    <w:bookmarkEnd w:id="6"/>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831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683196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John S. Clark II</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w w:val="81"/>
              </w:rPr>
              <w:t>(b)</w:t>
            </w:r>
          </w:p>
        </w:tc>
        <w:tc>
          <w:tcPr>
            <w:tcW w:w="95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2"/>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5"/>
              </w:rPr>
              <w:t>Number of</w:t>
            </w: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vMerge w:val="restart"/>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520" w:type="dxa"/>
            <w:vAlign w:val="bottom"/>
          </w:tcPr>
          <w:p>
            <w:pPr>
              <w:spacing w:after="0" w:line="244" w:lineRule="exact"/>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4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10620" w:type="dxa"/>
            <w:vAlign w:val="bottom"/>
            <w:gridSpan w:val="4"/>
          </w:tcPr>
          <w:p>
            <w:pPr>
              <w:ind w:left="80"/>
              <w:spacing w:after="0"/>
              <w:rPr>
                <w:sz w:val="20"/>
                <w:szCs w:val="20"/>
                <w:color w:val="auto"/>
              </w:rPr>
            </w:pPr>
            <w:r>
              <w:rPr>
                <w:rFonts w:ascii="Arial" w:cs="Arial" w:eastAsia="Arial" w:hAnsi="Arial"/>
                <w:sz w:val="22"/>
                <w:szCs w:val="22"/>
                <w:color w:val="auto"/>
              </w:rPr>
              <w:t>1,906,380 shares</w:t>
            </w: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83"/>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N/A</w:t>
            </w:r>
          </w:p>
        </w:tc>
        <w:tc>
          <w:tcPr>
            <w:tcW w:w="0" w:type="dxa"/>
            <w:vAlign w:val="bottom"/>
          </w:tcPr>
          <w:p>
            <w:pPr>
              <w:spacing w:after="0"/>
              <w:rPr>
                <w:sz w:val="1"/>
                <w:szCs w:val="1"/>
                <w:color w:val="auto"/>
              </w:rPr>
            </w:pPr>
          </w:p>
        </w:tc>
      </w:tr>
      <w:tr>
        <w:trPr>
          <w:trHeight w:val="406"/>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2"/>
        </w:trPr>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22"/>
                <w:szCs w:val="22"/>
                <w:color w:val="auto"/>
              </w:rPr>
              <w:t>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5"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BCTG Acquisition Corp.</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980" w:right="6619"/>
        <w:spacing w:after="0" w:line="342" w:lineRule="auto"/>
        <w:rPr>
          <w:rFonts w:ascii="Arial" w:cs="Arial" w:eastAsia="Arial" w:hAnsi="Arial"/>
          <w:sz w:val="18"/>
          <w:szCs w:val="18"/>
          <w:color w:val="auto"/>
        </w:rPr>
      </w:pPr>
      <w:r>
        <w:rPr>
          <w:rFonts w:ascii="Arial" w:cs="Arial" w:eastAsia="Arial" w:hAnsi="Arial"/>
          <w:sz w:val="16"/>
          <w:szCs w:val="16"/>
          <w:color w:val="auto"/>
        </w:rPr>
        <w:t>12860 El Camino Real, Suite 300 San Diego, California 92130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rFonts w:ascii="Arial" w:cs="Arial" w:eastAsia="Arial" w:hAnsi="Arial"/>
          <w:sz w:val="18"/>
          <w:szCs w:val="18"/>
          <w:color w:val="auto"/>
        </w:rPr>
      </w:pPr>
    </w:p>
    <w:p>
      <w:pPr>
        <w:ind w:left="980" w:right="6599"/>
        <w:spacing w:after="0" w:line="253" w:lineRule="auto"/>
        <w:rPr>
          <w:rFonts w:ascii="Arial" w:cs="Arial" w:eastAsia="Arial" w:hAnsi="Arial"/>
          <w:sz w:val="18"/>
          <w:szCs w:val="18"/>
          <w:color w:val="auto"/>
        </w:rPr>
      </w:pPr>
      <w:r>
        <w:rPr>
          <w:rFonts w:ascii="Arial" w:cs="Arial" w:eastAsia="Arial" w:hAnsi="Arial"/>
          <w:sz w:val="18"/>
          <w:szCs w:val="18"/>
          <w:color w:val="auto"/>
        </w:rPr>
        <w:t>Southpoint Master Fund, LP Southpoint Capital Advisors LP Southpoint Capital Advisors LLC Southpoint GP, LP Southpoint GP, LLC</w:t>
      </w:r>
    </w:p>
    <w:p>
      <w:pPr>
        <w:spacing w:after="0" w:line="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John S. Clark II</w:t>
      </w:r>
    </w:p>
    <w:p>
      <w:pPr>
        <w:spacing w:after="0" w:line="237"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w:t>
      </w:r>
    </w:p>
    <w:p>
      <w:pPr>
        <w:spacing w:after="0" w:line="140" w:lineRule="exact"/>
        <w:rPr>
          <w:rFonts w:ascii="Arial" w:cs="Arial" w:eastAsia="Arial" w:hAnsi="Arial"/>
          <w:sz w:val="16"/>
          <w:szCs w:val="16"/>
          <w:color w:val="auto"/>
        </w:rPr>
      </w:pPr>
    </w:p>
    <w:p>
      <w:pPr>
        <w:ind w:left="980" w:right="6019"/>
        <w:spacing w:after="0" w:line="277" w:lineRule="auto"/>
        <w:rPr>
          <w:rFonts w:ascii="Arial" w:cs="Arial" w:eastAsia="Arial" w:hAnsi="Arial"/>
          <w:sz w:val="16"/>
          <w:szCs w:val="16"/>
          <w:color w:val="auto"/>
        </w:rPr>
      </w:pPr>
      <w:r>
        <w:rPr>
          <w:rFonts w:ascii="Arial" w:cs="Arial" w:eastAsia="Arial" w:hAnsi="Arial"/>
          <w:sz w:val="18"/>
          <w:szCs w:val="18"/>
          <w:color w:val="auto"/>
        </w:rPr>
        <w:t>1114 Avenue of the Americas, 22nd Floor New York, NY 10036</w:t>
      </w:r>
    </w:p>
    <w:p>
      <w:pPr>
        <w:spacing w:after="0" w:line="197" w:lineRule="exact"/>
        <w:rPr>
          <w:rFonts w:ascii="Arial" w:cs="Arial" w:eastAsia="Arial" w:hAnsi="Arial"/>
          <w:sz w:val="16"/>
          <w:szCs w:val="16"/>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980" w:right="5679"/>
        <w:spacing w:after="0" w:line="269" w:lineRule="auto"/>
        <w:rPr>
          <w:rFonts w:ascii="Arial" w:cs="Arial" w:eastAsia="Arial" w:hAnsi="Arial"/>
          <w:sz w:val="18"/>
          <w:szCs w:val="18"/>
          <w:color w:val="auto"/>
        </w:rPr>
      </w:pPr>
      <w:r>
        <w:rPr>
          <w:rFonts w:ascii="Arial" w:cs="Arial" w:eastAsia="Arial" w:hAnsi="Arial"/>
          <w:sz w:val="17"/>
          <w:szCs w:val="17"/>
          <w:color w:val="auto"/>
        </w:rPr>
        <w:t>Southpoint Master Fund, LP - Cayman Islands Southpoint Capital Advisors LP - Delaware Southpoint Capital Advisors LLC - Delaware Southpoint GP, LP - Delaware</w:t>
      </w:r>
    </w:p>
    <w:p>
      <w:pPr>
        <w:spacing w:after="0" w:line="1" w:lineRule="exact"/>
        <w:rPr>
          <w:rFonts w:ascii="Arial" w:cs="Arial" w:eastAsia="Arial" w:hAnsi="Arial"/>
          <w:sz w:val="18"/>
          <w:szCs w:val="18"/>
          <w:color w:val="auto"/>
        </w:rPr>
      </w:pPr>
    </w:p>
    <w:p>
      <w:pPr>
        <w:jc w:val="both"/>
        <w:ind w:left="980" w:right="6719"/>
        <w:spacing w:after="0" w:line="323" w:lineRule="auto"/>
        <w:rPr>
          <w:rFonts w:ascii="Arial" w:cs="Arial" w:eastAsia="Arial" w:hAnsi="Arial"/>
          <w:sz w:val="18"/>
          <w:szCs w:val="18"/>
          <w:color w:val="auto"/>
        </w:rPr>
      </w:pPr>
      <w:r>
        <w:rPr>
          <w:rFonts w:ascii="Arial" w:cs="Arial" w:eastAsia="Arial" w:hAnsi="Arial"/>
          <w:sz w:val="16"/>
          <w:szCs w:val="16"/>
          <w:color w:val="auto"/>
        </w:rPr>
        <w:t>Southpoint GP, LLC - Delaware John S. Clark II - United States</w:t>
      </w:r>
    </w:p>
    <w:p>
      <w:pPr>
        <w:spacing w:after="0" w:line="165"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52" w:lineRule="exact"/>
        <w:rPr>
          <w:rFonts w:ascii="Arial" w:cs="Arial" w:eastAsia="Arial" w:hAnsi="Arial"/>
          <w:sz w:val="18"/>
          <w:szCs w:val="18"/>
          <w:color w:val="auto"/>
        </w:rPr>
      </w:pPr>
    </w:p>
    <w:p>
      <w:pPr>
        <w:ind w:left="980" w:right="7899" w:hanging="552"/>
        <w:spacing w:after="0" w:line="483" w:lineRule="auto"/>
        <w:tabs>
          <w:tab w:leader="none" w:pos="961"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05492W 103</w:t>
      </w:r>
    </w:p>
    <w:p>
      <w:pPr>
        <w:sectPr>
          <w:pgSz w:w="11900" w:h="16838" w:orient="portrait"/>
          <w:cols w:equalWidth="0" w:num="1">
            <w:col w:w="10019"/>
          </w:cols>
          <w:pgMar w:left="440" w:top="270" w:right="1440" w:bottom="1440" w:gutter="0" w:footer="0" w:header="0"/>
        </w:sectPr>
      </w:pPr>
    </w:p>
    <w:bookmarkStart w:id="8" w:name="page9"/>
    <w:bookmarkEnd w:id="8"/>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117"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117"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117"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117"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100" w:right="340" w:hanging="997"/>
        <w:spacing w:after="0" w:line="223" w:lineRule="exact"/>
        <w:tabs>
          <w:tab w:leader="none" w:pos="161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94" w:lineRule="exact"/>
        <w:rPr>
          <w:rFonts w:ascii="Arial" w:cs="Arial" w:eastAsia="Arial" w:hAnsi="Arial"/>
          <w:sz w:val="18"/>
          <w:szCs w:val="18"/>
          <w:color w:val="auto"/>
        </w:rPr>
      </w:pPr>
    </w:p>
    <w:p>
      <w:pPr>
        <w:ind w:left="1620" w:hanging="517"/>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As of April 23, 2021, the Master Fund owned 1,906,380 shares of Common Stock, which is 8.9% of the Issuer’s outstanding Common Stock. The percentage herein is calculated based on 21,377,250 Common Stock outstanding as of March 31, 2021 as reported by the Issuer in its annual report on Form 10-K filed with the U.S. Securities and Exchange Commission on March 31, 2021.</w:t>
      </w:r>
    </w:p>
    <w:p>
      <w:pPr>
        <w:spacing w:after="0" w:line="211" w:lineRule="exact"/>
        <w:rPr>
          <w:sz w:val="20"/>
          <w:szCs w:val="20"/>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420" w:right="5720"/>
        <w:spacing w:after="0" w:line="268" w:lineRule="auto"/>
        <w:rPr>
          <w:rFonts w:ascii="Arial" w:cs="Arial" w:eastAsia="Arial" w:hAnsi="Arial"/>
          <w:sz w:val="18"/>
          <w:szCs w:val="18"/>
          <w:color w:val="auto"/>
        </w:rPr>
      </w:pPr>
      <w:r>
        <w:rPr>
          <w:rFonts w:ascii="Arial" w:cs="Arial" w:eastAsia="Arial" w:hAnsi="Arial"/>
          <w:sz w:val="17"/>
          <w:szCs w:val="17"/>
          <w:color w:val="auto"/>
        </w:rPr>
        <w:t>Southpoint Master Fund, LP – 1,906,380 shares Southpoint Capital Advisors LP - 1,906,380 shares Southpoint Capital Advisors LLC - 1,906,380 shares Southpoint GP, LP - 1,906,380 shares Southpoint GP, LLC - 1,906,380 shares</w:t>
      </w:r>
    </w:p>
    <w:p>
      <w:pPr>
        <w:spacing w:after="0" w:line="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John S. Clark II - 1,906,380 shares</w:t>
      </w:r>
    </w:p>
    <w:p>
      <w:pPr>
        <w:spacing w:after="0" w:line="237" w:lineRule="exact"/>
        <w:rPr>
          <w:rFonts w:ascii="Arial" w:cs="Arial" w:eastAsia="Arial" w:hAnsi="Arial"/>
          <w:sz w:val="18"/>
          <w:szCs w:val="18"/>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420" w:right="6560"/>
        <w:spacing w:after="0" w:line="253" w:lineRule="auto"/>
        <w:rPr>
          <w:rFonts w:ascii="Arial" w:cs="Arial" w:eastAsia="Arial" w:hAnsi="Arial"/>
          <w:sz w:val="18"/>
          <w:szCs w:val="18"/>
          <w:color w:val="auto"/>
        </w:rPr>
      </w:pPr>
      <w:r>
        <w:rPr>
          <w:rFonts w:ascii="Arial" w:cs="Arial" w:eastAsia="Arial" w:hAnsi="Arial"/>
          <w:sz w:val="18"/>
          <w:szCs w:val="18"/>
          <w:color w:val="auto"/>
        </w:rPr>
        <w:t>Southpoint Master Fund, LP - 8.9% Southpoint Capital Advisors LP - 8.9% Southpoint Capital Advisors LLC - 8.9% Southpoint GP, LP - 8.9% Southpoint GP, LLC - 8.9%</w:t>
      </w:r>
    </w:p>
    <w:p>
      <w:pPr>
        <w:spacing w:after="0" w:line="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John S. Clark II - 8.9%</w:t>
      </w:r>
    </w:p>
    <w:p>
      <w:pPr>
        <w:sectPr>
          <w:pgSz w:w="11900" w:h="16838" w:orient="portrait"/>
          <w:cols w:equalWidth="0" w:num="1">
            <w:col w:w="10940"/>
          </w:cols>
          <w:pgMar w:left="440" w:top="270" w:right="519" w:bottom="1440" w:gutter="0" w:footer="0" w:header="0"/>
        </w:sectPr>
      </w:pPr>
    </w:p>
    <w:bookmarkStart w:id="9" w:name="page10"/>
    <w:bookmarkEnd w:id="9"/>
    <w:p>
      <w:pPr>
        <w:ind w:left="1424" w:hanging="439"/>
        <w:spacing w:after="0"/>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shares as to which such person has: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984" w:right="5860"/>
        <w:spacing w:after="0" w:line="253" w:lineRule="auto"/>
        <w:rPr>
          <w:rFonts w:ascii="Arial" w:cs="Arial" w:eastAsia="Arial" w:hAnsi="Arial"/>
          <w:sz w:val="18"/>
          <w:szCs w:val="18"/>
          <w:color w:val="auto"/>
        </w:rPr>
      </w:pPr>
      <w:r>
        <w:rPr>
          <w:rFonts w:ascii="Arial" w:cs="Arial" w:eastAsia="Arial" w:hAnsi="Arial"/>
          <w:sz w:val="18"/>
          <w:szCs w:val="18"/>
          <w:color w:val="auto"/>
        </w:rPr>
        <w:t>Southpoint Master Fund, LP - 0 shares Southpoint Capital Advisors LP - 0 shares Southpoint Capital Advisors LLC - 0 shares Southpoint GP, LP - 0 shares Southpoint GP, LLC - 0 shares</w:t>
      </w:r>
    </w:p>
    <w:p>
      <w:pPr>
        <w:spacing w:after="0" w:line="3" w:lineRule="exact"/>
        <w:rPr>
          <w:rFonts w:ascii="Arial" w:cs="Arial" w:eastAsia="Arial" w:hAnsi="Arial"/>
          <w:sz w:val="18"/>
          <w:szCs w:val="18"/>
          <w:color w:val="auto"/>
        </w:rPr>
      </w:pPr>
    </w:p>
    <w:p>
      <w:pPr>
        <w:ind w:left="1984"/>
        <w:spacing w:after="0"/>
        <w:rPr>
          <w:rFonts w:ascii="Arial" w:cs="Arial" w:eastAsia="Arial" w:hAnsi="Arial"/>
          <w:sz w:val="18"/>
          <w:szCs w:val="18"/>
          <w:color w:val="auto"/>
        </w:rPr>
      </w:pPr>
      <w:r>
        <w:rPr>
          <w:rFonts w:ascii="Arial" w:cs="Arial" w:eastAsia="Arial" w:hAnsi="Arial"/>
          <w:sz w:val="18"/>
          <w:szCs w:val="18"/>
          <w:color w:val="auto"/>
        </w:rPr>
        <w:t>John S. Clark II - 0 shares</w:t>
      </w:r>
    </w:p>
    <w:p>
      <w:pPr>
        <w:spacing w:after="0" w:line="237" w:lineRule="exact"/>
        <w:rPr>
          <w:rFonts w:ascii="Arial" w:cs="Arial" w:eastAsia="Arial" w:hAnsi="Arial"/>
          <w:sz w:val="18"/>
          <w:szCs w:val="18"/>
          <w:color w:val="auto"/>
        </w:rPr>
      </w:pPr>
    </w:p>
    <w:p>
      <w:pPr>
        <w:ind w:left="1964" w:hanging="533"/>
        <w:spacing w:after="0"/>
        <w:tabs>
          <w:tab w:leader="none" w:pos="1964"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984" w:right="5220"/>
        <w:spacing w:after="0" w:line="268" w:lineRule="auto"/>
        <w:rPr>
          <w:rFonts w:ascii="Arial" w:cs="Arial" w:eastAsia="Arial" w:hAnsi="Arial"/>
          <w:sz w:val="18"/>
          <w:szCs w:val="18"/>
          <w:color w:val="auto"/>
        </w:rPr>
      </w:pPr>
      <w:r>
        <w:rPr>
          <w:rFonts w:ascii="Arial" w:cs="Arial" w:eastAsia="Arial" w:hAnsi="Arial"/>
          <w:sz w:val="17"/>
          <w:szCs w:val="17"/>
          <w:color w:val="auto"/>
        </w:rPr>
        <w:t>Southpoint Master Fund, LP - 1,906,380 shares Southpoint Capital Advisors LP - 1,906,380 shares Southpoint Capital Advisors LLC - 1,906,380 shares Southpoint GP, LP - 1,906,380 shares Southpoint GP, LLC - 1,906,380 shares</w:t>
      </w:r>
    </w:p>
    <w:p>
      <w:pPr>
        <w:spacing w:after="0" w:line="2" w:lineRule="exact"/>
        <w:rPr>
          <w:rFonts w:ascii="Arial" w:cs="Arial" w:eastAsia="Arial" w:hAnsi="Arial"/>
          <w:sz w:val="18"/>
          <w:szCs w:val="18"/>
          <w:color w:val="auto"/>
        </w:rPr>
      </w:pPr>
    </w:p>
    <w:p>
      <w:pPr>
        <w:ind w:left="1984"/>
        <w:spacing w:after="0"/>
        <w:rPr>
          <w:rFonts w:ascii="Arial" w:cs="Arial" w:eastAsia="Arial" w:hAnsi="Arial"/>
          <w:sz w:val="18"/>
          <w:szCs w:val="18"/>
          <w:color w:val="auto"/>
        </w:rPr>
      </w:pPr>
      <w:r>
        <w:rPr>
          <w:rFonts w:ascii="Arial" w:cs="Arial" w:eastAsia="Arial" w:hAnsi="Arial"/>
          <w:sz w:val="18"/>
          <w:szCs w:val="18"/>
          <w:color w:val="auto"/>
        </w:rPr>
        <w:t>John S. Clark II - 1,906,380 shares</w:t>
      </w:r>
    </w:p>
    <w:p>
      <w:pPr>
        <w:spacing w:after="0" w:line="237" w:lineRule="exact"/>
        <w:rPr>
          <w:rFonts w:ascii="Arial" w:cs="Arial" w:eastAsia="Arial" w:hAnsi="Arial"/>
          <w:sz w:val="18"/>
          <w:szCs w:val="18"/>
          <w:color w:val="auto"/>
        </w:rPr>
      </w:pPr>
    </w:p>
    <w:p>
      <w:pPr>
        <w:ind w:left="1964" w:hanging="533"/>
        <w:spacing w:after="0"/>
        <w:tabs>
          <w:tab w:leader="none" w:pos="1964"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984" w:right="5860"/>
        <w:spacing w:after="0" w:line="253" w:lineRule="auto"/>
        <w:rPr>
          <w:rFonts w:ascii="Arial" w:cs="Arial" w:eastAsia="Arial" w:hAnsi="Arial"/>
          <w:sz w:val="18"/>
          <w:szCs w:val="18"/>
          <w:color w:val="auto"/>
        </w:rPr>
      </w:pPr>
      <w:r>
        <w:rPr>
          <w:rFonts w:ascii="Arial" w:cs="Arial" w:eastAsia="Arial" w:hAnsi="Arial"/>
          <w:sz w:val="18"/>
          <w:szCs w:val="18"/>
          <w:color w:val="auto"/>
        </w:rPr>
        <w:t>Southpoint Master Fund, LP - 0 shares Southpoint Capital Advisors LP - 0 shares Southpoint Capital Advisors LLC - 0 shares Southpoint GP, LP - 0 shares Southpoint GP, LLC - 0 shares</w:t>
      </w:r>
    </w:p>
    <w:p>
      <w:pPr>
        <w:spacing w:after="0" w:line="3" w:lineRule="exact"/>
        <w:rPr>
          <w:rFonts w:ascii="Arial" w:cs="Arial" w:eastAsia="Arial" w:hAnsi="Arial"/>
          <w:sz w:val="18"/>
          <w:szCs w:val="18"/>
          <w:color w:val="auto"/>
        </w:rPr>
      </w:pPr>
    </w:p>
    <w:p>
      <w:pPr>
        <w:ind w:left="1984"/>
        <w:spacing w:after="0"/>
        <w:rPr>
          <w:rFonts w:ascii="Arial" w:cs="Arial" w:eastAsia="Arial" w:hAnsi="Arial"/>
          <w:sz w:val="18"/>
          <w:szCs w:val="18"/>
          <w:color w:val="auto"/>
        </w:rPr>
      </w:pPr>
      <w:r>
        <w:rPr>
          <w:rFonts w:ascii="Arial" w:cs="Arial" w:eastAsia="Arial" w:hAnsi="Arial"/>
          <w:sz w:val="18"/>
          <w:szCs w:val="18"/>
          <w:color w:val="auto"/>
        </w:rPr>
        <w:t>John S. Clark II - 0 shares</w:t>
      </w:r>
    </w:p>
    <w:p>
      <w:pPr>
        <w:spacing w:after="0" w:line="237" w:lineRule="exact"/>
        <w:rPr>
          <w:rFonts w:ascii="Arial" w:cs="Arial" w:eastAsia="Arial" w:hAnsi="Arial"/>
          <w:sz w:val="18"/>
          <w:szCs w:val="18"/>
          <w:color w:val="auto"/>
        </w:rPr>
      </w:pPr>
    </w:p>
    <w:p>
      <w:pPr>
        <w:ind w:left="1964" w:hanging="533"/>
        <w:spacing w:after="0"/>
        <w:tabs>
          <w:tab w:leader="none" w:pos="1964"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rFonts w:ascii="Arial" w:cs="Arial" w:eastAsia="Arial" w:hAnsi="Arial"/>
          <w:sz w:val="18"/>
          <w:szCs w:val="18"/>
          <w:color w:val="auto"/>
        </w:rPr>
      </w:pPr>
    </w:p>
    <w:p>
      <w:pPr>
        <w:ind w:left="1984" w:right="5220"/>
        <w:spacing w:after="0" w:line="268" w:lineRule="auto"/>
        <w:rPr>
          <w:rFonts w:ascii="Arial" w:cs="Arial" w:eastAsia="Arial" w:hAnsi="Arial"/>
          <w:sz w:val="18"/>
          <w:szCs w:val="18"/>
          <w:color w:val="auto"/>
        </w:rPr>
      </w:pPr>
      <w:r>
        <w:rPr>
          <w:rFonts w:ascii="Arial" w:cs="Arial" w:eastAsia="Arial" w:hAnsi="Arial"/>
          <w:sz w:val="17"/>
          <w:szCs w:val="17"/>
          <w:color w:val="auto"/>
        </w:rPr>
        <w:t>Southpoint Master Fund, LP - 1,906,380 shares Southpoint Capital Advisors LP - 1,906,380 shares Southpoint Capital Advisors LLC - 1,906,380 shares Southpoint GP, LP - 1,906,380 shares Southpoint GP, LLC - 1,906,380 shares</w:t>
      </w:r>
    </w:p>
    <w:p>
      <w:pPr>
        <w:spacing w:after="0" w:line="2" w:lineRule="exact"/>
        <w:rPr>
          <w:rFonts w:ascii="Arial" w:cs="Arial" w:eastAsia="Arial" w:hAnsi="Arial"/>
          <w:sz w:val="18"/>
          <w:szCs w:val="18"/>
          <w:color w:val="auto"/>
        </w:rPr>
      </w:pPr>
    </w:p>
    <w:p>
      <w:pPr>
        <w:ind w:left="1984"/>
        <w:spacing w:after="0"/>
        <w:rPr>
          <w:rFonts w:ascii="Arial" w:cs="Arial" w:eastAsia="Arial" w:hAnsi="Arial"/>
          <w:sz w:val="18"/>
          <w:szCs w:val="18"/>
          <w:color w:val="auto"/>
        </w:rPr>
      </w:pPr>
      <w:r>
        <w:rPr>
          <w:rFonts w:ascii="Arial" w:cs="Arial" w:eastAsia="Arial" w:hAnsi="Arial"/>
          <w:sz w:val="18"/>
          <w:szCs w:val="18"/>
          <w:color w:val="auto"/>
        </w:rPr>
        <w:t>John S. Clark II - 1,906,380 shares</w:t>
      </w:r>
    </w:p>
    <w:p>
      <w:pPr>
        <w:spacing w:after="0" w:line="116" w:lineRule="exact"/>
        <w:rPr>
          <w:rFonts w:ascii="Arial" w:cs="Arial" w:eastAsia="Arial" w:hAnsi="Arial"/>
          <w:sz w:val="18"/>
          <w:szCs w:val="18"/>
          <w:color w:val="auto"/>
        </w:rPr>
      </w:pPr>
    </w:p>
    <w:p>
      <w:pPr>
        <w:ind w:left="424" w:hanging="424"/>
        <w:spacing w:after="0" w:line="30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managing member of both Southpoint Capital Advisors LLC and Southpoint GP, LLC. Each of the Reporting Persons disclaims beneficial ownership of the shares reported herein.</w:t>
      </w:r>
    </w:p>
    <w:p>
      <w:pPr>
        <w:spacing w:after="0" w:line="30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 w:right="18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6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00"/>
          </w:cols>
          <w:pgMar w:left="440" w:top="270" w:right="55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5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SOUTHPOINT MASTER FUND, LP</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Southpoint GP, LP, its General Partner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Southpoint GP, LLC, its General Partner</w:t>
      </w:r>
    </w:p>
    <w:p>
      <w:pPr>
        <w:spacing w:after="0" w:line="21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SOUTHPOINT CAPITAL ADVISORS LP</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Southpoint Capital Advisors LLC,</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SOUTHPOINT CAPITAL ADVISORS LLC</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SOUTHPOINT GP, LP</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Southpoint GP, LLC,</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SOUTHPOINT GP, LLC</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S. CLARK II</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S. Clark II, individually</w:t>
      </w:r>
    </w:p>
    <w:p>
      <w:pPr>
        <w:sectPr>
          <w:pgSz w:w="11900" w:h="16838" w:orient="portrait"/>
          <w:cols w:equalWidth="0" w:num="1">
            <w:col w:w="10920"/>
          </w:cols>
          <w:pgMar w:left="440" w:top="270" w:right="5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JOINT FILING AGREEMENT</w:t>
      </w:r>
    </w:p>
    <w:p>
      <w:pPr>
        <w:spacing w:after="0" w:line="229" w:lineRule="exact"/>
        <w:rPr>
          <w:sz w:val="20"/>
          <w:szCs w:val="20"/>
          <w:color w:val="auto"/>
        </w:rPr>
      </w:pPr>
    </w:p>
    <w:p>
      <w:pPr>
        <w:ind w:right="760" w:firstLine="440"/>
        <w:spacing w:after="0" w:line="308" w:lineRule="auto"/>
        <w:rPr>
          <w:sz w:val="20"/>
          <w:szCs w:val="20"/>
          <w:color w:val="auto"/>
        </w:rPr>
      </w:pPr>
      <w:r>
        <w:rPr>
          <w:rFonts w:ascii="Arial" w:cs="Arial" w:eastAsia="Arial" w:hAnsi="Arial"/>
          <w:sz w:val="17"/>
          <w:szCs w:val="17"/>
          <w:color w:val="auto"/>
        </w:rPr>
        <w:t>This Joint Filing Agreement, dated as of April 26, 2021, is by and among Southpoint Master Fund, LP, Southpoint Capital Advisors LP, Southpoint Capital Advisors LLC, Southpoint GP, LP, Southpoint GP, LLC and John S. Clark II (collectively, the “Filers”).</w:t>
      </w:r>
    </w:p>
    <w:p>
      <w:pPr>
        <w:spacing w:after="0" w:line="14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13D and/or 13G with respect to Common Stock of BCTG Acquisition Corp. beneficially owned by them from time to time.</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Joint Filing Agreement may be terminated by any of the Filers upon written notice or such lesser period of notice as the Filers may mutually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SOUTHPOINT MASTER FUND,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Southpoint GP,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Southpoint GP, LLC,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SOUTHPOINT CAPITAL ADVISORS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Southpoint Capital Advisors LLC,</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SOUTHPOINT CAPITAL ADVISORS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SOUTHPOINT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Southpoint GP, LLC,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SOUTHPOINT GP,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S. Clark II,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S. Clark II</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2021-04-26T15:54:19Z</dcterms:created>
  <dcterms:modified xsi:type="dcterms:W3CDTF">2021-04-26T15:54:19Z</dcterms:modified>
</cp:coreProperties>
</file>