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59"/>
        <w:spacing w:after="0" w:line="365"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40" w:right="1600" w:hanging="311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85-1195036</w:t>
            </w:r>
          </w:p>
        </w:tc>
      </w:tr>
    </w:tbl>
    <w:p>
      <w:pPr>
        <w:spacing w:after="0" w:line="1" w:lineRule="exact"/>
        <w:rPr>
          <w:sz w:val="24"/>
          <w:szCs w:val="24"/>
          <w:color w:val="auto"/>
        </w:rPr>
      </w:pPr>
    </w:p>
    <w:p>
      <w:pPr>
        <w:sectPr>
          <w:pgSz w:w="11900" w:h="16838" w:orient="portrait"/>
          <w:cols w:equalWidth="0" w:num="1">
            <w:col w:w="11240"/>
          </w:cols>
          <w:pgMar w:left="320" w:top="1307"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02215</w:t>
      </w:r>
    </w:p>
    <w:p>
      <w:pPr>
        <w:spacing w:after="0" w:line="23" w:lineRule="exact"/>
        <w:rPr>
          <w:sz w:val="24"/>
          <w:szCs w:val="24"/>
          <w:color w:val="auto"/>
        </w:rPr>
      </w:pPr>
    </w:p>
    <w:p>
      <w:pPr>
        <w:sectPr>
          <w:pgSz w:w="11900" w:h="16838" w:orient="portrait"/>
          <w:cols w:equalWidth="0" w:num="2">
            <w:col w:w="7220" w:space="720"/>
            <w:col w:w="3300"/>
          </w:cols>
          <w:pgMar w:left="320" w:top="1307"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320-4900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2025, the registrant had 111,260,247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3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40" w:type="dxa"/>
            <w:vAlign w:val="bottom"/>
            <w:tcBorders>
              <w:top w:val="single" w:sz="8" w:color="0000FF"/>
            </w:tcBorders>
            <w:gridSpan w:val="2"/>
          </w:tcPr>
          <w:p>
            <w:pPr>
              <w:spacing w:after="0"/>
              <w:rPr>
                <w:sz w:val="17"/>
                <w:szCs w:val="17"/>
                <w:color w:val="auto"/>
              </w:rPr>
            </w:pPr>
          </w:p>
        </w:tc>
        <w:tc>
          <w:tcPr>
            <w:tcW w:w="38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5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24"/>
                <w:szCs w:val="24"/>
                <w:color w:val="auto"/>
              </w:rPr>
            </w:pPr>
          </w:p>
        </w:tc>
        <w:tc>
          <w:tcPr>
            <w:tcW w:w="74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2024 and this Quarterly Report on Form 10-Q. These risks include, among others, the following (which is not an exhaustive list of all such risks):</w:t>
      </w:r>
    </w:p>
    <w:p>
      <w:pPr>
        <w:spacing w:after="0" w:line="68" w:lineRule="exact"/>
        <w:rPr>
          <w:sz w:val="20"/>
          <w:szCs w:val="20"/>
          <w:color w:val="auto"/>
        </w:rPr>
      </w:pPr>
    </w:p>
    <w:p>
      <w:pPr>
        <w:ind w:left="1020" w:right="220" w:hanging="459"/>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5"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61" w:lineRule="exact"/>
        <w:rPr>
          <w:rFonts w:ascii="Times New Roman" w:cs="Times New Roman" w:eastAsia="Times New Roman" w:hAnsi="Times New Roman"/>
          <w:sz w:val="18"/>
          <w:szCs w:val="18"/>
          <w:color w:val="auto"/>
        </w:rPr>
      </w:pPr>
    </w:p>
    <w:p>
      <w:pPr>
        <w:jc w:val="both"/>
        <w:ind w:left="1020" w:right="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1020" w:right="18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Times New Roman" w:cs="Times New Roman" w:eastAsia="Times New Roman" w:hAnsi="Times New Roman"/>
          <w:sz w:val="18"/>
          <w:szCs w:val="18"/>
          <w:color w:val="auto"/>
        </w:rPr>
      </w:pPr>
    </w:p>
    <w:p>
      <w:pPr>
        <w:ind w:left="1020" w:right="2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5" w:lineRule="exact"/>
        <w:rPr>
          <w:rFonts w:ascii="Times New Roman" w:cs="Times New Roman" w:eastAsia="Times New Roman" w:hAnsi="Times New Roman"/>
          <w:sz w:val="18"/>
          <w:szCs w:val="18"/>
          <w:color w:val="auto"/>
        </w:rPr>
      </w:pPr>
    </w:p>
    <w:p>
      <w:pPr>
        <w:ind w:left="1020" w:right="16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179"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Times New Roman" w:cs="Times New Roman" w:eastAsia="Times New Roman" w:hAnsi="Times New Roman"/>
          <w:sz w:val="18"/>
          <w:szCs w:val="18"/>
          <w:color w:val="auto"/>
        </w:rPr>
      </w:pPr>
    </w:p>
    <w:p>
      <w:pPr>
        <w:ind w:left="1020" w:right="320" w:hanging="445"/>
        <w:spacing w:after="0" w:line="312" w:lineRule="auto"/>
        <w:tabs>
          <w:tab w:leader="none" w:pos="10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39" w:lineRule="exact"/>
        <w:rPr>
          <w:rFonts w:ascii="Times New Roman" w:cs="Times New Roman" w:eastAsia="Times New Roman" w:hAnsi="Times New Roman"/>
          <w:sz w:val="17"/>
          <w:szCs w:val="17"/>
          <w:color w:val="auto"/>
        </w:rPr>
      </w:pPr>
    </w:p>
    <w:p>
      <w:pPr>
        <w:ind w:left="102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9" w:lineRule="exact"/>
        <w:rPr>
          <w:rFonts w:ascii="Times New Roman" w:cs="Times New Roman" w:eastAsia="Times New Roman" w:hAnsi="Times New Roman"/>
          <w:sz w:val="18"/>
          <w:szCs w:val="18"/>
          <w:color w:val="auto"/>
        </w:rPr>
      </w:pPr>
    </w:p>
    <w:p>
      <w:pPr>
        <w:ind w:left="1020" w:right="2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1" w:lineRule="exact"/>
        <w:rPr>
          <w:rFonts w:ascii="Times New Roman" w:cs="Times New Roman" w:eastAsia="Times New Roman" w:hAnsi="Times New Roman"/>
          <w:sz w:val="18"/>
          <w:szCs w:val="18"/>
          <w:color w:val="auto"/>
        </w:rPr>
      </w:pPr>
    </w:p>
    <w:p>
      <w:pPr>
        <w:ind w:left="1020" w:right="5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5" w:lineRule="exact"/>
        <w:rPr>
          <w:rFonts w:ascii="Times New Roman" w:cs="Times New Roman" w:eastAsia="Times New Roman" w:hAnsi="Times New Roman"/>
          <w:sz w:val="18"/>
          <w:szCs w:val="18"/>
          <w:color w:val="auto"/>
        </w:rPr>
      </w:pPr>
    </w:p>
    <w:p>
      <w:pPr>
        <w:ind w:left="1020" w:right="6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20" w:right="16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5" w:lineRule="exact"/>
        <w:rPr>
          <w:rFonts w:ascii="Times New Roman" w:cs="Times New Roman" w:eastAsia="Times New Roman" w:hAnsi="Times New Roman"/>
          <w:sz w:val="18"/>
          <w:szCs w:val="18"/>
          <w:color w:val="auto"/>
        </w:rPr>
      </w:pPr>
    </w:p>
    <w:p>
      <w:pPr>
        <w:ind w:left="1020" w:right="920" w:hanging="459"/>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1020" w:right="8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9" w:lineRule="exact"/>
        <w:rPr>
          <w:rFonts w:ascii="Times New Roman" w:cs="Times New Roman" w:eastAsia="Times New Roman" w:hAnsi="Times New Roman"/>
          <w:sz w:val="18"/>
          <w:szCs w:val="18"/>
          <w:color w:val="auto"/>
        </w:rPr>
      </w:pPr>
    </w:p>
    <w:p>
      <w:pPr>
        <w:ind w:left="1020" w:right="2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183" w:lineRule="exact"/>
        <w:rPr>
          <w:rFonts w:ascii="Times New Roman" w:cs="Times New Roman" w:eastAsia="Times New Roman" w:hAnsi="Times New Roman"/>
          <w:sz w:val="18"/>
          <w:szCs w:val="18"/>
          <w:color w:val="auto"/>
        </w:rPr>
      </w:pPr>
    </w:p>
    <w:p>
      <w:pPr>
        <w:ind w:left="1020" w:right="160" w:hanging="445"/>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7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25" w:lineRule="exact"/>
        <w:rPr>
          <w:rFonts w:ascii="Times New Roman" w:cs="Times New Roman" w:eastAsia="Times New Roman" w:hAnsi="Times New Roman"/>
          <w:sz w:val="18"/>
          <w:szCs w:val="18"/>
          <w:color w:val="auto"/>
        </w:rPr>
      </w:pPr>
    </w:p>
    <w:p>
      <w:pPr>
        <w:ind w:left="1020" w:right="4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20" w:right="80" w:hanging="445"/>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filing a registrational trial for TNG462 in 2026 and the continued enrollment in our TNG462</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ind w:left="445" w:right="140"/>
        <w:spacing w:after="0" w:line="261" w:lineRule="auto"/>
        <w:rPr>
          <w:sz w:val="20"/>
          <w:szCs w:val="20"/>
          <w:color w:val="auto"/>
        </w:rPr>
      </w:pPr>
      <w:r>
        <w:rPr>
          <w:rFonts w:ascii="Times New Roman" w:cs="Times New Roman" w:eastAsia="Times New Roman" w:hAnsi="Times New Roman"/>
          <w:sz w:val="18"/>
          <w:szCs w:val="18"/>
          <w:color w:val="auto"/>
        </w:rPr>
        <w:t>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ongoing TNG462 monotherapy clinical trial and the data from the ongoing TNG260 clinical trial, both expected in the second half of 2025);</w:t>
      </w:r>
    </w:p>
    <w:p>
      <w:pPr>
        <w:spacing w:after="0" w:line="180" w:lineRule="exact"/>
        <w:rPr>
          <w:sz w:val="20"/>
          <w:szCs w:val="20"/>
          <w:color w:val="auto"/>
        </w:rPr>
      </w:pPr>
    </w:p>
    <w:p>
      <w:pPr>
        <w:ind w:left="445" w:right="300" w:hanging="445"/>
        <w:spacing w:after="0" w:line="312" w:lineRule="auto"/>
        <w:tabs>
          <w:tab w:leader="none" w:pos="4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39" w:lineRule="exact"/>
        <w:rPr>
          <w:rFonts w:ascii="Times New Roman" w:cs="Times New Roman" w:eastAsia="Times New Roman" w:hAnsi="Times New Roman"/>
          <w:sz w:val="17"/>
          <w:szCs w:val="17"/>
          <w:color w:val="auto"/>
        </w:rPr>
      </w:pPr>
    </w:p>
    <w:p>
      <w:pPr>
        <w:ind w:left="445" w:right="20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445" w:right="10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1" w:lineRule="exact"/>
        <w:rPr>
          <w:rFonts w:ascii="Times New Roman" w:cs="Times New Roman" w:eastAsia="Times New Roman" w:hAnsi="Times New Roman"/>
          <w:sz w:val="18"/>
          <w:szCs w:val="18"/>
          <w:color w:val="auto"/>
        </w:rPr>
      </w:pPr>
    </w:p>
    <w:p>
      <w:pPr>
        <w:ind w:left="445" w:right="24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the first quarter of 2027);</w:t>
      </w:r>
    </w:p>
    <w:p>
      <w:pPr>
        <w:spacing w:after="0" w:line="175" w:lineRule="exact"/>
        <w:rPr>
          <w:rFonts w:ascii="Times New Roman" w:cs="Times New Roman" w:eastAsia="Times New Roman" w:hAnsi="Times New Roman"/>
          <w:sz w:val="18"/>
          <w:szCs w:val="18"/>
          <w:color w:val="auto"/>
        </w:rPr>
      </w:pPr>
    </w:p>
    <w:p>
      <w:pPr>
        <w:ind w:left="445" w:right="18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TNG462 as a monotherapy or in combination in MTAP-deleted pancreatic and lung cancer;</w:t>
      </w:r>
    </w:p>
    <w:p>
      <w:pPr>
        <w:spacing w:after="0" w:line="17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5" w:lineRule="exact"/>
        <w:rPr>
          <w:rFonts w:ascii="Times New Roman" w:cs="Times New Roman" w:eastAsia="Times New Roman" w:hAnsi="Times New Roman"/>
          <w:sz w:val="18"/>
          <w:szCs w:val="18"/>
          <w:color w:val="auto"/>
        </w:rPr>
      </w:pPr>
    </w:p>
    <w:p>
      <w:pPr>
        <w:ind w:left="445"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445" w:right="1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445" w:right="2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445" w:right="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445" w:right="7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378" w:lineRule="exact"/>
        <w:rPr>
          <w:sz w:val="20"/>
          <w:szCs w:val="20"/>
          <w:color w:val="auto"/>
        </w:rPr>
      </w:pPr>
    </w:p>
    <w:p>
      <w:pPr>
        <w:jc w:val="center"/>
        <w:ind w:right="535"/>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5"/>
          </w:cols>
          <w:pgMar w:left="895" w:top="985" w:right="359" w:bottom="1440" w:gutter="0" w:footer="0" w:header="0"/>
        </w:sectPr>
      </w:pPr>
    </w:p>
    <w:bookmarkStart w:id="5" w:name="page6"/>
    <w:bookmarkEnd w:id="5"/>
    <w:p>
      <w:pPr>
        <w:ind w:left="1020" w:right="240" w:hanging="445"/>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are or may become available;</w:t>
      </w:r>
    </w:p>
    <w:p>
      <w:pPr>
        <w:spacing w:after="0" w:line="17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25" w:lineRule="exact"/>
        <w:rPr>
          <w:rFonts w:ascii="Times New Roman" w:cs="Times New Roman" w:eastAsia="Times New Roman" w:hAnsi="Times New Roman"/>
          <w:sz w:val="18"/>
          <w:szCs w:val="18"/>
          <w:color w:val="auto"/>
        </w:rPr>
      </w:pPr>
    </w:p>
    <w:p>
      <w:pPr>
        <w:ind w:left="1020" w:right="48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right="36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61" w:lineRule="exact"/>
        <w:rPr>
          <w:rFonts w:ascii="Times New Roman" w:cs="Times New Roman" w:eastAsia="Times New Roman" w:hAnsi="Times New Roman"/>
          <w:sz w:val="18"/>
          <w:szCs w:val="18"/>
          <w:color w:val="auto"/>
        </w:rPr>
      </w:pPr>
    </w:p>
    <w:p>
      <w:pPr>
        <w:ind w:left="1020" w:right="6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TNG456 has sufficient brain penetrance to potentially have meaningful efficacy in glioblastoma; and</w:t>
      </w:r>
    </w:p>
    <w:p>
      <w:pPr>
        <w:spacing w:after="0" w:line="161" w:lineRule="exact"/>
        <w:rPr>
          <w:rFonts w:ascii="Times New Roman" w:cs="Times New Roman" w:eastAsia="Times New Roman" w:hAnsi="Times New Roman"/>
          <w:sz w:val="18"/>
          <w:szCs w:val="18"/>
          <w:color w:val="auto"/>
        </w:rPr>
      </w:pPr>
    </w:p>
    <w:p>
      <w:pPr>
        <w:ind w:left="1020" w:right="2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2024. In both cases, see section titled “Risk Factors.”</w:t>
      </w:r>
    </w:p>
    <w:p>
      <w:pPr>
        <w:spacing w:after="0" w:line="378"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2024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2024.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quarter ended June 30, 2025, we use the following defined terms:</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“CNS” means central nervous 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10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“FOCAD” means focadhesin;</w:t>
      </w:r>
    </w:p>
    <w:p>
      <w:pPr>
        <w:spacing w:after="0" w:line="1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quarter ended June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190,100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266,343</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237,890</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Pr>
          <w:p>
            <w:pPr>
              <w:spacing w:after="0"/>
              <w:rPr>
                <w:sz w:val="18"/>
                <w:szCs w:val="18"/>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30,437</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no shares issued and outstanding as of June 30, 2025</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3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and 200,000,000 shares</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June 30, 2025 and December 31, 2024, respectively;</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110,871,249 and 107,729,343 shares issued and outstanding as of</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715,036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700,631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(580,287)</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(501,558)</w:t>
            </w:r>
          </w:p>
        </w:tc>
      </w:tr>
      <w:tr>
        <w:trPr>
          <w:trHeight w:val="210"/>
        </w:trPr>
        <w:tc>
          <w:tcPr>
            <w:tcW w:w="6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134,954</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120" w:type="dxa"/>
            <w:vAlign w:val="bottom"/>
            <w:tcBorders>
              <w:top w:val="single" w:sz="8" w:color="CFF0FC"/>
            </w:tcBorders>
          </w:tcPr>
          <w:p>
            <w:pPr>
              <w:spacing w:after="0"/>
              <w:rPr>
                <w:sz w:val="18"/>
                <w:szCs w:val="18"/>
                <w:color w:val="auto"/>
              </w:rPr>
            </w:pPr>
          </w:p>
        </w:tc>
      </w:tr>
      <w:tr>
        <w:trPr>
          <w:trHeight w:val="250"/>
        </w:trPr>
        <w:tc>
          <w:tcPr>
            <w:tcW w:w="6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237,890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-3505200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-3505200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-2108200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-2108200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r>
      <w:tr>
        <w:trPr>
          <w:trHeight w:val="209"/>
        </w:trPr>
        <w:tc>
          <w:tcPr>
            <w:tcW w:w="4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Pr>
          <w:p>
            <w:pPr>
              <w:spacing w:after="0"/>
              <w:rPr>
                <w:sz w:val="18"/>
                <w:szCs w:val="18"/>
                <w:color w:val="auto"/>
              </w:rPr>
            </w:pPr>
          </w:p>
        </w:tc>
      </w:tr>
      <w:tr>
        <w:trPr>
          <w:trHeight w:val="210"/>
        </w:trPr>
        <w:tc>
          <w:tcPr>
            <w:tcW w:w="4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(83,497)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(71,807)</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8"/>
                <w:szCs w:val="18"/>
                <w:color w:val="auto"/>
              </w:rPr>
            </w:pPr>
          </w:p>
        </w:tc>
      </w:tr>
      <w:tr>
        <w:trPr>
          <w:trHeight w:val="216"/>
        </w:trPr>
        <w:tc>
          <w:tcPr>
            <w:tcW w:w="4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Pr>
          <w:p>
            <w:pPr>
              <w:spacing w:after="0"/>
              <w:rPr>
                <w:sz w:val="18"/>
                <w:szCs w:val="18"/>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(38,818)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(25,486)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(78,660)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(63,360)</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(38,853)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(25,551)</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(78,729)</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(63,465)</w:t>
            </w:r>
          </w:p>
        </w:tc>
      </w:tr>
      <w:tr>
        <w:trPr>
          <w:trHeight w:val="209"/>
        </w:trPr>
        <w:tc>
          <w:tcPr>
            <w:tcW w:w="45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110,540,836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110,494,397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108,692,822</w:t>
            </w:r>
          </w:p>
        </w:tc>
        <w:tc>
          <w:tcPr>
            <w:tcW w:w="100" w:type="dxa"/>
            <w:vAlign w:val="bottom"/>
          </w:tcPr>
          <w:p>
            <w:pPr>
              <w:spacing w:after="0"/>
              <w:rPr>
                <w:sz w:val="20"/>
                <w:szCs w:val="20"/>
                <w:color w:val="auto"/>
              </w:rPr>
            </w:pPr>
          </w:p>
        </w:tc>
      </w:tr>
      <w:tr>
        <w:trPr>
          <w:trHeight w:val="216"/>
        </w:trPr>
        <w:tc>
          <w:tcPr>
            <w:tcW w:w="4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(38,853)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(25,551)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(78,729)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(63,465)</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(38,953)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(25,628)</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(78,971)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(63,985)</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-2974340</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-2974340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-2974340</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-2974340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-2407920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-2407920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-2407920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-2407920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-1851025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-1851025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-1851025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-1851025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-1276350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-1276350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-1276350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-1276350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-24765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-7620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5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560" w:type="dxa"/>
            <w:vAlign w:val="bottom"/>
            <w:tcBorders>
              <w:bottom w:val="single" w:sz="8" w:color="auto"/>
            </w:tcBorders>
            <w:gridSpan w:val="5"/>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jc w:val="right"/>
              <w:ind w:right="64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60" w:type="dxa"/>
            <w:vAlign w:val="bottom"/>
          </w:tcPr>
          <w:p>
            <w:pPr>
              <w:spacing w:after="0"/>
              <w:rPr>
                <w:sz w:val="11"/>
                <w:szCs w:val="11"/>
                <w:color w:val="auto"/>
              </w:rPr>
            </w:pPr>
          </w:p>
        </w:tc>
        <w:tc>
          <w:tcPr>
            <w:tcW w:w="1340" w:type="dxa"/>
            <w:vAlign w:val="bottom"/>
            <w:gridSpan w:val="2"/>
          </w:tcPr>
          <w:p>
            <w:pPr>
              <w:jc w:val="right"/>
              <w:ind w:right="5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100" w:type="dxa"/>
            <w:vAlign w:val="bottom"/>
            <w:tcBorders>
              <w:bottom w:val="single" w:sz="8" w:color="auto"/>
            </w:tcBorders>
          </w:tcPr>
          <w:p>
            <w:pPr>
              <w:ind w:left="38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ind w:right="48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34"/>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74"/>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107,729,343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700,631</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336</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(501,558)</w:t>
            </w:r>
          </w:p>
        </w:tc>
        <w:tc>
          <w:tcPr>
            <w:tcW w:w="220" w:type="dxa"/>
            <w:vAlign w:val="bottom"/>
            <w:tcBorders>
              <w:left w:val="single" w:sz="8" w:color="CFF0FC"/>
            </w:tcBorders>
            <w:shd w:val="clear" w:color="auto" w:fill="CFF0FC"/>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199,517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378,547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7,255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(39,876)</w:t>
            </w:r>
          </w:p>
        </w:tc>
        <w:tc>
          <w:tcPr>
            <w:tcW w:w="220" w:type="dxa"/>
            <w:vAlign w:val="bottom"/>
            <w:tcBorders>
              <w:lef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(39,876)</w:t>
            </w:r>
          </w:p>
        </w:tc>
        <w:tc>
          <w:tcPr>
            <w:tcW w:w="0" w:type="dxa"/>
            <w:vAlign w:val="bottom"/>
          </w:tcPr>
          <w:p>
            <w:pPr>
              <w:spacing w:after="0"/>
              <w:rPr>
                <w:sz w:val="1"/>
                <w:szCs w:val="1"/>
                <w:color w:val="auto"/>
              </w:rPr>
            </w:pPr>
          </w:p>
        </w:tc>
      </w:tr>
      <w:tr>
        <w:trPr>
          <w:trHeight w:val="20"/>
        </w:trPr>
        <w:tc>
          <w:tcPr>
            <w:tcW w:w="266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108,107,890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4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707,888</w:t>
            </w:r>
          </w:p>
        </w:tc>
        <w:tc>
          <w:tcPr>
            <w:tcW w:w="140" w:type="dxa"/>
            <w:vAlign w:val="bottom"/>
          </w:tcPr>
          <w:p>
            <w:pPr>
              <w:spacing w:after="0"/>
              <w:rPr>
                <w:sz w:val="12"/>
                <w:szCs w:val="12"/>
                <w:color w:val="auto"/>
              </w:rPr>
            </w:pPr>
          </w:p>
        </w:tc>
        <w:tc>
          <w:tcPr>
            <w:tcW w:w="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194</w:t>
            </w:r>
          </w:p>
        </w:tc>
        <w:tc>
          <w:tcPr>
            <w:tcW w:w="240" w:type="dxa"/>
            <w:vAlign w:val="bottom"/>
          </w:tcPr>
          <w:p>
            <w:pPr>
              <w:spacing w:after="0"/>
              <w:rPr>
                <w:sz w:val="12"/>
                <w:szCs w:val="12"/>
                <w:color w:val="auto"/>
              </w:rPr>
            </w:pPr>
          </w:p>
        </w:tc>
        <w:tc>
          <w:tcPr>
            <w:tcW w:w="1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(541,434)</w:t>
            </w:r>
          </w:p>
        </w:tc>
        <w:tc>
          <w:tcPr>
            <w:tcW w:w="22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422,873</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580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tcBorders>
              <w:right w:val="single" w:sz="8" w:color="CFF0FC"/>
            </w:tcBorders>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340" w:type="dxa"/>
            <w:vAlign w:val="bottom"/>
            <w:tcBorders>
              <w:right w:val="single" w:sz="8" w:color="CFF0FC"/>
            </w:tcBorders>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1"/>
                <w:szCs w:val="11"/>
                <w:color w:val="auto"/>
              </w:rPr>
            </w:pPr>
          </w:p>
        </w:tc>
        <w:tc>
          <w:tcPr>
            <w:tcW w:w="1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pre-funded stock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2,340,486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(38,853)</w:t>
            </w:r>
          </w:p>
        </w:tc>
        <w:tc>
          <w:tcPr>
            <w:tcW w:w="220" w:type="dxa"/>
            <w:vAlign w:val="bottom"/>
            <w:tcBorders>
              <w:lef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(38,853)</w:t>
            </w:r>
          </w:p>
        </w:tc>
        <w:tc>
          <w:tcPr>
            <w:tcW w:w="0" w:type="dxa"/>
            <w:vAlign w:val="bottom"/>
          </w:tcPr>
          <w:p>
            <w:pPr>
              <w:spacing w:after="0"/>
              <w:rPr>
                <w:sz w:val="1"/>
                <w:szCs w:val="1"/>
                <w:color w:val="auto"/>
              </w:rPr>
            </w:pPr>
          </w:p>
        </w:tc>
      </w:tr>
      <w:tr>
        <w:trPr>
          <w:trHeight w:val="20"/>
        </w:trPr>
        <w:tc>
          <w:tcPr>
            <w:tcW w:w="266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110,871,249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111</w:t>
            </w:r>
          </w:p>
        </w:tc>
        <w:tc>
          <w:tcPr>
            <w:tcW w:w="4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715,036</w:t>
            </w:r>
          </w:p>
        </w:tc>
        <w:tc>
          <w:tcPr>
            <w:tcW w:w="140" w:type="dxa"/>
            <w:vAlign w:val="bottom"/>
          </w:tcPr>
          <w:p>
            <w:pPr>
              <w:spacing w:after="0"/>
              <w:rPr>
                <w:sz w:val="12"/>
                <w:szCs w:val="12"/>
                <w:color w:val="auto"/>
              </w:rPr>
            </w:pPr>
          </w:p>
        </w:tc>
        <w:tc>
          <w:tcPr>
            <w:tcW w:w="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94</w:t>
            </w:r>
          </w:p>
        </w:tc>
        <w:tc>
          <w:tcPr>
            <w:tcW w:w="240" w:type="dxa"/>
            <w:vAlign w:val="bottom"/>
          </w:tcPr>
          <w:p>
            <w:pPr>
              <w:spacing w:after="0"/>
              <w:rPr>
                <w:sz w:val="12"/>
                <w:szCs w:val="12"/>
                <w:color w:val="auto"/>
              </w:rPr>
            </w:pPr>
          </w:p>
        </w:tc>
        <w:tc>
          <w:tcPr>
            <w:tcW w:w="1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(580,287)</w:t>
            </w:r>
          </w:p>
        </w:tc>
        <w:tc>
          <w:tcPr>
            <w:tcW w:w="22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134,954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5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2"/>
                <w:szCs w:val="12"/>
                <w:color w:val="auto"/>
              </w:rPr>
            </w:pPr>
          </w:p>
        </w:tc>
        <w:tc>
          <w:tcPr>
            <w:tcW w:w="13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180" w:type="dxa"/>
            <w:vAlign w:val="bottom"/>
            <w:tcBorders>
              <w:bottom w:val="single" w:sz="8" w:color="auto"/>
            </w:tcBorders>
            <w:gridSpan w:val="2"/>
          </w:tcPr>
          <w:p>
            <w:pPr>
              <w:ind w:left="3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154"/>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14"/>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7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102,202,759</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w:t>
            </w:r>
          </w:p>
        </w:tc>
        <w:tc>
          <w:tcPr>
            <w:tcW w:w="4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624,076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186</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(371,256)</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526,826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4,001,200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(443)</w:t>
            </w: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(37,914)</w:t>
            </w:r>
          </w:p>
        </w:tc>
        <w:tc>
          <w:tcPr>
            <w:tcW w:w="0" w:type="dxa"/>
            <w:vAlign w:val="bottom"/>
          </w:tcPr>
          <w:p>
            <w:pPr>
              <w:spacing w:after="0"/>
              <w:rPr>
                <w:sz w:val="1"/>
                <w:szCs w:val="1"/>
                <w:color w:val="auto"/>
              </w:rPr>
            </w:pPr>
          </w:p>
        </w:tc>
      </w:tr>
      <w:tr>
        <w:trPr>
          <w:trHeight w:val="20"/>
        </w:trPr>
        <w:tc>
          <w:tcPr>
            <w:tcW w:w="26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106,730,785</w:t>
            </w: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4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673,772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(257)</w:t>
            </w:r>
          </w:p>
        </w:tc>
        <w:tc>
          <w:tcPr>
            <w:tcW w:w="1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(409,170)</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8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313,455</w:t>
            </w:r>
          </w:p>
        </w:tc>
        <w:tc>
          <w:tcPr>
            <w:tcW w:w="16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1,311</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left w:val="single" w:sz="8" w:color="CFF0FC"/>
            </w:tcBorders>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(77)</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48"/>
        </w:trPr>
        <w:tc>
          <w:tcPr>
            <w:tcW w:w="2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(25,551)</w:t>
            </w:r>
          </w:p>
        </w:tc>
        <w:tc>
          <w:tcPr>
            <w:tcW w:w="220" w:type="dxa"/>
            <w:vAlign w:val="bottom"/>
            <w:tcBorders>
              <w:left w:val="single" w:sz="8" w:color="CFF0FC"/>
              <w:right w:val="single" w:sz="8" w:color="CFF0FC"/>
            </w:tcBorders>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(25,551)</w:t>
            </w:r>
          </w:p>
        </w:tc>
        <w:tc>
          <w:tcPr>
            <w:tcW w:w="0" w:type="dxa"/>
            <w:vAlign w:val="bottom"/>
          </w:tcPr>
          <w:p>
            <w:pPr>
              <w:spacing w:after="0"/>
              <w:rPr>
                <w:sz w:val="1"/>
                <w:szCs w:val="1"/>
                <w:color w:val="auto"/>
              </w:rPr>
            </w:pPr>
          </w:p>
        </w:tc>
      </w:tr>
      <w:tr>
        <w:trPr>
          <w:trHeight w:val="20"/>
        </w:trPr>
        <w:tc>
          <w:tcPr>
            <w:tcW w:w="266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107,044,240</w:t>
            </w:r>
          </w:p>
        </w:tc>
        <w:tc>
          <w:tcPr>
            <w:tcW w:w="160" w:type="dxa"/>
            <w:vAlign w:val="bottom"/>
          </w:tcPr>
          <w:p>
            <w:pPr>
              <w:spacing w:after="0"/>
              <w:rPr>
                <w:sz w:val="12"/>
                <w:szCs w:val="12"/>
                <w:color w:val="auto"/>
              </w:rPr>
            </w:pPr>
          </w:p>
        </w:tc>
        <w:tc>
          <w:tcPr>
            <w:tcW w:w="2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4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682,621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4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(334)</w:t>
            </w:r>
          </w:p>
        </w:tc>
        <w:tc>
          <w:tcPr>
            <w:tcW w:w="160" w:type="dxa"/>
            <w:vAlign w:val="bottom"/>
          </w:tcPr>
          <w:p>
            <w:pPr>
              <w:jc w:val="right"/>
              <w:ind w:right="75"/>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(434,721)</w:t>
            </w:r>
          </w:p>
        </w:tc>
        <w:tc>
          <w:tcPr>
            <w:tcW w:w="220" w:type="dxa"/>
            <w:vAlign w:val="bottom"/>
          </w:tcPr>
          <w:p>
            <w:pPr>
              <w:spacing w:after="0"/>
              <w:rPr>
                <w:sz w:val="12"/>
                <w:szCs w:val="12"/>
                <w:color w:val="auto"/>
              </w:rPr>
            </w:pPr>
          </w:p>
        </w:tc>
        <w:tc>
          <w:tcPr>
            <w:tcW w:w="220" w:type="dxa"/>
            <w:vAlign w:val="bottom"/>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247,673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-2596515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-2596515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-2596515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-2596515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-2596515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-1996440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-1996440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-1996440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-1996440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-1996440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-530860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-513715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-530860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-513715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-530860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-513715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-530860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-513715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-530860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-513715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-128270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-128270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-128270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-128270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-128270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(78,729)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(63,465)</w:t>
            </w:r>
          </w:p>
        </w:tc>
        <w:tc>
          <w:tcPr>
            <w:tcW w:w="0" w:type="dxa"/>
            <w:vAlign w:val="bottom"/>
          </w:tcPr>
          <w:p>
            <w:pPr>
              <w:spacing w:after="0"/>
              <w:rPr>
                <w:sz w:val="1"/>
                <w:szCs w:val="1"/>
                <w:color w:val="auto"/>
              </w:rPr>
            </w:pPr>
          </w:p>
        </w:tc>
      </w:tr>
      <w:tr>
        <w:trPr>
          <w:trHeight w:val="198"/>
        </w:trPr>
        <w:tc>
          <w:tcPr>
            <w:tcW w:w="6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(4,988)</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(8,573)</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0"/>
        </w:trPr>
        <w:tc>
          <w:tcPr>
            <w:tcW w:w="6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(78,216)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(61,464)</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(71,100)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(168,874)</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47,375</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under ESPP</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(30,258)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41,839</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leases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8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-2788285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-2788285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-988060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-988060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2025 and 2024 are not necessarily indicative of the results for the year ending December 31, 2025, any other interim periods, or any future year or period. The unaudited condensed consolidated financial statements for the three and six months ended June 30, 2025 and 2024 have been prepared on the same basis as and should be read in conjunction with the audited consolidated financial statements and notes included in the Company’s Annual Report on Form 10-K for the year ended December 31, 2024 as filed with the SEC on February 27,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marketable securities as of June 30, 2025 of $180.8 million will be sufficient to fund its operating expenses and capital expenditure requirements for at least twelve months from the issuance date of these financial statements with an expected cash runway into the first quarter of 2027.</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expects to continue to generate operating losses and negative cash flows from operations for the foreseeable future. The Company will need to finance its operations through public or private securities offerings, debt financings or other sources, which may include licensing, collaborations or other strategic transactions or arrangements. If the Company is unable to obtain funding, the Company may be required to delay, limit, reduce or terminate product development or future commercialization efforts or grant rights to third parties to develop and market products or product candidates that the Company would otherwise prefer to develop and market itself.</w:t>
      </w:r>
    </w:p>
    <w:p>
      <w:pPr>
        <w:spacing w:after="0" w:line="1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2024.</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condensed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100"/>
        <w:spacing w:after="0" w:line="266" w:lineRule="auto"/>
        <w:rPr>
          <w:sz w:val="20"/>
          <w:szCs w:val="20"/>
          <w:color w:val="auto"/>
        </w:rPr>
      </w:pPr>
      <w:r>
        <w:rPr>
          <w:rFonts w:ascii="Times New Roman" w:cs="Times New Roman" w:eastAsia="Times New Roman" w:hAnsi="Times New Roman"/>
          <w:sz w:val="18"/>
          <w:szCs w:val="18"/>
          <w:color w:val="auto"/>
        </w:rPr>
        <w:t>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The Company is evaluating the potential impact of this adoption on the consolidated financial statements and related disclosures.</w:t>
      </w:r>
    </w:p>
    <w:p>
      <w:pPr>
        <w:spacing w:after="0" w:line="1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require more detailed disclosures about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18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as of the June 30, 2025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June 30, 2025.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three months ended June 30, 2025 and 2024, the Company recognized $3.2 million and $7.8 million, respectively, and during the six months ended June 30, 2025 and 2024, the Company recognized $8.6 million and $14.2 million, respectively, of collaboration revenue associated with the Gilead agreements based on performance completed during each period.</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2025 and December 31, 2024, the Company had short-term deferred revenue of $23.4 million and $17.6 million, respectively, and long-term deferred revenue of $30.4 million and $44.8 million, respectively, related to the Gilead collaboration. The remaining long-term deferred revenue is expected to be recognized proportionally to the completed obligations over an expected remaining contractual term of approximately 2.1 years.</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June 2024, Gilead licensed a drug discovery program for a $12.0 million license fee. The $12.0 million license fee was recognized as revenue in the second quarter of 2024 as the Company has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135,506</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135,506</w:t>
            </w: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20" w:type="dxa"/>
            <w:vAlign w:val="bottom"/>
          </w:tcPr>
          <w:p>
            <w:pPr>
              <w:spacing w:after="0"/>
              <w:rPr>
                <w:sz w:val="18"/>
                <w:szCs w:val="18"/>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143,998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147,951</w:t>
            </w:r>
          </w:p>
        </w:tc>
        <w:tc>
          <w:tcPr>
            <w:tcW w:w="120" w:type="dxa"/>
            <w:vAlign w:val="bottom"/>
            <w:shd w:val="clear" w:color="auto" w:fill="CFF0FC"/>
          </w:tcPr>
          <w:p>
            <w:pPr>
              <w:spacing w:after="0"/>
              <w:rPr>
                <w:sz w:val="19"/>
                <w:szCs w:val="19"/>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47"/>
        </w:trPr>
        <w:tc>
          <w:tcPr>
            <w:tcW w:w="3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10,112</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10,112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176,374</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r>
      <w:tr>
        <w:trPr>
          <w:trHeight w:val="20"/>
        </w:trPr>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198,499</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213,414</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-1567815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-1550670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-1550670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-1550670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-1567815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-1550670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six months ended June 30, 2025.</w:t>
      </w:r>
    </w:p>
    <w:p>
      <w:pPr>
        <w:spacing w:after="0" w:line="22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as of June 30, 2025</w:t>
      </w:r>
    </w:p>
    <w:tbl>
      <w:tblPr>
        <w:tblLayout w:type="fixed"/>
        <w:tblInd w:w="0" w:type="dxa"/>
        <w:tblCellMar>
          <w:top w:w="0" w:type="dxa"/>
          <w:left w:w="0" w:type="dxa"/>
          <w:bottom w:w="0" w:type="dxa"/>
          <w:right w:w="0" w:type="dxa"/>
        </w:tblCellMar>
      </w:tblPr>
      <w:tr>
        <w:trPr>
          <w:trHeight w:val="117"/>
        </w:trPr>
        <w:tc>
          <w:tcPr>
            <w:tcW w:w="5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2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6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135,410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141,513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-1216660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-1216660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-1216660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as of December 31, 2024</w:t>
      </w:r>
    </w:p>
    <w:tbl>
      <w:tblPr>
        <w:tblLayout w:type="fixed"/>
        <w:tblInd w:w="580" w:type="dxa"/>
        <w:tblCellMar>
          <w:top w:w="0" w:type="dxa"/>
          <w:left w:w="0" w:type="dxa"/>
          <w:bottom w:w="0" w:type="dxa"/>
          <w:right w:w="0" w:type="dxa"/>
        </w:tblCellMar>
      </w:tblPr>
      <w:tr>
        <w:trPr>
          <w:trHeight w:val="117"/>
        </w:trPr>
        <w:tc>
          <w:tcPr>
            <w:tcW w:w="4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2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176,049</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188,387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marketable debt securities with a contractual maturity date of greater than one year as of June 30, 2025.</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9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7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5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69,909</w:t>
            </w:r>
          </w:p>
        </w:tc>
        <w:tc>
          <w:tcPr>
            <w:tcW w:w="9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69,909</w:t>
            </w:r>
          </w:p>
        </w:tc>
        <w:tc>
          <w:tcPr>
            <w:tcW w:w="7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8"/>
                <w:szCs w:val="18"/>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2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9"/>
                <w:szCs w:val="19"/>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-170815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June 30, 2025,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$0.7 million and $1.4 million in accrued interest at June 30, 2025 and December 31, 2024, respectively.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6" w:name="page17"/>
    <w:bookmarkEnd w:id="16"/>
    <w:p>
      <w:pPr>
        <w:ind w:left="520" w:right="750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00" w:type="dxa"/>
            <w:vAlign w:val="bottom"/>
            <w:gridSpan w:val="2"/>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Pr>
          <w:p>
            <w:pPr>
              <w:spacing w:after="0"/>
              <w:rPr>
                <w:sz w:val="18"/>
                <w:szCs w:val="18"/>
                <w:color w:val="auto"/>
              </w:rPr>
            </w:pPr>
          </w:p>
        </w:tc>
        <w:tc>
          <w:tcPr>
            <w:tcW w:w="2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(9,610)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(8,363)</w:t>
            </w:r>
          </w:p>
        </w:tc>
      </w:tr>
      <w:tr>
        <w:trPr>
          <w:trHeight w:val="20"/>
        </w:trPr>
        <w:tc>
          <w:tcPr>
            <w:tcW w:w="4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$1.2 million and $1.3 million for the six months ended June 30, 2025 and 2024,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3"/>
          </w:tcPr>
          <w:p>
            <w:pPr>
              <w:jc w:val="center"/>
              <w:ind w:right="10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44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4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and 2024, the Company maintained a restricted cash balance of $2.6 million and $2.6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tcBorders>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2"/>
            <w:shd w:val="clear" w:color="auto" w:fill="CFF0FC"/>
          </w:tcPr>
          <w:p>
            <w:pPr>
              <w:jc w:val="right"/>
              <w:ind w:right="15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39,272</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51,566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50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41,839</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54,133</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right="8120" w:hanging="512"/>
        <w:spacing w:after="0" w:line="531"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Sesame Therapeutics, Inc.</w:t>
      </w:r>
    </w:p>
    <w:p>
      <w:pPr>
        <w:spacing w:after="0" w:line="22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7" w:name="page18"/>
    <w:bookmarkEnd w:id="17"/>
    <w:p>
      <w:pPr>
        <w:ind w:right="260"/>
        <w:spacing w:after="0" w:line="266" w:lineRule="auto"/>
        <w:rPr>
          <w:sz w:val="20"/>
          <w:szCs w:val="20"/>
          <w:color w:val="auto"/>
        </w:rPr>
      </w:pPr>
      <w:r>
        <w:rPr>
          <w:rFonts w:ascii="Times New Roman" w:cs="Times New Roman" w:eastAsia="Times New Roman" w:hAnsi="Times New Roman"/>
          <w:sz w:val="18"/>
          <w:szCs w:val="18"/>
          <w:color w:val="auto"/>
        </w:rPr>
        <w:t>2024. 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Medivir AB</w:t>
      </w:r>
    </w:p>
    <w:p>
      <w:pPr>
        <w:spacing w:after="0" w:line="22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certain USP1 assets. Pursuant to the Medivir Agreement, the Company made an upfront payment of $0.4 million.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Upfront fees and subsequent milestone amounts paid pursuant to the Medivir Agreement were recorded to research and development expense.</w:t>
      </w:r>
    </w:p>
    <w:p>
      <w:pPr>
        <w:spacing w:after="0" w:line="225"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In May 2024, the Company made the decision to discontinue further development of TNG348, the basis of the USP1 program, due to liver toxicity experienced by patients in the dose escalation portion of the Phase1/2 clinical trial. As a result, the Company does not expect any on-going material obligations under the Medivir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The agreement provides that RevMed will supply daraxonrasib (RMC-6236), a RAS(ON) multi-selective inhibitor, and zoldonrasib (RMC-9805), a RAS(ON) G12D-selective inhibitor, at no cost to the Company for use in trials that will include TNG462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at the time of execution, this transaction is a related party transaction.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June 30, 2025,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88" w:lineRule="exact"/>
        <w:rPr>
          <w:sz w:val="20"/>
          <w:szCs w:val="20"/>
          <w:color w:val="auto"/>
        </w:rPr>
      </w:pPr>
    </w:p>
    <w:p>
      <w:pPr>
        <w:ind w:left="520" w:right="9080" w:hanging="512"/>
        <w:spacing w:after="0" w:line="503" w:lineRule="auto"/>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June 5, 2025, the Company’s stockholders approved an increase in the number of authorized shares of the Company's common stock from 200,000,000 to 400,000,000 and the Company filed a Certificate of Amendment to its Amended and Restated Certificate of Incorporation with the Secretary of State of the State of Delaware to effect such increase, which became effective immediately upon filing.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June 30, 2025 and December 31, 2024. The shares of preferred stock are currently undesignated and no shares are issued or outstanding.</w:t>
      </w:r>
    </w:p>
    <w:p>
      <w:pPr>
        <w:spacing w:after="0" w:line="172" w:lineRule="exact"/>
        <w:rPr>
          <w:sz w:val="20"/>
          <w:szCs w:val="20"/>
          <w:color w:val="auto"/>
        </w:rPr>
      </w:pPr>
    </w:p>
    <w:p>
      <w:pPr>
        <w:ind w:left="520" w:right="8600" w:hanging="512"/>
        <w:spacing w:after="0" w:line="532" w:lineRule="auto"/>
        <w:tabs>
          <w:tab w:leader="none" w:pos="5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who provide services to the Company. Such issuances under the 2017 Plan were subject to vesting, forfeiture and other restrictions as deemed appropriate by the board of directors at the time of issuance.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June 30, 2025, the Company had 7,480,243 shares available for future issuance under the 2021 Plan.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shares of common stock, to be used exclusively for grants of non-qualified stock options, restricted stock units and other equity-based awards, or any combination of these to individuals who were not previously employees or directors of the Company. As of June 30, 2025, the Company had 2,041,015 shares available for future issuance under the Inducement Plan.</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5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58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20" w:type="dxa"/>
            <w:vAlign w:val="bottom"/>
          </w:tcPr>
          <w:p>
            <w:pPr>
              <w:spacing w:after="0"/>
              <w:rPr>
                <w:sz w:val="18"/>
                <w:szCs w:val="18"/>
                <w:color w:val="auto"/>
              </w:rPr>
            </w:pPr>
          </w:p>
        </w:tc>
      </w:tr>
      <w:tr>
        <w:trPr>
          <w:trHeight w:val="210"/>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5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58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120" w:type="dxa"/>
            <w:vAlign w:val="bottom"/>
            <w:shd w:val="clear" w:color="auto" w:fill="CFF0FC"/>
          </w:tcPr>
          <w:p>
            <w:pPr>
              <w:spacing w:after="0"/>
              <w:rPr>
                <w:sz w:val="18"/>
                <w:szCs w:val="18"/>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-646430</wp:posOffset>
            </wp:positionV>
            <wp:extent cx="85725" cy="136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-646430</wp:posOffset>
            </wp:positionV>
            <wp:extent cx="85725" cy="136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-646430</wp:posOffset>
            </wp:positionV>
            <wp:extent cx="85725" cy="136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-646430</wp:posOffset>
            </wp:positionV>
            <wp:extent cx="93980" cy="136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2025:</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7.43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4,846,458</w:t>
            </w:r>
          </w:p>
        </w:tc>
        <w:tc>
          <w:tcPr>
            <w:tcW w:w="16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(83,137)</w:t>
            </w: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(648,749)</w:t>
            </w: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June 30,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23,729,595</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7.01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20,800,022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exercisable as of June 30,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14,337,262</w:t>
            </w:r>
          </w:p>
        </w:tc>
        <w:tc>
          <w:tcPr>
            <w:tcW w:w="160" w:type="dxa"/>
            <w:vAlign w:val="bottom"/>
          </w:tcPr>
          <w:p>
            <w:pPr>
              <w:spacing w:after="0"/>
              <w:rPr>
                <w:sz w:val="20"/>
                <w:szCs w:val="20"/>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stock options was $36.3 million, which the Company expects to recognize over a remaining weighted-average period of 2.6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six months ended June 30, 2025:</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(433,483)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June 30, 2025</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1,413,613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RSUs was $6.7 million, which the Company expects to recognize over a remaining weighted-average period of 2.0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During the six months ended June 30, 2025, the Company issued 286,300 shares of common stock under the 2021 ESPP.</w:t>
      </w:r>
    </w:p>
    <w:p>
      <w:pPr>
        <w:spacing w:after="0" w:line="17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6"/>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(38,853)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(25,551)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(78,729)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(63,465)</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110,540,836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110,494,397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108,692,822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In June 2025, all of the pre-funded warrants were exercised. Prior to the exercise of these pre-funded warrants, all of the shares underlying the pre-funded warrants had been included in the weighted-average number of shares of common stock used to calculate basic and diluted net loss per common share because the shares may be issued for little or no consideration, were fully vested and were exercisable after the original issuance date of the pre-funded warrants.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23,729,595</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20,489,096</w:t>
            </w:r>
          </w:p>
        </w:tc>
        <w:tc>
          <w:tcPr>
            <w:tcW w:w="10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1,413,613</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1,264,707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25,143,208</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21,753,803</w:t>
            </w:r>
          </w:p>
        </w:tc>
        <w:tc>
          <w:tcPr>
            <w:tcW w:w="10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76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14</w:t>
            </w:r>
          </w:p>
        </w:tc>
        <w:tc>
          <w:tcPr>
            <w:tcW w:w="1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-916305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-916305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was -0.1% and -0.1% for the three months ended June 30, 2025 and 2024, respectively, and -0.1%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for the six months ended June 30, 2025 and 2024, respectively. The income tax provision was less than $0.1 million for both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respectively, and less than $0.1 million and $0.1 million for the six months ended June 30, 2025 and 2024,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prior year, for 2025 the Company assessed the requirement to capitalize and amortize research and experimentation expenditures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 purposes, which remains effective as of June 30, 2025. The Company is forecasting a taxable loss position in 2025 for which no tax benefit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due to the valuation allowance maintained against the Company’s deferred tax assets.</w:t>
      </w:r>
    </w:p>
    <w:p>
      <w:pPr>
        <w:spacing w:after="0" w:line="20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2025 and 2024 differed from the 21.0% federal statutory rate primarily due to the valuation allowance maintained against the Company’s deferred tax assets.</w:t>
      </w:r>
    </w:p>
    <w:p>
      <w:pPr>
        <w:spacing w:after="0" w:line="16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referred to as the One Big Beautiful Bill (“OBBB”) was signed into law. The OBBB contains several changes to corporate taxation, including modifications to capitalization of research and development expenses, limitations on deductions for interest expense and accelerated fixed asset depreciation. The legislation has multiple effective dates. We are currently assessing its impact on our consolidated financial statements.</w:t>
      </w:r>
    </w:p>
    <w:p>
      <w:pPr>
        <w:spacing w:after="0" w:line="200" w:lineRule="exact"/>
        <w:rPr>
          <w:sz w:val="20"/>
          <w:szCs w:val="20"/>
          <w:color w:val="auto"/>
        </w:rPr>
      </w:pPr>
    </w:p>
    <w:p>
      <w:pPr>
        <w:spacing w:after="0" w:line="30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9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segment net income (loss). This measure is used to monitor budget versus actual results to assess performance of the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segment expense for the three and six months ended June 30,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Oncology Segment</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Oncology Segment</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3"/>
        </w:trPr>
        <w:tc>
          <w:tcPr>
            <w:tcW w:w="3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Less R&amp;D expenses: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Less G&amp;A and other expenses: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segment expenses (a)</w:t>
            </w: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(38,853)</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(25,551)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(78,729)</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(63,465)</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8"/>
        </w:trPr>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-1079500</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-1079500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-1079500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left="520" w:right="40"/>
        <w:spacing w:after="0" w:line="266" w:lineRule="auto"/>
        <w:rPr>
          <w:sz w:val="20"/>
          <w:szCs w:val="20"/>
          <w:color w:val="auto"/>
        </w:rPr>
      </w:pPr>
      <w:r>
        <w:rPr>
          <w:rFonts w:ascii="Times New Roman" w:cs="Times New Roman" w:eastAsia="Times New Roman" w:hAnsi="Times New Roman"/>
          <w:sz w:val="18"/>
          <w:szCs w:val="18"/>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4" w:lineRule="exact"/>
        <w:rPr>
          <w:sz w:val="20"/>
          <w:szCs w:val="20"/>
          <w:color w:val="auto"/>
        </w:rPr>
      </w:pPr>
    </w:p>
    <w:p>
      <w:pPr>
        <w:ind w:left="520" w:right="100" w:hanging="3"/>
        <w:spacing w:after="0" w:line="282"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included in Segment net loss includes general and administrative expense, interest income, other income and provision for income taxes.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The CODM reviews cash, cash equivalents and marketable securities as a measure of segment assets. As of June 30, 2025, the Company’s cash, cash equivalents and marketable securities were $180.8 million. All long-lived assets of the Company reside in the U.S.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and Gilead mutually agreed to truncate the research term of the collaboration and license agreement between the Company and Gilead from seven to five years, concluding the research portion of the collaboration on August 4, 2025. There is no financial penalty to the Company as a result, no licensed programs are being returned to the Company, all ongoing work at Gilead on licensed programs will continue and agreements for all future milestones and royalties remain in effect. The Company has no future research obligations and the remaining unrecognized deferred revenue balance as of June 30, 2025 of $53.8 million will be recognized as revenue in the third quarter of 2025.</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2024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2024,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2024, we reported positive early data from the ongoing Phase 1/2 clinical trial of TNG462, demonstrating durable clinical activity across multiple cancer types with a good safety and tolerability profile. The TNG462 Phase 1/2 monotherapy clinical trial is ongoing. We plan to provide a clinical data update on this Phase 1/2 clinical trial of TNG462 in the second half of 2025.</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June 2025, the first patient was treated in the combination clinical trial that is evaluating TNG462 with each of RAS(ON) multi-selective inhibitor, daraxonrasib, and RAS(ON) G12D-selective inhibitor, zoldonrasib (Revolution Medicines). The combination of TNG462 with each of these molecules generated deep, durable tumor responses in preclinical models.</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had a favorable safety, tolerability and pharmacokinetic profile in dose escalation, and clinical proof-of-mechanism has now been established based on pharmacodynamic data from on-treatment patient biopsies. We are enrolling patients in the dose expansion portion of the Phase 1/2 clinical trial in STK11-mut/RAS WT lung cancer (~10% of lung adenocarcinoma). We plan to provide clinical data for TNG260 in the second half of 2025.</w:t>
      </w:r>
    </w:p>
    <w:p>
      <w:pPr>
        <w:spacing w:after="0" w:line="18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TNG961 is a development candidate targeting HBS1L 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$237.1 million through our collaboration with Gilead and $123.0 million of gross proceeds through (i) $80.0 million from the private placement of common shares and pre-funded warrants to purchase common shares in August 2023 and (ii) $43.0 million from our "at-the-market" stock offering program in January 2024.</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June 30, 2025 of $180.8 million will enable us to fund our operating expenses and capital expenditure requirements into the first quarter of 2027. Since inception, we have incurred significant operating losses. For the six months ended June 30, 2025 and 2024, our net losses were $78.7 million and $63.5 million, respectively. We had an accumulated deficit of $580.3 million as of June 30, 2025.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our common stock through Jefferies, as sales agent. Sales of the common stock, if any, will be made by methods deemed to be "at-the-market" stock offerings. The Sales Agreement will terminate upon the earliest of: (a) the sale of $100.0 million of shares of our common stock or (b) the termination of the Sales Agreement by us or Jefferies. To date, the Company has sold 4,001,200 shares of common stock under this program for gross proceeds of $43.0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140"/>
        <w:spacing w:after="0" w:line="256" w:lineRule="auto"/>
        <w:rPr>
          <w:sz w:val="20"/>
          <w:szCs w:val="20"/>
          <w:color w:val="auto"/>
        </w:rPr>
      </w:pPr>
      <w:r>
        <w:rPr>
          <w:rFonts w:ascii="Times New Roman" w:cs="Times New Roman" w:eastAsia="Times New Roman" w:hAnsi="Times New Roman"/>
          <w:sz w:val="18"/>
          <w:szCs w:val="18"/>
          <w:color w:val="auto"/>
        </w:rPr>
        <w:t>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$145.2 million has been recognized as collaboration revenue related to the upfront and research option-extension payments from the Gilead Agreements.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we recognized $3.2 million and $7.8 million, respectively, and during the six months ended June 30, 2025 and 2024, we recognized $8.6 million and $14.2 million, respectively, of collaboration revenue associated with the Gilead agreements based on performance completed during each period.</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 ended December 31, 2024 included in our Annual Report on Form 10-K for additional information regarding our revenue recognition accounting policy and our collaboration agreement with Gilead.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information technology systems, depreciation and other allocated expenses, which include direct and allocated expenses for rent, utilities and insurance.</w:t>
      </w:r>
    </w:p>
    <w:p>
      <w:pPr>
        <w:spacing w:after="0" w:line="16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Pr>
          <w:p>
            <w:pPr>
              <w:spacing w:after="0"/>
              <w:rPr>
                <w:sz w:val="18"/>
                <w:szCs w:val="18"/>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69,249</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00" w:type="dxa"/>
            <w:vAlign w:val="bottom"/>
            <w:shd w:val="clear" w:color="auto" w:fill="CFF0FC"/>
          </w:tcPr>
          <w:p>
            <w:pPr>
              <w:spacing w:after="0"/>
              <w:rPr>
                <w:sz w:val="19"/>
                <w:szCs w:val="19"/>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left="300" w:right="720"/>
        <w:spacing w:after="0" w:line="282" w:lineRule="auto"/>
        <w:rPr>
          <w:sz w:val="20"/>
          <w:szCs w:val="20"/>
          <w:color w:val="auto"/>
        </w:rPr>
      </w:pPr>
      <w:r>
        <w:rPr>
          <w:rFonts w:ascii="Times New Roman" w:cs="Times New Roman" w:eastAsia="Times New Roman" w:hAnsi="Times New Roman"/>
          <w:sz w:val="18"/>
          <w:szCs w:val="18"/>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54"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including our planned combination clinical trials. We anticipate that our expenses will increase substantially, particularly due to the numerous risks and uncertainties associated with developing product candidates, including the uncertainty of:</w:t>
      </w:r>
    </w:p>
    <w:p>
      <w:pPr>
        <w:spacing w:after="0" w:line="84" w:lineRule="exact"/>
        <w:rPr>
          <w:sz w:val="20"/>
          <w:szCs w:val="20"/>
          <w:color w:val="auto"/>
        </w:rPr>
      </w:pPr>
    </w:p>
    <w:p>
      <w:pPr>
        <w:ind w:left="1140" w:right="58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including our combination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six months ended June 30, 2025 and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6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6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(16,694)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(25,486)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(13,332)</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(38,853)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(25,551)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(13,302)</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-582295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$3.2 million and $7.8 million for the three months ended June 30, 2025 and 2024, respectively, was derived from the Gilead collaboration. Research costs incurred under the collaboration were lower during the three months ended June 30, 2025,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License revenue was $0 and $12.1 million for the three months ended June 30, 2025 and 2024, respectively. The revenue recognized during the second quarter of 2024 was due to licensing a program to Gilead for $12.0 million during the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$32.8 million for the three months ended June 30, 2025 compared to $38.7 million for the three months ended June 30, 2024. The decrease of $5.9 million was primarily driven by a $3.7 million decrease due to the discontinuation of the TNG908 and TNG348 clinical programs, a $2.0 million decrease in TNG260 clinical trial costs and lower discovery program expenses. This decrease was partially offset by increased spend related to the advancement of TNG462.</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was $11.3 million for the three months ended June 30, 2025 compared to $10.8 million for the three months ended June 30, 2024. The increase of $0.6 million was primarily due to increases in facilities and IT-related costs.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$1.2 million for the three months ended June 30, 2025 compared to $2.1 million for the three months ended June 30, 2024, with the decrease attributed to a decrease in our marketable securities balance in 2025 as compared to 2024.</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$0.9 million for the three months ended June 30, 2025 compared to other income, net of $2.0 million for the three months ended June 30, 2024, with the decrease attributed to lower accretion from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less than $0.1 million for both the three months ended June 30, 2025 and 2024. The tax provision is insignificant in each of the periods ended June 30, 2025 and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6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6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(17,773)</w:t>
            </w:r>
          </w:p>
        </w:tc>
        <w:tc>
          <w:tcPr>
            <w:tcW w:w="0" w:type="dxa"/>
            <w:vAlign w:val="bottom"/>
          </w:tcPr>
          <w:p>
            <w:pPr>
              <w:spacing w:after="0"/>
              <w:rPr>
                <w:sz w:val="1"/>
                <w:szCs w:val="1"/>
                <w:color w:val="auto"/>
              </w:rPr>
            </w:pPr>
          </w:p>
        </w:tc>
      </w:tr>
      <w:tr>
        <w:trPr>
          <w:trHeight w:val="210"/>
        </w:trPr>
        <w:tc>
          <w:tcPr>
            <w:tcW w:w="3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(7,470)</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(6,083)</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(78,660)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(63,360)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(15,300)</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(78,729)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(63,465)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-1704975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-1704975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-582295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$8.6 million and $14.2 million for the six months ended June 30, 2025 and 2024, respectively, was derived from the Gilead collaboration. Research costs incurred under the collaboration were lower during the six months ended June 30, 2025,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License revenue was $0 and $12.1 million for the six months ended June 30, 2025 and 2024, respectively. The revenue recognized during the second quarter of 2024 was primarily due to licensing a program to Gilead for $12.0 million during the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$69.2 million for the six months ended June 30, 2025 compared to $76.7 million for the six months ended June 30, 2024. The decrease of $7.5 million was primarily driven by a $9.5 million decrease due to the discontinuation of the TNG908 and TNG348 clinical programs, a $2.5 million decrease in TNG260 clinical trial costs and lower discovery program expenses. This decrease was partially offset by increased spend related to the advancement of TNG462, TNG456 and TNG961.</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9" w:right="4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$22.8 million for the six months ended June 30, 2025 compared to $21.4 million for the six months ended June 30, 2024. The increase of $1.4 million was primarily due to $0.8 million in personnel-related costs, including share-based compensation expense and additional headcount, as well as an increase in facilities and IT-related costs.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$2.9 million for the six months ended June 30, 2025 compared to $4.3 million for the six months ended June 30, 2024, with the decrease attributed to a decrease in our marketable securities balance in 2025 as compared to 2024.</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$2.0 million for the six months ended June 30, 2025 compared to other income, net of $4.2 million for the six months ended June 30, 2024, with the decrease attributed to lower accretion from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$0.1 million for both the six months ended June 30, 2025 and 2024. The tax provision is insignificant in each of the periods ended June 30, 2025 and 2024.</w:t>
      </w:r>
    </w:p>
    <w:p>
      <w:pPr>
        <w:spacing w:after="0" w:line="200" w:lineRule="exact"/>
        <w:rPr>
          <w:sz w:val="20"/>
          <w:szCs w:val="20"/>
          <w:color w:val="auto"/>
        </w:rPr>
      </w:pPr>
    </w:p>
    <w:p>
      <w:pPr>
        <w:spacing w:after="0" w:line="390"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in January 2024, and another $237.1 million through our collaboration with Gilead. As of June 30, 2025, we had cash and cash equivalents and marketable securities of $180.8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June 30, 2025 of $180.8 million will enable us to fund our operating expenses and capital expenditure requirements into the first quarter of 2027.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three month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(78,216)</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(61,464)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(30,258)</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(15,675)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-1079500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-1079500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$78.2 million for the six months ended June 30, 2025 compared to net cash used in operating activities of $61.5 million for the six months ended June 30, 2024. The increase in net cash used in operating activities for the six months ended June 30, 2025 was primarily due to an increase in net loss.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$47.4 million for the six months ended June 30, 2025 compared to net cash provided by investing activities of $1.5 million for the six months ended June 30, 2024. The change was primarily due to a decrease in purchases of marketable securities as compared to the six months ended June 30, 2024, which was partially offset by a decrease in sales and maturities of marketable securities as compared to the six months ended June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$0.6 million for the six months ended June 30, 2025 compared to net cash provided by financing activities of $44.3 million for the six months ended June 30, 2024. The cash provided by financing activities for the six months ended June 30, 2025 consisted of $0.6 million in net proceeds received from the exercises of stock options and ESPP purchases. The cash provided by financing activities for the six months ended June 30, 2024 consisted of the $41.7 million in net proceeds received from our "at-the-market" stock offering program in January 2024, as well as the cash provided from the exercises of stock options and ESPP 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June 30, 2025 and the effects that such obligations are expected to have on our liquidity and cash flows in future periods: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4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-153670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-153670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June 30, 2025. Refer to Note 7 to our audited consolidated financial statements and related notes included in our Annual Report on Form 10-K for the year ended December 31, 2024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with limited notice, and therefore are cancellable contracts. These payments are not included in the table above as the amount and timing of such payments are not known as of June 30,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2025 and December 31, 2024, we were unable to estimate the timing or likelihood of achieving these milestones or generating future product sales. Refer to Note 8 of our audited consolidated financial statements and related notes included in our Annual Report on Form 10-K for the year ended December 31, 2024 for a description of our license agreement.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2024,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ind w:right="80"/>
        <w:spacing w:after="0" w:line="266" w:lineRule="auto"/>
        <w:rPr>
          <w:sz w:val="20"/>
          <w:szCs w:val="20"/>
          <w:color w:val="auto"/>
        </w:rPr>
      </w:pPr>
      <w:r>
        <w:rPr>
          <w:rFonts w:ascii="Times New Roman" w:cs="Times New Roman" w:eastAsia="Times New Roman" w:hAnsi="Times New Roman"/>
          <w:sz w:val="18"/>
          <w:szCs w:val="18"/>
          <w:color w:val="auto"/>
        </w:rPr>
        <w:t>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76"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any particular period. To date, there have not been any material adjustments to our prior estimates of accrued research and development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780" w:firstLine="8"/>
        <w:spacing w:after="0" w:line="26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15d-15(d) under the Exchange Act that occurred during the quarter ended June 30, 2025 that materially affected, or were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2024,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Other than as set forth below, there have been no material changes to the risk factors set forth in our Annual Report on Form 10-K for the year ended December 31, 2024 as filed with the SEC on February 27, 2025 and in Part II, Item 1A, “Risk Factors” of the Quarterly Report on Form 10-Q for the fiscal quarter ended March 31, 2025.</w:t>
      </w:r>
    </w:p>
    <w:p>
      <w:pPr>
        <w:spacing w:after="0" w:line="18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staffing and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For example, in prior years the U.S. government has shut down several times and certain regulatory agencies, such as the FDA and the SEC, have had to furlough critical FDA, SEC and other government employees and stop critical activities. A prolonged government shutdown, significant leadership, personnel, and/or policy changes, or other substantial modification in agency activities (including due to global health concerns, the aims of the current administration, or geopolitical factors)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this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United States and other countries recently experienced increased inflation and interest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ind w:right="60"/>
        <w:spacing w:after="0" w:line="253" w:lineRule="auto"/>
        <w:rPr>
          <w:sz w:val="20"/>
          <w:szCs w:val="20"/>
          <w:color w:val="auto"/>
        </w:rPr>
      </w:pPr>
      <w:r>
        <w:rPr>
          <w:rFonts w:ascii="Times New Roman" w:cs="Times New Roman" w:eastAsia="Times New Roman" w:hAnsi="Times New Roman"/>
          <w:sz w:val="18"/>
          <w:szCs w:val="18"/>
          <w:color w:val="auto"/>
        </w:rPr>
        <w:t>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For example, this presidential administration has initiated or is considering imposing tariffs on certain foreign goods (and we do import certain goods from foreign countries and certain services are performed for our benefit in foreign countries). In response to this action, certain foreign governments, including China’s, have instituted or are considering imposing tariffs on certain U.S. goods, which could impact inflation rate, increase the costs of goods, and adversely affect our business. It remains unclear what the administration or foreign governments will or will not do with respect to tariffs or other international trade agreements and policies.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 included in our Annual Report on Form 10-K for the fiscal year ended December 31, 2024.</w:t>
      </w:r>
    </w:p>
    <w:p>
      <w:pPr>
        <w:spacing w:after="0" w:line="18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pharmacy benefit managers,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or IRA, which, among other provisions, included several measures intended to lower the cost of prescription drugs and related healthcare reforms.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8" w:name="page39"/>
    <w:bookmarkEnd w:id="38"/>
    <w:p>
      <w:pPr>
        <w:ind w:right="140"/>
        <w:spacing w:after="0" w:line="258" w:lineRule="auto"/>
        <w:rPr>
          <w:sz w:val="20"/>
          <w:szCs w:val="20"/>
          <w:color w:val="auto"/>
        </w:rPr>
      </w:pPr>
      <w:r>
        <w:rPr>
          <w:rFonts w:ascii="Times New Roman" w:cs="Times New Roman" w:eastAsia="Times New Roman" w:hAnsi="Times New Roman"/>
          <w:sz w:val="18"/>
          <w:szCs w:val="18"/>
          <w:color w:val="auto"/>
        </w:rPr>
        <w:t>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18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OBBB, this restriction was eliminated; and effective for the 2028 initial price applicability year, all orphan drugs, regardless of the number of orphan designations or indications, are exempt from the Medicare drug price negotiation program. On April 15, 2025, the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federal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previously enacted was subject to an injunction resulting from judicial challenges to the rule, and ultimately formally rescinded by the former Biden Administration in August 2021.</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income taxes (such as payroll, sales, use, value-added, digital tax, net worth, property, and goods and services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t>taxes), which in turn could materially affect our cash and financial position and results of operations. For example, the OBBB was signed into law on July 4, 2025 and made significant changes to U.S. federal tax law. Additionally, new, changed, modified, or newly interpreted or applied tax laws could increase our potential future customers’ and our compliance, operating and other costs, as well as the costs of our products, if approved. For example, under Section 174 of the Internal Revenue Code of 1986, as amended (the “IRC”), in taxable years beginning after December 31, 2021, expenses that are incurred for research and development performed outside the U.S. will be capitalized and amortized, which may have an adverse effect on our cash flow. The OBBB provides that for taxable years beginning after December 31, 2024, expenses that are incurred for research and development performed in the U.S. may, at the taxpayer’s election, be immediately deducted or capitalized and amortized. In addition, the OBBB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4, 2025, the Company and Gilead entered into an amendment to the Gilead Agreement, or the Amendment, to truncate the research term of the Gilead Agreement from seven to five years. The research term of the Gilead Agreement concluded on August 4, 2025. There is no financial penalty to the Company as a result, no licensed programs are being returned to the Company, all ongoing work at Gilead on licensed programs will continue and agreements for all future milestones and royalties remain in effect. The Company has no future obligations and the remaining unrecognized deferred revenue balance as of June 30, 2025 of $53.8 million will be recognized as revenue in the third quarter of 2025. The foregoing summary of terms of the Amendment is qualified in its entirety by reference to the full text of the Amendment, a copy of which is filed as Exhibit 10.2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2025,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62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662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4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Second Amended and Restated Certificate of Incorporation of Tango Therapeutics, Inc., as amended (incorporated by reference to Exhibit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10-Q filed with the SEC on August 7,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Amendment to the Second Amended and Restated Certificate of Incorporation of the Registrant (incorporated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to Exhibit 3.1 to the Registrant's Current Report on Form 8-K filed with the SEC on June 6,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 Policy</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Amendment, dated August 4, 2025, to the Amended and Restated Research Collaboration and License Agreement, dated August 17,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2020, by and between Tango Therapeutics, Inc. and Gilead Sciences, Inc.</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540" w:type="dxa"/>
            <w:vAlign w:val="bottom"/>
            <w:gridSpan w:val="8"/>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0"/>
                <w:szCs w:val="20"/>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7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4"/>
              </w:rPr>
              <w:t>104*</w:t>
            </w: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Cover Page Interactive Data File (formatted in as Inline XBRL with applicable taxonomy extension information contained in Exhibits</w:t>
            </w:r>
          </w:p>
        </w:tc>
      </w:tr>
      <w:tr>
        <w:trPr>
          <w:trHeight w:val="234"/>
        </w:trPr>
        <w:tc>
          <w:tcPr>
            <w:tcW w:w="820" w:type="dxa"/>
            <w:vAlign w:val="bottom"/>
          </w:tcPr>
          <w:p>
            <w:pPr>
              <w:spacing w:after="0"/>
              <w:rPr>
                <w:sz w:val="20"/>
                <w:szCs w:val="20"/>
                <w:color w:val="auto"/>
              </w:rPr>
            </w:pPr>
          </w:p>
        </w:tc>
        <w:tc>
          <w:tcPr>
            <w:tcW w:w="10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8"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20" w:hanging="512"/>
        <w:spacing w:after="0" w:line="266" w:lineRule="auto"/>
        <w:tabs>
          <w:tab w:leader="none" w:pos="4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176"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of this document have been redacted according to the applicable rules.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Dated: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15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Retainers</w:t>
      </w:r>
    </w:p>
    <w:p>
      <w:pPr>
        <w:spacing w:after="0" w:line="139"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u w:val="single" w:color="auto"/>
          <w:color w:val="auto"/>
        </w:rPr>
        <w:t>Annual Retainer for Board Membership</w:t>
      </w:r>
      <w:r>
        <w:rPr>
          <w:rFonts w:ascii="Times New Roman" w:cs="Times New Roman" w:eastAsia="Times New Roman" w:hAnsi="Times New Roman"/>
          <w:sz w:val="20"/>
          <w:szCs w:val="20"/>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Annual Retainer for Non-Executive Chair</w:t>
      </w:r>
      <w:r>
        <w:rPr>
          <w:rFonts w:ascii="Times New Roman" w:cs="Times New Roman" w:eastAsia="Times New Roman" w:hAnsi="Times New Roman"/>
          <w:sz w:val="20"/>
          <w:szCs w:val="20"/>
          <w:color w:val="auto"/>
        </w:rPr>
        <w:t>: $30,000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Annual Retainer for Lead Independent Director</w:t>
      </w:r>
      <w:r>
        <w:rPr>
          <w:rFonts w:ascii="Times New Roman" w:cs="Times New Roman" w:eastAsia="Times New Roman" w:hAnsi="Times New Roman"/>
          <w:sz w:val="20"/>
          <w:szCs w:val="20"/>
          <w:color w:val="auto"/>
        </w:rPr>
        <w:t>: $15,000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Annual Retainers for Committee Membership</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Chair: $20,000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member: $10,000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Committee Chair: $15,000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Committee member: $7,500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Nominating and Corporate Governance Committee Chair: $10,000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Nominating and Corporate Governance Committee member: $5,000</w:t>
      </w:r>
    </w:p>
    <w:p>
      <w:pPr>
        <w:spacing w:after="0" w:line="1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Chair and committee member retainers are in addition to retainers for members of the Board of Directors. No additional compensation will be paid for attending individual committee meetings of the Board of Directors.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Equity Retainers</w:t>
      </w:r>
    </w:p>
    <w:p>
      <w:pPr>
        <w:spacing w:after="0" w:line="13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u w:val="single" w:color="auto"/>
          <w:color w:val="auto"/>
        </w:rPr>
        <w:t>Initial Award</w:t>
      </w:r>
      <w:r>
        <w:rPr>
          <w:rFonts w:ascii="Times New Roman" w:cs="Times New Roman" w:eastAsia="Times New Roman" w:hAnsi="Times New Roman"/>
          <w:sz w:val="19"/>
          <w:szCs w:val="19"/>
          <w:color w:val="auto"/>
        </w:rPr>
        <w:t>: An initial, one-time equity award consisting of a stock option (the “Initial Option Award”) to purchase 75,000 shares and a restricted stock unit award (the “Initial RSU Award”) to acquire 12,500 restricted stock unit awards. The Initial Option Award and the Initial RSU Award will be granted to each new Outside Director upon his or her election to the Board of Directors. The Initial Option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The Initial Option Award shall expire not later than ten years from the date of grant, and shall have a per share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equal to the Fair Market Value (as defined in the Company’s 2021 Stock Option and Incentive Plan) of the Company’s common stock on the date of grant. The Initial RSU Award shall vest in three equal annual installments over three years from the date of grant (the specific vesting dates to be established by the Compensation Committee); provided, however, that all vesting shall cease if the director ceases to serve on the Board of Directors prior to any applicable vesting of the Initial RSU Award, unless the Board of Directors determines that the circumstances warrant continuation of vesting.</w:t>
      </w:r>
    </w:p>
    <w:p>
      <w:pPr>
        <w:spacing w:after="0" w:line="1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On each date of each Annual Meeting of Stockholders of the Company (the “Annual Meeting”), each continuing Outside Director, other than a director receiving an Initial Award, will receive: (i) an annual stock option award (the “Annual Option Award”) to purchase 37,500 shares and (ii) an annual restricted stock unit award (the “Annual RSU Award”) to acquire 6,250 shares; provided, however, that Annual Option Awards and Annual RSU Awards made to Outside Directors who were elected in the 12 months preceding the date of grant of such Annual Awards will be pro-rated on a monthly basis for time in service. The Annual Option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 The Annual RSU Award shall vest in its entirety approximately on the first anniversary of the date of grant (the specific vesting date to be established by the Compensation Committee); provided, however, that all vesting shall cease if the director ceases to serve on the Board of Directors prior to the vesting of the Annual RSU Award, unless the Board of Directors determines that the circumstances warrant continuation of vesting.</w:t>
      </w:r>
    </w:p>
    <w:p>
      <w:pPr>
        <w:spacing w:after="0" w:line="10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u w:val="single" w:color="auto"/>
          <w:color w:val="auto"/>
        </w:rPr>
        <w:t>Sale Event Acceleration</w:t>
      </w:r>
      <w:r>
        <w:rPr>
          <w:rFonts w:ascii="Times New Roman" w:cs="Times New Roman" w:eastAsia="Times New Roman" w:hAnsi="Times New Roman"/>
          <w:sz w:val="20"/>
          <w:szCs w:val="20"/>
          <w:color w:val="auto"/>
        </w:rPr>
        <w:t>: All outstanding Initial Awards and Annual Awards held by an Outside Director shall become fully vested and exercisable upon a Sale Event (as defined in the Company’s 2021 Stock Option and Incentive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15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Company will reimburse all reasonable out-of-pocket expenses incurred by non-employee directors in attending meetings of the Board of Directors or any committee thereof.</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Maximum Annual Compensation</w:t>
      </w:r>
    </w:p>
    <w:p>
      <w:pPr>
        <w:spacing w:after="0" w:line="15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Adopted June 9, 2021.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May 22, 2023, 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1217295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46" w:name="page47"/>
    <w:bookmarkEnd w:id="46"/>
    <w:p>
      <w:pPr>
        <w:ind w:left="10180"/>
        <w:spacing w:after="0"/>
        <w:rPr>
          <w:sz w:val="20"/>
          <w:szCs w:val="20"/>
          <w:color w:val="auto"/>
        </w:rPr>
      </w:pPr>
      <w:r>
        <w:rPr>
          <w:rFonts w:ascii="Times New Roman" w:cs="Times New Roman" w:eastAsia="Times New Roman" w:hAnsi="Times New Roman"/>
          <w:sz w:val="19"/>
          <w:szCs w:val="19"/>
          <w:b w:val="1"/>
          <w:bCs w:val="1"/>
          <w:color w:val="auto"/>
        </w:rPr>
        <w:t>Confidential</w:t>
      </w:r>
    </w:p>
    <w:p>
      <w:pPr>
        <w:spacing w:after="0" w:line="231" w:lineRule="exact"/>
        <w:rPr>
          <w:sz w:val="20"/>
          <w:szCs w:val="20"/>
          <w:color w:val="auto"/>
        </w:rPr>
      </w:pPr>
    </w:p>
    <w:p>
      <w:pPr>
        <w:jc w:val="center"/>
        <w:ind w:right="60"/>
        <w:spacing w:after="0" w:line="254" w:lineRule="auto"/>
        <w:rPr>
          <w:sz w:val="20"/>
          <w:szCs w:val="20"/>
          <w:color w:val="auto"/>
        </w:rPr>
      </w:pPr>
      <w:r>
        <w:rPr>
          <w:rFonts w:ascii="Times New Roman" w:cs="Times New Roman" w:eastAsia="Times New Roman" w:hAnsi="Times New Roman"/>
          <w:sz w:val="20"/>
          <w:szCs w:val="20"/>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Amended and Restated Research Collaboration and License Agreement</w:t>
      </w:r>
    </w:p>
    <w:p>
      <w:pPr>
        <w:spacing w:after="0" w:line="229"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color w:val="auto"/>
        </w:rPr>
        <w:t>This Amendment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to the Amended and Restated Research Collaboration and License Agreement is made as of August 4, 2025, by and between Gilead Sciences, Inc., a corporation organized and existing under the laws of Delaware, having an address at 333 Lakeside Drive, Foster City, CA 94404 (“</w:t>
      </w:r>
      <w:r>
        <w:rPr>
          <w:rFonts w:ascii="Times New Roman" w:cs="Times New Roman" w:eastAsia="Times New Roman" w:hAnsi="Times New Roman"/>
          <w:sz w:val="20"/>
          <w:szCs w:val="20"/>
          <w:b w:val="1"/>
          <w:bCs w:val="1"/>
          <w:color w:val="auto"/>
        </w:rPr>
        <w:t>Gilead</w:t>
      </w:r>
      <w:r>
        <w:rPr>
          <w:rFonts w:ascii="Times New Roman" w:cs="Times New Roman" w:eastAsia="Times New Roman" w:hAnsi="Times New Roman"/>
          <w:sz w:val="20"/>
          <w:szCs w:val="20"/>
          <w:color w:val="auto"/>
        </w:rPr>
        <w:t>”) and Tango Therapeutics, Inc., a corporation organized and existing under the laws of Delaware, having an address at 201 Brookline Ave, Suite 901, Boston, MA 02215 (“</w:t>
      </w:r>
      <w:r>
        <w:rPr>
          <w:rFonts w:ascii="Times New Roman" w:cs="Times New Roman" w:eastAsia="Times New Roman" w:hAnsi="Times New Roman"/>
          <w:sz w:val="20"/>
          <w:szCs w:val="20"/>
          <w:b w:val="1"/>
          <w:bCs w:val="1"/>
          <w:color w:val="auto"/>
        </w:rPr>
        <w:t>Tango</w:t>
      </w:r>
      <w:r>
        <w:rPr>
          <w:rFonts w:ascii="Times New Roman" w:cs="Times New Roman" w:eastAsia="Times New Roman" w:hAnsi="Times New Roman"/>
          <w:sz w:val="20"/>
          <w:szCs w:val="20"/>
          <w:color w:val="auto"/>
        </w:rPr>
        <w:t>”). Capitalized terms used, but not otherwise defined herein, shall have the meaning set forth in the Agreement.</w:t>
      </w:r>
    </w:p>
    <w:p>
      <w:pPr>
        <w:spacing w:after="0" w:line="19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WHEREAS, Gilead and Tango entered into that certain Amended and Restated Research Collaboration and License Agreement dated August 17, 2020, as amended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pursuant to which Tango agreed to conduct the Research Collaboration during the Research Term, which Research Term was initially intended to expire on August 17, 2027; and</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Tango and Gilead have mutually agreed that the Research Term shall expire early, subject to the terms and conditions of this Amendment.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hereby agree as follows:</w:t>
      </w:r>
    </w:p>
    <w:p>
      <w:pPr>
        <w:spacing w:after="0" w:line="190" w:lineRule="exact"/>
        <w:rPr>
          <w:sz w:val="20"/>
          <w:szCs w:val="20"/>
          <w:color w:val="auto"/>
        </w:rPr>
      </w:pPr>
    </w:p>
    <w:p>
      <w:pPr>
        <w:ind w:left="1140" w:hanging="383"/>
        <w:spacing w:after="0" w:line="273" w:lineRule="auto"/>
        <w:tabs>
          <w:tab w:leader="none" w:pos="11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Research Term</w:t>
      </w:r>
      <w:r>
        <w:rPr>
          <w:rFonts w:ascii="Times New Roman" w:cs="Times New Roman" w:eastAsia="Times New Roman" w:hAnsi="Times New Roman"/>
          <w:sz w:val="20"/>
          <w:szCs w:val="20"/>
          <w:color w:val="auto"/>
        </w:rPr>
        <w:t>. The second sentence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hereby deleted in its entirety and replaced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w:t>
      </w:r>
    </w:p>
    <w:p>
      <w:pPr>
        <w:spacing w:after="0" w:line="151" w:lineRule="exact"/>
        <w:rPr>
          <w:rFonts w:ascii="Times New Roman" w:cs="Times New Roman" w:eastAsia="Times New Roman" w:hAnsi="Times New Roman"/>
          <w:sz w:val="20"/>
          <w:szCs w:val="20"/>
          <w:color w:val="auto"/>
        </w:rPr>
      </w:pPr>
    </w:p>
    <w:p>
      <w:pPr>
        <w:ind w:left="1140" w:right="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Research Collaboration shall commence on the Amendment Date and shall end on August 4, 2025 (such date, the “</w:t>
      </w:r>
      <w:r>
        <w:rPr>
          <w:rFonts w:ascii="Times New Roman" w:cs="Times New Roman" w:eastAsia="Times New Roman" w:hAnsi="Times New Roman"/>
          <w:sz w:val="20"/>
          <w:szCs w:val="20"/>
          <w:b w:val="1"/>
          <w:bCs w:val="1"/>
          <w:color w:val="auto"/>
        </w:rPr>
        <w:t>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End Date</w:t>
      </w:r>
      <w:r>
        <w:rPr>
          <w:rFonts w:ascii="Times New Roman" w:cs="Times New Roman" w:eastAsia="Times New Roman" w:hAnsi="Times New Roman"/>
          <w:sz w:val="20"/>
          <w:szCs w:val="20"/>
          <w:color w:val="auto"/>
        </w:rPr>
        <w:t>” and such period, the “</w:t>
      </w:r>
      <w:r>
        <w:rPr>
          <w:rFonts w:ascii="Times New Roman" w:cs="Times New Roman" w:eastAsia="Times New Roman" w:hAnsi="Times New Roman"/>
          <w:sz w:val="20"/>
          <w:szCs w:val="20"/>
          <w:b w:val="1"/>
          <w:bCs w:val="1"/>
          <w:color w:val="auto"/>
        </w:rPr>
        <w:t>Research Term</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1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there are no Extended Targets, Reserved Targets, Program Option Targets, or Validated Targets, as of the RT End Date.</w:t>
      </w:r>
    </w:p>
    <w:p>
      <w:pPr>
        <w:spacing w:after="0" w:line="15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2.3.4(b)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hereby deleted in its entirety.</w:t>
      </w:r>
    </w:p>
    <w:p>
      <w:pPr>
        <w:spacing w:after="0" w:line="215"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Gilead Targets</w:t>
      </w:r>
      <w:r>
        <w:rPr>
          <w:rFonts w:ascii="Times New Roman" w:cs="Times New Roman" w:eastAsia="Times New Roman" w:hAnsi="Times New Roman"/>
          <w:sz w:val="20"/>
          <w:szCs w:val="20"/>
          <w:color w:val="auto"/>
        </w:rPr>
        <w:t>. The second sentence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1.135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hereby deleted in its entirety and replaced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“As of the RT End Date, the only Gilead Targets under this Agreement are [***].”</w:t>
      </w:r>
    </w:p>
    <w:p>
      <w:pPr>
        <w:spacing w:after="0" w:line="225" w:lineRule="exact"/>
        <w:rPr>
          <w:sz w:val="20"/>
          <w:szCs w:val="20"/>
          <w:color w:val="auto"/>
        </w:rPr>
      </w:pPr>
    </w:p>
    <w:p>
      <w:pPr>
        <w:jc w:val="both"/>
        <w:ind w:left="1140" w:hanging="383"/>
        <w:spacing w:after="0" w:line="256" w:lineRule="auto"/>
        <w:tabs>
          <w:tab w:leader="none" w:pos="11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Governance</w:t>
      </w:r>
      <w:r>
        <w:rPr>
          <w:rFonts w:ascii="Times New Roman" w:cs="Times New Roman" w:eastAsia="Times New Roman" w:hAnsi="Times New Roman"/>
          <w:sz w:val="20"/>
          <w:szCs w:val="20"/>
          <w:color w:val="auto"/>
        </w:rPr>
        <w:t>.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effective as of the RT End Date, the Parties hereby (a) dissolve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JRDC in its entirety, and (b) dissolve the JSC until such time that a JDC or JCC is established pursuant to the terms of the Agreement. From and after the RT End Date, until such time that the JSC is reestablished (if applicable), all</w:t>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 \\4130-1160-9439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00" w:lineRule="exact"/>
        <w:rPr>
          <w:sz w:val="20"/>
          <w:szCs w:val="20"/>
          <w:color w:val="auto"/>
        </w:rPr>
      </w:pPr>
    </w:p>
    <w:p>
      <w:pPr>
        <w:spacing w:after="0" w:line="222" w:lineRule="exact"/>
        <w:rPr>
          <w:sz w:val="20"/>
          <w:szCs w:val="20"/>
          <w:color w:val="auto"/>
        </w:rPr>
      </w:pPr>
    </w:p>
    <w:p>
      <w:pPr>
        <w:ind w:left="383"/>
        <w:spacing w:after="0"/>
        <w:rPr>
          <w:sz w:val="20"/>
          <w:szCs w:val="20"/>
          <w:color w:val="auto"/>
        </w:rPr>
      </w:pPr>
      <w:r>
        <w:rPr>
          <w:rFonts w:ascii="Times New Roman" w:cs="Times New Roman" w:eastAsia="Times New Roman" w:hAnsi="Times New Roman"/>
          <w:sz w:val="20"/>
          <w:szCs w:val="20"/>
          <w:color w:val="auto"/>
        </w:rPr>
        <w:t>communications that would have gone through the JSC shall be with and through the Alliance Managers.</w:t>
      </w:r>
    </w:p>
    <w:p>
      <w:pPr>
        <w:spacing w:after="0" w:line="212" w:lineRule="exact"/>
        <w:rPr>
          <w:sz w:val="20"/>
          <w:szCs w:val="20"/>
          <w:color w:val="auto"/>
        </w:rPr>
      </w:pPr>
    </w:p>
    <w:p>
      <w:pPr>
        <w:ind w:left="383" w:hanging="383"/>
        <w:spacing w:after="0"/>
        <w:tabs>
          <w:tab w:leader="none" w:pos="38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Screens. </w:t>
      </w:r>
      <w:r>
        <w:rPr>
          <w:rFonts w:ascii="Times New Roman" w:cs="Times New Roman" w:eastAsia="Times New Roman" w:hAnsi="Times New Roman"/>
          <w:sz w:val="20"/>
          <w:szCs w:val="20"/>
          <w:u w:val="single" w:color="auto"/>
          <w:color w:val="auto"/>
        </w:rPr>
        <w:t>Section 5.5.1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hereby deleted in its entirety and replaced with the following:</w:t>
      </w:r>
    </w:p>
    <w:p>
      <w:pPr>
        <w:spacing w:after="0" w:line="200" w:lineRule="exact"/>
        <w:rPr>
          <w:sz w:val="20"/>
          <w:szCs w:val="20"/>
          <w:color w:val="auto"/>
        </w:rPr>
      </w:pPr>
    </w:p>
    <w:p>
      <w:pPr>
        <w:spacing w:after="0" w:line="209" w:lineRule="exact"/>
        <w:rPr>
          <w:sz w:val="20"/>
          <w:szCs w:val="20"/>
          <w:color w:val="auto"/>
        </w:rPr>
      </w:pPr>
    </w:p>
    <w:p>
      <w:pPr>
        <w:jc w:val="both"/>
        <w:ind w:left="743"/>
        <w:spacing w:after="0" w:line="254" w:lineRule="auto"/>
        <w:rPr>
          <w:sz w:val="20"/>
          <w:szCs w:val="20"/>
          <w:color w:val="auto"/>
        </w:rPr>
      </w:pPr>
      <w:r>
        <w:rPr>
          <w:rFonts w:ascii="Times New Roman" w:cs="Times New Roman" w:eastAsia="Times New Roman" w:hAnsi="Times New Roman"/>
          <w:sz w:val="20"/>
          <w:szCs w:val="20"/>
          <w:color w:val="auto"/>
        </w:rPr>
        <w:t>“During the Research Term only, neither Party will use or deploy any Screen for any purpose in the Exclusive Field, except to: (a) identify and develop Validated Targets; and (b) research, develop, manufacture, or commercialize Gilead Products or Tango Products, in each case ((a) and (b)), to the extent permitted pursuant to the terms of this Agreement.”</w:t>
      </w:r>
    </w:p>
    <w:p>
      <w:pPr>
        <w:spacing w:after="0" w:line="184" w:lineRule="exact"/>
        <w:rPr>
          <w:sz w:val="20"/>
          <w:szCs w:val="20"/>
          <w:color w:val="auto"/>
        </w:rPr>
      </w:pPr>
    </w:p>
    <w:p>
      <w:pPr>
        <w:jc w:val="both"/>
        <w:ind w:left="383" w:hanging="383"/>
        <w:spacing w:after="0" w:line="256" w:lineRule="auto"/>
        <w:tabs>
          <w:tab w:leader="none" w:pos="38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Research and Development Cross-Licenses</w:t>
      </w:r>
      <w:r>
        <w:rPr>
          <w:rFonts w:ascii="Times New Roman" w:cs="Times New Roman" w:eastAsia="Times New Roman" w:hAnsi="Times New Roman"/>
          <w:sz w:val="20"/>
          <w:szCs w:val="20"/>
          <w:color w:val="auto"/>
        </w:rPr>
        <w:t>. Effective as of the RT End Date, the cross-licenses granted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by each Party to conduct their respective activities under the Research Plan or applicable Development Plan shall terminate.</w:t>
      </w:r>
    </w:p>
    <w:p>
      <w:pPr>
        <w:spacing w:after="0" w:line="168" w:lineRule="exact"/>
        <w:rPr>
          <w:rFonts w:ascii="Times New Roman" w:cs="Times New Roman" w:eastAsia="Times New Roman" w:hAnsi="Times New Roman"/>
          <w:sz w:val="20"/>
          <w:szCs w:val="20"/>
          <w:color w:val="auto"/>
        </w:rPr>
      </w:pPr>
    </w:p>
    <w:p>
      <w:pPr>
        <w:jc w:val="both"/>
        <w:ind w:left="383" w:hanging="383"/>
        <w:spacing w:after="0" w:line="256" w:lineRule="auto"/>
        <w:tabs>
          <w:tab w:leader="none" w:pos="38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Except as amended pursuant to this Amendment, all other terms, conditions and provisions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continue in full force and effect as provided therein. In the event of a conflict between the terms, conditions and provisions of this Amendment or the Agreement, the terms, conditions and provisions of this Amendment shall prevail.</w:t>
      </w:r>
    </w:p>
    <w:p>
      <w:pPr>
        <w:spacing w:after="0" w:line="168" w:lineRule="exact"/>
        <w:rPr>
          <w:rFonts w:ascii="Times New Roman" w:cs="Times New Roman" w:eastAsia="Times New Roman" w:hAnsi="Times New Roman"/>
          <w:sz w:val="20"/>
          <w:szCs w:val="20"/>
          <w:color w:val="auto"/>
        </w:rPr>
      </w:pPr>
    </w:p>
    <w:p>
      <w:pPr>
        <w:ind w:left="383" w:hanging="383"/>
        <w:spacing w:after="0" w:line="273" w:lineRule="auto"/>
        <w:tabs>
          <w:tab w:leader="none" w:pos="38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Dispute Resolution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15.4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15.5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are hereby incorporated into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jc w:val="both"/>
        <w:ind w:left="383" w:hanging="383"/>
        <w:spacing w:after="0" w:line="264" w:lineRule="auto"/>
        <w:tabs>
          <w:tab w:leader="none" w:pos="38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Miscellaneous and Counterparts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Sections 1.308, 15.1, 15.3, 15.8, 15.9 15.10, 15.13 and 15.16 - 15.10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incorporated into this Amendment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This Amendment may be executed in multiple counterparts, each of which shall constitute an original, and all of which, when taken together, shall constitute one and the same agreement. The exchange of a fully executed Amendment (in counterparts or otherwise) by electronic transmission in portable document format (PDF) by any electronic means shall be sufficient to bind the Parties to the terms of this Amendment.</w:t>
      </w:r>
    </w:p>
    <w:p>
      <w:pPr>
        <w:spacing w:after="0" w:line="179" w:lineRule="exact"/>
        <w:rPr>
          <w:sz w:val="20"/>
          <w:szCs w:val="20"/>
          <w:color w:val="auto"/>
        </w:rPr>
      </w:pPr>
    </w:p>
    <w:p>
      <w:pPr>
        <w:ind w:left="3883"/>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1029970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Amendment by their duly authorized representatives as of the date below.</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740" w:type="dxa"/>
            <w:vAlign w:val="bottom"/>
            <w:gridSpan w:val="8"/>
          </w:tcPr>
          <w:p>
            <w:pPr>
              <w:ind w:left="100"/>
              <w:spacing w:after="0"/>
              <w:rPr>
                <w:sz w:val="20"/>
                <w:szCs w:val="20"/>
                <w:color w:val="auto"/>
              </w:rPr>
            </w:pPr>
            <w:r>
              <w:rPr>
                <w:rFonts w:ascii="Times New Roman" w:cs="Times New Roman" w:eastAsia="Times New Roman" w:hAnsi="Times New Roman"/>
                <w:sz w:val="20"/>
                <w:szCs w:val="20"/>
                <w:b w:val="1"/>
                <w:bCs w:val="1"/>
                <w:color w:val="auto"/>
              </w:rPr>
              <w:t>TANGO THERAPEUTICS, INC.</w:t>
            </w:r>
          </w:p>
        </w:tc>
        <w:tc>
          <w:tcPr>
            <w:tcW w:w="6500" w:type="dxa"/>
            <w:vAlign w:val="bottom"/>
            <w:gridSpan w:val="6"/>
          </w:tcPr>
          <w:p>
            <w:pPr>
              <w:ind w:left="980"/>
              <w:spacing w:after="0"/>
              <w:rPr>
                <w:sz w:val="20"/>
                <w:szCs w:val="20"/>
                <w:color w:val="auto"/>
              </w:rPr>
            </w:pPr>
            <w:r>
              <w:rPr>
                <w:rFonts w:ascii="Times New Roman" w:cs="Times New Roman" w:eastAsia="Times New Roman" w:hAnsi="Times New Roman"/>
                <w:sz w:val="20"/>
                <w:szCs w:val="20"/>
                <w:b w:val="1"/>
                <w:bCs w:val="1"/>
                <w:color w:val="auto"/>
              </w:rPr>
              <w:t>GILEAD SCIENCES, INC.</w:t>
            </w:r>
          </w:p>
        </w:tc>
      </w:tr>
      <w:tr>
        <w:trPr>
          <w:trHeight w:val="642"/>
        </w:trPr>
        <w:tc>
          <w:tcPr>
            <w:tcW w:w="474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By:_/s/ Barbara Weber__________________</w:t>
            </w:r>
          </w:p>
        </w:tc>
        <w:tc>
          <w:tcPr>
            <w:tcW w:w="6500" w:type="dxa"/>
            <w:vAlign w:val="bottom"/>
            <w:gridSpan w:val="6"/>
          </w:tcPr>
          <w:p>
            <w:pPr>
              <w:ind w:left="980"/>
              <w:spacing w:after="0"/>
              <w:rPr>
                <w:sz w:val="20"/>
                <w:szCs w:val="20"/>
                <w:color w:val="auto"/>
              </w:rPr>
            </w:pPr>
            <w:r>
              <w:rPr>
                <w:rFonts w:ascii="Times New Roman" w:cs="Times New Roman" w:eastAsia="Times New Roman" w:hAnsi="Times New Roman"/>
                <w:sz w:val="20"/>
                <w:szCs w:val="20"/>
                <w:color w:val="auto"/>
              </w:rPr>
              <w:t>By _/s/ Hiro Koizumi_________________</w:t>
            </w:r>
          </w:p>
        </w:tc>
      </w:tr>
      <w:tr>
        <w:trPr>
          <w:trHeight w:val="20"/>
        </w:trPr>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47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color w:val="auto"/>
              </w:rPr>
              <w:t>Name:_ Barbara Weber_________________</w:t>
            </w:r>
          </w:p>
        </w:tc>
        <w:tc>
          <w:tcPr>
            <w:tcW w:w="6500" w:type="dxa"/>
            <w:vAlign w:val="bottom"/>
            <w:gridSpan w:val="6"/>
          </w:tcPr>
          <w:p>
            <w:pPr>
              <w:ind w:left="980"/>
              <w:spacing w:after="0" w:line="209" w:lineRule="exact"/>
              <w:rPr>
                <w:sz w:val="20"/>
                <w:szCs w:val="20"/>
                <w:color w:val="auto"/>
              </w:rPr>
            </w:pPr>
            <w:r>
              <w:rPr>
                <w:rFonts w:ascii="Times New Roman" w:cs="Times New Roman" w:eastAsia="Times New Roman" w:hAnsi="Times New Roman"/>
                <w:sz w:val="20"/>
                <w:szCs w:val="20"/>
                <w:color w:val="auto"/>
              </w:rPr>
              <w:t>Name:_ Hiro Koizumi________________</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47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color w:val="auto"/>
              </w:rPr>
              <w:t>Title: _Chief Executive Officer____________</w:t>
            </w:r>
          </w:p>
        </w:tc>
        <w:tc>
          <w:tcPr>
            <w:tcW w:w="6500" w:type="dxa"/>
            <w:vAlign w:val="bottom"/>
            <w:gridSpan w:val="6"/>
          </w:tcPr>
          <w:p>
            <w:pPr>
              <w:ind w:left="980"/>
              <w:spacing w:after="0" w:line="209" w:lineRule="exact"/>
              <w:rPr>
                <w:sz w:val="20"/>
                <w:szCs w:val="20"/>
                <w:color w:val="auto"/>
              </w:rPr>
            </w:pPr>
            <w:r>
              <w:rPr>
                <w:rFonts w:ascii="Times New Roman" w:cs="Times New Roman" w:eastAsia="Times New Roman" w:hAnsi="Times New Roman"/>
                <w:sz w:val="20"/>
                <w:szCs w:val="20"/>
                <w:color w:val="auto"/>
              </w:rPr>
              <w:t>Title: _Vice President, Alliance Management</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Borders>
              <w:right w:val="single" w:sz="8" w:color="auto"/>
            </w:tcBorders>
            <w:gridSpan w:val="4"/>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0"/>
        </w:trPr>
        <w:tc>
          <w:tcPr>
            <w:tcW w:w="4740" w:type="dxa"/>
            <w:vAlign w:val="bottom"/>
            <w:gridSpan w:val="8"/>
          </w:tcPr>
          <w:p>
            <w:pPr>
              <w:ind w:left="100"/>
              <w:spacing w:after="0" w:line="209" w:lineRule="exact"/>
              <w:rPr>
                <w:sz w:val="20"/>
                <w:szCs w:val="20"/>
                <w:color w:val="auto"/>
              </w:rPr>
            </w:pPr>
            <w:r>
              <w:rPr>
                <w:rFonts w:ascii="Times New Roman" w:cs="Times New Roman" w:eastAsia="Times New Roman" w:hAnsi="Times New Roman"/>
                <w:sz w:val="20"/>
                <w:szCs w:val="20"/>
                <w:color w:val="auto"/>
              </w:rPr>
              <w:t>Date:_August 4, 2025___________________</w:t>
            </w:r>
          </w:p>
        </w:tc>
        <w:tc>
          <w:tcPr>
            <w:tcW w:w="6500" w:type="dxa"/>
            <w:vAlign w:val="bottom"/>
            <w:gridSpan w:val="6"/>
          </w:tcPr>
          <w:p>
            <w:pPr>
              <w:ind w:left="980"/>
              <w:spacing w:after="0" w:line="209" w:lineRule="exact"/>
              <w:rPr>
                <w:sz w:val="20"/>
                <w:szCs w:val="20"/>
                <w:color w:val="auto"/>
              </w:rPr>
            </w:pPr>
            <w:r>
              <w:rPr>
                <w:rFonts w:ascii="Times New Roman" w:cs="Times New Roman" w:eastAsia="Times New Roman" w:hAnsi="Times New Roman"/>
                <w:sz w:val="20"/>
                <w:szCs w:val="20"/>
                <w:color w:val="auto"/>
              </w:rPr>
              <w:t>Date: _August 1, 2025___________________</w:t>
            </w:r>
          </w:p>
        </w:tc>
      </w:tr>
      <w:tr>
        <w:trPr>
          <w:trHeight w:val="2093"/>
        </w:trPr>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7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7"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ind w:left="380" w:hanging="372"/>
        <w:spacing w:after="0" w:line="254" w:lineRule="auto"/>
        <w:tabs>
          <w:tab w:leader="none" w:pos="3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August 5,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ind w:left="380" w:hanging="372"/>
        <w:spacing w:after="0" w:line="254" w:lineRule="auto"/>
        <w:tabs>
          <w:tab w:leader="none" w:pos="3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5,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2025 as filed with the Securities and Exchange Commission (the “Report”), I, Barbara Weber,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August 5,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30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2025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August 5,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
      <w:numFmt w:val="bullet"/>
      <w:start w:val="1"/>
    </w:lvl>
  </w:abstractNum>
  <w:abstractNum w:abstractNumId="3">
    <w:nsid w:val="6763845E"/>
    <w:multiLevelType w:val="hybridMultilevel"/>
    <w:lvl w:ilvl="0">
      <w:lvlJc w:val="left"/>
      <w:lvlText w:val="•"/>
      <w:numFmt w:val="bullet"/>
      <w:start w:val="1"/>
    </w:lvl>
    <w:lvl w:ilvl="1">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lowerRoman"/>
      <w:start w:val="10"/>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2"/>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4"/>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6"/>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8"/>
    </w:lvl>
  </w:abstractNum>
  <w:abstractNum w:abstractNumId="19">
    <w:nsid w:val="737B8DDC"/>
    <w:multiLevelType w:val="hybridMultilevel"/>
    <w:lvl w:ilvl="0">
      <w:lvlJc w:val="left"/>
      <w:lvlText w:val="%1."/>
      <w:numFmt w:val="decimal"/>
      <w:start w:val="9"/>
    </w:lvl>
  </w:abstractNum>
  <w:abstractNum w:abstractNumId="20">
    <w:nsid w:val="6CEAF087"/>
    <w:multiLevelType w:val="hybridMultilevel"/>
    <w:lvl w:ilvl="0">
      <w:lvlJc w:val="left"/>
      <w:lvlText w:val="%1."/>
      <w:numFmt w:val="decimal"/>
      <w:start w:val="10"/>
    </w:lvl>
  </w:abstractNum>
  <w:abstractNum w:abstractNumId="21">
    <w:nsid w:val="22221A70"/>
    <w:multiLevelType w:val="hybridMultilevel"/>
    <w:lvl w:ilvl="0">
      <w:lvlJc w:val="left"/>
      <w:lvlText w:val="%1."/>
      <w:numFmt w:val="decimal"/>
      <w:start w:val="11"/>
    </w:lvl>
  </w:abstractNum>
  <w:abstractNum w:abstractNumId="22">
    <w:nsid w:val="4516DDE9"/>
    <w:multiLevelType w:val="hybridMultilevel"/>
    <w:lvl w:ilvl="0">
      <w:lvlJc w:val="left"/>
      <w:lvlText w:val="%1."/>
      <w:numFmt w:val="decimal"/>
      <w:start w:val="12"/>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13"/>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4"/>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decimal"/>
      <w:start w:val="6"/>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5"/>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5"/>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48" Type="http://schemas.openxmlformats.org/officeDocument/2006/relationships/hyperlink" Target="https://www.sec.gov/Archives/edgar/data/1819133/000095017024092274/tngx-ex3_1.htm" TargetMode="External"/><Relationship Id="rId249" Type="http://schemas.openxmlformats.org/officeDocument/2006/relationships/hyperlink" Target="https://www.sec.gov/Archives/edgar/data/1819133/000119312521298942/d211731dex42.htm" TargetMode="External"/><Relationship Id="rId250" Type="http://schemas.openxmlformats.org/officeDocument/2006/relationships/hyperlink" Target="https://www.sec.gov/Archives/edgar/data/1819133/000119312525137032/d92693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2025-08-05T06:15:19Z</dcterms:created>
  <dcterms:modified xsi:type="dcterms:W3CDTF">2025-08-05T06:15:19Z</dcterms:modified>
</cp:coreProperties>
</file>