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87583X109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175"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Master Fund,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900" w:hanging="311"/>
        <w:spacing w:after="0"/>
        <w:tabs>
          <w:tab w:leader="none" w:pos="1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p>
    <w:p>
      <w:pPr>
        <w:spacing w:after="0" w:line="175"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Capital Advisors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175" w:lineRule="exact"/>
        <w:rPr>
          <w:sz w:val="20"/>
          <w:szCs w:val="20"/>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Capital Advisors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ectPr>
          <w:pgSz w:w="11900" w:h="16838" w:orient="portrait"/>
          <w:cols w:equalWidth="0" w:num="1">
            <w:col w:w="10900"/>
          </w:cols>
          <w:pgMar w:left="440"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175"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GP,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p>
    <w:p>
      <w:pPr>
        <w:spacing w:after="0" w:line="175"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GP,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p>
    <w:p>
      <w:pPr>
        <w:spacing w:after="0" w:line="175" w:lineRule="exact"/>
        <w:rPr>
          <w:sz w:val="20"/>
          <w:szCs w:val="20"/>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 Clark II</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United States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5,276,699</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5,276,699</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5,276,699</w:t>
      </w:r>
    </w:p>
    <w:p>
      <w:pPr>
        <w:spacing w:after="0" w:line="36" w:lineRule="exact"/>
        <w:rPr>
          <w:sz w:val="20"/>
          <w:szCs w:val="20"/>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60" w:type="dxa"/>
            <w:vAlign w:val="bottom"/>
          </w:tcPr>
          <w:p>
            <w:pPr>
              <w:spacing w:after="0"/>
              <w:rPr>
                <w:sz w:val="17"/>
                <w:szCs w:val="17"/>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Tango Therapeutics, Inc. (the “Issuer”)</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868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6"/>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201 Brookline Avenue, Suite 901</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Boston, MA 02215</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6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The name of the persons filing this report (the “Reporting Persons”) are:</w:t>
            </w:r>
          </w:p>
        </w:tc>
      </w:tr>
      <w:tr>
        <w:trPr>
          <w:trHeight w:val="338"/>
        </w:trPr>
        <w:tc>
          <w:tcPr>
            <w:tcW w:w="920" w:type="dxa"/>
            <w:vAlign w:val="bottom"/>
          </w:tcPr>
          <w:p>
            <w:pPr>
              <w:spacing w:after="0"/>
              <w:rPr>
                <w:sz w:val="24"/>
                <w:szCs w:val="24"/>
                <w:color w:val="auto"/>
              </w:rPr>
            </w:pP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Southpoint Master Fund, LP</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920" w:type="dxa"/>
            <w:vAlign w:val="bottom"/>
          </w:tcPr>
          <w:p>
            <w:pPr>
              <w:spacing w:after="0"/>
              <w:rPr>
                <w:sz w:val="24"/>
                <w:szCs w:val="24"/>
                <w:color w:val="auto"/>
              </w:rPr>
            </w:pP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(ii)</w:t>
            </w: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Southpoint Capital Advisors LP</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920" w:type="dxa"/>
            <w:vAlign w:val="bottom"/>
          </w:tcPr>
          <w:p>
            <w:pPr>
              <w:spacing w:after="0"/>
              <w:rPr>
                <w:sz w:val="24"/>
                <w:szCs w:val="24"/>
                <w:color w:val="auto"/>
              </w:rPr>
            </w:pP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(iii)</w:t>
            </w: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w w:val="99"/>
              </w:rPr>
              <w:t>Southpoint Capital Advisors LLC</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920" w:type="dxa"/>
            <w:vAlign w:val="bottom"/>
          </w:tcPr>
          <w:p>
            <w:pPr>
              <w:spacing w:after="0"/>
              <w:rPr>
                <w:sz w:val="24"/>
                <w:szCs w:val="24"/>
                <w:color w:val="auto"/>
              </w:rPr>
            </w:pP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(iv)</w:t>
            </w: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Southpoint GP, LP</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920" w:type="dxa"/>
            <w:vAlign w:val="bottom"/>
          </w:tcPr>
          <w:p>
            <w:pPr>
              <w:spacing w:after="0"/>
              <w:rPr>
                <w:sz w:val="24"/>
                <w:szCs w:val="24"/>
                <w:color w:val="auto"/>
              </w:rPr>
            </w:pP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w:t>
            </w:r>
          </w:p>
        </w:tc>
        <w:tc>
          <w:tcPr>
            <w:tcW w:w="25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Southpoint GP, LLC</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7"/>
        </w:trPr>
        <w:tc>
          <w:tcPr>
            <w:tcW w:w="920" w:type="dxa"/>
            <w:vAlign w:val="bottom"/>
          </w:tcPr>
          <w:p>
            <w:pPr>
              <w:spacing w:after="0"/>
              <w:rPr>
                <w:sz w:val="24"/>
                <w:szCs w:val="24"/>
                <w:color w:val="auto"/>
              </w:rPr>
            </w:pPr>
          </w:p>
        </w:tc>
        <w:tc>
          <w:tcPr>
            <w:tcW w:w="304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(vi)  John S. Clark II</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60" w:type="dxa"/>
            <w:vAlign w:val="bottom"/>
          </w:tcPr>
          <w:p>
            <w:pPr>
              <w:spacing w:after="0"/>
              <w:rPr>
                <w:sz w:val="24"/>
                <w:szCs w:val="24"/>
                <w:color w:val="auto"/>
              </w:rPr>
            </w:pPr>
          </w:p>
        </w:tc>
        <w:tc>
          <w:tcPr>
            <w:tcW w:w="85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500" w:type="dxa"/>
            <w:vAlign w:val="bottom"/>
            <w:gridSpan w:val="3"/>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tc>
      </w:tr>
      <w:tr>
        <w:trPr>
          <w:trHeight w:val="306"/>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1114 Avenue of the Americas,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tc>
      </w:tr>
      <w:tr>
        <w:trPr>
          <w:trHeight w:val="234"/>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New York, NY 10036</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6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Southpoint Master Fund, L.P.:</w:t>
            </w:r>
          </w:p>
        </w:tc>
        <w:tc>
          <w:tcPr>
            <w:tcW w:w="5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324"/>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Southpoint Capital Advisors LP:</w:t>
            </w:r>
          </w:p>
        </w:tc>
        <w:tc>
          <w:tcPr>
            <w:tcW w:w="5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Southpoint Capital Advisors LLC:</w:t>
            </w:r>
          </w:p>
        </w:tc>
        <w:tc>
          <w:tcPr>
            <w:tcW w:w="5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Southpoint GP, LP:</w:t>
            </w:r>
          </w:p>
        </w:tc>
        <w:tc>
          <w:tcPr>
            <w:tcW w:w="5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Southpoint GP, LLC:</w:t>
            </w:r>
          </w:p>
        </w:tc>
        <w:tc>
          <w:tcPr>
            <w:tcW w:w="5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John S. Clark II:</w:t>
            </w:r>
          </w:p>
        </w:tc>
        <w:tc>
          <w:tcPr>
            <w:tcW w:w="5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6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Common Stock, par value $0.001 (“Common Stock”)</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6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5"/>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87583X109</w:t>
            </w:r>
          </w:p>
        </w:tc>
        <w:tc>
          <w:tcPr>
            <w:tcW w:w="164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68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 240.13d-1(b) or 240.13d-2(b) or (c), check whether the person filing is a:</w:t>
            </w:r>
          </w:p>
        </w:tc>
      </w:tr>
      <w:tr>
        <w:trPr>
          <w:trHeight w:val="345"/>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Borders>
              <w:top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7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are based on 101,989,696 outstanding shares of Common Stock as reported in the Issuer’s Quarterly Report on Form 10-Q filed November 8, 2023.</w:t>
      </w:r>
    </w:p>
    <w:p>
      <w:pPr>
        <w:spacing w:after="0" w:line="68" w:lineRule="exact"/>
        <w:rPr>
          <w:sz w:val="20"/>
          <w:szCs w:val="20"/>
          <w:color w:val="auto"/>
        </w:rPr>
      </w:pPr>
    </w:p>
    <w:p>
      <w:pPr>
        <w:ind w:left="1100" w:right="200"/>
        <w:spacing w:after="0" w:line="258" w:lineRule="auto"/>
        <w:rPr>
          <w:sz w:val="20"/>
          <w:szCs w:val="20"/>
          <w:color w:val="auto"/>
        </w:rPr>
      </w:pPr>
      <w:r>
        <w:rPr>
          <w:rFonts w:ascii="Times New Roman" w:cs="Times New Roman" w:eastAsia="Times New Roman" w:hAnsi="Times New Roman"/>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the managing member of both Southpoint Capital Advisors LLC and Southpoint GP, LLC. Each of the Reporting Persons disclaims beneficial ownership of the shares reported herein.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1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1080" w:type="dxa"/>
            <w:vAlign w:val="bottom"/>
          </w:tcPr>
          <w:p>
            <w:pPr>
              <w:spacing w:after="0"/>
              <w:rPr>
                <w:sz w:val="24"/>
                <w:szCs w:val="24"/>
                <w:color w:val="auto"/>
              </w:rPr>
            </w:pPr>
          </w:p>
        </w:tc>
        <w:tc>
          <w:tcPr>
            <w:tcW w:w="9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1080" w:type="dxa"/>
            <w:vAlign w:val="bottom"/>
          </w:tcPr>
          <w:p>
            <w:pPr>
              <w:spacing w:after="0"/>
              <w:rPr>
                <w:sz w:val="24"/>
                <w:szCs w:val="24"/>
                <w:color w:val="auto"/>
              </w:rPr>
            </w:pPr>
          </w:p>
        </w:tc>
        <w:tc>
          <w:tcPr>
            <w:tcW w:w="9760" w:type="dxa"/>
            <w:vAlign w:val="bottom"/>
            <w:gridSpan w:val="8"/>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5"/>
        </w:trPr>
        <w:tc>
          <w:tcPr>
            <w:tcW w:w="1080" w:type="dxa"/>
            <w:vAlign w:val="bottom"/>
          </w:tcPr>
          <w:p>
            <w:pPr>
              <w:spacing w:after="0"/>
              <w:rPr>
                <w:sz w:val="24"/>
                <w:szCs w:val="24"/>
                <w:color w:val="auto"/>
              </w:rPr>
            </w:pPr>
          </w:p>
        </w:tc>
        <w:tc>
          <w:tcPr>
            <w:tcW w:w="516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4600" w:type="dxa"/>
            <w:vAlign w:val="bottom"/>
            <w:gridSpan w:val="2"/>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4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7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5"/>
        </w:trPr>
        <w:tc>
          <w:tcPr>
            <w:tcW w:w="1080" w:type="dxa"/>
            <w:vAlign w:val="bottom"/>
          </w:tcPr>
          <w:p>
            <w:pPr>
              <w:spacing w:after="0"/>
              <w:rPr>
                <w:sz w:val="24"/>
                <w:szCs w:val="24"/>
                <w:color w:val="auto"/>
              </w:rPr>
            </w:pPr>
          </w:p>
        </w:tc>
        <w:tc>
          <w:tcPr>
            <w:tcW w:w="2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7560" w:type="dxa"/>
            <w:vAlign w:val="bottom"/>
            <w:gridSpan w:val="6"/>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4"/>
        </w:trPr>
        <w:tc>
          <w:tcPr>
            <w:tcW w:w="1080" w:type="dxa"/>
            <w:vAlign w:val="bottom"/>
          </w:tcPr>
          <w:p>
            <w:pPr>
              <w:spacing w:after="0"/>
              <w:rPr>
                <w:sz w:val="24"/>
                <w:szCs w:val="24"/>
                <w:color w:val="auto"/>
              </w:rPr>
            </w:pPr>
          </w:p>
        </w:tc>
        <w:tc>
          <w:tcPr>
            <w:tcW w:w="446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5300" w:type="dxa"/>
            <w:vAlign w:val="bottom"/>
            <w:gridSpan w:val="3"/>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1080" w:type="dxa"/>
            <w:vAlign w:val="bottom"/>
          </w:tcPr>
          <w:p>
            <w:pPr>
              <w:spacing w:after="0"/>
              <w:rPr>
                <w:sz w:val="24"/>
                <w:szCs w:val="24"/>
                <w:color w:val="auto"/>
              </w:rPr>
            </w:pPr>
          </w:p>
        </w:tc>
        <w:tc>
          <w:tcPr>
            <w:tcW w:w="23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7420" w:type="dxa"/>
            <w:vAlign w:val="bottom"/>
            <w:gridSpan w:val="5"/>
          </w:tcPr>
          <w:p>
            <w:pPr>
              <w:spacing w:after="0"/>
              <w:rPr>
                <w:sz w:val="24"/>
                <w:szCs w:val="24"/>
                <w:color w:val="auto"/>
              </w:rPr>
            </w:pP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1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780" w:type="dxa"/>
            <w:vAlign w:val="bottom"/>
            <w:gridSpan w:val="7"/>
          </w:tcPr>
          <w:p>
            <w:pPr>
              <w:spacing w:after="0" w:line="20" w:lineRule="exact"/>
              <w:rPr>
                <w:sz w:val="1"/>
                <w:szCs w:val="1"/>
                <w:color w:val="auto"/>
              </w:rPr>
            </w:pPr>
          </w:p>
        </w:tc>
      </w:tr>
      <w:tr>
        <w:trPr>
          <w:trHeight w:val="326"/>
        </w:trPr>
        <w:tc>
          <w:tcPr>
            <w:tcW w:w="1080" w:type="dxa"/>
            <w:vAlign w:val="bottom"/>
          </w:tcPr>
          <w:p>
            <w:pPr>
              <w:spacing w:after="0"/>
              <w:rPr>
                <w:sz w:val="24"/>
                <w:szCs w:val="24"/>
                <w:color w:val="auto"/>
              </w:rPr>
            </w:pPr>
          </w:p>
        </w:tc>
        <w:tc>
          <w:tcPr>
            <w:tcW w:w="9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w:t>
            </w:r>
          </w:p>
        </w:tc>
      </w:tr>
      <w:tr>
        <w:trPr>
          <w:trHeight w:val="216"/>
        </w:trPr>
        <w:tc>
          <w:tcPr>
            <w:tcW w:w="1080" w:type="dxa"/>
            <w:vAlign w:val="bottom"/>
          </w:tcPr>
          <w:p>
            <w:pPr>
              <w:spacing w:after="0"/>
              <w:rPr>
                <w:sz w:val="18"/>
                <w:szCs w:val="18"/>
                <w:color w:val="auto"/>
              </w:rPr>
            </w:pPr>
          </w:p>
        </w:tc>
        <w:tc>
          <w:tcPr>
            <w:tcW w:w="9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w w:val="99"/>
              </w:rPr>
              <w:t>held for the purpose of or with the effect of changing or influencing the control of the issuer of the securities and were not acquired and</w:t>
            </w:r>
          </w:p>
        </w:tc>
      </w:tr>
      <w:tr>
        <w:trPr>
          <w:trHeight w:val="216"/>
        </w:trPr>
        <w:tc>
          <w:tcPr>
            <w:tcW w:w="1080" w:type="dxa"/>
            <w:vAlign w:val="bottom"/>
          </w:tcPr>
          <w:p>
            <w:pPr>
              <w:spacing w:after="0"/>
              <w:rPr>
                <w:sz w:val="18"/>
                <w:szCs w:val="18"/>
                <w:color w:val="auto"/>
              </w:rPr>
            </w:pPr>
          </w:p>
        </w:tc>
        <w:tc>
          <w:tcPr>
            <w:tcW w:w="9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are not held in connection with or as a participant in any transaction having that purpose or effect, other than activities solely in</w:t>
            </w:r>
          </w:p>
        </w:tc>
      </w:tr>
      <w:tr>
        <w:trPr>
          <w:trHeight w:val="234"/>
        </w:trPr>
        <w:tc>
          <w:tcPr>
            <w:tcW w:w="1080" w:type="dxa"/>
            <w:vAlign w:val="bottom"/>
          </w:tcPr>
          <w:p>
            <w:pPr>
              <w:spacing w:after="0"/>
              <w:rPr>
                <w:sz w:val="20"/>
                <w:szCs w:val="20"/>
                <w:color w:val="auto"/>
              </w:rPr>
            </w:pPr>
          </w:p>
        </w:tc>
        <w:tc>
          <w:tcPr>
            <w:tcW w:w="97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connection with a nomination under § 240.14a-11.</w:t>
            </w:r>
          </w:p>
        </w:tc>
      </w:tr>
    </w:tbl>
    <w:p>
      <w:pPr>
        <w:sectPr>
          <w:pgSz w:w="11900" w:h="16838" w:orient="portrait"/>
          <w:cols w:equalWidth="0" w:num="1">
            <w:col w:w="11000"/>
          </w:cols>
          <w:pgMar w:left="440" w:top="266" w:right="459" w:bottom="1440" w:gutter="0" w:footer="0" w:header="0"/>
        </w:sectPr>
      </w:pPr>
    </w:p>
    <w:bookmarkStart w:id="9" w:name="page10"/>
    <w:bookmarkEnd w:id="9"/>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Capital Advisors LLC, 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S. CLARK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 individually</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
      <w:numFmt w:val="bullet"/>
      <w:start w:val="1"/>
    </w:lvl>
    <w:lvl w:ilvl="1">
      <w:lvlJc w:val="left"/>
      <w:lvlText w:val=" "/>
      <w:numFmt w:val="bullet"/>
      <w:start w:val="1"/>
    </w:lvl>
  </w:abstractNum>
  <w:abstractNum w:abstractNumId="5">
    <w:nsid w:val="519B500D"/>
    <w:multiLevelType w:val="hybridMultilevel"/>
    <w:lvl w:ilvl="0">
      <w:lvlJc w:val="left"/>
      <w:lvlText w:val=" "/>
      <w:numFmt w:val="bullet"/>
      <w:start w:val="1"/>
    </w:lvl>
  </w:abstractNum>
  <w:abstractNum w:abstractNumId="6">
    <w:nsid w:val="431BD7B7"/>
    <w:multiLevelType w:val="hybridMultilevel"/>
    <w:lvl w:ilvl="0">
      <w:lvlJc w:val="left"/>
      <w:lvlText w:val="5"/>
      <w:numFmt w:val="bullet"/>
      <w:start w:val="1"/>
    </w:lvl>
  </w:abstractNum>
  <w:abstractNum w:abstractNumId="7">
    <w:nsid w:val="3F2DBA3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8">
    <w:nsid w:val="7C83E458"/>
    <w:multiLevelType w:val="hybridMultilevel"/>
    <w:lvl w:ilvl="0">
      <w:lvlJc w:val="left"/>
      <w:lvlText w:val="%1"/>
      <w:numFmt w:val="decimal"/>
      <w:start w:val="10"/>
    </w:lvl>
    <w:lvl w:ilvl="1">
      <w:lvlJc w:val="left"/>
      <w:lvlText w:val=" "/>
      <w:numFmt w:val="bullet"/>
      <w:start w:val="1"/>
    </w:lvl>
  </w:abstractNum>
  <w:abstractNum w:abstractNumId="9">
    <w:nsid w:val="257130A3"/>
    <w:multiLevelType w:val="hybridMultilevel"/>
    <w:lvl w:ilvl="0">
      <w:lvlJc w:val="left"/>
      <w:lvlText w:val=" "/>
      <w:numFmt w:val="bullet"/>
      <w:start w:val="1"/>
    </w:lvl>
    <w:lvl w:ilvl="1">
      <w:lvlJc w:val="left"/>
      <w:lvlText w:val=" "/>
      <w:numFmt w:val="bullet"/>
      <w:start w:val="1"/>
    </w:lvl>
  </w:abstractNum>
  <w:abstractNum w:abstractNumId="10">
    <w:nsid w:val="62BBD95A"/>
    <w:multiLevelType w:val="hybridMultilevel"/>
    <w:lvl w:ilvl="0">
      <w:lvlJc w:val="left"/>
      <w:lvlText w:val=" "/>
      <w:numFmt w:val="bullet"/>
      <w:start w:val="1"/>
    </w:lvl>
  </w:abstractNum>
  <w:abstractNum w:abstractNumId="11">
    <w:nsid w:val="436C612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628C895D"/>
    <w:multiLevelType w:val="hybridMultilevel"/>
    <w:lvl w:ilvl="0">
      <w:lvlJc w:val="left"/>
      <w:lvlText w:val="%1"/>
      <w:numFmt w:val="decimal"/>
      <w:start w:val="10"/>
    </w:lvl>
    <w:lvl w:ilvl="1">
      <w:lvlJc w:val="left"/>
      <w:lvlText w:val=" "/>
      <w:numFmt w:val="bullet"/>
      <w:start w:val="1"/>
    </w:lvl>
  </w:abstractNum>
  <w:abstractNum w:abstractNumId="13">
    <w:nsid w:val="333AB105"/>
    <w:multiLevelType w:val="hybridMultilevel"/>
    <w:lvl w:ilvl="0">
      <w:lvlJc w:val="left"/>
      <w:lvlText w:val=" "/>
      <w:numFmt w:val="bullet"/>
      <w:start w:val="1"/>
    </w:lvl>
    <w:lvl w:ilvl="1">
      <w:lvlJc w:val="left"/>
      <w:lvlText w:val=" "/>
      <w:numFmt w:val="bullet"/>
      <w:start w:val="1"/>
    </w:lvl>
  </w:abstractNum>
  <w:abstractNum w:abstractNumId="14">
    <w:nsid w:val="721DA317"/>
    <w:multiLevelType w:val="hybridMultilevel"/>
    <w:lvl w:ilvl="0">
      <w:lvlJc w:val="left"/>
      <w:lvlText w:val=" "/>
      <w:numFmt w:val="bullet"/>
      <w:start w:val="1"/>
    </w:lvl>
  </w:abstractNum>
  <w:abstractNum w:abstractNumId="15">
    <w:nsid w:val="2443A8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6">
    <w:nsid w:val="2D1D5AE9"/>
    <w:multiLevelType w:val="hybridMultilevel"/>
    <w:lvl w:ilvl="0">
      <w:lvlJc w:val="left"/>
      <w:lvlText w:val="%1"/>
      <w:numFmt w:val="decimal"/>
      <w:start w:val="10"/>
    </w:lvl>
    <w:lvl w:ilvl="1">
      <w:lvlJc w:val="left"/>
      <w:lvlText w:val=" "/>
      <w:numFmt w:val="bullet"/>
      <w:start w:val="1"/>
    </w:lvl>
  </w:abstractNum>
  <w:abstractNum w:abstractNumId="17">
    <w:nsid w:val="6763845E"/>
    <w:multiLevelType w:val="hybridMultilevel"/>
    <w:lvl w:ilvl="0">
      <w:lvlJc w:val="left"/>
      <w:lvlText w:val=" "/>
      <w:numFmt w:val="bullet"/>
      <w:start w:val="1"/>
    </w:lvl>
    <w:lvl w:ilvl="1">
      <w:lvlJc w:val="left"/>
      <w:lvlText w:val=" "/>
      <w:numFmt w:val="bullet"/>
      <w:start w:val="1"/>
    </w:lvl>
  </w:abstractNum>
  <w:abstractNum w:abstractNumId="18">
    <w:nsid w:val="75A2A8D4"/>
    <w:multiLevelType w:val="hybridMultilevel"/>
    <w:lvl w:ilvl="0">
      <w:lvlJc w:val="left"/>
      <w:lvlText w:val=" "/>
      <w:numFmt w:val="bullet"/>
      <w:start w:val="1"/>
    </w:lvl>
  </w:abstractNum>
  <w:abstractNum w:abstractNumId="19">
    <w:nsid w:val="8EDBDA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0">
    <w:nsid w:val="79838CB2"/>
    <w:multiLevelType w:val="hybridMultilevel"/>
    <w:lvl w:ilvl="0">
      <w:lvlJc w:val="left"/>
      <w:lvlText w:val="%1"/>
      <w:numFmt w:val="decimal"/>
      <w:start w:val="10"/>
    </w:lvl>
    <w:lvl w:ilvl="1">
      <w:lvlJc w:val="left"/>
      <w:lvlText w:val=" "/>
      <w:numFmt w:val="bullet"/>
      <w:start w:val="1"/>
    </w:lvl>
  </w:abstractNum>
  <w:abstractNum w:abstractNumId="21">
    <w:nsid w:val="4353D0CD"/>
    <w:multiLevelType w:val="hybridMultilevel"/>
    <w:lvl w:ilvl="0">
      <w:lvlJc w:val="left"/>
      <w:lvlText w:val=" "/>
      <w:numFmt w:val="bullet"/>
      <w:start w:val="1"/>
    </w:lvl>
    <w:lvl w:ilvl="1">
      <w:lvlJc w:val="left"/>
      <w:lvlText w:val=" "/>
      <w:numFmt w:val="bullet"/>
      <w:start w:val="1"/>
    </w:lvl>
  </w:abstractNum>
  <w:abstractNum w:abstractNumId="22">
    <w:nsid w:val="B03E0C6"/>
    <w:multiLevelType w:val="hybridMultilevel"/>
    <w:lvl w:ilvl="0">
      <w:lvlJc w:val="left"/>
      <w:lvlText w:val=" "/>
      <w:numFmt w:val="bullet"/>
      <w:start w:val="1"/>
    </w:lvl>
  </w:abstractNum>
  <w:abstractNum w:abstractNumId="23">
    <w:nsid w:val="189A769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4">
    <w:nsid w:val="54E49EB4"/>
    <w:multiLevelType w:val="hybridMultilevel"/>
    <w:lvl w:ilvl="0">
      <w:lvlJc w:val="left"/>
      <w:lvlText w:val="%1"/>
      <w:numFmt w:val="decimal"/>
      <w:start w:val="10"/>
    </w:lvl>
    <w:lvl w:ilvl="1">
      <w:lvlJc w:val="left"/>
      <w:lvlText w:val=" "/>
      <w:numFmt w:val="bullet"/>
      <w:start w:val="1"/>
    </w:lvl>
  </w:abstractNum>
  <w:abstractNum w:abstractNumId="25">
    <w:nsid w:val="71F32454"/>
    <w:multiLevelType w:val="hybridMultilevel"/>
    <w:lvl w:ilvl="0">
      <w:lvlJc w:val="left"/>
      <w:lvlText w:val=" "/>
      <w:numFmt w:val="bullet"/>
      <w:start w:val="1"/>
    </w:lvl>
    <w:lvl w:ilvl="1">
      <w:lvlJc w:val="left"/>
      <w:lvlText w:val=" "/>
      <w:numFmt w:val="bullet"/>
      <w:start w:val="1"/>
    </w:lvl>
  </w:abstractNum>
  <w:abstractNum w:abstractNumId="26">
    <w:nsid w:val="2CA88611"/>
    <w:multiLevelType w:val="hybridMultilevel"/>
    <w:lvl w:ilvl="0">
      <w:lvlJc w:val="left"/>
      <w:lvlText w:val=" "/>
      <w:numFmt w:val="bullet"/>
      <w:start w:val="1"/>
    </w:lvl>
  </w:abstractNum>
  <w:abstractNum w:abstractNumId="27">
    <w:nsid w:val="836C40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8">
    <w:nsid w:val="2901D82"/>
    <w:multiLevelType w:val="hybridMultilevel"/>
    <w:lvl w:ilvl="0">
      <w:lvlJc w:val="left"/>
      <w:lvlText w:val="%1"/>
      <w:numFmt w:val="decimal"/>
      <w:start w:val="10"/>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2024-02-14T15:32:25Z</dcterms:created>
  <dcterms:modified xsi:type="dcterms:W3CDTF">2024-02-14T15:32:25Z</dcterms:modified>
</cp:coreProperties>
</file>