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85-1195036</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100 Binney St, Suite 700</w:t>
      </w:r>
    </w:p>
    <w:p>
      <w:pPr>
        <w:spacing w:after="0" w:line="27" w:lineRule="exact"/>
        <w:rPr>
          <w:sz w:val="24"/>
          <w:szCs w:val="24"/>
          <w:color w:val="auto"/>
        </w:rPr>
      </w:pPr>
    </w:p>
    <w:p>
      <w:pPr>
        <w:ind w:left="4624"/>
        <w:spacing w:after="0"/>
        <w:rPr>
          <w:sz w:val="20"/>
          <w:szCs w:val="20"/>
          <w:color w:val="auto"/>
        </w:rPr>
      </w:pPr>
      <w:r>
        <w:rPr>
          <w:rFonts w:ascii="Arial" w:cs="Arial" w:eastAsia="Arial" w:hAnsi="Arial"/>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Registrant’s telephone number, including area code: 857-320-4900</w:t>
      </w:r>
    </w:p>
    <w:p>
      <w:pPr>
        <w:spacing w:after="0" w:line="24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12860 El Camino Real, Suite 300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San Diego, CA 92130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TNGX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10, 2021 (the “Closing Date”), BCTG Acquisition Corp., a Delaware corporation (“BCTG”) consummated the previously announced business combination (the “Business Combination”) pursuant to the terms of the Agreement and Plan of Merger, dated as of April 13, 2021 (the “Merger Agreement”), by and among BCTG, BCTG Merger Sub Inc., a Delaware corporation (“BCTG Merger Sub”) and Tango Therapeutics, Inc. (now known as Tango Therapeutics Sub, Inc.), a Delaware corporation (“Old Tango”). Prior to consummation of the Business Combination, Old Tango changed its name from “Tango Therapeutics, Inc.” to “Tango Therapeutics Sub, Inc.” and in connection with the Business Combination, BCTG changed its name to “Tango Therapeutics, Inc.” (the former name of Old Tango).</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Pursuant to the Merger Agreement, on the Closing Date, BCTG Merger Sub merged with and into Old Tango (the “Merger”) with Old Tango surviving the Merger as a wholly-owned subsidiary of BCTG, and BCTG changed its name to “Tango Therapeutics, Inc.” (“New Tango”).</w:t>
      </w:r>
    </w:p>
    <w:p>
      <w:pPr>
        <w:spacing w:after="0" w:line="1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accordance with the terms and subject to the conditions of the Merger Agreement, at the effective time of the Merger (the “Effective Time”), each share of Old Tango common stock issued and outstanding immediately prior to the Effective Time (other than (i) any shares of Old Tango common stock held in treasury, which treasury shares were canceled as part of the Merger, and (ii) any shares of Old Tango common stock held by Old Tango stockholders who were entitled to and properly exercised appraisal rights of such shares in accordance with Section 262 of the General Corporation Law of the State of Delaware) was canceled and automatically converted into the right to receive approximately 0.34 of a share of New Tango common stock, par value $0.001 per share (“Common Stock”) (the “Merger Consideration”). If any shares of Old Tango Stock issued and outstanding immediately prior to the Effective Time are shares of Old Tango restricted stock, then the shares of Common Stock issued in exchange for such Old Tango restricted stock pursuant to the immediately preceding sentence shall to the same extent be unvested and subject to the same repurchase option or risk of forfeiture as in effect immediately prior to the Effective Time.</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addition, at the Effective Time, each option to purchase shares of Old Tango common stock outstanding immediately prior to the Effective Time was converted into an option to purchase Common Stock upon substantially the same terms and conditions as were in effect with respect to such option immediately prior to the Effective Time, including with respect to vesting and termination-related provisions, except that the exercise price and number of the Common Stock subject to such converted option was adjusted as set forth in the Merger Agreement.</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Concurrently with the execution of the Merger Agreement, BCTG entered into subscription agreements (the “Subscription Agreements”) with certain investors (the “PIPE Investors”), pursuant to which, at the Closing (as defined herein), the PIPE Investors subscribed for and purchased an aggregate of 18,610,000 shares of Common Stock at a price of $10.00 per share for aggregate gross proceeds of $186,100,000 (the “PIPE Financing”).</w:t>
      </w:r>
    </w:p>
    <w:p>
      <w:pPr>
        <w:sectPr>
          <w:pgSz w:w="11900" w:h="16838" w:orient="portrait"/>
          <w:cols w:equalWidth="0" w:num="1">
            <w:col w:w="11000"/>
          </w:cols>
          <w:pgMar w:left="440" w:top="297" w:right="459"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Unless the context otherwise requires, “we,” “us,” “our,” and the “Company” refer to Tango Therapeutics, Inc., a Delaware corporation, and its consolidated subsidiaries. All references herein to the “Board” refer to the board of directors of Tango Therapeutics, Inc. All references herein to the “Closing” refer to the closing of the transactions contemplated by the Merger Agreement (the “Transactions” or the “Business Combination”), including the Merger and the PIPE Financing.</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 description of the Merger and the terms of the Merger Agreement are included in the definitive proxy statement/prospectus dated July 16, 2021 (File No.: 333-255354) (the “Proxy Statement/Prospectus”), filed with the Securities and Exchange Commission (the “SEC”) on July 19, 2021 in the section titled “</w:t>
      </w:r>
      <w:r>
        <w:rPr>
          <w:rFonts w:ascii="Arial" w:cs="Arial" w:eastAsia="Arial" w:hAnsi="Arial"/>
          <w:sz w:val="18"/>
          <w:szCs w:val="18"/>
          <w:i w:val="1"/>
          <w:iCs w:val="1"/>
          <w:color w:val="auto"/>
        </w:rPr>
        <w:t>Proposal 1—The Business Combination Proposal</w:t>
      </w:r>
      <w:r>
        <w:rPr>
          <w:rFonts w:ascii="Arial" w:cs="Arial" w:eastAsia="Arial" w:hAnsi="Arial"/>
          <w:sz w:val="18"/>
          <w:szCs w:val="18"/>
          <w:color w:val="auto"/>
        </w:rPr>
        <w:t>.”</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foregoing description of the Merger Agreement is intended as a summary, does not purport to be complete and is qualified in its entirety by the full text of Merger Agreement, which is attached hereto as Exhibit 2.1 and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and Stockholder Rights Agreement</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the Closing Date, New Tango, BCTG Holdings, LLC, a Delaware limited liability company (“Sponsor”), certain persons and entities holding securities of New Tango, and entities receiving Common Stock pursuant to the Merger Agreement (the foregoing persons and entities, together with other persons or entities who become party to the Amended and Restated Registration and Stockholder Rights Agreement (as defined herein), collectively referred to as the “Holders”) entered into an Amended and Restated Registration and Stockholder Rights Agreement (the “Amended and Restated Registration and Stockholder Rights Agreement”), pursuant to which New Tango (i) agreed to register for resale (1) certain shares of Common Stock held by, or issuable upon exercise of options held by, the Holders and (2) any warrants, shares of capital stock or other securities of New Tango issued as a dividend or other distribution with respect to, or in exchange for or in replacement of the shares specified in clause (1) (the securities in clauses (1) and (2) collectively referred to as the “Registrable Securities”) and (ii) granted certain other registration rights to the 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31" w:lineRule="exact"/>
        <w:rPr>
          <w:sz w:val="20"/>
          <w:szCs w:val="20"/>
          <w:color w:val="auto"/>
        </w:rPr>
      </w:pPr>
    </w:p>
    <w:p>
      <w:pPr>
        <w:ind w:left="960" w:right="80" w:hanging="424"/>
        <w:spacing w:after="0" w:line="290"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Shelf registration/demand registration rights</w:t>
      </w:r>
      <w:r>
        <w:rPr>
          <w:rFonts w:ascii="Arial" w:cs="Arial" w:eastAsia="Arial" w:hAnsi="Arial"/>
          <w:sz w:val="16"/>
          <w:szCs w:val="16"/>
          <w:color w:val="auto"/>
        </w:rPr>
        <w:t>. No later than 30 calendar days following the Closing Date, New Tango is required to file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SEC, a shelf registration statement registering the resale of the Registrable Securities, and use its commercially reasonable efforts to have such registration statement declared effective by the SEC within a specified period.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New Tango is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New Tango is not required to effect more than one underwritten shelf takedown in any six-month period.</w:t>
      </w:r>
    </w:p>
    <w:p>
      <w:pPr>
        <w:spacing w:after="0" w:line="70" w:lineRule="exact"/>
        <w:rPr>
          <w:rFonts w:ascii="Arial" w:cs="Arial" w:eastAsia="Arial" w:hAnsi="Arial"/>
          <w:sz w:val="16"/>
          <w:szCs w:val="16"/>
          <w:color w:val="auto"/>
        </w:rPr>
      </w:pPr>
    </w:p>
    <w:p>
      <w:pPr>
        <w:ind w:left="960" w:hanging="424"/>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Subject to exceptions for certain offerings and registration statements, if at any time, New Tango proposes to</w:t>
      </w:r>
      <w:r>
        <w:rPr>
          <w:rFonts w:ascii="Arial" w:cs="Arial" w:eastAsia="Arial" w:hAnsi="Arial"/>
          <w:sz w:val="18"/>
          <w:szCs w:val="18"/>
          <w:i w:val="1"/>
          <w:iCs w:val="1"/>
          <w:color w:val="auto"/>
        </w:rPr>
        <w:t xml:space="preserve"> </w:t>
      </w:r>
      <w:r>
        <w:rPr>
          <w:rFonts w:ascii="Arial" w:cs="Arial" w:eastAsia="Arial" w:hAnsi="Arial"/>
          <w:sz w:val="18"/>
          <w:szCs w:val="18"/>
          <w:color w:val="auto"/>
        </w:rPr>
        <w:t>file a registration statement under the Securities Act of 1933, as amended (the “Securities Act”), in connection with an offering of its equity securities or securities or other obligations exercisable or exchangeable for, or convertible into, its equity securities, either for its own account or for the account of stockholders of New Tango, the Holders are entitled to include their Registrable Securities in such registration statement.</w:t>
      </w:r>
    </w:p>
    <w:p>
      <w:pPr>
        <w:spacing w:after="0" w:line="93" w:lineRule="exact"/>
        <w:rPr>
          <w:rFonts w:ascii="Arial" w:cs="Arial" w:eastAsia="Arial" w:hAnsi="Arial"/>
          <w:sz w:val="18"/>
          <w:szCs w:val="18"/>
          <w:color w:val="auto"/>
        </w:rPr>
      </w:pPr>
    </w:p>
    <w:p>
      <w:pPr>
        <w:ind w:left="960" w:right="60" w:hanging="424"/>
        <w:spacing w:after="0" w:line="272"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Expenses and indemnification</w:t>
      </w:r>
      <w:r>
        <w:rPr>
          <w:rFonts w:ascii="Arial" w:cs="Arial" w:eastAsia="Arial" w:hAnsi="Arial"/>
          <w:sz w:val="17"/>
          <w:szCs w:val="17"/>
          <w:color w:val="auto"/>
        </w:rPr>
        <w:t>. The fees, costs and expenses of registrations pursuant to the registration rights granted to the Holders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and Restated Registration and Stockholder Rights Agreement will be borne by New Tango,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New Tango is obligated to indemnify holders of Registrable Securities in the event of material misstatements or omissions in the registration statement attributable to New Tango, and holders of Registrable Securities are obligated to indemnify New Tango for material misstatements or omissions attributable to them.</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Securities of New Tango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foregoing description of the Amended and Restated Registration and Stockholder Rights Agreement does not purport to be complete and is qualified in its entirety by the full text of the Amended and Restated Registration and Stockholder Rights Agreement, a copy of which is attached hereto as Exhibit 10.2 and is incorporated herein by reference.</w:t>
      </w:r>
    </w:p>
    <w:p>
      <w:pPr>
        <w:sectPr>
          <w:pgSz w:w="11900" w:h="16838" w:orient="portrait"/>
          <w:cols w:equalWidth="0" w:num="1">
            <w:col w:w="11000"/>
          </w:cols>
          <w:pgMar w:left="440" w:top="301"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Lock-Up Agreements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connection with the Merger, on August 10, 2021, the Company entered into lock-up agreements with directors, officers and certain stockholders of the Company (the “</w:t>
      </w:r>
      <w:r>
        <w:rPr>
          <w:rFonts w:ascii="Arial" w:cs="Arial" w:eastAsia="Arial" w:hAnsi="Arial"/>
          <w:sz w:val="16"/>
          <w:szCs w:val="16"/>
          <w:u w:val="single" w:color="auto"/>
          <w:color w:val="auto"/>
        </w:rPr>
        <w:t>Lockup Holders</w:t>
      </w:r>
      <w:r>
        <w:rPr>
          <w:rFonts w:ascii="Arial" w:cs="Arial" w:eastAsia="Arial" w:hAnsi="Arial"/>
          <w:sz w:val="16"/>
          <w:szCs w:val="16"/>
          <w:color w:val="auto"/>
        </w:rPr>
        <w:t>”). The terms of the lock-up agreements provide for the Common Stock held by the Lockup Holders as of immediately after the Effective Time to be subject to transfer restrictions for a period of 180 days after the Closing Date, subject to certain exceptions.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lock-up agreements does not purport to be complete and is qualified in its entirety by the full text of the form of lock-up agreement, which is attached hereto as Exhibit 10.3 and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In connection with the Merger, on August 10, 2021, New Tango entered into indemnification agreements with each of its directors and executive officers. Each indemnification agreement provides for indemnification and advancements by New Tango of certain expenses and costs relating to claims, suits or proceedings arising from each individual’s service to New Tango as an officer or director, as applicable, to the maximum extent permitted by applicable law.</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description of the indemnification agreements is qualified in its entirety by the full text of the forms of indemnification agreement, which are attached hereto as Exhibits 10.9 and 10.10 and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the “Introductory Note” above is incorporated herein by reference into this Item 2.01.</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August 9, 2021, BCTG held a special meeting of its stockholders (the “Special Meeting”) at which the BCTG stockholders considered and adopted, among other matters, the Merger Agreement. On August 10, 2021, the parties to the Merger Agreement consummated the Transactions.</w:t>
      </w:r>
    </w:p>
    <w:p>
      <w:pPr>
        <w:spacing w:after="0" w:line="12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Prior to the Special Meeting, holders of 1,106,814 shares of BCTG’s common stock exercised their right to redeem such shares for cash at a price of approximately $10.00 per share for aggregate payments of $11.1 million. At the Closing, (i) an aggregate of 55,000,000 shares of Common Stock were issued in exchange for the shares of Old Tango common stock outstanding as of immediately prior to the Effective Time and (ii) an aggregate of 18,610,000 shares of Common Stock were issued to the PIPE Investors in the PIPE Financing. Moreover, at the Closing, each equity award of Old Tango outstanding as of immediately prior to the Effective Time was exchanged for comparable equity awards of New Tango based on an implied Old Tango equity value of $550,000,000. Immediately after giving effect to the Transactions, there were 87,474,258 shares of Common Stock outstanding and 9,498,725 shares of Common Stock subject to equity awards under the 2021 Plan (as defined below). On August 11, 2021, the Common Stock began trading on the Nasdaq Capital Market under the symbol “TNGX”.</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material terms and conditions of the Merger Agreement are described in the section titled “</w:t>
      </w:r>
      <w:r>
        <w:rPr>
          <w:rFonts w:ascii="Arial" w:cs="Arial" w:eastAsia="Arial" w:hAnsi="Arial"/>
          <w:sz w:val="18"/>
          <w:szCs w:val="18"/>
          <w:i w:val="1"/>
          <w:iCs w:val="1"/>
          <w:color w:val="auto"/>
        </w:rPr>
        <w:t>Proposal 1 - The Business Combination Proposal,</w:t>
      </w:r>
      <w:r>
        <w:rPr>
          <w:rFonts w:ascii="Arial" w:cs="Arial" w:eastAsia="Arial" w:hAnsi="Arial"/>
          <w:sz w:val="18"/>
          <w:szCs w:val="18"/>
          <w:color w:val="auto"/>
        </w:rPr>
        <w:t>”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Certain statements in this Current Report on Form 8-K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Transactions and their expected benefits, our performance following the Transactions, the success, cost and timing of our product development activities and clinical trials, the potential attributes and benefits of our product candidates, our ability to obtain and maintain regulatory approval for our product candidates and our ability to obtain funding for our operations. Forward-looking statements include statements relating to our management team’s expectations, hopes, beliefs, intentions or strategies regarding the future, including those relating to the Transactions. In addition, any statements that refer to projections, forecasts or other characterizations of future events or</w:t>
      </w:r>
    </w:p>
    <w:p>
      <w:pPr>
        <w:sectPr>
          <w:pgSz w:w="11900" w:h="16838" w:orient="portrait"/>
          <w:cols w:equalWidth="0" w:num="1">
            <w:col w:w="11000"/>
          </w:cols>
          <w:pgMar w:left="440" w:top="301" w:right="459" w:bottom="1440" w:gutter="0" w:footer="0" w:header="0"/>
        </w:sectPr>
      </w:pPr>
    </w:p>
    <w:bookmarkStart w:id="4" w:name="page5"/>
    <w:bookmarkEnd w:id="4"/>
    <w:p>
      <w:pPr>
        <w:jc w:val="both"/>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4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forward-looking statements are based on our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first product candidate, TNG908, is a potent, selective, synthetic lethal, small molecule inhibitor of protein arginine methyltransferase 5 (“PRMT5”) designed to work selectively in cancer cells with an -methylthioadenosine phosphorylase (“MTAP”) deletion. MTAP-deletion occurs in approximately 10% to 15% of all human tumors, including many common cancers with high unmet need such as squamous cell lung, esophageal and bladder cancer, creating a significant therapeutic opportunity for patients. The challenge of non-synthetic lethal 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degrades 5’-deoxy-5’-methylthioadenosine (“MTA”),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non-selective PRMT5 inhibitor kills cancer cells and normal cells at approximately the same exposure, markedly limiting potential efficacy. This difference in mechanism of inhibition occurs because TNG908 binds much more efficiently to the PRMT5-MTA complex, so the increased MTA levels in MTAP-deleted cancer cells make TNG908 more potent in MTAP-deleted cancer cells than in normal cells. In our preclinical studies, TNG908 has demonstrated 15-fold greater potency in MTAP-deleted cancer cells versus normal cells. This unique selectivity of</w:t>
      </w:r>
    </w:p>
    <w:p>
      <w:pPr>
        <w:sectPr>
          <w:pgSz w:w="11900" w:h="16838" w:orient="portrait"/>
          <w:cols w:equalWidth="0" w:num="1">
            <w:col w:w="11020"/>
          </w:cols>
          <w:pgMar w:left="440" w:top="301" w:right="439" w:bottom="1440" w:gutter="0" w:footer="0" w:header="0"/>
        </w:sectPr>
      </w:pPr>
    </w:p>
    <w:bookmarkStart w:id="5" w:name="page6"/>
    <w:bookmarkEnd w:id="5"/>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TNG908 for MTAP-deleted cancer cells allows for the near-complete and sustained inhibition of PRMT5 needed to induce tumor cell death while sparing normal cells, including bone marrow cells which is likely responsible for the dose-limiting toxicity of non-synthetic lethal PRMT5 inhibitors currently in clinical development. In our preclinical studies, TNG908 demonstrated selectivity for MTAP-deleted tumors, anti-tumor effects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and pharmacokinetics that, if approved, support its potential to be a highly differentiated synthetic lethal PRMT5 inhibitor. We plan to file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Investigational New Drug (“IND”) application for TNG908 in the fourth quarter of 2021 and initiate a Phase 1/2 clinical trial in the first half of 2022.</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Our second product candidate has the potential to be a highly differentiated small molecule inhibitor of ubiquitin-specific protease 1 (“USP1”), a synthetic lethal target for BRCA1-mutant breast, ovarian and prostate cancer. USP1 has the potential to treat a patient population that is comparable in size to approximately half of the patient population for poly (ADP-ribose) polymerase (“PARP”) inhibitors that are effective against cancers with BRCA1 and BRCA2 mutations. BRCA1 mutations are present in approximately 15% of ovarian cancer, 5% of breast cancer, and 1% of prostate cancer.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preclinical data demonstrate potent anti-tumor activity with a lead series compound used as a single agent. Preclinical data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We anticipate advancing a clinical candidate and filing an IND for this program in 2022.</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third program, an undisclosed target (Target 3), exploits our platform developed to find synthetic lethal targets that reverse the immune evasion effects of tumor suppressor gene loss, in this case serine-threonine kinase 11 (“STK11”) loss-of-function mutations. STK11 loss-of-function mutations are present in approximately 20% of non-small cell 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into IND-enabling studies in the second half of 2022 and filing an IND in 2023.</w:t>
      </w:r>
    </w:p>
    <w:p>
      <w:pPr>
        <w:spacing w:after="0" w:line="17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October 2018, we entered into a collaboration agreement with Gilead Sciences Inc. (“Gilead”), and this collaboration was expanded in August 2020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one program.</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 information is further described in the Proxy Statement/Prospectus in the section titled “</w:t>
      </w:r>
      <w:r>
        <w:rPr>
          <w:rFonts w:ascii="Arial" w:cs="Arial" w:eastAsia="Arial" w:hAnsi="Arial"/>
          <w:sz w:val="18"/>
          <w:szCs w:val="18"/>
          <w:i w:val="1"/>
          <w:iCs w:val="1"/>
          <w:color w:val="auto"/>
        </w:rPr>
        <w:t>Information about Tango - Collaborations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Agreements — Collaboration and License Agreement with Gilead Sciences.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 portfolio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168910</wp:posOffset>
            </wp:positionV>
            <wp:extent cx="5126355" cy="1174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26355" cy="1174750"/>
                    </a:xfrm>
                    <a:prstGeom prst="rect">
                      <a:avLst/>
                    </a:prstGeom>
                    <a:noFill/>
                  </pic:spPr>
                </pic:pic>
              </a:graphicData>
            </a:graphic>
          </wp:anchor>
        </w:drawing>
      </w:r>
    </w:p>
    <w:p>
      <w:pPr>
        <w:sectPr>
          <w:pgSz w:w="11900" w:h="16838" w:orient="portrait"/>
          <w:cols w:equalWidth="0" w:num="1">
            <w:col w:w="10940"/>
          </w:cols>
          <w:pgMar w:left="440" w:top="301"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Approach</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target discovery and drug development process, which is clinically oriented and guided by patient-focused cancer genetics to produce innovative therapies, can be summarized by the following fundamental elements:</w:t>
      </w:r>
    </w:p>
    <w:p>
      <w:pPr>
        <w:spacing w:after="0" w:line="72" w:lineRule="exact"/>
        <w:rPr>
          <w:sz w:val="20"/>
          <w:szCs w:val="20"/>
          <w:color w:val="auto"/>
        </w:rPr>
      </w:pPr>
    </w:p>
    <w:p>
      <w:pPr>
        <w:ind w:left="960" w:right="2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 singular focus on precision oncology from target discovery through clinical development. </w:t>
      </w:r>
      <w:r>
        <w:rPr>
          <w:rFonts w:ascii="Arial" w:cs="Arial" w:eastAsia="Arial" w:hAnsi="Arial"/>
          <w:sz w:val="18"/>
          <w:szCs w:val="18"/>
          <w:color w:val="auto"/>
        </w:rPr>
        <w:t>By identifying a target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population, defining the tumor suppressor gene loss that characterizes those patients’ cancers and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that mimic the genetics of those cancer cells in our discovery platform, we concentrate discovery and clinical development paths on treatments for those patients most likely to derive meaningful clinical benefit from each new molecule.</w:t>
      </w:r>
    </w:p>
    <w:p>
      <w:pPr>
        <w:spacing w:after="0" w:line="85" w:lineRule="exact"/>
        <w:rPr>
          <w:rFonts w:ascii="Arial" w:cs="Arial" w:eastAsia="Arial" w:hAnsi="Arial"/>
          <w:sz w:val="18"/>
          <w:szCs w:val="18"/>
          <w:color w:val="auto"/>
        </w:rPr>
      </w:pPr>
    </w:p>
    <w:p>
      <w:pPr>
        <w:ind w:left="960" w:right="2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Deep expertise linking cancer genetics to novel target discovery. </w:t>
      </w:r>
      <w:r>
        <w:rPr>
          <w:rFonts w:ascii="Arial" w:cs="Arial" w:eastAsia="Arial" w:hAnsi="Arial"/>
          <w:sz w:val="18"/>
          <w:szCs w:val="18"/>
          <w:color w:val="auto"/>
        </w:rPr>
        <w:t>We have built a state-of-the-art discovery engine, based on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optimized CRISPR systems, advanced functional genomics and a proprietary cloud-based computational biology platform, which we refer to as TANDEM, for sophisticated analysis of our genetic and functional data, enabling integration of target biology with specific genetic alterations in cancer cells.</w:t>
      </w:r>
    </w:p>
    <w:p>
      <w:pPr>
        <w:spacing w:after="0" w:line="85" w:lineRule="exact"/>
        <w:rPr>
          <w:rFonts w:ascii="Arial" w:cs="Arial" w:eastAsia="Arial" w:hAnsi="Arial"/>
          <w:sz w:val="18"/>
          <w:szCs w:val="18"/>
          <w:color w:val="auto"/>
        </w:rPr>
      </w:pPr>
    </w:p>
    <w:p>
      <w:pPr>
        <w:jc w:val="both"/>
        <w:ind w:left="960" w:right="40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 versatile drug discovery approach. </w:t>
      </w:r>
      <w:r>
        <w:rPr>
          <w:rFonts w:ascii="Arial" w:cs="Arial" w:eastAsia="Arial" w:hAnsi="Arial"/>
          <w:sz w:val="18"/>
          <w:szCs w:val="18"/>
          <w:color w:val="auto"/>
        </w:rPr>
        <w:t>We employ our hit-finding and medicinal chemistry expertise to identify tractable chemical</w:t>
      </w:r>
      <w:r>
        <w:rPr>
          <w:rFonts w:ascii="Arial" w:cs="Arial" w:eastAsia="Arial" w:hAnsi="Arial"/>
          <w:sz w:val="18"/>
          <w:szCs w:val="18"/>
          <w:b w:val="1"/>
          <w:bCs w:val="1"/>
          <w:color w:val="auto"/>
        </w:rPr>
        <w:t xml:space="preserve"> </w:t>
      </w:r>
      <w:r>
        <w:rPr>
          <w:rFonts w:ascii="Arial" w:cs="Arial" w:eastAsia="Arial" w:hAnsi="Arial"/>
          <w:sz w:val="18"/>
          <w:szCs w:val="18"/>
          <w:color w:val="auto"/>
        </w:rPr>
        <w:t>matter and solve high resolution crystal structures for our novel targets as the basis for designing potent, selective molecules with the precise mechanism of action required by the target biology.</w:t>
      </w:r>
    </w:p>
    <w:p>
      <w:pPr>
        <w:spacing w:after="0" w:line="81" w:lineRule="exact"/>
        <w:rPr>
          <w:rFonts w:ascii="Arial" w:cs="Arial" w:eastAsia="Arial" w:hAnsi="Arial"/>
          <w:sz w:val="18"/>
          <w:szCs w:val="18"/>
          <w:color w:val="auto"/>
        </w:rPr>
      </w:pPr>
    </w:p>
    <w:p>
      <w:pPr>
        <w:ind w:left="960" w:hanging="424"/>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 unique ability to bring precision medicine to immuno-oncology. </w:t>
      </w:r>
      <w:r>
        <w:rPr>
          <w:rFonts w:ascii="Arial" w:cs="Arial" w:eastAsia="Arial" w:hAnsi="Arial"/>
          <w:sz w:val="18"/>
          <w:szCs w:val="18"/>
          <w:color w:val="auto"/>
        </w:rPr>
        <w:t>Through our rigorous focus on cancer genetics, we have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critical links between tumor suppressor gene loss and the ability of tumor cells to evade killing by the immune system causing immune evasion. That knowledge powers our approach to reverse the tumor-intrinsic immune evasion mechanisms driven by specific tumor suppressor gene loss in cancer cells. We plan to design clinical trials that combine the efficiency and success of genetic patient selection with a novel approach to reversing tumor-intrinsic immune evasion, which we believe could mitigate the known drawbacks of clinical trials lacking a patient selection strategy.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72" w:lineRule="exact"/>
        <w:rPr>
          <w:sz w:val="20"/>
          <w:szCs w:val="20"/>
          <w:color w:val="auto"/>
        </w:rPr>
      </w:pPr>
    </w:p>
    <w:p>
      <w:pPr>
        <w:ind w:left="960" w:right="80" w:hanging="424"/>
        <w:spacing w:after="0" w:line="26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Advance TNG908, the first PRMT5 inhibitor scheduled to enter the clinic that is synthetic lethal with MTAP deletion, into the clinic in multiple indications with high unmet need. </w:t>
      </w:r>
      <w:r>
        <w:rPr>
          <w:rFonts w:ascii="Arial" w:cs="Arial" w:eastAsia="Arial" w:hAnsi="Arial"/>
          <w:sz w:val="18"/>
          <w:szCs w:val="18"/>
          <w:color w:val="auto"/>
        </w:rPr>
        <w:t>TNG908, our PRMT5 inhibitor, is currently in IND-enabling studies. We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file an IND in the fourth quarter of 2021 and initiate a Phase 1/2 clinical trial in the first half of 2022.</w:t>
      </w:r>
    </w:p>
    <w:p>
      <w:pPr>
        <w:spacing w:after="0" w:line="81" w:lineRule="exact"/>
        <w:rPr>
          <w:rFonts w:ascii="Arial" w:cs="Arial" w:eastAsia="Arial" w:hAnsi="Arial"/>
          <w:sz w:val="18"/>
          <w:szCs w:val="18"/>
          <w:color w:val="auto"/>
        </w:rPr>
      </w:pPr>
    </w:p>
    <w:p>
      <w:pPr>
        <w:ind w:left="960" w:right="40" w:hanging="424"/>
        <w:spacing w:after="0" w:line="298"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Advance our USP1 inhibitor program into clinical development in multiple BRCA1-mutant cancer types. </w:t>
      </w:r>
      <w:r>
        <w:rPr>
          <w:rFonts w:ascii="Arial" w:cs="Arial" w:eastAsia="Arial" w:hAnsi="Arial"/>
          <w:sz w:val="16"/>
          <w:szCs w:val="16"/>
          <w:color w:val="auto"/>
        </w:rPr>
        <w:t>We discovered USP1 as</w:t>
      </w:r>
      <w:r>
        <w:rPr>
          <w:rFonts w:ascii="Arial" w:cs="Arial" w:eastAsia="Arial" w:hAnsi="Arial"/>
          <w:sz w:val="16"/>
          <w:szCs w:val="16"/>
          <w:b w:val="1"/>
          <w:bCs w:val="1"/>
          <w:color w:val="auto"/>
        </w:rPr>
        <w:t xml:space="preserve"> </w:t>
      </w:r>
      <w:r>
        <w:rPr>
          <w:rFonts w:ascii="Arial" w:cs="Arial" w:eastAsia="Arial" w:hAnsi="Arial"/>
          <w:sz w:val="16"/>
          <w:szCs w:val="16"/>
          <w:color w:val="auto"/>
        </w:rPr>
        <w:t>a strong synthetic lethal target for BRCA1 loss of function. We are developing a potent, potentially differentiated molecule for the treatment of BRCA1-mutant breast, ovarian and prostate cancer. We plan to file an IND in 2022 and expect this molecule to have both single agent activity in PARPi-naïve and PARPi-resistant BRCA1 mutant cancers and to synergize with PARP inhibitors. As with PARP inhibitors, it may be possible to define additional sensitive patient populations based on the mechanism of action of USP1 inhibition.</w:t>
      </w:r>
    </w:p>
    <w:p>
      <w:pPr>
        <w:spacing w:after="0" w:line="59" w:lineRule="exact"/>
        <w:rPr>
          <w:rFonts w:ascii="Arial" w:cs="Arial" w:eastAsia="Arial" w:hAnsi="Arial"/>
          <w:sz w:val="16"/>
          <w:szCs w:val="16"/>
          <w:color w:val="auto"/>
        </w:rPr>
      </w:pPr>
    </w:p>
    <w:p>
      <w:pPr>
        <w:ind w:left="960" w:hanging="424"/>
        <w:spacing w:after="0" w:line="25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Bring the first immunotherapy program within genetically-defined patients into the clinic in STK11-mutant lung cancer. </w:t>
      </w:r>
      <w:r>
        <w:rPr>
          <w:rFonts w:ascii="Arial" w:cs="Arial" w:eastAsia="Arial" w:hAnsi="Arial"/>
          <w:sz w:val="18"/>
          <w:szCs w:val="18"/>
          <w:color w:val="auto"/>
        </w:rPr>
        <w:t>Using</w:t>
      </w:r>
      <w:r>
        <w:rPr>
          <w:rFonts w:ascii="Arial" w:cs="Arial" w:eastAsia="Arial" w:hAnsi="Arial"/>
          <w:sz w:val="18"/>
          <w:szCs w:val="18"/>
          <w:b w:val="1"/>
          <w:bCs w:val="1"/>
          <w:color w:val="auto"/>
        </w:rPr>
        <w:t xml:space="preserve"> </w:t>
      </w:r>
      <w:r>
        <w:rPr>
          <w:rFonts w:ascii="Arial" w:cs="Arial" w:eastAsia="Arial" w:hAnsi="Arial"/>
          <w:sz w:val="18"/>
          <w:szCs w:val="18"/>
          <w:color w:val="auto"/>
        </w:rPr>
        <w:t>our innovative discovery platform, we identified and validated STK11 as a tumor suppressor gene that, when inactivated causes immune evasion, manifested clinically as checkpoint inhibitor resistance. We are pioneering the development of treatments that reverse STK11-loss mediated immune evasion. We anticipate advancing a clinical candidate for our first immune evasion target into IND-enabling studies in the second half of 2022 and filing an IND in 2023.</w:t>
      </w:r>
    </w:p>
    <w:p>
      <w:pPr>
        <w:sectPr>
          <w:pgSz w:w="11900" w:h="16838" w:orient="portrait"/>
          <w:cols w:equalWidth="0" w:num="1">
            <w:col w:w="10960"/>
          </w:cols>
          <w:pgMar w:left="440" w:top="297" w:right="499" w:bottom="1440" w:gutter="0" w:footer="0" w:header="0"/>
        </w:sectPr>
      </w:pPr>
    </w:p>
    <w:bookmarkStart w:id="7" w:name="page8"/>
    <w:bookmarkEnd w:id="7"/>
    <w:p>
      <w:pPr>
        <w:ind w:left="960" w:right="200" w:hanging="424"/>
        <w:spacing w:after="0" w:line="25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Discover and drug the next generation of precision oncology targets</w:t>
      </w:r>
      <w:r>
        <w:rPr>
          <w:rFonts w:ascii="Arial" w:cs="Arial" w:eastAsia="Arial" w:hAnsi="Arial"/>
          <w:sz w:val="18"/>
          <w:szCs w:val="18"/>
          <w:color w:val="auto"/>
        </w:rPr>
        <w:t>. We are growing our drug discovery pipeline with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and differentiated discovery programs for multiple common genetically defined cancers. Based on evidence from multiple datasets that hundreds of synthetic lethal pairs remain to be discovered, we believe that our target discovery engine will continue to fuel our drug discovery pipeline for the foreseeable future. Based on the productivity of our discovery platform, we plan to file one new IND every 12 to 18 months and have multiple targets in discovery stage.</w:t>
      </w:r>
    </w:p>
    <w:p>
      <w:pPr>
        <w:spacing w:after="0" w:line="88" w:lineRule="exact"/>
        <w:rPr>
          <w:rFonts w:ascii="Arial" w:cs="Arial" w:eastAsia="Arial" w:hAnsi="Arial"/>
          <w:sz w:val="18"/>
          <w:szCs w:val="18"/>
          <w:color w:val="auto"/>
        </w:rPr>
      </w:pPr>
    </w:p>
    <w:p>
      <w:pPr>
        <w:ind w:left="960" w:right="180" w:hanging="424"/>
        <w:spacing w:after="0" w:line="294"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Opportunistically evaluate and maximize the value of our strategic collaboration to bring more medicines to patients, accelerate development timelines and explore combination therapy approaches for our product candidates. </w:t>
      </w:r>
      <w:r>
        <w:rPr>
          <w:rFonts w:ascii="Arial" w:cs="Arial" w:eastAsia="Arial" w:hAnsi="Arial"/>
          <w:sz w:val="16"/>
          <w:szCs w:val="16"/>
          <w:color w:val="auto"/>
        </w:rPr>
        <w:t>Through our collaboration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Gilead, we can validate and develop multiple immune evasion targets, producing more potential drug targets than we can independently develop by accessing the expanded capabilities and global development reach of a large company. We will consider additional collaborations that could maximize the value of our pipeline through the evaluation of our product candidates in combination with compounds owned by third parties and/or through collaborations that allow us to leverage the existing infrastructure of other companies.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Corporate History</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Since our founding in 2017, we have assembled a seasoned management team with expertise in oncology research, development, regulatory affairs, medical affairs, operations, manufacturing and commercialization. Our team includes industry veterans who have collectively driven over 20 drug approvals, with prior experience at companies such as EQRx, Aligos Therapeutics, MorphoSys AG and Pfizer. We have deep expertise in the necessary scientific disciplines of cell biology, functional genomics, CRISPR technology, computational biology,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using both conventional (CDX) and patient-derived (PDX) xenograft models. Our senior scientists lead the design and execution of experiments in close collaboration with our external partners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mouse modeling, absorption, distribution, metabolism and excretion (ADME), pharmacokinetics and pharmacodynamic analysis (PK/PD), process chemistry, scale-up and toxicology.</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Our business is further described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Information about Tango</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risk factors related to our business and operations and the Transactions are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disclosure set forth in Item 9.01 of this Current Report on Form 8-K concerning the financial information of Old Tango, BCTG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Old Tango and BCTG combined. Reference is further made to the disclosure contained in the </w:t>
      </w:r>
      <w:r>
        <w:rPr>
          <w:rFonts w:ascii="Arial" w:cs="Arial" w:eastAsia="Arial" w:hAnsi="Arial"/>
          <w:sz w:val="16"/>
          <w:szCs w:val="16"/>
          <w:u w:val="single" w:color="auto"/>
          <w:color w:val="auto"/>
        </w:rPr>
        <w:t>Proxy Statement/Prospectus</w:t>
      </w:r>
      <w:r>
        <w:rPr>
          <w:rFonts w:ascii="Arial" w:cs="Arial" w:eastAsia="Arial" w:hAnsi="Arial"/>
          <w:sz w:val="16"/>
          <w:szCs w:val="16"/>
          <w:color w:val="auto"/>
        </w:rPr>
        <w:t xml:space="preserve"> in the sections titled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Selected Historical Consolidated Financial Information of Tango</w:t>
      </w:r>
      <w:r>
        <w:rPr>
          <w:rFonts w:ascii="Arial" w:cs="Arial" w:eastAsia="Arial" w:hAnsi="Arial"/>
          <w:sz w:val="17"/>
          <w:szCs w:val="17"/>
          <w:color w:val="auto"/>
        </w:rPr>
        <w:t>,” “</w:t>
      </w:r>
      <w:r>
        <w:rPr>
          <w:rFonts w:ascii="Arial" w:cs="Arial" w:eastAsia="Arial" w:hAnsi="Arial"/>
          <w:sz w:val="17"/>
          <w:szCs w:val="17"/>
          <w:i w:val="1"/>
          <w:iCs w:val="1"/>
          <w:color w:val="auto"/>
        </w:rPr>
        <w:t>Selected Historical Financial Information of BCTG” and “Summary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 Forma Condensed Combined Financial Data,” </w:t>
      </w:r>
      <w:r>
        <w:rPr>
          <w:rFonts w:ascii="Arial" w:cs="Arial" w:eastAsia="Arial" w:hAnsi="Arial"/>
          <w:sz w:val="18"/>
          <w:szCs w:val="18"/>
          <w:color w:val="auto"/>
        </w:rPr>
        <w:t>which are incorporated herein by reference.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Reference is made to the disclosure contained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sections titled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 of Tango</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Results of Financial Condition and Results of Operations of BCTG,</w:t>
      </w:r>
      <w:r>
        <w:rPr>
          <w:rFonts w:ascii="Arial" w:cs="Arial" w:eastAsia="Arial" w:hAnsi="Arial"/>
          <w:sz w:val="18"/>
          <w:szCs w:val="18"/>
          <w:color w:val="auto"/>
        </w:rPr>
        <w:t>” each of which are incorporated herein by reference, as well as “</w:t>
      </w:r>
      <w:r>
        <w:rPr>
          <w:rFonts w:ascii="Arial" w:cs="Arial" w:eastAsia="Arial" w:hAnsi="Arial"/>
          <w:sz w:val="18"/>
          <w:szCs w:val="18"/>
          <w:i w:val="1"/>
          <w:iCs w:val="1"/>
          <w:color w:val="auto"/>
        </w:rPr>
        <w:t>Management’s Discussion and Analysis of Financial Condition and Results of Operations of Tango Therapeutics, Inc.</w:t>
      </w:r>
      <w:r>
        <w:rPr>
          <w:rFonts w:ascii="Arial" w:cs="Arial" w:eastAsia="Arial" w:hAnsi="Arial"/>
          <w:sz w:val="18"/>
          <w:szCs w:val="18"/>
          <w:color w:val="auto"/>
        </w:rPr>
        <w:t>” with respect to the three and six months ended June 30, 2021, which is attached hereto as</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99.1, and incorporated herein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Reference is made to the disclosure contained in the </w:t>
      </w:r>
      <w:r>
        <w:rPr>
          <w:rFonts w:ascii="Arial" w:cs="Arial" w:eastAsia="Arial" w:hAnsi="Arial"/>
          <w:sz w:val="17"/>
          <w:szCs w:val="17"/>
          <w:u w:val="single" w:color="auto"/>
          <w:color w:val="auto"/>
        </w:rPr>
        <w:t>Proxy Statement/Prospectus</w:t>
      </w:r>
      <w:r>
        <w:rPr>
          <w:rFonts w:ascii="Arial" w:cs="Arial" w:eastAsia="Arial" w:hAnsi="Arial"/>
          <w:sz w:val="17"/>
          <w:szCs w:val="17"/>
          <w:color w:val="auto"/>
        </w:rPr>
        <w:t xml:space="preserve"> in the sections titled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 of Tango— Qualitative and Quantitative Disclosures About Market Risk</w:t>
      </w:r>
      <w:r>
        <w:rPr>
          <w:rFonts w:ascii="Arial" w:cs="Arial" w:eastAsia="Arial" w:hAnsi="Arial"/>
          <w:sz w:val="17"/>
          <w:szCs w:val="17"/>
          <w:color w:val="auto"/>
        </w:rPr>
        <w:t>,” which is incorporated herein</w:t>
      </w:r>
      <w:r>
        <w:rPr>
          <w:rFonts w:ascii="Arial" w:cs="Arial" w:eastAsia="Arial" w:hAnsi="Arial"/>
          <w:sz w:val="17"/>
          <w:szCs w:val="17"/>
          <w:i w:val="1"/>
          <w:iCs w:val="1"/>
          <w:color w:val="auto"/>
        </w:rPr>
        <w:t xml:space="preserve"> </w:t>
      </w:r>
      <w:r>
        <w:rPr>
          <w:rFonts w:ascii="Arial" w:cs="Arial" w:eastAsia="Arial" w:hAnsi="Arial"/>
          <w:sz w:val="17"/>
          <w:szCs w:val="17"/>
          <w:color w:val="auto"/>
        </w:rPr>
        <w:t>by reference. As of June 30, 2021, there have been no material changes to our market risks as disclosed in such section.</w:t>
      </w:r>
    </w:p>
    <w:p>
      <w:pPr>
        <w:sectPr>
          <w:pgSz w:w="11900" w:h="16838" w:orient="portrait"/>
          <w:cols w:equalWidth="0" w:num="1">
            <w:col w:w="10980"/>
          </w:cols>
          <w:pgMar w:left="440" w:top="297"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Properties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offices are located in Cambridge, Massachusetts and consist of approximately 22,383 square feet of leased office space. The lease is set to expire on June 30, 2026.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Common Stock immediately following consummation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Transactions by:</w:t>
      </w:r>
    </w:p>
    <w:p>
      <w:pPr>
        <w:spacing w:after="0" w:line="116" w:lineRule="exact"/>
        <w:rPr>
          <w:sz w:val="20"/>
          <w:szCs w:val="20"/>
          <w:color w:val="auto"/>
        </w:rPr>
      </w:pPr>
    </w:p>
    <w:p>
      <w:pPr>
        <w:ind w:left="960" w:right="5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Stock immediately following the consummation of the Transactions;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after the consummation of the Transactions.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Closing Date. Shares subject to warrants or options that are currently exercisable or exercisable within 60 days of the Closing Date or subject to restricted stock units that vest within 60 days of the Closing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100 Binney St, Suite 700, Cambridge, MA 02142. The percentage of beneficial ownership is calculated based on 87,474,258 shares of Common Stock outstanding immediately following consummation of the Transactions.</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8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Barbara Weber, M.D</w:t>
            </w:r>
            <w:r>
              <w:rPr>
                <w:rFonts w:ascii="Arial" w:cs="Arial" w:eastAsia="Arial" w:hAnsi="Arial"/>
                <w:sz w:val="15"/>
                <w:szCs w:val="15"/>
                <w:color w:val="auto"/>
              </w:rPr>
              <w:t>(1)</w:t>
            </w: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3,336,614</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Daniella Beckman</w:t>
            </w:r>
            <w:r>
              <w:rPr>
                <w:rFonts w:ascii="Arial" w:cs="Arial" w:eastAsia="Arial" w:hAnsi="Arial"/>
                <w:sz w:val="15"/>
                <w:szCs w:val="15"/>
                <w:color w:val="auto"/>
              </w:rPr>
              <w:t>(2)</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571,243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Alexis Borisy</w:t>
            </w:r>
            <w:r>
              <w:rPr>
                <w:rFonts w:ascii="Arial" w:cs="Arial" w:eastAsia="Arial" w:hAnsi="Arial"/>
                <w:sz w:val="15"/>
                <w:szCs w:val="15"/>
                <w:color w:val="auto"/>
              </w:rPr>
              <w:t>(3)</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205,423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Lesley Calhoun</w:t>
            </w:r>
            <w:r>
              <w:rPr>
                <w:rFonts w:ascii="Arial" w:cs="Arial" w:eastAsia="Arial" w:hAnsi="Arial"/>
                <w:sz w:val="15"/>
                <w:szCs w:val="15"/>
                <w:color w:val="auto"/>
              </w:rPr>
              <w:t>(4)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95,545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Aaron Davis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Alan Huang, Ph.D.</w:t>
            </w:r>
            <w:r>
              <w:rPr>
                <w:rFonts w:ascii="Arial" w:cs="Arial" w:eastAsia="Arial" w:hAnsi="Arial"/>
                <w:sz w:val="15"/>
                <w:szCs w:val="15"/>
                <w:color w:val="auto"/>
              </w:rPr>
              <w:t>(5)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882,843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Reid Huber Ph.D.</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Malte Peters, M.D.</w:t>
            </w:r>
            <w:r>
              <w:rPr>
                <w:rFonts w:ascii="Arial" w:cs="Arial" w:eastAsia="Arial" w:hAnsi="Arial"/>
                <w:sz w:val="15"/>
                <w:szCs w:val="15"/>
                <w:color w:val="auto"/>
              </w:rPr>
              <w:t>(6)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208,077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Mace Rothenberg, M.D.</w:t>
            </w:r>
            <w:r>
              <w:rPr>
                <w:rFonts w:ascii="Arial" w:cs="Arial" w:eastAsia="Arial" w:hAnsi="Arial"/>
                <w:sz w:val="15"/>
                <w:szCs w:val="15"/>
                <w:color w:val="auto"/>
              </w:rPr>
              <w:t>(7)</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95,545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All Directors and Executive Officers as a group (nine individuals)</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5,395,290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Funds affiliated with Boxer Capital, LLC</w:t>
            </w:r>
            <w:r>
              <w:rPr>
                <w:rFonts w:ascii="Arial" w:cs="Arial" w:eastAsia="Arial" w:hAnsi="Arial"/>
                <w:sz w:val="15"/>
                <w:szCs w:val="15"/>
                <w:color w:val="auto"/>
              </w:rPr>
              <w:t>(8)</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6,973,166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BCTG Holdings, LLC</w:t>
            </w:r>
            <w:r>
              <w:rPr>
                <w:rFonts w:ascii="Arial" w:cs="Arial" w:eastAsia="Arial" w:hAnsi="Arial"/>
                <w:sz w:val="15"/>
                <w:szCs w:val="15"/>
                <w:color w:val="auto"/>
              </w:rPr>
              <w:t>(9)</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6,988,450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Casdin Partners Master Fund, L.P.</w:t>
            </w:r>
            <w:r>
              <w:rPr>
                <w:rFonts w:ascii="Arial" w:cs="Arial" w:eastAsia="Arial" w:hAnsi="Arial"/>
                <w:sz w:val="15"/>
                <w:szCs w:val="15"/>
                <w:color w:val="auto"/>
              </w:rPr>
              <w:t>(10)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5,487,910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000"/>
          </w:cols>
          <w:pgMar w:left="440" w:top="301" w:right="45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1324" w:type="dxa"/>
        <w:tblCellMar>
          <w:top w:w="0" w:type="dxa"/>
          <w:left w:w="0" w:type="dxa"/>
          <w:bottom w:w="0" w:type="dxa"/>
          <w:right w:w="0" w:type="dxa"/>
        </w:tblCellMar>
      </w:tblPr>
      <w:tr>
        <w:trPr>
          <w:trHeight w:val="217"/>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Gilead Sciences, Inc.</w:t>
            </w:r>
            <w:r>
              <w:rPr>
                <w:rFonts w:ascii="Arial" w:cs="Arial" w:eastAsia="Arial" w:hAnsi="Arial"/>
                <w:sz w:val="15"/>
                <w:szCs w:val="15"/>
                <w:color w:val="auto"/>
              </w:rPr>
              <w:t>(11)</w:t>
            </w:r>
          </w:p>
        </w:tc>
        <w:tc>
          <w:tcPr>
            <w:tcW w:w="2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4,854,443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Funds affiliated with Cormorant Capital</w:t>
            </w:r>
            <w:r>
              <w:rPr>
                <w:rFonts w:ascii="Arial" w:cs="Arial" w:eastAsia="Arial" w:hAnsi="Arial"/>
                <w:sz w:val="15"/>
                <w:szCs w:val="15"/>
                <w:color w:val="auto"/>
              </w:rPr>
              <w:t>(12)</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4,099,184</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Rock Ventures IV, L.P</w:t>
            </w:r>
            <w:r>
              <w:rPr>
                <w:rFonts w:ascii="Arial" w:cs="Arial" w:eastAsia="Arial" w:hAnsi="Arial"/>
                <w:sz w:val="15"/>
                <w:szCs w:val="15"/>
                <w:color w:val="auto"/>
              </w:rPr>
              <w:t>(13)</w:t>
            </w:r>
          </w:p>
        </w:tc>
        <w:tc>
          <w:tcPr>
            <w:tcW w:w="2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19,363,975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bl>
    <w:p>
      <w:pPr>
        <w:spacing w:after="0" w:line="229"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24" w:right="48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3,090,056 shares of Common Stock and options to purchase 246,558 shares of Common Stock exercisable within 60 days of the Closing Date.</w:t>
      </w:r>
    </w:p>
    <w:p>
      <w:pPr>
        <w:ind w:left="424" w:right="2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440,785 shares of Common Stock and options to purchase 130,458 shares of Common Stock exercisable within 60 days of the Closing Date.</w:t>
      </w:r>
    </w:p>
    <w:p>
      <w:pPr>
        <w:ind w:left="424" w:right="10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131,471 shares of Common Stock and options to purchase 73,952 shares of Common Stock exercisable within 60 days of the Closing Date.</w:t>
      </w:r>
    </w:p>
    <w:p>
      <w:pPr>
        <w:ind w:left="424" w:right="20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84,929 shares of Common Stock and options to purchase 10,616 shares of Common Stock exercisable within 60 days of the Closing Date.</w:t>
      </w:r>
    </w:p>
    <w:p>
      <w:pPr>
        <w:ind w:left="424" w:right="2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630,178 shares of Common Stock and options to purchase 252,665 shares of Common Stock exercisable within 60 days of the Closing Date.</w:t>
      </w:r>
    </w:p>
    <w:p>
      <w:pPr>
        <w:ind w:left="424" w:right="12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118,901 shares of Common Stock and options to purchase 89,176 shares of Common Stock exercisable within 60 days of the Closing Date.</w:t>
      </w:r>
    </w:p>
    <w:p>
      <w:pPr>
        <w:ind w:left="424" w:right="20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84,929 shares of Common Stock and options to purchase 10,616 shares of Common Stock exercisable within 60 days of the Closing Date.</w:t>
      </w:r>
    </w:p>
    <w:p>
      <w:pPr>
        <w:ind w:left="424" w:right="100" w:hanging="424"/>
        <w:spacing w:after="0" w:line="265"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(i) with respect to Boxer Capital, LLC (“Boxer Capital”), 6,871,642 shares issued as Merger Consideration, and (2) with respect to MVA Investors, LLC (“MVA”), 101,524 shares issued as Merger Consideration. Boxer Capital, Boxer Asset Management Inc. (“Boxer Management”) and Joseph Lewis share voting and dispositive power over the shares held by Boxer Capital, and Aaron Davis has sole voting and dispositive power over the shares owned by MVA. Each of the individuals and entities listed above expressly disclaims beneficial interest of the shares listed above except to the extent of any pecuniary interest therein. The principal business address of Boxer Capital, MVA and Aaron Davis is: 12860 El Camino Real, Suite 300, San Diego, CA 92130. The principal business address of Boxer Management and Joe Lewis is: c/o Cay House P.O Box N-7776 E.P. Taylor Drive Lyford Cay, New Providence, Bahamas.</w:t>
      </w:r>
    </w:p>
    <w:p>
      <w:pPr>
        <w:spacing w:after="0" w:line="1" w:lineRule="exact"/>
        <w:rPr>
          <w:rFonts w:ascii="Arial" w:cs="Arial" w:eastAsia="Arial" w:hAnsi="Arial"/>
          <w:sz w:val="17"/>
          <w:szCs w:val="17"/>
          <w:color w:val="auto"/>
        </w:rPr>
      </w:pPr>
    </w:p>
    <w:p>
      <w:pPr>
        <w:ind w:left="424" w:right="6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board consisting of Aaron Davis, Christopher Fuglesang and Andrew Ellis makes voting and dispositive decisions with respect to securities owned by BCTG Holdings, LLC. Each of Aaron Davis, Christopher Fuglesang and Andrew Ellis disclaims any pecuniary interest in BCTG Holdings, LLC except to the extent of his beneficial interest in the securities owned by BCTG Holdings, LLC. Holdings presented includes 4,488,450 shares held prior to the Merger and 2,500,000 shares issued in the PIPE investment. The principal business address of BCTG Holdings, LLC is: 12860 El Camino Real, Suite 300, San Diego, CA 92130.</w:t>
      </w:r>
    </w:p>
    <w:p>
      <w:pPr>
        <w:spacing w:after="0" w:line="1" w:lineRule="exact"/>
        <w:rPr>
          <w:rFonts w:ascii="Arial" w:cs="Arial" w:eastAsia="Arial" w:hAnsi="Arial"/>
          <w:sz w:val="18"/>
          <w:szCs w:val="18"/>
          <w:color w:val="auto"/>
        </w:rPr>
      </w:pPr>
    </w:p>
    <w:p>
      <w:pPr>
        <w:ind w:left="424" w:right="100" w:hanging="424"/>
        <w:spacing w:after="0" w:line="28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3,987,910 shares issued as Merger Consideration and 1,500,000 shares issued in the PIPE Financing. The general partner of Casdin Partners Master Fund, L.P. is Casdin Partners GP, LLC (“Casdin Partners GP”). Casdin Capital, LLC is the investment manager of Casdin Master Fund, L.P. Eli Casdin is the managing member of Casdin Capital, LLC and makes the sole voting and investment decisions with respect to shares held by Casdin Master Fund, L.P. The address of Casdin Capital, LLC is 1350 Avenue of the Americas, Suite 2405, New York, NY 10019</w:t>
      </w:r>
    </w:p>
    <w:p>
      <w:pPr>
        <w:spacing w:after="0" w:line="2" w:lineRule="exact"/>
        <w:rPr>
          <w:rFonts w:ascii="Arial" w:cs="Arial" w:eastAsia="Arial" w:hAnsi="Arial"/>
          <w:sz w:val="16"/>
          <w:szCs w:val="16"/>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3,604,443 shares issued as Merger Consideration and 1,250,000 shares issued in the PIPE Financing.</w:t>
      </w:r>
    </w:p>
    <w:p>
      <w:pPr>
        <w:spacing w:after="0" w:line="9" w:lineRule="exact"/>
        <w:rPr>
          <w:rFonts w:ascii="Arial" w:cs="Arial" w:eastAsia="Arial" w:hAnsi="Arial"/>
          <w:sz w:val="18"/>
          <w:szCs w:val="18"/>
          <w:color w:val="auto"/>
        </w:rPr>
      </w:pPr>
    </w:p>
    <w:p>
      <w:pPr>
        <w:ind w:left="424" w:hanging="424"/>
        <w:spacing w:after="0" w:line="28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(i) 2,476,949 shares issued as Merger Consideration to Cormorant Private Healthcare Fund II, LP., (ii) 590,894 shares issued as Merger Consideration and 1,000,000 shares issued in the PIPE Financing to Cormorant Global Healthcare Master Fund, LP and (iii) 31,341 shares issued as Merger Consideration to CRMA SPV, LP. Cormorant Private Healthcare GP II, LLC (“Private GP”) is the general partner of Cormorant Private Healthcare Fund II, LP and Cormorant Global Healthcare GP, LLC (“Global GP”) is the general partner of Global Healthcare Master Fund, LP.</w:t>
      </w:r>
    </w:p>
    <w:p>
      <w:pPr>
        <w:spacing w:after="0" w:line="2" w:lineRule="exact"/>
        <w:rPr>
          <w:rFonts w:ascii="Arial" w:cs="Arial" w:eastAsia="Arial" w:hAnsi="Arial"/>
          <w:sz w:val="16"/>
          <w:szCs w:val="16"/>
          <w:color w:val="auto"/>
        </w:rPr>
      </w:pPr>
    </w:p>
    <w:p>
      <w:pPr>
        <w:ind w:left="424" w:right="60"/>
        <w:spacing w:after="0" w:line="250" w:lineRule="auto"/>
        <w:rPr>
          <w:rFonts w:ascii="Arial" w:cs="Arial" w:eastAsia="Arial" w:hAnsi="Arial"/>
          <w:sz w:val="16"/>
          <w:szCs w:val="16"/>
          <w:color w:val="auto"/>
        </w:rPr>
      </w:pPr>
      <w:r>
        <w:rPr>
          <w:rFonts w:ascii="Arial" w:cs="Arial" w:eastAsia="Arial" w:hAnsi="Arial"/>
          <w:sz w:val="18"/>
          <w:szCs w:val="18"/>
          <w:color w:val="auto"/>
        </w:rPr>
        <w:t>Bihua Chen serves as the managing member of Private GP and Global GP. Cormorant Asset Management LP serves as the investment manager to CRMA SPV, LP, and Ms. Chen serves as the managing member of Cormorant Asset Management GP, LLC. Ms. Chen has sole voting and investment control over the shares held by the Cormorant Funds. Ms. Chen disclaims beneficial ownership of such shares except to the extent of any pecuniary interest therein. The address of the Cormorant Funds, Global GP, Private GP, Cormorant Asset Management LP, and Ms. Chen is 200 Clarendon Street, 52nd Floor, Boston, Massachusetts 02116.</w:t>
      </w:r>
    </w:p>
    <w:p>
      <w:pPr>
        <w:spacing w:after="0" w:line="1" w:lineRule="exact"/>
        <w:rPr>
          <w:rFonts w:ascii="Arial" w:cs="Arial" w:eastAsia="Arial" w:hAnsi="Arial"/>
          <w:sz w:val="16"/>
          <w:szCs w:val="16"/>
          <w:color w:val="auto"/>
        </w:rPr>
      </w:pPr>
    </w:p>
    <w:p>
      <w:pPr>
        <w:ind w:left="424" w:right="80" w:hanging="424"/>
        <w:spacing w:after="0" w:line="271"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19,363,975 shares issued as Merger Consideration. The general partner of Third Rock Ventures IV, L.P is Third Rock Ventures GP IV, L.P. (“TRV GP IV LP”). The general partner of TRV GP IV LP is TRV GP IV, LLC (“ TRV GP IV LLC”). Abbie Celniker, Ph.D., Robert Tepper, M.D., Craig Muir and Cary Pfeffer, M.D. are the managing members of TRV GP IV LLC who collectively make voting and investment decisions with respect to shares held by Third Rock Ventures IV, L.P. Dr. Huber is a partner at Third Rock Ventures, LLC, and a member of our board of directors. The address for each of Third Rock Ventures IV, L.P is 29 Newbury Street, Suite 401, Boston, MA 02116.</w:t>
      </w:r>
    </w:p>
    <w:p>
      <w:pPr>
        <w:sectPr>
          <w:pgSz w:w="11900" w:h="16838" w:orient="portrait"/>
          <w:cols w:equalWidth="0" w:num="1">
            <w:col w:w="11004"/>
          </w:cols>
          <w:pgMar w:left="436" w:top="31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Directors and Executive Officers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New Tango’s directors and executive officers after the consummation of the Transactions are described in the </w:t>
      </w:r>
      <w:r>
        <w:rPr>
          <w:rFonts w:ascii="Arial" w:cs="Arial" w:eastAsia="Arial" w:hAnsi="Arial"/>
          <w:sz w:val="17"/>
          <w:szCs w:val="17"/>
          <w:u w:val="single" w:color="auto"/>
          <w:color w:val="auto"/>
        </w:rPr>
        <w:t>Proxy Statement/Prospectus</w:t>
      </w:r>
      <w:r>
        <w:rPr>
          <w:rFonts w:ascii="Arial" w:cs="Arial" w:eastAsia="Arial" w:hAnsi="Arial"/>
          <w:sz w:val="17"/>
          <w:szCs w:val="17"/>
          <w:color w:val="auto"/>
        </w:rPr>
        <w:t xml:space="preserve"> in the section titled “</w:t>
      </w:r>
      <w:r>
        <w:rPr>
          <w:rFonts w:ascii="Arial" w:cs="Arial" w:eastAsia="Arial" w:hAnsi="Arial"/>
          <w:sz w:val="17"/>
          <w:szCs w:val="17"/>
          <w:i w:val="1"/>
          <w:iCs w:val="1"/>
          <w:color w:val="auto"/>
        </w:rPr>
        <w:t>Management of New Tango After the Business Combination</w:t>
      </w:r>
      <w:r>
        <w:rPr>
          <w:rFonts w:ascii="Arial" w:cs="Arial" w:eastAsia="Arial" w:hAnsi="Arial"/>
          <w:sz w:val="17"/>
          <w:szCs w:val="17"/>
          <w:color w:val="auto"/>
        </w:rPr>
        <w:t>” and that information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our Board of Directors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Information with respect to the independence of New Tango’s directors is set forth in the </w:t>
      </w:r>
      <w:r>
        <w:rPr>
          <w:rFonts w:ascii="Arial" w:cs="Arial" w:eastAsia="Arial" w:hAnsi="Arial"/>
          <w:sz w:val="17"/>
          <w:szCs w:val="17"/>
          <w:u w:val="single" w:color="auto"/>
          <w:color w:val="auto"/>
        </w:rPr>
        <w:t>Proxy Statement/Prospectus</w:t>
      </w:r>
      <w:r>
        <w:rPr>
          <w:rFonts w:ascii="Arial" w:cs="Arial" w:eastAsia="Arial" w:hAnsi="Arial"/>
          <w:sz w:val="17"/>
          <w:szCs w:val="17"/>
          <w:color w:val="auto"/>
        </w:rPr>
        <w:t xml:space="preserve"> in the section titled “</w:t>
      </w:r>
      <w:r>
        <w:rPr>
          <w:rFonts w:ascii="Arial" w:cs="Arial" w:eastAsia="Arial" w:hAnsi="Arial"/>
          <w:sz w:val="17"/>
          <w:szCs w:val="17"/>
          <w:i w:val="1"/>
          <w:iCs w:val="1"/>
          <w:color w:val="auto"/>
        </w:rPr>
        <w:t>Management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Tango After the Business Combination—Director Independence</w:t>
      </w:r>
      <w:r>
        <w:rPr>
          <w:rFonts w:ascii="Arial" w:cs="Arial" w:eastAsia="Arial" w:hAnsi="Arial"/>
          <w:sz w:val="17"/>
          <w:szCs w:val="17"/>
          <w:color w:val="auto"/>
        </w:rPr>
        <w:t>” and that information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Information with respect to the composition of the committees of our board of directors immediately after the Closing is set forth in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Management of New Tango After the Business Combination—Committees of New Tango’s Board</w:t>
      </w:r>
      <w:r>
        <w:rPr>
          <w:rFonts w:ascii="Arial" w:cs="Arial" w:eastAsia="Arial" w:hAnsi="Arial"/>
          <w:sz w:val="18"/>
          <w:szCs w:val="18"/>
          <w:color w:val="auto"/>
        </w:rPr>
        <w:t>” and that information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 xml:space="preserve">A description of the compensation of the named executive officers of Old Tango and the compensation of the executive officers of BCTG before the consummation of the Transactions is set forth in the </w:t>
      </w:r>
      <w:r>
        <w:rPr>
          <w:rFonts w:ascii="Arial" w:cs="Arial" w:eastAsia="Arial" w:hAnsi="Arial"/>
          <w:sz w:val="16"/>
          <w:szCs w:val="16"/>
          <w:u w:val="single" w:color="auto"/>
          <w:color w:val="auto"/>
        </w:rPr>
        <w:t>Proxy Statement/Prospectus</w:t>
      </w:r>
      <w:r>
        <w:rPr>
          <w:rFonts w:ascii="Arial" w:cs="Arial" w:eastAsia="Arial" w:hAnsi="Arial"/>
          <w:sz w:val="16"/>
          <w:szCs w:val="16"/>
          <w:color w:val="auto"/>
        </w:rPr>
        <w:t xml:space="preserve"> in the sections titled “</w:t>
      </w:r>
      <w:r>
        <w:rPr>
          <w:rFonts w:ascii="Arial" w:cs="Arial" w:eastAsia="Arial" w:hAnsi="Arial"/>
          <w:sz w:val="16"/>
          <w:szCs w:val="16"/>
          <w:i w:val="1"/>
          <w:iCs w:val="1"/>
          <w:color w:val="auto"/>
        </w:rPr>
        <w:t>Executive and Director Compensation of Tango</w:t>
      </w:r>
      <w:r>
        <w:rPr>
          <w:rFonts w:ascii="Arial" w:cs="Arial" w:eastAsia="Arial" w:hAnsi="Arial"/>
          <w:sz w:val="16"/>
          <w:szCs w:val="16"/>
          <w:color w:val="auto"/>
        </w:rPr>
        <w:t>” and “</w:t>
      </w:r>
      <w:r>
        <w:rPr>
          <w:rFonts w:ascii="Arial" w:cs="Arial" w:eastAsia="Arial" w:hAnsi="Arial"/>
          <w:sz w:val="16"/>
          <w:szCs w:val="16"/>
          <w:i w:val="1"/>
          <w:iCs w:val="1"/>
          <w:color w:val="auto"/>
        </w:rPr>
        <w:t>Executive Officers and Directors of BCTG—Executive Compensation</w:t>
      </w:r>
      <w:r>
        <w:rPr>
          <w:rFonts w:ascii="Arial" w:cs="Arial" w:eastAsia="Arial" w:hAnsi="Arial"/>
          <w:sz w:val="16"/>
          <w:szCs w:val="16"/>
          <w:color w:val="auto"/>
        </w:rPr>
        <w:t>,” respectively, and that information is incorporated herein by reference.</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At the Special Meeting, the BCTG stockholders approved the 2021 Plan and the ESPP (as defined below). The summary of the 2021 Plan is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Proposal 6 - The Equity Incentive Plan Proposal</w:t>
      </w:r>
      <w:r>
        <w:rPr>
          <w:rFonts w:ascii="Arial" w:cs="Arial" w:eastAsia="Arial" w:hAnsi="Arial"/>
          <w:sz w:val="18"/>
          <w:szCs w:val="18"/>
          <w:color w:val="auto"/>
        </w:rPr>
        <w:t xml:space="preserve">” and the summary of the ESPP is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Proposal 7 - The ESPP Proposal</w:t>
      </w:r>
      <w:r>
        <w:rPr>
          <w:rFonts w:ascii="Arial" w:cs="Arial" w:eastAsia="Arial" w:hAnsi="Arial"/>
          <w:sz w:val="18"/>
          <w:szCs w:val="18"/>
          <w:color w:val="auto"/>
        </w:rPr>
        <w:t>” and are each incorporated herein by reference. A copy of the full text of the 2021 Plan is attached hereto as Exhibit 10.4 and a copy of the full text of the ESPP is attached hereto as Exhibit 10.6 and are each incorporated herein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Descriptions of the compensation of the directors of Old Tango and of BCTG before the consummation of the Transactions are set forth in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 xml:space="preserve"> in the sections titled “</w:t>
      </w:r>
      <w:r>
        <w:rPr>
          <w:rFonts w:ascii="Arial" w:cs="Arial" w:eastAsia="Arial" w:hAnsi="Arial"/>
          <w:sz w:val="18"/>
          <w:szCs w:val="18"/>
          <w:i w:val="1"/>
          <w:iCs w:val="1"/>
          <w:color w:val="auto"/>
        </w:rPr>
        <w:t>Executive and Director Compensation of Tango</w:t>
      </w:r>
      <w:r>
        <w:rPr>
          <w:rFonts w:ascii="Arial" w:cs="Arial" w:eastAsia="Arial" w:hAnsi="Arial"/>
          <w:sz w:val="18"/>
          <w:szCs w:val="18"/>
          <w:color w:val="auto"/>
        </w:rPr>
        <w:t>” and “</w:t>
      </w:r>
      <w:r>
        <w:rPr>
          <w:rFonts w:ascii="Arial" w:cs="Arial" w:eastAsia="Arial" w:hAnsi="Arial"/>
          <w:sz w:val="18"/>
          <w:szCs w:val="18"/>
          <w:i w:val="1"/>
          <w:iCs w:val="1"/>
          <w:color w:val="auto"/>
        </w:rPr>
        <w:t>Executive Officers and Directors of BCTG—</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w:t>
      </w:r>
      <w:r>
        <w:rPr>
          <w:rFonts w:ascii="Arial" w:cs="Arial" w:eastAsia="Arial" w:hAnsi="Arial"/>
          <w:sz w:val="18"/>
          <w:szCs w:val="18"/>
          <w:color w:val="auto"/>
        </w:rPr>
        <w:t>,” respectively, and that information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 Person Transactions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Certain relationships and related person transactions are described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Person Transactions</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Reference is made to the disclosure regarding legal proceedings in the section of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titled “</w:t>
      </w:r>
      <w:r>
        <w:rPr>
          <w:rFonts w:ascii="Arial" w:cs="Arial" w:eastAsia="Arial" w:hAnsi="Arial"/>
          <w:sz w:val="18"/>
          <w:szCs w:val="18"/>
          <w:i w:val="1"/>
          <w:iCs w:val="1"/>
          <w:color w:val="auto"/>
        </w:rPr>
        <w:t>Information about BCTG—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and Dividends on Common Equity and Related Stockholder Matters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Common Stock began trading on the Nasdaq Capital Market under the symbol “TNGX” on August 11, 2021. As of immediately after the Closing Date, there were approximately 200 registered holders of Common Stock.</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not paid any cash dividends on shares of our Common Stock. Any decision to declare and pay dividends in the future will be made at the sole discretion our board of the Board and will depend on, among other things, our results of operations, cash requirements, financial condition, contractual restrictions and other factors that our board may deem relevant.</w:t>
      </w:r>
    </w:p>
    <w:p>
      <w:pPr>
        <w:sectPr>
          <w:pgSz w:w="11900" w:h="16838" w:orient="portrait"/>
          <w:cols w:equalWidth="0" w:num="1">
            <w:col w:w="10940"/>
          </w:cols>
          <w:pgMar w:left="440" w:top="301"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Recent Sales of Unregistered Securities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Reference is made to the disclosure set forth below under Item 3.02 of this Current Report on Form 8-K concerning the issuance and sale of certain unregistered securities,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Company’s Securities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The description of New Tango’s securities is contained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Description of Securities After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 and Officers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disclosure set forth in Item 1.01 of this Current Report on Form 8-K under the section entitled “Indemnification Agreements” is incorporated by reference into this Item 2.01.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9.01 of this Current Report on Form 8-K is incorporated herein by reference.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Concurrently with the execution of the Merger Agreement, BCTG entered into the Subscription Agreements with the PIPE Investors, pursuant to which, at the Closing, the PIPE Investors subscribed for and purchased an aggregate of 18,610,000 shares of Common Stock at a price of $10.00 per share for aggregate gross proceeds of $186,100,000. The shares of Common Stock issued pursuant to the Subscription Agreements (the “PIPE Financing Shares”) have not been registered under the Securities Act in reliance upon the exemption provided in Section 4(a)(2) of the Securities Act. Pursuant to the Subscription Agreements, BCTG agreed that, within 30 calendar days after the Closing Date, New Tango will file with the SEC (at New Tango’s sole cost and expense) a registration statement (the “Resale Registration Statement”) registering the resale of the PIPE Financing Shares. New Tango will use its commercially reasonable efforts to have the Resale Registration Statement declared effective as soon as practicable after the filing thereof, but no later than the earlier of (i) the 60th calendar day after the consummation of the Transactions (or 90th calendar day if the SEC notifies us that it will review the Resale Registration Statement) and (ii) the fifth business day after the date New Tango is notified by the SEC that the Resale Registration Statement will not be reviewed or will not be subject to further review. BCTG agreed to cause such Resale Registration Statement, or another shelf registration statement that includes the PIPE Financing Shares, to remain effective until the earliest of (x) the fourth anniversary of the Closing, (y) the date on which no PIPE Investor holds PIPE Financing Shares or (z) the first date on which each PIPE Investor is able to sell all of its PIPE Financing Shares under Rule 144 under the Securities Act without volume or manner of sale limitations and without the requirement for us to be in compliance with the current public information required under Rule 144(c)(i) (or Rule 144(i)(2), if applicable). The foregoing description of the Subscription Agreements does not purport to be complete and is qualified in its entirety by the terms and conditions thereof, the form of which is attached hereto as Exhibits 10.1 and is each incorporated herein by reference.</w:t>
      </w: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connection with the consummation of the Transactions, BCTG changed its name to “Tango Therapeutics, Inc.” and adopted a certificate of incorporation and by-laws. Reference is made to the disclosure described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sections titled “</w:t>
      </w:r>
      <w:r>
        <w:rPr>
          <w:rFonts w:ascii="Arial" w:cs="Arial" w:eastAsia="Arial" w:hAnsi="Arial"/>
          <w:sz w:val="18"/>
          <w:szCs w:val="18"/>
          <w:i w:val="1"/>
          <w:iCs w:val="1"/>
          <w:color w:val="auto"/>
        </w:rPr>
        <w:t>Proposal 3—The</w:t>
      </w:r>
      <w:r>
        <w:rPr>
          <w:rFonts w:ascii="Arial" w:cs="Arial" w:eastAsia="Arial" w:hAnsi="Arial"/>
          <w:sz w:val="18"/>
          <w:szCs w:val="18"/>
          <w:color w:val="auto"/>
        </w:rPr>
        <w:t xml:space="preserve"> </w:t>
      </w:r>
      <w:r>
        <w:rPr>
          <w:rFonts w:ascii="Arial" w:cs="Arial" w:eastAsia="Arial" w:hAnsi="Arial"/>
          <w:sz w:val="18"/>
          <w:szCs w:val="18"/>
          <w:i w:val="1"/>
          <w:iCs w:val="1"/>
          <w:color w:val="auto"/>
        </w:rPr>
        <w:t>Charter Amendment Proposal</w:t>
      </w:r>
      <w:r>
        <w:rPr>
          <w:rFonts w:ascii="Arial" w:cs="Arial" w:eastAsia="Arial" w:hAnsi="Arial"/>
          <w:sz w:val="18"/>
          <w:szCs w:val="18"/>
          <w:color w:val="auto"/>
        </w:rPr>
        <w:t>”, “</w:t>
      </w:r>
      <w:r>
        <w:rPr>
          <w:rFonts w:ascii="Arial" w:cs="Arial" w:eastAsia="Arial" w:hAnsi="Arial"/>
          <w:sz w:val="18"/>
          <w:szCs w:val="18"/>
          <w:i w:val="1"/>
          <w:iCs w:val="1"/>
          <w:color w:val="auto"/>
        </w:rPr>
        <w:t>Proposal 4—The Advisory Charter Proposals</w:t>
      </w:r>
      <w:r>
        <w:rPr>
          <w:rFonts w:ascii="Arial" w:cs="Arial" w:eastAsia="Arial" w:hAnsi="Arial"/>
          <w:sz w:val="18"/>
          <w:szCs w:val="18"/>
          <w:color w:val="auto"/>
        </w:rPr>
        <w:t>”, “</w:t>
      </w:r>
      <w:r>
        <w:rPr>
          <w:rFonts w:ascii="Arial" w:cs="Arial" w:eastAsia="Arial" w:hAnsi="Arial"/>
          <w:sz w:val="18"/>
          <w:szCs w:val="18"/>
          <w:i w:val="1"/>
          <w:iCs w:val="1"/>
          <w:color w:val="auto"/>
        </w:rPr>
        <w:t>Comparison of Corporate Governance and Stockholder Rights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Description of Securities After the Business Combination</w:t>
      </w:r>
      <w:r>
        <w:rPr>
          <w:rFonts w:ascii="Arial" w:cs="Arial" w:eastAsia="Arial" w:hAnsi="Arial"/>
          <w:sz w:val="18"/>
          <w:szCs w:val="18"/>
          <w:color w:val="auto"/>
        </w:rPr>
        <w:t>,” which are incorporated herein by reference. This summary is qualified in its entirety by reference to the text of New Tango’s certificate of incorporation and by-laws, which are attached as Exhibits 3.1 and 3.2 hereto, respectively, and are incorporated herein by reference.</w:t>
      </w:r>
    </w:p>
    <w:p>
      <w:pPr>
        <w:sectPr>
          <w:pgSz w:w="11900" w:h="16838" w:orient="portrait"/>
          <w:cols w:equalWidth="0" w:num="1">
            <w:col w:w="11000"/>
          </w:cols>
          <w:pgMar w:left="440" w:top="301" w:right="459" w:bottom="1440" w:gutter="0" w:footer="0" w:header="0"/>
        </w:sectPr>
      </w:pPr>
    </w:p>
    <w:bookmarkStart w:id="12" w:name="page13"/>
    <w:bookmarkEnd w:id="12"/>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 w:right="140"/>
        <w:spacing w:after="0" w:line="291" w:lineRule="auto"/>
        <w:rPr>
          <w:sz w:val="20"/>
          <w:szCs w:val="20"/>
          <w:color w:val="auto"/>
        </w:rPr>
      </w:pPr>
      <w:r>
        <w:rPr>
          <w:rFonts w:ascii="Arial" w:cs="Arial" w:eastAsia="Arial" w:hAnsi="Arial"/>
          <w:sz w:val="16"/>
          <w:szCs w:val="16"/>
          <w:color w:val="auto"/>
        </w:rPr>
        <w:t>In accordance with Rule 12g-3(a) under the Securities Exchange Act of 1934, as amended (the “Exchange Act”), New Tango is the successor issuer to BCTG and has succeeded to the attributes of BCTG as the registrant. In addition, the shares of Common Stock of New Tango, as the successor to BCTG, are deemed to be registered under Section 12(b) of the Exchange Act. Holders of uncertificated shares of BCTG’s common stock prior to the Closing have continued as holders of shares of uncertificated shares of New Tango’s Common Stock. After consummation of the Transactions, the Common Stock was listed on the Nasdaq Capital Market under the symbol “TNGX”, and the CUSIP number relating to the Common Stock was changed to 87583X 109. Holders of BCTG’s shares who have filed reports under the Exchange Act with respect to those shares should indicate in their next filing, or any amendment to a prior filing, filed on or after the Closing Date that New Tango is the successor to BCTG.</w:t>
      </w:r>
    </w:p>
    <w:p>
      <w:pPr>
        <w:spacing w:after="0" w:line="31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21" w:lineRule="exact"/>
        <w:rPr>
          <w:sz w:val="20"/>
          <w:szCs w:val="20"/>
          <w:color w:val="auto"/>
        </w:rPr>
      </w:pPr>
    </w:p>
    <w:p>
      <w:pPr>
        <w:ind w:left="244" w:hanging="244"/>
        <w:spacing w:after="0"/>
        <w:tabs>
          <w:tab w:leader="none" w:pos="2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Dismissal of Previous Independent Registered Public Accounting Firm.</w:t>
      </w:r>
    </w:p>
    <w:p>
      <w:pPr>
        <w:spacing w:after="0" w:line="117"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On August 10, 2021, the Audit Committee of the Board of Directors (the “Audit Committee”) of New Tango dismissed WithumSmith+Brown, PC (“Withum”) as the Company’s independent registered public accounting firm, effective immediately.</w:t>
      </w:r>
    </w:p>
    <w:p>
      <w:pPr>
        <w:spacing w:after="0" w:line="170"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The report of Withum on the financial statements of BCTG Acquisition Corp. (the Company’s legal predecessor) as of December 31, 2020 and for the period from May 21, 2020 through December 31, 2020 did not contain an adverse opinion or disclaimer of opinion, nor were they qualified or modified as to uncertainty, audit scope, or accounting principles. During the period from May 21, 2020 through December 31, 2020 and the subsequent interim period through August 10, 2021, there were no (i) disagreements (as defined in Item 304(a)(1)(iv) of Regulation S-K) with Withum on any matter of accounting principles or practices, financial statement disclosure or auditing scope or procedures, which disagreements, if not resolved to the satisfaction of Withum, would have caused Withum to make reference to the subject matter of the disagreements in its reports on the financial statements of the Company, or (ii) “reportable events” (as defined in Item 304(a)(1)(v) of Regulation S-K) within the period of Withum’s engagement and the subsequent interim period through August 10, 2021.</w:t>
      </w:r>
    </w:p>
    <w:p>
      <w:pPr>
        <w:spacing w:after="0" w:line="178" w:lineRule="exact"/>
        <w:rPr>
          <w:sz w:val="20"/>
          <w:szCs w:val="20"/>
          <w:color w:val="auto"/>
        </w:rPr>
      </w:pPr>
    </w:p>
    <w:p>
      <w:pPr>
        <w:jc w:val="both"/>
        <w:ind w:left="4" w:right="240"/>
        <w:spacing w:after="0" w:line="263" w:lineRule="auto"/>
        <w:rPr>
          <w:sz w:val="20"/>
          <w:szCs w:val="20"/>
          <w:color w:val="auto"/>
        </w:rPr>
      </w:pPr>
      <w:r>
        <w:rPr>
          <w:rFonts w:ascii="Arial" w:cs="Arial" w:eastAsia="Arial" w:hAnsi="Arial"/>
          <w:sz w:val="18"/>
          <w:szCs w:val="18"/>
          <w:color w:val="auto"/>
        </w:rPr>
        <w:t>The Company has provided Withum with a copy of the disclosures it is making in this Item 4.01(a) of this Current Report on Form 8-K and requested that Withum furnish a letter addressed to the SEC stating whether it agrees with the statements above, and, if not, stating the respects in which it does not agree. A copy of Withum’s letter dated August 13, 2021 is filed as Exhibit 16.1 hereto.</w:t>
      </w:r>
    </w:p>
    <w:p>
      <w:pPr>
        <w:spacing w:after="0" w:line="292" w:lineRule="exact"/>
        <w:rPr>
          <w:sz w:val="20"/>
          <w:szCs w:val="20"/>
          <w:color w:val="auto"/>
        </w:rPr>
      </w:pPr>
    </w:p>
    <w:p>
      <w:pPr>
        <w:ind w:left="264" w:hanging="264"/>
        <w:spacing w:after="0"/>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Engagement of New Independent Registered Public Accounting Firm.</w:t>
      </w:r>
    </w:p>
    <w:p>
      <w:pPr>
        <w:spacing w:after="0" w:line="117" w:lineRule="exact"/>
        <w:rPr>
          <w:sz w:val="20"/>
          <w:szCs w:val="20"/>
          <w:color w:val="auto"/>
        </w:rPr>
      </w:pPr>
    </w:p>
    <w:p>
      <w:pPr>
        <w:ind w:left="4" w:right="820"/>
        <w:spacing w:after="0" w:line="277" w:lineRule="auto"/>
        <w:rPr>
          <w:sz w:val="20"/>
          <w:szCs w:val="20"/>
          <w:color w:val="auto"/>
        </w:rPr>
      </w:pPr>
      <w:r>
        <w:rPr>
          <w:rFonts w:ascii="Arial" w:cs="Arial" w:eastAsia="Arial" w:hAnsi="Arial"/>
          <w:sz w:val="18"/>
          <w:szCs w:val="18"/>
          <w:color w:val="auto"/>
        </w:rPr>
        <w:t>On August 10, 2021, the Audit Committee appointed PricewaterhouseCoopers LLP (“PwC”) as the Company’s independent registered public accounting firm for the fiscal year ending December 31, 2021. That engagement is effective immediately.</w:t>
      </w:r>
    </w:p>
    <w:p>
      <w:pPr>
        <w:spacing w:after="0" w:line="170" w:lineRule="exact"/>
        <w:rPr>
          <w:sz w:val="20"/>
          <w:szCs w:val="20"/>
          <w:color w:val="auto"/>
        </w:rPr>
      </w:pPr>
    </w:p>
    <w:p>
      <w:pPr>
        <w:ind w:left="4" w:right="160"/>
        <w:spacing w:after="0" w:line="254" w:lineRule="auto"/>
        <w:rPr>
          <w:sz w:val="20"/>
          <w:szCs w:val="20"/>
          <w:color w:val="auto"/>
        </w:rPr>
      </w:pPr>
      <w:r>
        <w:rPr>
          <w:rFonts w:ascii="Arial" w:cs="Arial" w:eastAsia="Arial" w:hAnsi="Arial"/>
          <w:sz w:val="18"/>
          <w:szCs w:val="18"/>
          <w:color w:val="auto"/>
        </w:rPr>
        <w:t>PwC served as independent registered public accounting firm of Old Tango prior to the Business Combination. During the period from May 21, 2020 through December 31, 2020 and the subsequent interim period through August 10, 2021, neither New Tango nor anyone on its behalf consulted with PwC regarding either (i) the application of accounting principles to a specified transaction, either completed or proposed, or the type of audit opinion that might be rendered on the Company’s financial statements, and a written report or oral advice was provided to the Company that PwC concluded was an important factor considered by the Company in reaching a decision as to any accounting, auditing or financial reporting issue, or (ii) any matter that was the subject of a disagreement within the meaning of Item 304(a)(1)(iv) of Regulation S-K or any reportable event within the meaning of Item 304(a)(1)(v) of Regulation S-K.</w:t>
      </w:r>
    </w:p>
    <w:p>
      <w:pPr>
        <w:spacing w:after="0" w:line="339"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 xml:space="preserve">Reference is made to the disclosure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Proposal 1 - The Business Combination Proposal</w:t>
      </w:r>
      <w:r>
        <w:rPr>
          <w:rFonts w:ascii="Arial" w:cs="Arial" w:eastAsia="Arial" w:hAnsi="Arial"/>
          <w:sz w:val="18"/>
          <w:szCs w:val="18"/>
          <w:color w:val="auto"/>
        </w:rPr>
        <w:t>,” which is incorporated herein by reference. Further reference is made to the information contained in Item 2.01 to this Current Report on Form 8-K, which is incorporated herein by reference.</w:t>
      </w:r>
    </w:p>
    <w:p>
      <w:pPr>
        <w:spacing w:after="0" w:line="328" w:lineRule="exact"/>
        <w:rPr>
          <w:sz w:val="20"/>
          <w:szCs w:val="20"/>
          <w:color w:val="auto"/>
        </w:rPr>
      </w:pPr>
    </w:p>
    <w:p>
      <w:pPr>
        <w:ind w:left="984" w:right="8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Upon the consummation of the Transactions, and in accordance with the terms of the Merger Agreement, each director and executive officer of BCTG ceased serving in such capacities and seven new directors were appointed to the Board. The Board was divided into three staggered classes of directors and each director was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Lesley Calhoun and Reid Huber were appointed as Class I directors, Malte Peters and Mace Rothenberg were appointed as Class II directors and Alexis Borisy, Aaron Davis and Barbara Weber were appointed as Class III directors.</w:t>
      </w:r>
    </w:p>
    <w:p>
      <w:pPr>
        <w:spacing w:after="0" w:line="166"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Furthermore, following the consummation of the Transactions, the Board established three standing committees: an audit committee, a compensation committee and a nominating and corporate governance committee. The members of our audit committee are Lesley Calhoun, Mace Rothenberg and Alexis Borisy, and Lesley Calhoun serves as the chairperson of the audit committee. The members of the compensation committee are Malte Peters, Mace Rothenberg and Alexis Borisy, and Malte Peters is the chairperson of the compensation committee. The members of the nominating and corporate governance committee are Reid Huber, Aaron Davis, and Lesley Calhoun, and Reid Huber is the chairperson of the nominating and corporate governance committee.</w:t>
      </w:r>
    </w:p>
    <w:p>
      <w:pPr>
        <w:spacing w:after="0" w:line="192"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 xml:space="preserve">Descriptions of the compensation of the directors of Old Tango and of BCTG before the consummation of the Transactions are set forth in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 xml:space="preserve"> in the sections titled “</w:t>
      </w:r>
      <w:r>
        <w:rPr>
          <w:rFonts w:ascii="Arial" w:cs="Arial" w:eastAsia="Arial" w:hAnsi="Arial"/>
          <w:sz w:val="18"/>
          <w:szCs w:val="18"/>
          <w:i w:val="1"/>
          <w:iCs w:val="1"/>
          <w:color w:val="auto"/>
        </w:rPr>
        <w:t>Executive and Director Compensation of Tango</w:t>
      </w:r>
      <w:r>
        <w:rPr>
          <w:rFonts w:ascii="Arial" w:cs="Arial" w:eastAsia="Arial" w:hAnsi="Arial"/>
          <w:sz w:val="18"/>
          <w:szCs w:val="18"/>
          <w:color w:val="auto"/>
        </w:rPr>
        <w:t>” and “</w:t>
      </w:r>
      <w:r>
        <w:rPr>
          <w:rFonts w:ascii="Arial" w:cs="Arial" w:eastAsia="Arial" w:hAnsi="Arial"/>
          <w:sz w:val="18"/>
          <w:szCs w:val="18"/>
          <w:i w:val="1"/>
          <w:iCs w:val="1"/>
          <w:color w:val="auto"/>
        </w:rPr>
        <w:t>Executive Officers and Directors of BCTG—</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w:t>
      </w:r>
      <w:r>
        <w:rPr>
          <w:rFonts w:ascii="Arial" w:cs="Arial" w:eastAsia="Arial" w:hAnsi="Arial"/>
          <w:sz w:val="18"/>
          <w:szCs w:val="18"/>
          <w:color w:val="auto"/>
        </w:rPr>
        <w:t>,” respectively, and that information is incorporated herein by reference.</w:t>
      </w:r>
    </w:p>
    <w:p>
      <w:pPr>
        <w:spacing w:after="0" w:line="184" w:lineRule="exact"/>
        <w:rPr>
          <w:sz w:val="20"/>
          <w:szCs w:val="20"/>
          <w:color w:val="auto"/>
        </w:rPr>
      </w:pPr>
    </w:p>
    <w:p>
      <w:pPr>
        <w:ind w:left="4" w:right="120"/>
        <w:spacing w:after="0" w:line="296" w:lineRule="auto"/>
        <w:rPr>
          <w:sz w:val="20"/>
          <w:szCs w:val="20"/>
          <w:color w:val="auto"/>
        </w:rPr>
      </w:pPr>
      <w:r>
        <w:rPr>
          <w:rFonts w:ascii="Arial" w:cs="Arial" w:eastAsia="Arial" w:hAnsi="Arial"/>
          <w:sz w:val="16"/>
          <w:szCs w:val="16"/>
          <w:color w:val="auto"/>
        </w:rPr>
        <w:t>Following the Transactions, pursuant to New Tango’s non-employee director compensation policy, each non-employee director will receive an annual retainer of $40,000, an annual retainer of $30,000 for serving as the non-executive chair, an annual retainer of $15,000 for serving as the lead independent director, a $15,000 annual retainer for serving as the chair of the audit committee, a $10,000 annual retainer for serving as the chair of the compensation committee, a $8,000 annual retainer for serving as the chair of the nominating and corporate governance committee and a $7,500, $5,000 and $4,000 annual retainer for serving on the audit, compensation and nominating and corporate governance committee, respectively, to be paid</w:t>
      </w:r>
    </w:p>
    <w:p>
      <w:pPr>
        <w:sectPr>
          <w:pgSz w:w="11900" w:h="16877" w:orient="portrait"/>
          <w:cols w:equalWidth="0" w:num="1">
            <w:col w:w="11024"/>
          </w:cols>
          <w:pgMar w:left="436" w:top="301" w:right="439" w:bottom="0" w:gutter="0" w:footer="0" w:header="0"/>
        </w:sectPr>
      </w:pPr>
    </w:p>
    <w:bookmarkStart w:id="13" w:name="page14"/>
    <w:bookmarkEnd w:id="13"/>
    <w:p>
      <w:pPr>
        <w:spacing w:after="0" w:line="293" w:lineRule="auto"/>
        <w:rPr>
          <w:sz w:val="20"/>
          <w:szCs w:val="20"/>
          <w:color w:val="auto"/>
        </w:rPr>
      </w:pPr>
      <w:r>
        <w:rPr>
          <w:rFonts w:ascii="Arial" w:cs="Arial" w:eastAsia="Arial" w:hAnsi="Arial"/>
          <w:sz w:val="16"/>
          <w:szCs w:val="16"/>
          <w:color w:val="auto"/>
        </w:rPr>
        <w:t>quarterly in arrears and prorated based on the number of actual days served on the Board or applicable committee. In addition, each non-employee director will receive, on the date of New Tango’s annual meeting of stockholders, an annual grant of a stock option to purchase 40,000 shares of Common Stock that vests in 36 substantially equal monthly installments over three years from the grant date, and each new non-employee director will receive a stock option to purchase 80,000 shares of Common Stock which shall vest in 12 substantially equal monthly installments over one year from the grant date. The foregoing description of the non-employee director compensation policy does not purport to be complete and is qualified in its entirety by the terms and conditions thereof, which is filed as Exhibit 10.8 to this Current Report on Form 8-K and is incorporated herein by reference.</w:t>
      </w:r>
    </w:p>
    <w:p>
      <w:pPr>
        <w:sectPr>
          <w:pgSz w:w="11900" w:h="16838" w:orient="portrait"/>
          <w:cols w:equalWidth="0" w:num="1">
            <w:col w:w="10880"/>
          </w:cols>
          <w:pgMar w:left="440" w:top="125" w:right="5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Officers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Information with respect to New Tango’s executive officers after the Closing is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entitled “</w:t>
      </w:r>
      <w:r>
        <w:rPr>
          <w:rFonts w:ascii="Arial" w:cs="Arial" w:eastAsia="Arial" w:hAnsi="Arial"/>
          <w:sz w:val="18"/>
          <w:szCs w:val="18"/>
          <w:i w:val="1"/>
          <w:iCs w:val="1"/>
          <w:color w:val="auto"/>
        </w:rPr>
        <w:t>Management Of New Tango After The Business Combination</w:t>
      </w:r>
      <w:r>
        <w:rPr>
          <w:rFonts w:ascii="Arial" w:cs="Arial" w:eastAsia="Arial" w:hAnsi="Arial"/>
          <w:sz w:val="18"/>
          <w:szCs w:val="18"/>
          <w:color w:val="auto"/>
        </w:rPr>
        <w:t>,”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Tango Therapeutics, Inc. 2021 Stock Option and Incentive Plan</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At the Special Meeting, BCTG stockholders considered and approved the Tango Therapeutics, Inc. 2021 Stock Option and Incentive Plan (the “2021 Plan”). The 2021 Plan allows us to make equity and equity-based incentive awards to officers, employees, non-employee directors and consultants. The Board anticipates that providing such persons with a direct stake in our company will assure a closer alignment of the interests of such individuals with those of New Tango and its stockholders, thereby stimulating their efforts on our behalf and strengthening their desire to remain with us.</w:t>
      </w:r>
    </w:p>
    <w:p>
      <w:pPr>
        <w:spacing w:after="0" w:line="1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initially reserved 9,498,725 shares of Common Stock for the issuance of awards under the 2021 Plan (the “Initial Limit”). The 2021 Plan provides that the number of shares reserved and available for issuance under the 2021 Plan will automatically increase each January 1, beginning on January 1, 2022, by 5.0% of the outstanding number of shares of Common Stock on the immediately preceding December 31, or such lesser amount as determined by the Board (the “Annual Increase”). This limit is subject to adjustment in the event of a reorganization, recapitalization, reclassification, stock split, stock dividend, reverse stock split or other similar change in New Tango’s capitalization. The maximum aggregate number of shares of Common Stock that may be issued upon exercise of incentive stock options under the 2021 Plan shall not exceed the Initial Limit cumulatively increased on January 1, 2022 and on each January 1 thereafter by the lesser of the Annual Increase or 4,749,362 shares of Common Stock.</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A more complete summary of the terms of the 2021 Plan is set forth in the </w:t>
      </w:r>
      <w:r>
        <w:rPr>
          <w:rFonts w:ascii="Arial" w:cs="Arial" w:eastAsia="Arial" w:hAnsi="Arial"/>
          <w:sz w:val="17"/>
          <w:szCs w:val="17"/>
          <w:u w:val="single" w:color="auto"/>
          <w:color w:val="auto"/>
        </w:rPr>
        <w:t>Proxy Statement/Prospectus</w:t>
      </w:r>
      <w:r>
        <w:rPr>
          <w:rFonts w:ascii="Arial" w:cs="Arial" w:eastAsia="Arial" w:hAnsi="Arial"/>
          <w:sz w:val="17"/>
          <w:szCs w:val="17"/>
          <w:color w:val="auto"/>
        </w:rPr>
        <w:t xml:space="preserve"> in the section titled “</w:t>
      </w:r>
      <w:r>
        <w:rPr>
          <w:rFonts w:ascii="Arial" w:cs="Arial" w:eastAsia="Arial" w:hAnsi="Arial"/>
          <w:sz w:val="17"/>
          <w:szCs w:val="17"/>
          <w:i w:val="1"/>
          <w:iCs w:val="1"/>
          <w:color w:val="auto"/>
        </w:rPr>
        <w:t>Proposal 6 - 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Incentive Plan Proposal</w:t>
      </w:r>
      <w:r>
        <w:rPr>
          <w:rFonts w:ascii="Arial" w:cs="Arial" w:eastAsia="Arial" w:hAnsi="Arial"/>
          <w:sz w:val="17"/>
          <w:szCs w:val="17"/>
          <w:color w:val="auto"/>
        </w:rPr>
        <w:t>”. That summary and the foregoing description of the 2021 Plan does not purport to be complete and is qualified in its entirety</w:t>
      </w:r>
      <w:r>
        <w:rPr>
          <w:rFonts w:ascii="Arial" w:cs="Arial" w:eastAsia="Arial" w:hAnsi="Arial"/>
          <w:sz w:val="17"/>
          <w:szCs w:val="17"/>
          <w:i w:val="1"/>
          <w:iCs w:val="1"/>
          <w:color w:val="auto"/>
        </w:rPr>
        <w:t xml:space="preserve"> </w:t>
      </w:r>
      <w:r>
        <w:rPr>
          <w:rFonts w:ascii="Arial" w:cs="Arial" w:eastAsia="Arial" w:hAnsi="Arial"/>
          <w:sz w:val="17"/>
          <w:szCs w:val="17"/>
          <w:color w:val="auto"/>
        </w:rPr>
        <w:t>by reference to the text of the 2021 Plan, which is attached as Exhibit 10.4 hereto and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Tango Therapeutics, Inc. Employee Stock Purchase Plan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the Special Meeting, BCTG stockholders considered and approved the Tango Therapeutics, Inc. 2021 Employee Stock Purchase Plan (the “ESPP”). An aggregate of 949,873 shares is reserved and available for issuance under the ESPP. The ESPP provides that the number of shares reserved and available for issuance under the plan will automatically increase each January 1, beginning on January 1, 2022, by (i) 1.0% of the outstanding number of shares of Common Stock on the immediately preceding December 31, or (ii) 949,873 shares of Common Stock or (iii) such number of shares of New Tango’s Common Stock as determined by the administrator. If our capital structure changes because of a stock dividend, stock split or similar event, the number of shares that can be issued under the ESPP will be appropriately adjusted.</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A more complete summary of the terms of the ESPP is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 titled “</w:t>
      </w:r>
      <w:r>
        <w:rPr>
          <w:rFonts w:ascii="Arial" w:cs="Arial" w:eastAsia="Arial" w:hAnsi="Arial"/>
          <w:sz w:val="18"/>
          <w:szCs w:val="18"/>
          <w:i w:val="1"/>
          <w:iCs w:val="1"/>
          <w:color w:val="auto"/>
        </w:rPr>
        <w:t>Proposal 7 - The ESPP</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That summary and the foregoing description of the ESPP does not purport to be complete and is qualified in its entirety by reference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text of the ESPP, which is attached as Exhibit 10.6 hereto and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party to employment agreements with Barbara Weber, M.D., our President and Chief Executive Officer, Daniella Beckman, our Chief Financial Officer, and Alan Huang, Ph.D., our Chief Scientific Officer, each of our named executive officers. A description of the material terms of these agreements with Dr. Weber, Ms. Beckman and</w:t>
      </w:r>
    </w:p>
    <w:p>
      <w:pPr>
        <w:sectPr>
          <w:pgSz w:w="11900" w:h="16838" w:orient="portrait"/>
          <w:cols w:equalWidth="0" w:num="1">
            <w:col w:w="10980"/>
          </w:cols>
          <w:pgMar w:left="440" w:top="301" w:right="479" w:bottom="1440" w:gutter="0" w:footer="0" w:header="0"/>
        </w:sectPr>
      </w:pPr>
    </w:p>
    <w:bookmarkStart w:id="15" w:name="page16"/>
    <w:bookmarkEnd w:id="15"/>
    <w:p>
      <w:pPr>
        <w:ind w:left="4"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Dr. Huang are described in the section titled “</w:t>
      </w:r>
      <w:r>
        <w:rPr>
          <w:rFonts w:ascii="Arial" w:cs="Arial" w:eastAsia="Arial" w:hAnsi="Arial"/>
          <w:sz w:val="18"/>
          <w:szCs w:val="18"/>
          <w:i w:val="1"/>
          <w:iCs w:val="1"/>
          <w:color w:val="auto"/>
        </w:rPr>
        <w:t>Executive and Director Compensation of Tango—Executive Compensation Arrangements</w:t>
      </w:r>
      <w:r>
        <w:rPr>
          <w:rFonts w:ascii="Arial" w:cs="Arial" w:eastAsia="Arial" w:hAnsi="Arial"/>
          <w:sz w:val="18"/>
          <w:szCs w:val="18"/>
          <w:color w:val="auto"/>
        </w:rPr>
        <w:t>” in the Proxy Statement/Prospectus and that description is incorporated herein by reference.</w:t>
      </w:r>
    </w:p>
    <w:p>
      <w:pPr>
        <w:spacing w:after="0" w:line="170"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 xml:space="preserve">A description of the compensation of the named executive officers of Old Tango and the compensation of the executive officers of BCTG before the consummation of the Transactions is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in the sections titled “</w:t>
      </w:r>
      <w:r>
        <w:rPr>
          <w:rFonts w:ascii="Arial" w:cs="Arial" w:eastAsia="Arial" w:hAnsi="Arial"/>
          <w:sz w:val="18"/>
          <w:szCs w:val="18"/>
          <w:i w:val="1"/>
          <w:iCs w:val="1"/>
          <w:color w:val="auto"/>
        </w:rPr>
        <w:t>Executive and Director Compensation of Tango</w:t>
      </w:r>
      <w:r>
        <w:rPr>
          <w:rFonts w:ascii="Arial" w:cs="Arial" w:eastAsia="Arial" w:hAnsi="Arial"/>
          <w:sz w:val="18"/>
          <w:szCs w:val="18"/>
          <w:color w:val="auto"/>
        </w:rPr>
        <w:t>” and “</w:t>
      </w:r>
      <w:r>
        <w:rPr>
          <w:rFonts w:ascii="Arial" w:cs="Arial" w:eastAsia="Arial" w:hAnsi="Arial"/>
          <w:sz w:val="18"/>
          <w:szCs w:val="18"/>
          <w:i w:val="1"/>
          <w:iCs w:val="1"/>
          <w:color w:val="auto"/>
        </w:rPr>
        <w:t>Executive Officers and Directors of BCTG - Executive Compensation</w:t>
      </w:r>
      <w:r>
        <w:rPr>
          <w:rFonts w:ascii="Arial" w:cs="Arial" w:eastAsia="Arial" w:hAnsi="Arial"/>
          <w:sz w:val="18"/>
          <w:szCs w:val="18"/>
          <w:color w:val="auto"/>
        </w:rPr>
        <w:t>,” respectively, and that information is incorporated herein by reference. Our executive officers are also eligible to receive bonuses under the Senior Executive Cash Annual Incentive Plan, which is filed herewith as Exhibit 10.11 and is incorporated herein by reference.</w:t>
      </w:r>
    </w:p>
    <w:p>
      <w:pPr>
        <w:spacing w:after="0" w:line="33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disclosure set forth in Item 3.03 of this Current Report on Form 8-K is incorporated herein by reference.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Following the Closing, on August 12, 2021, the Board considered and adopted a new a code of conduct (the “Code of Ethics”). The Code of Ethics applies to all of our directors, officers and employees. The foregoing description of the Code of Ethics is qualified in its entirety by the full text of the Code of Ethics, which is available in the “Investor” section of our website.</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5.06.</w:t>
      </w:r>
      <w:r>
        <w:rPr>
          <w:sz w:val="20"/>
          <w:szCs w:val="20"/>
          <w:color w:val="auto"/>
        </w:rPr>
        <w:tab/>
      </w:r>
      <w:r>
        <w:rPr>
          <w:rFonts w:ascii="Arial" w:cs="Arial" w:eastAsia="Arial" w:hAnsi="Arial"/>
          <w:sz w:val="16"/>
          <w:szCs w:val="16"/>
          <w:b w:val="1"/>
          <w:bCs w:val="1"/>
          <w:color w:val="auto"/>
        </w:rPr>
        <w:t>Change in Shell Company Status.</w:t>
      </w:r>
    </w:p>
    <w:p>
      <w:pPr>
        <w:spacing w:after="0" w:line="121"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As a result of the Transactions, New Tango ceased to be a shell company upon the Closing. The material terms of the Transactions are described in the section entitled “</w:t>
      </w:r>
      <w:r>
        <w:rPr>
          <w:rFonts w:ascii="Arial" w:cs="Arial" w:eastAsia="Arial" w:hAnsi="Arial"/>
          <w:sz w:val="18"/>
          <w:szCs w:val="18"/>
          <w:i w:val="1"/>
          <w:iCs w:val="1"/>
          <w:color w:val="auto"/>
        </w:rPr>
        <w:t>Proposal 1 - The Business Combination Proposal</w:t>
      </w:r>
      <w:r>
        <w:rPr>
          <w:rFonts w:ascii="Arial" w:cs="Arial" w:eastAsia="Arial" w:hAnsi="Arial"/>
          <w:sz w:val="18"/>
          <w:szCs w:val="18"/>
          <w:color w:val="auto"/>
        </w:rPr>
        <w:t xml:space="preserve">” of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and in the information set forth under Item 2.01 in this Current Report on Form 8-K, and are incorporated herein by reference.</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jc w:val="both"/>
        <w:ind w:left="4" w:right="100"/>
        <w:spacing w:after="0" w:line="277" w:lineRule="auto"/>
        <w:rPr>
          <w:sz w:val="20"/>
          <w:szCs w:val="20"/>
          <w:color w:val="auto"/>
        </w:rPr>
      </w:pPr>
      <w:r>
        <w:rPr>
          <w:rFonts w:ascii="Arial" w:cs="Arial" w:eastAsia="Arial" w:hAnsi="Arial"/>
          <w:sz w:val="18"/>
          <w:szCs w:val="18"/>
          <w:color w:val="auto"/>
        </w:rPr>
        <w:t>On August 9, 2021, BCTG held the Special Meeting at which BCTG stockholders voted on the proposals set forth below, each of which is described in detail in the Proxy Statement/Prospectus.</w:t>
      </w:r>
    </w:p>
    <w:p>
      <w:pPr>
        <w:spacing w:after="0" w:line="170"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As of July 8, 2021, the record date for the Special Meeting, there were 21,377,250 shares of BCTG’s common stock issued and outstanding and entitled to vote. There were 17,735,830 shares of BCTG’s common stock represented by proxy at the Special Meeting. Each of the proposals described below was approved by BCTG’s stockholders. The final voting results for each proposal submitted to BCTG’s stockholders at the Special Meeting are set forth below.</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PROPOSALS: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1 — The Business Combination Proposal — to adopt the Merger Agreement and the Transactions.</w:t>
      </w:r>
    </w:p>
    <w:p>
      <w:pPr>
        <w:spacing w:after="0" w:line="244"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580" w:type="dxa"/>
            <w:vAlign w:val="bottom"/>
          </w:tcPr>
          <w:p>
            <w:pPr>
              <w:spacing w:after="0"/>
              <w:rPr>
                <w:sz w:val="14"/>
                <w:szCs w:val="14"/>
                <w:color w:val="auto"/>
              </w:rPr>
            </w:pPr>
          </w:p>
        </w:tc>
        <w:tc>
          <w:tcPr>
            <w:tcW w:w="2060" w:type="dxa"/>
            <w:vAlign w:val="bottom"/>
            <w:gridSpan w:val="3"/>
          </w:tcPr>
          <w:p>
            <w:pPr>
              <w:jc w:val="center"/>
              <w:ind w:left="149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36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17,721,821</w:t>
            </w:r>
          </w:p>
        </w:tc>
        <w:tc>
          <w:tcPr>
            <w:tcW w:w="3620" w:type="dxa"/>
            <w:vAlign w:val="bottom"/>
            <w:gridSpan w:val="3"/>
          </w:tcPr>
          <w:p>
            <w:pPr>
              <w:ind w:left="1560"/>
              <w:spacing w:after="0"/>
              <w:rPr>
                <w:sz w:val="20"/>
                <w:szCs w:val="20"/>
                <w:color w:val="auto"/>
              </w:rPr>
            </w:pPr>
            <w:r>
              <w:rPr>
                <w:rFonts w:ascii="Arial" w:cs="Arial" w:eastAsia="Arial" w:hAnsi="Arial"/>
                <w:sz w:val="18"/>
                <w:szCs w:val="18"/>
                <w:color w:val="auto"/>
              </w:rPr>
              <w:t>14,009</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187" w:lineRule="exact"/>
        <w:rPr>
          <w:sz w:val="20"/>
          <w:szCs w:val="20"/>
          <w:color w:val="auto"/>
        </w:rPr>
      </w:pPr>
    </w:p>
    <w:p>
      <w:pPr>
        <w:jc w:val="both"/>
        <w:ind w:left="4" w:right="60"/>
        <w:spacing w:after="0" w:line="301" w:lineRule="auto"/>
        <w:rPr>
          <w:sz w:val="20"/>
          <w:szCs w:val="20"/>
          <w:color w:val="auto"/>
        </w:rPr>
      </w:pPr>
      <w:r>
        <w:rPr>
          <w:rFonts w:ascii="Arial" w:cs="Arial" w:eastAsia="Arial" w:hAnsi="Arial"/>
          <w:sz w:val="16"/>
          <w:szCs w:val="16"/>
          <w:color w:val="auto"/>
        </w:rPr>
        <w:t>Proposal 2 — The Nasdaq Proposal — to approve, (i) for purposes of complying with the listing rules of the Nasdaq Capital Market (“Nasdaq Rules”), Nasdaq Rules 5635(a) and (b), the issuance of more than 20% of the issued and outstanding shares of BCTG common stock and the resulting change in control in connection with the Business Combination, and (ii) for the purposes of complying with Nasdaq Rules 5635(d) the issuance of more than 20% of the issued and outstanding shares of BCTG common stock in the PIPE Financing upon the completion of the Business Combination.</w:t>
      </w:r>
    </w:p>
    <w:p>
      <w:pPr>
        <w:spacing w:after="0" w:line="176"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580" w:type="dxa"/>
            <w:vAlign w:val="bottom"/>
          </w:tcPr>
          <w:p>
            <w:pPr>
              <w:spacing w:after="0"/>
              <w:rPr>
                <w:sz w:val="14"/>
                <w:szCs w:val="14"/>
                <w:color w:val="auto"/>
              </w:rPr>
            </w:pPr>
          </w:p>
        </w:tc>
        <w:tc>
          <w:tcPr>
            <w:tcW w:w="2060" w:type="dxa"/>
            <w:vAlign w:val="bottom"/>
            <w:gridSpan w:val="3"/>
          </w:tcPr>
          <w:p>
            <w:pPr>
              <w:jc w:val="center"/>
              <w:ind w:left="149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36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17,721,821</w:t>
            </w:r>
          </w:p>
        </w:tc>
        <w:tc>
          <w:tcPr>
            <w:tcW w:w="3620" w:type="dxa"/>
            <w:vAlign w:val="bottom"/>
            <w:gridSpan w:val="3"/>
          </w:tcPr>
          <w:p>
            <w:pPr>
              <w:ind w:left="1560"/>
              <w:spacing w:after="0"/>
              <w:rPr>
                <w:sz w:val="20"/>
                <w:szCs w:val="20"/>
                <w:color w:val="auto"/>
              </w:rPr>
            </w:pPr>
            <w:r>
              <w:rPr>
                <w:rFonts w:ascii="Arial" w:cs="Arial" w:eastAsia="Arial" w:hAnsi="Arial"/>
                <w:sz w:val="18"/>
                <w:szCs w:val="18"/>
                <w:color w:val="auto"/>
              </w:rPr>
              <w:t>14,009</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3 — The Charter Amendment Proposal — to approve an amendment and restatement of BCTG’s certificate of incorporation.</w:t>
      </w:r>
    </w:p>
    <w:p>
      <w:pPr>
        <w:spacing w:after="0" w:line="244"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580" w:type="dxa"/>
            <w:vAlign w:val="bottom"/>
          </w:tcPr>
          <w:p>
            <w:pPr>
              <w:spacing w:after="0"/>
              <w:rPr>
                <w:sz w:val="14"/>
                <w:szCs w:val="14"/>
                <w:color w:val="auto"/>
              </w:rPr>
            </w:pPr>
          </w:p>
        </w:tc>
        <w:tc>
          <w:tcPr>
            <w:tcW w:w="2060" w:type="dxa"/>
            <w:vAlign w:val="bottom"/>
            <w:gridSpan w:val="3"/>
          </w:tcPr>
          <w:p>
            <w:pPr>
              <w:jc w:val="center"/>
              <w:ind w:left="149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36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17,721,821</w:t>
            </w:r>
          </w:p>
        </w:tc>
        <w:tc>
          <w:tcPr>
            <w:tcW w:w="3620" w:type="dxa"/>
            <w:vAlign w:val="bottom"/>
            <w:gridSpan w:val="3"/>
          </w:tcPr>
          <w:p>
            <w:pPr>
              <w:ind w:left="1560"/>
              <w:spacing w:after="0"/>
              <w:rPr>
                <w:sz w:val="20"/>
                <w:szCs w:val="20"/>
                <w:color w:val="auto"/>
              </w:rPr>
            </w:pPr>
            <w:r>
              <w:rPr>
                <w:rFonts w:ascii="Arial" w:cs="Arial" w:eastAsia="Arial" w:hAnsi="Arial"/>
                <w:sz w:val="18"/>
                <w:szCs w:val="18"/>
                <w:color w:val="auto"/>
              </w:rPr>
              <w:t>14,009</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18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Proposal 4 — The Advisory Charter Proposals — to approve and adopt, on a non-binding advisory basis, certain differences in the governance provisions set forth in a proposed charter, as compared to BCTG’s then current charter, which, in accordance with SEC requirements, were presented as the following seven separate sub-proposals:</w:t>
      </w:r>
    </w:p>
    <w:p>
      <w:pPr>
        <w:spacing w:after="0" w:line="21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Advisory Charter Proposal A — to amend the name of the public entity to “Tango Therapeutics, Inc.” from “BCTG Acquisition Corp.”</w:t>
      </w:r>
    </w:p>
    <w:p>
      <w:pPr>
        <w:spacing w:after="0" w:line="244"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580" w:type="dxa"/>
            <w:vAlign w:val="bottom"/>
          </w:tcPr>
          <w:p>
            <w:pPr>
              <w:spacing w:after="0"/>
              <w:rPr>
                <w:sz w:val="14"/>
                <w:szCs w:val="14"/>
                <w:color w:val="auto"/>
              </w:rPr>
            </w:pPr>
          </w:p>
        </w:tc>
        <w:tc>
          <w:tcPr>
            <w:tcW w:w="2060" w:type="dxa"/>
            <w:vAlign w:val="bottom"/>
            <w:gridSpan w:val="3"/>
          </w:tcPr>
          <w:p>
            <w:pPr>
              <w:jc w:val="center"/>
              <w:ind w:left="149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36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17,721,821</w:t>
            </w:r>
          </w:p>
        </w:tc>
        <w:tc>
          <w:tcPr>
            <w:tcW w:w="3620" w:type="dxa"/>
            <w:vAlign w:val="bottom"/>
            <w:gridSpan w:val="3"/>
          </w:tcPr>
          <w:p>
            <w:pPr>
              <w:ind w:left="1560"/>
              <w:spacing w:after="0"/>
              <w:rPr>
                <w:sz w:val="20"/>
                <w:szCs w:val="20"/>
                <w:color w:val="auto"/>
              </w:rPr>
            </w:pPr>
            <w:r>
              <w:rPr>
                <w:rFonts w:ascii="Arial" w:cs="Arial" w:eastAsia="Arial" w:hAnsi="Arial"/>
                <w:sz w:val="18"/>
                <w:szCs w:val="18"/>
                <w:color w:val="auto"/>
              </w:rPr>
              <w:t>14,009</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214" w:lineRule="exact"/>
        <w:rPr>
          <w:sz w:val="20"/>
          <w:szCs w:val="20"/>
          <w:color w:val="auto"/>
        </w:rPr>
      </w:pPr>
    </w:p>
    <w:p>
      <w:pPr>
        <w:jc w:val="both"/>
        <w:ind w:left="424" w:right="180"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Advisory Charter Proposal B — to authorize the issuance of up to 200,000,000 shares of Common Stock, and up to 10,000,000 shares of “blank check” preferred stock, the rights, preferences and privileges of which may be designated from time to time by New Tango’s board of directors.</w:t>
      </w:r>
    </w:p>
    <w:p>
      <w:pPr>
        <w:spacing w:after="0" w:line="142"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1640" w:type="dxa"/>
            <w:vAlign w:val="bottom"/>
          </w:tcPr>
          <w:p>
            <w:pPr>
              <w:spacing w:after="0"/>
              <w:rPr>
                <w:sz w:val="14"/>
                <w:szCs w:val="14"/>
                <w:color w:val="auto"/>
              </w:rPr>
            </w:pPr>
          </w:p>
        </w:tc>
        <w:tc>
          <w:tcPr>
            <w:tcW w:w="2000" w:type="dxa"/>
            <w:vAlign w:val="bottom"/>
            <w:gridSpan w:val="3"/>
          </w:tcPr>
          <w:p>
            <w:pPr>
              <w:jc w:val="center"/>
              <w:ind w:left="143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300" w:type="dxa"/>
            <w:vAlign w:val="bottom"/>
            <w:gridSpan w:val="3"/>
          </w:tcPr>
          <w:p>
            <w:pPr>
              <w:jc w:val="right"/>
              <w:ind w:right="1480"/>
              <w:spacing w:after="0"/>
              <w:rPr>
                <w:sz w:val="20"/>
                <w:szCs w:val="20"/>
                <w:color w:val="auto"/>
              </w:rPr>
            </w:pPr>
            <w:r>
              <w:rPr>
                <w:rFonts w:ascii="Arial" w:cs="Arial" w:eastAsia="Arial" w:hAnsi="Arial"/>
                <w:sz w:val="18"/>
                <w:szCs w:val="18"/>
                <w:color w:val="auto"/>
                <w:w w:val="88"/>
              </w:rPr>
              <w:t>15,421,041</w:t>
            </w:r>
          </w:p>
        </w:tc>
        <w:tc>
          <w:tcPr>
            <w:tcW w:w="3740" w:type="dxa"/>
            <w:vAlign w:val="bottom"/>
            <w:gridSpan w:val="3"/>
          </w:tcPr>
          <w:p>
            <w:pPr>
              <w:jc w:val="right"/>
              <w:ind w:right="1520"/>
              <w:spacing w:after="0"/>
              <w:rPr>
                <w:sz w:val="20"/>
                <w:szCs w:val="20"/>
                <w:color w:val="auto"/>
              </w:rPr>
            </w:pPr>
            <w:r>
              <w:rPr>
                <w:rFonts w:ascii="Arial" w:cs="Arial" w:eastAsia="Arial" w:hAnsi="Arial"/>
                <w:sz w:val="18"/>
                <w:szCs w:val="18"/>
                <w:color w:val="auto"/>
              </w:rPr>
              <w:t>2,314,639</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bl>
    <w:p>
      <w:pPr>
        <w:spacing w:after="0" w:line="214" w:lineRule="exact"/>
        <w:rPr>
          <w:sz w:val="20"/>
          <w:szCs w:val="20"/>
          <w:color w:val="auto"/>
        </w:rPr>
      </w:pPr>
    </w:p>
    <w:p>
      <w:pPr>
        <w:ind w:left="424" w:right="28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Advisory Charter Proposal C — to provide that the removal of any director be only for cause and by the affirmative vote of at least 66 2/3% of New Tango’s then-outstanding shares of capital stock entitled to vote generally in the election of directors.</w:t>
      </w:r>
    </w:p>
    <w:p>
      <w:pPr>
        <w:spacing w:after="0" w:line="189" w:lineRule="exact"/>
        <w:rPr>
          <w:sz w:val="20"/>
          <w:szCs w:val="20"/>
          <w:color w:val="auto"/>
        </w:rPr>
      </w:pPr>
    </w:p>
    <w:p>
      <w:pPr>
        <w:ind w:left="1764"/>
        <w:spacing w:after="0"/>
        <w:tabs>
          <w:tab w:leader="none" w:pos="5364" w:val="left"/>
          <w:tab w:leader="none" w:pos="9004" w:val="left"/>
        </w:tabs>
        <w:rPr>
          <w:sz w:val="20"/>
          <w:szCs w:val="20"/>
          <w:color w:val="auto"/>
        </w:rPr>
      </w:pPr>
      <w:r>
        <w:rPr>
          <w:rFonts w:ascii="Arial" w:cs="Arial" w:eastAsia="Arial" w:hAnsi="Arial"/>
          <w:sz w:val="14"/>
          <w:szCs w:val="14"/>
          <w:b w:val="1"/>
          <w:bCs w:val="1"/>
          <w:u w:val="single" w:color="auto"/>
          <w:color w:val="auto"/>
        </w:rPr>
        <w:t>For</w:t>
      </w:r>
      <w:r>
        <w:rPr>
          <w:sz w:val="20"/>
          <w:szCs w:val="20"/>
          <w:color w:val="auto"/>
        </w:rPr>
        <w:tab/>
      </w:r>
      <w:r>
        <w:rPr>
          <w:rFonts w:ascii="Arial" w:cs="Arial" w:eastAsia="Arial" w:hAnsi="Arial"/>
          <w:sz w:val="14"/>
          <w:szCs w:val="14"/>
          <w:b w:val="1"/>
          <w:bCs w:val="1"/>
          <w:u w:val="single" w:color="auto"/>
          <w:color w:val="auto"/>
        </w:rPr>
        <w:t>Against</w:t>
      </w:r>
      <w:r>
        <w:rPr>
          <w:sz w:val="20"/>
          <w:szCs w:val="20"/>
          <w:color w:val="auto"/>
        </w:rPr>
        <w:tab/>
      </w:r>
      <w:r>
        <w:rPr>
          <w:rFonts w:ascii="Arial" w:cs="Arial" w:eastAsia="Arial" w:hAnsi="Arial"/>
          <w:sz w:val="13"/>
          <w:szCs w:val="13"/>
          <w:b w:val="1"/>
          <w:bCs w:val="1"/>
          <w:u w:val="single" w:color="auto"/>
          <w:color w:val="auto"/>
        </w:rPr>
        <w:t>Abstain</w:t>
      </w:r>
    </w:p>
    <w:p>
      <w:pPr>
        <w:sectPr>
          <w:pgSz w:w="11900" w:h="16838" w:orient="portrait"/>
          <w:cols w:equalWidth="0" w:num="1">
            <w:col w:w="10984"/>
          </w:cols>
          <w:pgMar w:left="436" w:top="301" w:right="479" w:bottom="0" w:gutter="0" w:footer="0" w:header="0"/>
        </w:sectPr>
      </w:pPr>
    </w:p>
    <w:p>
      <w:pPr>
        <w:spacing w:after="0" w:line="25" w:lineRule="exact"/>
        <w:rPr>
          <w:sz w:val="20"/>
          <w:szCs w:val="20"/>
          <w:color w:val="auto"/>
        </w:rPr>
      </w:pPr>
    </w:p>
    <w:p>
      <w:pPr>
        <w:ind w:left="1464"/>
        <w:spacing w:after="0"/>
        <w:tabs>
          <w:tab w:leader="none" w:pos="5244" w:val="left"/>
          <w:tab w:leader="none" w:pos="9184" w:val="left"/>
        </w:tabs>
        <w:rPr>
          <w:sz w:val="20"/>
          <w:szCs w:val="20"/>
          <w:color w:val="auto"/>
        </w:rPr>
      </w:pPr>
      <w:r>
        <w:rPr>
          <w:rFonts w:ascii="Arial" w:cs="Arial" w:eastAsia="Arial" w:hAnsi="Arial"/>
          <w:sz w:val="18"/>
          <w:szCs w:val="18"/>
          <w:color w:val="auto"/>
        </w:rPr>
        <w:t>14,820,641</w:t>
      </w:r>
      <w:r>
        <w:rPr>
          <w:sz w:val="20"/>
          <w:szCs w:val="20"/>
          <w:color w:val="auto"/>
        </w:rPr>
        <w:tab/>
      </w:r>
      <w:r>
        <w:rPr>
          <w:rFonts w:ascii="Arial" w:cs="Arial" w:eastAsia="Arial" w:hAnsi="Arial"/>
          <w:sz w:val="18"/>
          <w:szCs w:val="18"/>
          <w:color w:val="auto"/>
        </w:rPr>
        <w:t>2,915,189</w:t>
      </w:r>
      <w:r>
        <w:rPr>
          <w:sz w:val="20"/>
          <w:szCs w:val="20"/>
          <w:color w:val="auto"/>
        </w:rPr>
        <w:tab/>
      </w:r>
      <w:r>
        <w:rPr>
          <w:rFonts w:ascii="Arial" w:cs="Arial" w:eastAsia="Arial" w:hAnsi="Arial"/>
          <w:sz w:val="17"/>
          <w:szCs w:val="17"/>
          <w:color w:val="auto"/>
        </w:rPr>
        <w:t>0</w:t>
      </w:r>
    </w:p>
    <w:p>
      <w:pPr>
        <w:sectPr>
          <w:pgSz w:w="11900" w:h="16838" w:orient="portrait"/>
          <w:cols w:equalWidth="0" w:num="1">
            <w:col w:w="10984"/>
          </w:cols>
          <w:pgMar w:left="436" w:top="301" w:right="479" w:bottom="0" w:gutter="0" w:footer="0" w:header="0"/>
          <w:type w:val="continuous"/>
        </w:sectPr>
      </w:pPr>
    </w:p>
    <w:bookmarkStart w:id="16" w:name="page17"/>
    <w:bookmarkEnd w:id="16"/>
    <w:p>
      <w:pPr>
        <w:ind w:left="424" w:right="20" w:hanging="424"/>
        <w:spacing w:after="0" w:line="311"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Advisory Charter Proposal D — to make New Tango’s corporate existence perpetual as opposed to BCTG’s corporate existence, which is required to be dissolved and liquidated 24 months following the closing of its initial public offering if it does not complete a business combination in that time, and to remove from the proposed charter the various provisions applicable only to special purpose acquisition corporations.</w:t>
      </w:r>
    </w:p>
    <w:p>
      <w:pPr>
        <w:spacing w:after="0" w:line="167"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580" w:type="dxa"/>
            <w:vAlign w:val="bottom"/>
          </w:tcPr>
          <w:p>
            <w:pPr>
              <w:spacing w:after="0"/>
              <w:rPr>
                <w:sz w:val="14"/>
                <w:szCs w:val="14"/>
                <w:color w:val="auto"/>
              </w:rPr>
            </w:pPr>
          </w:p>
        </w:tc>
        <w:tc>
          <w:tcPr>
            <w:tcW w:w="2060" w:type="dxa"/>
            <w:vAlign w:val="bottom"/>
            <w:gridSpan w:val="3"/>
          </w:tcPr>
          <w:p>
            <w:pPr>
              <w:jc w:val="center"/>
              <w:ind w:left="149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36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17,721,821</w:t>
            </w:r>
          </w:p>
        </w:tc>
        <w:tc>
          <w:tcPr>
            <w:tcW w:w="3620" w:type="dxa"/>
            <w:vAlign w:val="bottom"/>
            <w:gridSpan w:val="3"/>
          </w:tcPr>
          <w:p>
            <w:pPr>
              <w:ind w:left="1560"/>
              <w:spacing w:after="0"/>
              <w:rPr>
                <w:sz w:val="20"/>
                <w:szCs w:val="20"/>
                <w:color w:val="auto"/>
              </w:rPr>
            </w:pPr>
            <w:r>
              <w:rPr>
                <w:rFonts w:ascii="Arial" w:cs="Arial" w:eastAsia="Arial" w:hAnsi="Arial"/>
                <w:sz w:val="18"/>
                <w:szCs w:val="18"/>
                <w:color w:val="auto"/>
              </w:rPr>
              <w:t>14,009</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214"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Advisory Charter Proposal E — to provide that New Tango will not be subject to Section 203 of the General Corporation Law of the State of</w:t>
      </w:r>
    </w:p>
    <w:p>
      <w:pPr>
        <w:spacing w:after="0" w:line="35" w:lineRule="exact"/>
        <w:rPr>
          <w:sz w:val="20"/>
          <w:szCs w:val="20"/>
          <w:color w:val="auto"/>
        </w:rPr>
      </w:pPr>
    </w:p>
    <w:p>
      <w:pPr>
        <w:ind w:left="424"/>
        <w:spacing w:after="0"/>
        <w:rPr>
          <w:sz w:val="20"/>
          <w:szCs w:val="20"/>
          <w:color w:val="auto"/>
        </w:rPr>
      </w:pPr>
      <w:r>
        <w:rPr>
          <w:rFonts w:ascii="Arial" w:cs="Arial" w:eastAsia="Arial" w:hAnsi="Arial"/>
          <w:sz w:val="18"/>
          <w:szCs w:val="18"/>
          <w:color w:val="auto"/>
        </w:rPr>
        <w:t>Delaware.</w:t>
      </w:r>
    </w:p>
    <w:tbl>
      <w:tblPr>
        <w:tblLayout w:type="fixed"/>
        <w:tblInd w:w="1464" w:type="dxa"/>
        <w:tblCellMar>
          <w:top w:w="0" w:type="dxa"/>
          <w:left w:w="0" w:type="dxa"/>
          <w:bottom w:w="0" w:type="dxa"/>
          <w:right w:w="0" w:type="dxa"/>
        </w:tblCellMar>
      </w:tblPr>
      <w:tr>
        <w:trPr>
          <w:trHeight w:val="158"/>
        </w:trPr>
        <w:tc>
          <w:tcPr>
            <w:tcW w:w="300" w:type="dxa"/>
            <w:vAlign w:val="bottom"/>
          </w:tcPr>
          <w:p>
            <w:pPr>
              <w:spacing w:after="0"/>
              <w:rPr>
                <w:sz w:val="13"/>
                <w:szCs w:val="13"/>
                <w:color w:val="auto"/>
              </w:rPr>
            </w:pPr>
          </w:p>
        </w:tc>
        <w:tc>
          <w:tcPr>
            <w:tcW w:w="2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For</w:t>
            </w:r>
          </w:p>
        </w:tc>
        <w:tc>
          <w:tcPr>
            <w:tcW w:w="1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80" w:type="dxa"/>
            <w:vAlign w:val="bottom"/>
          </w:tcPr>
          <w:p>
            <w:pPr>
              <w:spacing w:after="0" w:line="157" w:lineRule="exact"/>
              <w:rPr>
                <w:sz w:val="20"/>
                <w:szCs w:val="20"/>
                <w:color w:val="auto"/>
              </w:rPr>
            </w:pPr>
            <w:r>
              <w:rPr>
                <w:rFonts w:ascii="Arial" w:cs="Arial" w:eastAsia="Arial" w:hAnsi="Arial"/>
                <w:sz w:val="14"/>
                <w:szCs w:val="14"/>
                <w:b w:val="1"/>
                <w:bCs w:val="1"/>
                <w:color w:val="auto"/>
                <w:w w:val="89"/>
              </w:rPr>
              <w:t>Against</w:t>
            </w:r>
          </w:p>
        </w:tc>
        <w:tc>
          <w:tcPr>
            <w:tcW w:w="1560" w:type="dxa"/>
            <w:vAlign w:val="bottom"/>
          </w:tcPr>
          <w:p>
            <w:pPr>
              <w:spacing w:after="0"/>
              <w:rPr>
                <w:sz w:val="13"/>
                <w:szCs w:val="13"/>
                <w:color w:val="auto"/>
              </w:rPr>
            </w:pPr>
          </w:p>
        </w:tc>
        <w:tc>
          <w:tcPr>
            <w:tcW w:w="2120" w:type="dxa"/>
            <w:vAlign w:val="bottom"/>
            <w:gridSpan w:val="3"/>
          </w:tcPr>
          <w:p>
            <w:pPr>
              <w:jc w:val="center"/>
              <w:ind w:left="1479"/>
              <w:spacing w:after="0" w:line="157" w:lineRule="exact"/>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36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17,388,671</w:t>
            </w:r>
          </w:p>
        </w:tc>
        <w:tc>
          <w:tcPr>
            <w:tcW w:w="3600" w:type="dxa"/>
            <w:vAlign w:val="bottom"/>
            <w:gridSpan w:val="3"/>
          </w:tcPr>
          <w:p>
            <w:pPr>
              <w:ind w:left="1560"/>
              <w:spacing w:after="0"/>
              <w:rPr>
                <w:sz w:val="20"/>
                <w:szCs w:val="20"/>
                <w:color w:val="auto"/>
              </w:rPr>
            </w:pPr>
            <w:r>
              <w:rPr>
                <w:rFonts w:ascii="Arial" w:cs="Arial" w:eastAsia="Arial" w:hAnsi="Arial"/>
                <w:sz w:val="18"/>
                <w:szCs w:val="18"/>
                <w:color w:val="auto"/>
              </w:rPr>
              <w:t>14,009</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333,150</w:t>
            </w:r>
          </w:p>
        </w:tc>
      </w:tr>
    </w:tbl>
    <w:p>
      <w:pPr>
        <w:ind w:left="424" w:right="160" w:hanging="424"/>
        <w:spacing w:after="0" w:line="258"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Advisory Charter Proposal F — to remove the provisions setting the Court of Chancery of the State of Delaware as the sole and exclusive forum for certain stockholder actions.</w:t>
      </w:r>
    </w:p>
    <w:p>
      <w:pPr>
        <w:spacing w:after="0" w:line="206"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560" w:type="dxa"/>
            <w:vAlign w:val="bottom"/>
          </w:tcPr>
          <w:p>
            <w:pPr>
              <w:spacing w:after="0"/>
              <w:rPr>
                <w:sz w:val="14"/>
                <w:szCs w:val="14"/>
                <w:color w:val="auto"/>
              </w:rPr>
            </w:pPr>
          </w:p>
        </w:tc>
        <w:tc>
          <w:tcPr>
            <w:tcW w:w="2120" w:type="dxa"/>
            <w:vAlign w:val="bottom"/>
            <w:gridSpan w:val="3"/>
          </w:tcPr>
          <w:p>
            <w:pPr>
              <w:jc w:val="center"/>
              <w:ind w:left="147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2360" w:type="dxa"/>
            <w:vAlign w:val="bottom"/>
            <w:gridSpan w:val="3"/>
          </w:tcPr>
          <w:p>
            <w:pPr>
              <w:jc w:val="right"/>
              <w:ind w:right="1540"/>
              <w:spacing w:after="0"/>
              <w:rPr>
                <w:sz w:val="20"/>
                <w:szCs w:val="20"/>
                <w:color w:val="auto"/>
              </w:rPr>
            </w:pPr>
            <w:r>
              <w:rPr>
                <w:rFonts w:ascii="Arial" w:cs="Arial" w:eastAsia="Arial" w:hAnsi="Arial"/>
                <w:sz w:val="18"/>
                <w:szCs w:val="18"/>
                <w:color w:val="auto"/>
                <w:w w:val="88"/>
              </w:rPr>
              <w:t>17,389,071</w:t>
            </w:r>
          </w:p>
        </w:tc>
        <w:tc>
          <w:tcPr>
            <w:tcW w:w="3600" w:type="dxa"/>
            <w:vAlign w:val="bottom"/>
            <w:gridSpan w:val="3"/>
          </w:tcPr>
          <w:p>
            <w:pPr>
              <w:ind w:left="1560"/>
              <w:spacing w:after="0"/>
              <w:rPr>
                <w:sz w:val="20"/>
                <w:szCs w:val="20"/>
                <w:color w:val="auto"/>
              </w:rPr>
            </w:pPr>
            <w:r>
              <w:rPr>
                <w:rFonts w:ascii="Arial" w:cs="Arial" w:eastAsia="Arial" w:hAnsi="Arial"/>
                <w:sz w:val="18"/>
                <w:szCs w:val="18"/>
                <w:color w:val="auto"/>
              </w:rPr>
              <w:t>14,159</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332,600</w:t>
            </w:r>
          </w:p>
        </w:tc>
      </w:tr>
    </w:tbl>
    <w:p>
      <w:pPr>
        <w:spacing w:after="0" w:line="214" w:lineRule="exact"/>
        <w:rPr>
          <w:sz w:val="20"/>
          <w:szCs w:val="20"/>
          <w:color w:val="auto"/>
        </w:rPr>
      </w:pPr>
    </w:p>
    <w:p>
      <w:pPr>
        <w:ind w:left="424" w:right="64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Advisory Charter Proposal G — to increase the required vote thresholds for approving amendments to the proposed charter and bylaws to 66 2/3%.</w:t>
      </w:r>
    </w:p>
    <w:p>
      <w:pPr>
        <w:spacing w:after="0" w:line="189"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1640" w:type="dxa"/>
            <w:vAlign w:val="bottom"/>
          </w:tcPr>
          <w:p>
            <w:pPr>
              <w:spacing w:after="0"/>
              <w:rPr>
                <w:sz w:val="14"/>
                <w:szCs w:val="14"/>
                <w:color w:val="auto"/>
              </w:rPr>
            </w:pPr>
          </w:p>
        </w:tc>
        <w:tc>
          <w:tcPr>
            <w:tcW w:w="2000" w:type="dxa"/>
            <w:vAlign w:val="bottom"/>
            <w:gridSpan w:val="3"/>
          </w:tcPr>
          <w:p>
            <w:pPr>
              <w:jc w:val="center"/>
              <w:ind w:left="1439"/>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300" w:type="dxa"/>
            <w:vAlign w:val="bottom"/>
            <w:gridSpan w:val="3"/>
          </w:tcPr>
          <w:p>
            <w:pPr>
              <w:jc w:val="right"/>
              <w:ind w:right="1480"/>
              <w:spacing w:after="0"/>
              <w:rPr>
                <w:sz w:val="20"/>
                <w:szCs w:val="20"/>
                <w:color w:val="auto"/>
              </w:rPr>
            </w:pPr>
            <w:r>
              <w:rPr>
                <w:rFonts w:ascii="Arial" w:cs="Arial" w:eastAsia="Arial" w:hAnsi="Arial"/>
                <w:sz w:val="18"/>
                <w:szCs w:val="18"/>
                <w:color w:val="auto"/>
                <w:w w:val="88"/>
              </w:rPr>
              <w:t>14,821,641</w:t>
            </w:r>
          </w:p>
        </w:tc>
        <w:tc>
          <w:tcPr>
            <w:tcW w:w="3740" w:type="dxa"/>
            <w:vAlign w:val="bottom"/>
            <w:gridSpan w:val="3"/>
          </w:tcPr>
          <w:p>
            <w:pPr>
              <w:jc w:val="right"/>
              <w:ind w:right="1520"/>
              <w:spacing w:after="0"/>
              <w:rPr>
                <w:sz w:val="20"/>
                <w:szCs w:val="20"/>
                <w:color w:val="auto"/>
              </w:rPr>
            </w:pPr>
            <w:r>
              <w:rPr>
                <w:rFonts w:ascii="Arial" w:cs="Arial" w:eastAsia="Arial" w:hAnsi="Arial"/>
                <w:sz w:val="18"/>
                <w:szCs w:val="18"/>
                <w:color w:val="auto"/>
              </w:rPr>
              <w:t>2,914,189</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187"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Proposal 5 — The Directors Proposal — to consider and vote upon a proposal to elect, effective as of the consummation of the Business Combination, Alexis Borisy, Aaron Davis, Reid Huber, Malte Peters, Lesley Calhoun, Mace Rothenberg and Barbara Weber, to serve on New Tango’s board of directors until their respective successors are duly elected and qualified.</w:t>
      </w:r>
    </w:p>
    <w:p>
      <w:pPr>
        <w:spacing w:after="0" w:line="202" w:lineRule="exact"/>
        <w:rPr>
          <w:sz w:val="20"/>
          <w:szCs w:val="20"/>
          <w:color w:val="auto"/>
        </w:rPr>
      </w:pPr>
    </w:p>
    <w:tbl>
      <w:tblPr>
        <w:tblLayout w:type="fixed"/>
        <w:tblInd w:w="1464"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34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3640" w:type="dxa"/>
            <w:vAlign w:val="bottom"/>
            <w:gridSpan w:val="3"/>
          </w:tcPr>
          <w:p>
            <w:pPr>
              <w:ind w:left="3160"/>
              <w:spacing w:after="0"/>
              <w:rPr>
                <w:sz w:val="20"/>
                <w:szCs w:val="20"/>
                <w:color w:val="auto"/>
              </w:rPr>
            </w:pPr>
            <w:r>
              <w:rPr>
                <w:rFonts w:ascii="Arial" w:cs="Arial" w:eastAsia="Arial" w:hAnsi="Arial"/>
                <w:sz w:val="14"/>
                <w:szCs w:val="14"/>
                <w:b w:val="1"/>
                <w:bCs w:val="1"/>
                <w:color w:val="auto"/>
                <w:w w:val="89"/>
              </w:rPr>
              <w:t>Abstain</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920" w:type="dxa"/>
            <w:vAlign w:val="bottom"/>
            <w:gridSpan w:val="3"/>
          </w:tcPr>
          <w:p>
            <w:pPr>
              <w:jc w:val="right"/>
              <w:ind w:right="3100"/>
              <w:spacing w:after="0"/>
              <w:rPr>
                <w:sz w:val="20"/>
                <w:szCs w:val="20"/>
                <w:color w:val="auto"/>
              </w:rPr>
            </w:pPr>
            <w:r>
              <w:rPr>
                <w:rFonts w:ascii="Arial" w:cs="Arial" w:eastAsia="Arial" w:hAnsi="Arial"/>
                <w:sz w:val="18"/>
                <w:szCs w:val="18"/>
                <w:color w:val="auto"/>
                <w:w w:val="88"/>
              </w:rPr>
              <w:t>17,721,821</w:t>
            </w:r>
          </w:p>
        </w:tc>
        <w:tc>
          <w:tcPr>
            <w:tcW w:w="480" w:type="dxa"/>
            <w:vAlign w:val="bottom"/>
          </w:tcPr>
          <w:p>
            <w:pPr>
              <w:jc w:val="right"/>
              <w:ind w:right="119"/>
              <w:spacing w:after="0"/>
              <w:rPr>
                <w:sz w:val="20"/>
                <w:szCs w:val="20"/>
                <w:color w:val="auto"/>
              </w:rPr>
            </w:pPr>
            <w:r>
              <w:rPr>
                <w:rFonts w:ascii="Arial" w:cs="Arial" w:eastAsia="Arial" w:hAnsi="Arial"/>
                <w:sz w:val="18"/>
                <w:szCs w:val="18"/>
                <w:color w:val="auto"/>
              </w:rPr>
              <w:t>0</w:t>
            </w:r>
          </w:p>
        </w:tc>
        <w:tc>
          <w:tcPr>
            <w:tcW w:w="3640" w:type="dxa"/>
            <w:vAlign w:val="bottom"/>
            <w:gridSpan w:val="3"/>
          </w:tcPr>
          <w:p>
            <w:pPr>
              <w:ind w:left="3140"/>
              <w:spacing w:after="0"/>
              <w:rPr>
                <w:sz w:val="20"/>
                <w:szCs w:val="20"/>
                <w:color w:val="auto"/>
              </w:rPr>
            </w:pPr>
            <w:r>
              <w:rPr>
                <w:rFonts w:ascii="Arial" w:cs="Arial" w:eastAsia="Arial" w:hAnsi="Arial"/>
                <w:sz w:val="18"/>
                <w:szCs w:val="18"/>
                <w:color w:val="auto"/>
                <w:w w:val="87"/>
              </w:rPr>
              <w:t>14,009</w:t>
            </w: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Proposal 6 — The Equity Incentive Plan Proposal — to approve the 2021 Plan.</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600" w:type="dxa"/>
            <w:vAlign w:val="bottom"/>
          </w:tcPr>
          <w:p>
            <w:pPr>
              <w:spacing w:after="0"/>
              <w:rPr>
                <w:sz w:val="14"/>
                <w:szCs w:val="14"/>
                <w:color w:val="auto"/>
              </w:rPr>
            </w:pPr>
          </w:p>
        </w:tc>
        <w:tc>
          <w:tcPr>
            <w:tcW w:w="2080" w:type="dxa"/>
            <w:vAlign w:val="bottom"/>
            <w:gridSpan w:val="3"/>
          </w:tcPr>
          <w:p>
            <w:pPr>
              <w:ind w:left="1560"/>
              <w:spacing w:after="0"/>
              <w:rPr>
                <w:sz w:val="20"/>
                <w:szCs w:val="20"/>
                <w:color w:val="auto"/>
              </w:rPr>
            </w:pPr>
            <w:r>
              <w:rPr>
                <w:rFonts w:ascii="Arial" w:cs="Arial" w:eastAsia="Arial" w:hAnsi="Arial"/>
                <w:sz w:val="14"/>
                <w:szCs w:val="14"/>
                <w:b w:val="1"/>
                <w:bCs w:val="1"/>
                <w:color w:val="auto"/>
                <w:w w:val="97"/>
              </w:rPr>
              <w:t>Abstain</w:t>
            </w:r>
          </w:p>
        </w:tc>
      </w:tr>
      <w:tr>
        <w:trPr>
          <w:trHeight w:val="20"/>
        </w:trPr>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474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15,121,791</w:t>
            </w:r>
          </w:p>
        </w:tc>
        <w:tc>
          <w:tcPr>
            <w:tcW w:w="2720" w:type="dxa"/>
            <w:vAlign w:val="bottom"/>
            <w:gridSpan w:val="3"/>
          </w:tcPr>
          <w:p>
            <w:pPr>
              <w:jc w:val="right"/>
              <w:ind w:right="1480"/>
              <w:spacing w:after="0"/>
              <w:rPr>
                <w:sz w:val="20"/>
                <w:szCs w:val="20"/>
                <w:color w:val="auto"/>
              </w:rPr>
            </w:pPr>
            <w:r>
              <w:rPr>
                <w:rFonts w:ascii="Arial" w:cs="Arial" w:eastAsia="Arial" w:hAnsi="Arial"/>
                <w:sz w:val="18"/>
                <w:szCs w:val="18"/>
                <w:color w:val="auto"/>
              </w:rPr>
              <w:t>2,614,039</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418"/>
        </w:trPr>
        <w:tc>
          <w:tcPr>
            <w:tcW w:w="4740" w:type="dxa"/>
            <w:vAlign w:val="bottom"/>
            <w:gridSpan w:val="3"/>
          </w:tcPr>
          <w:p>
            <w:pPr>
              <w:spacing w:after="0"/>
              <w:rPr>
                <w:sz w:val="20"/>
                <w:szCs w:val="20"/>
                <w:color w:val="auto"/>
              </w:rPr>
            </w:pPr>
            <w:r>
              <w:rPr>
                <w:rFonts w:ascii="Arial" w:cs="Arial" w:eastAsia="Arial" w:hAnsi="Arial"/>
                <w:sz w:val="18"/>
                <w:szCs w:val="18"/>
                <w:color w:val="auto"/>
                <w:w w:val="99"/>
              </w:rPr>
              <w:t>Proposal 7 — The ESPP Proposal — to approve the ESPP.</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76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Against</w:t>
            </w:r>
          </w:p>
        </w:tc>
        <w:tc>
          <w:tcPr>
            <w:tcW w:w="1600" w:type="dxa"/>
            <w:vAlign w:val="bottom"/>
          </w:tcPr>
          <w:p>
            <w:pPr>
              <w:spacing w:after="0"/>
              <w:rPr>
                <w:sz w:val="24"/>
                <w:szCs w:val="24"/>
                <w:color w:val="auto"/>
              </w:rPr>
            </w:pPr>
          </w:p>
        </w:tc>
        <w:tc>
          <w:tcPr>
            <w:tcW w:w="2080" w:type="dxa"/>
            <w:vAlign w:val="bottom"/>
            <w:gridSpan w:val="3"/>
          </w:tcPr>
          <w:p>
            <w:pPr>
              <w:ind w:left="1560"/>
              <w:spacing w:after="0"/>
              <w:rPr>
                <w:sz w:val="20"/>
                <w:szCs w:val="20"/>
                <w:color w:val="auto"/>
              </w:rPr>
            </w:pPr>
            <w:r>
              <w:rPr>
                <w:rFonts w:ascii="Arial" w:cs="Arial" w:eastAsia="Arial" w:hAnsi="Arial"/>
                <w:sz w:val="14"/>
                <w:szCs w:val="14"/>
                <w:b w:val="1"/>
                <w:bCs w:val="1"/>
                <w:color w:val="auto"/>
                <w:w w:val="97"/>
              </w:rPr>
              <w:t>Abstain</w:t>
            </w:r>
          </w:p>
        </w:tc>
      </w:tr>
      <w:tr>
        <w:trPr>
          <w:trHeight w:val="20"/>
        </w:trPr>
        <w:tc>
          <w:tcPr>
            <w:tcW w:w="1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474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16,789,191</w:t>
            </w:r>
          </w:p>
        </w:tc>
        <w:tc>
          <w:tcPr>
            <w:tcW w:w="2720" w:type="dxa"/>
            <w:vAlign w:val="bottom"/>
            <w:gridSpan w:val="3"/>
          </w:tcPr>
          <w:p>
            <w:pPr>
              <w:jc w:val="right"/>
              <w:ind w:right="1540"/>
              <w:spacing w:after="0"/>
              <w:rPr>
                <w:sz w:val="20"/>
                <w:szCs w:val="20"/>
                <w:color w:val="auto"/>
              </w:rPr>
            </w:pPr>
            <w:r>
              <w:rPr>
                <w:rFonts w:ascii="Arial" w:cs="Arial" w:eastAsia="Arial" w:hAnsi="Arial"/>
                <w:sz w:val="18"/>
                <w:szCs w:val="18"/>
                <w:color w:val="auto"/>
              </w:rPr>
              <w:t>614,039</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332,600</w:t>
            </w:r>
          </w:p>
        </w:tc>
      </w:tr>
    </w:tbl>
    <w:p>
      <w:pPr>
        <w:spacing w:after="0" w:line="187"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Proposal 8 — The Adjournment Proposal — to approve a proposal to adjourn the Special Meeting to a later date or dates, if necessary, to permit further solicitation and vote of proxies if, based upon the tabulated vote at the time of the Special Meeting, there are not sufficient votes to approve Proposal 1, Proposal 2, Proposal 3, Proposal 5, Proposal 6 or Proposal 7.</w:t>
      </w:r>
    </w:p>
    <w:p>
      <w:pPr>
        <w:spacing w:after="0" w:line="184"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As there were sufficient votes to approve the above-referenced proposals, the Adjournment Proposal was not presented to BCTG’s stockholders at the Special Meeting.</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Financial statements of businesses acquired.</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consolidated financial statements of Old Tango as of June 30, 2021 and for the three and six months ended June 30, 2021 and the related notes are set forth in Exhibit 99.2 filed herewith and are incorporated herein by reference.</w:t>
      </w:r>
    </w:p>
    <w:p>
      <w:pPr>
        <w:spacing w:after="0" w:line="170"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 xml:space="preserve">The consolidated financial statements of Old Tango as of March 31, 2021 and for the three months ended March 31, 2021 and the related notes are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beginning on page F-32 and are incorporated herein by reference.</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The audited consolidated financial statements of Old Tango as of and for the years ended December 31, 2020 and December 31, 2019, the related notes are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beginning on page F-50 and are incorporated herein by reference.</w:t>
      </w:r>
    </w:p>
    <w:p>
      <w:pPr>
        <w:spacing w:after="0" w:line="170"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consolidated financial statements of BCTG as of June 30, 2021 and for the three and six months ended June 30, 2021 and the related notes are set forth in Exhibit 99.3 filed herewith and are incorporated herein by reference.</w:t>
      </w:r>
    </w:p>
    <w:p>
      <w:pPr>
        <w:spacing w:after="0" w:line="170"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 xml:space="preserve">The consolidated financial statements of BCTG as of and for the three months ended March 31, 2021 and the related notes are set forth in the </w:t>
      </w:r>
      <w:r>
        <w:rPr>
          <w:rFonts w:ascii="Arial" w:cs="Arial" w:eastAsia="Arial" w:hAnsi="Arial"/>
          <w:sz w:val="18"/>
          <w:szCs w:val="18"/>
          <w:u w:val="single" w:color="auto"/>
          <w:color w:val="auto"/>
        </w:rPr>
        <w:t>Proxy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Statement/Prospectus</w:t>
      </w:r>
      <w:r>
        <w:rPr>
          <w:rFonts w:ascii="Arial" w:cs="Arial" w:eastAsia="Arial" w:hAnsi="Arial"/>
          <w:sz w:val="18"/>
          <w:szCs w:val="18"/>
          <w:color w:val="auto"/>
        </w:rPr>
        <w:t xml:space="preserve"> beginning on page F-2 and are incorporated herein by reference.</w:t>
      </w:r>
    </w:p>
    <w:p>
      <w:pPr>
        <w:spacing w:after="0" w:line="17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The audited consolidated financial statements of BCTG as of December 31, 2020 and for the period from May 21, 2020 through December 31, 2020 and the related notes and report of independent registered public accounting firm are set forth in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xml:space="preserve"> beginning on page F-17 and are incorporated herein by reference.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(b) Pro forma financial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Certain unaudited pro forma condensed combined financial information is attached hereto as Exhibit 99.4 and is incorporated herein by reference.</w:t>
      </w:r>
    </w:p>
    <w:p>
      <w:pPr>
        <w:sectPr>
          <w:pgSz w:w="11900" w:h="16838" w:orient="portrait"/>
          <w:cols w:equalWidth="0" w:num="1">
            <w:col w:w="11004"/>
          </w:cols>
          <w:pgMar w:left="436" w:top="368" w:right="459" w:bottom="387"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40" w:type="dxa"/>
            <w:vAlign w:val="bottom"/>
            <w:gridSpan w:val="13"/>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920" w:type="dxa"/>
            <w:vAlign w:val="bottom"/>
          </w:tcPr>
          <w:p>
            <w:pPr>
              <w:ind w:left="80"/>
              <w:spacing w:after="0"/>
              <w:rPr>
                <w:sz w:val="20"/>
                <w:szCs w:val="20"/>
                <w:color w:val="auto"/>
              </w:rPr>
            </w:pPr>
            <w:r>
              <w:rPr>
                <w:rFonts w:ascii="Arial" w:cs="Arial" w:eastAsia="Arial" w:hAnsi="Arial"/>
                <w:sz w:val="18"/>
                <w:szCs w:val="18"/>
                <w:color w:val="auto"/>
              </w:rPr>
              <w:t>2.1†</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The Agreement and Plan of Merger, dated as of April 13, 2021, by and among BCTG Acquisition Corp., BCTG Merger Sub Inc., and</w:t>
              </w:r>
            </w:hyperlink>
          </w:p>
        </w:tc>
        <w:tc>
          <w:tcPr>
            <w:tcW w:w="420" w:type="dxa"/>
            <w:vAlign w:val="bottom"/>
            <w:gridSpan w:val="6"/>
          </w:tcPr>
          <w:p>
            <w:pPr>
              <w:spacing w:after="0"/>
              <w:rPr>
                <w:sz w:val="23"/>
                <w:szCs w:val="23"/>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Tango Therapeutics, Inc. (incorporated by reference to Annex A to the Proxy Statement/Prospectus).</w:t>
              </w:r>
            </w:hyperlink>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ind w:left="80"/>
              <w:spacing w:after="0"/>
              <w:rPr>
                <w:sz w:val="20"/>
                <w:szCs w:val="20"/>
                <w:color w:val="auto"/>
              </w:rPr>
            </w:pPr>
            <w:r>
              <w:rPr>
                <w:rFonts w:ascii="Arial" w:cs="Arial" w:eastAsia="Arial" w:hAnsi="Arial"/>
                <w:sz w:val="18"/>
                <w:szCs w:val="18"/>
                <w:color w:val="auto"/>
              </w:rPr>
              <w:t>3.1</w:t>
            </w:r>
          </w:p>
        </w:tc>
        <w:tc>
          <w:tcPr>
            <w:tcW w:w="10060" w:type="dxa"/>
            <w:vAlign w:val="bottom"/>
            <w:tcBorders>
              <w:bottom w:val="single" w:sz="8" w:color="0000EE"/>
            </w:tcBorders>
            <w:gridSpan w:val="26"/>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Second Amended and Restated Certificate of Incorporation of Tango Therapeutics, Inc. (incorporated by reference to Annex B to the Proxy</w:t>
              </w:r>
            </w:hyperlink>
          </w:p>
        </w:tc>
      </w:tr>
      <w:tr>
        <w:trPr>
          <w:trHeight w:val="196"/>
        </w:trPr>
        <w:tc>
          <w:tcPr>
            <w:tcW w:w="92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Statement/Prospectus).</w:t>
              </w:r>
            </w:hyperlink>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ind w:left="80"/>
              <w:spacing w:after="0"/>
              <w:rPr>
                <w:sz w:val="20"/>
                <w:szCs w:val="20"/>
                <w:color w:val="auto"/>
              </w:rPr>
            </w:pPr>
            <w:r>
              <w:rPr>
                <w:rFonts w:ascii="Arial" w:cs="Arial" w:eastAsia="Arial" w:hAnsi="Arial"/>
                <w:sz w:val="18"/>
                <w:szCs w:val="18"/>
                <w:color w:val="auto"/>
              </w:rPr>
              <w:t>3.2</w:t>
            </w:r>
          </w:p>
        </w:tc>
        <w:tc>
          <w:tcPr>
            <w:tcW w:w="9020" w:type="dxa"/>
            <w:vAlign w:val="bottom"/>
            <w:tcBorders>
              <w:bottom w:val="single" w:sz="8" w:color="0000EE"/>
            </w:tcBorders>
            <w:gridSpan w:val="18"/>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Amended and Restated By-laws of Tango Therapeutics, Inc. (incorporated by reference to Exhibit F of Annex A to the Proxy</w:t>
              </w:r>
            </w:hyperlink>
          </w:p>
        </w:tc>
        <w:tc>
          <w:tcPr>
            <w:tcW w:w="104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Statement/Prospectus).</w:t>
              </w:r>
            </w:hyperlink>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tcBorders>
              <w:bottom w:val="single" w:sz="8" w:color="0000EE"/>
            </w:tcBorders>
            <w:gridSpan w:val="19"/>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Form of Subscription Agreement (incorporated by reference to Exhibit 10.1 to the Registration Statement on Form 8-K filed by the</w:t>
              </w:r>
            </w:hyperlink>
          </w:p>
        </w:tc>
        <w:tc>
          <w:tcPr>
            <w:tcW w:w="60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Registrant on April 14, 2021).</w:t>
              </w:r>
            </w:hyperlink>
          </w:p>
        </w:tc>
        <w:tc>
          <w:tcPr>
            <w:tcW w:w="7880" w:type="dxa"/>
            <w:vAlign w:val="bottom"/>
            <w:gridSpan w:val="2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60" w:type="dxa"/>
            <w:vAlign w:val="bottom"/>
            <w:gridSpan w:val="26"/>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Amended and Restated Registration and Stockholders Rights Agreement, dated August 10, 2021, by and among Tango Therapeutics, Inc.</w:t>
              </w:r>
            </w:hyperlink>
          </w:p>
        </w:tc>
      </w:tr>
      <w:tr>
        <w:trPr>
          <w:trHeight w:val="196"/>
        </w:trPr>
        <w:tc>
          <w:tcPr>
            <w:tcW w:w="9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and the stockholders party thereto.</w:t>
              </w:r>
            </w:hyperlink>
          </w:p>
        </w:tc>
        <w:tc>
          <w:tcPr>
            <w:tcW w:w="7400" w:type="dxa"/>
            <w:vAlign w:val="bottom"/>
            <w:tcBorders>
              <w:top w:val="single" w:sz="8" w:color="0000EE"/>
            </w:tcBorders>
            <w:gridSpan w:val="19"/>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060" w:type="dxa"/>
            <w:vAlign w:val="bottom"/>
            <w:gridSpan w:val="26"/>
          </w:tcPr>
          <w:p>
            <w:pPr>
              <w:spacing w:after="0"/>
              <w:rPr>
                <w:rFonts w:ascii="Arial" w:cs="Arial" w:eastAsia="Arial" w:hAnsi="Arial"/>
                <w:sz w:val="18"/>
                <w:szCs w:val="18"/>
                <w:color w:val="0000EE"/>
              </w:rPr>
            </w:pPr>
            <w:hyperlink r:id="rId33">
              <w:r>
                <w:rPr>
                  <w:rFonts w:ascii="Arial" w:cs="Arial" w:eastAsia="Arial" w:hAnsi="Arial"/>
                  <w:sz w:val="18"/>
                  <w:szCs w:val="18"/>
                  <w:color w:val="0000EE"/>
                </w:rPr>
                <w:t>Form of Lock-Up Agreement (incorporated by reference as Exhibit D to Exhibit 2.1).</w:t>
              </w:r>
            </w:hyperlink>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6160" w:type="dxa"/>
            <w:vAlign w:val="bottom"/>
            <w:tcBorders>
              <w:top w:val="single" w:sz="8" w:color="0000EE"/>
            </w:tcBorders>
            <w:gridSpan w:val="1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Tango Therapeutics, Inc. 2021 Stock Option and Incentive Plan.</w:t>
              </w:r>
            </w:hyperlink>
          </w:p>
        </w:tc>
        <w:tc>
          <w:tcPr>
            <w:tcW w:w="3900" w:type="dxa"/>
            <w:vAlign w:val="bottom"/>
            <w:gridSpan w:val="12"/>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74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Forms of Award Agreements under the Tango Therapeutics, Inc. 2021 Stock Option and Incentive Plan.</w:t>
              </w:r>
            </w:hyperlink>
          </w:p>
        </w:tc>
        <w:tc>
          <w:tcPr>
            <w:tcW w:w="2580" w:type="dxa"/>
            <w:vAlign w:val="bottom"/>
            <w:gridSpan w:val="10"/>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4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Tango Therapeutics, Inc. 2021 Employee Stock Purchase Plan.</w:t>
              </w:r>
            </w:hyperlink>
          </w:p>
        </w:tc>
        <w:tc>
          <w:tcPr>
            <w:tcW w:w="5520" w:type="dxa"/>
            <w:vAlign w:val="bottom"/>
            <w:gridSpan w:val="14"/>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060" w:type="dxa"/>
            <w:vAlign w:val="bottom"/>
            <w:gridSpan w:val="2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Form of Executive Employment Agreement.</w:t>
              </w:r>
            </w:hyperlink>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33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Non-Employee Director Compensation Policy.</w:t>
              </w:r>
            </w:hyperlink>
          </w:p>
        </w:tc>
        <w:tc>
          <w:tcPr>
            <w:tcW w:w="6680" w:type="dxa"/>
            <w:vAlign w:val="bottom"/>
            <w:gridSpan w:val="18"/>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060" w:type="dxa"/>
            <w:vAlign w:val="bottom"/>
            <w:gridSpan w:val="26"/>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Form of Indemnification Agreement (Directors).</w:t>
              </w:r>
            </w:hyperlink>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3500" w:type="dxa"/>
            <w:vAlign w:val="bottom"/>
            <w:tcBorders>
              <w:top w:val="single" w:sz="8" w:color="0000EE"/>
            </w:tcBorders>
            <w:gridSpan w:val="10"/>
          </w:tcPr>
          <w:p>
            <w:pPr>
              <w:spacing w:after="0"/>
              <w:rPr>
                <w:rFonts w:ascii="Arial" w:cs="Arial" w:eastAsia="Arial" w:hAnsi="Arial"/>
                <w:sz w:val="18"/>
                <w:szCs w:val="18"/>
                <w:color w:val="0000EE"/>
                <w:w w:val="95"/>
              </w:rPr>
            </w:pPr>
            <w:hyperlink w:anchor="page147">
              <w:r>
                <w:rPr>
                  <w:rFonts w:ascii="Arial" w:cs="Arial" w:eastAsia="Arial" w:hAnsi="Arial"/>
                  <w:sz w:val="18"/>
                  <w:szCs w:val="18"/>
                  <w:color w:val="0000EE"/>
                  <w:w w:val="95"/>
                </w:rPr>
                <w:t>Form of Indemnification Agreement (Officers).</w:t>
              </w:r>
            </w:hyperlink>
          </w:p>
        </w:tc>
        <w:tc>
          <w:tcPr>
            <w:tcW w:w="6560" w:type="dxa"/>
            <w:vAlign w:val="bottom"/>
            <w:gridSpan w:val="16"/>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3420" w:type="dxa"/>
            <w:vAlign w:val="bottom"/>
            <w:tcBorders>
              <w:top w:val="single" w:sz="8" w:color="0000EE"/>
            </w:tcBorders>
            <w:gridSpan w:val="9"/>
          </w:tcPr>
          <w:p>
            <w:pPr>
              <w:spacing w:after="0"/>
              <w:rPr>
                <w:rFonts w:ascii="Arial" w:cs="Arial" w:eastAsia="Arial" w:hAnsi="Arial"/>
                <w:sz w:val="18"/>
                <w:szCs w:val="18"/>
                <w:color w:val="0000EE"/>
                <w:w w:val="92"/>
              </w:rPr>
            </w:pPr>
            <w:hyperlink w:anchor="page164">
              <w:r>
                <w:rPr>
                  <w:rFonts w:ascii="Arial" w:cs="Arial" w:eastAsia="Arial" w:hAnsi="Arial"/>
                  <w:sz w:val="18"/>
                  <w:szCs w:val="18"/>
                  <w:color w:val="0000EE"/>
                  <w:w w:val="92"/>
                </w:rPr>
                <w:t>Senior Executive Cash Annual Incentive Plan.</w:t>
              </w:r>
            </w:hyperlink>
          </w:p>
        </w:tc>
        <w:tc>
          <w:tcPr>
            <w:tcW w:w="6640" w:type="dxa"/>
            <w:vAlign w:val="bottom"/>
            <w:gridSpan w:val="17"/>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16.1</w:t>
            </w:r>
          </w:p>
        </w:tc>
        <w:tc>
          <w:tcPr>
            <w:tcW w:w="10060" w:type="dxa"/>
            <w:vAlign w:val="bottom"/>
            <w:gridSpan w:val="26"/>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Letter from WithumSmith+Brown, PC as to the change in certifying accountant, dated August 13, 2021.</w:t>
              </w:r>
            </w:hyperlink>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360" w:type="dxa"/>
            <w:vAlign w:val="bottom"/>
            <w:tcBorders>
              <w:left w:val="single" w:sz="8" w:color="0000EE"/>
            </w:tcBorders>
            <w:gridSpan w:val="6"/>
            <w:shd w:val="clear" w:color="auto" w:fill="0000EE"/>
          </w:tcPr>
          <w:p>
            <w:pPr>
              <w:spacing w:after="0" w:line="20" w:lineRule="exact"/>
              <w:rPr>
                <w:sz w:val="1"/>
                <w:szCs w:val="1"/>
                <w:color w:val="auto"/>
              </w:rPr>
            </w:pPr>
          </w:p>
        </w:tc>
        <w:tc>
          <w:tcPr>
            <w:tcW w:w="3600" w:type="dxa"/>
            <w:vAlign w:val="bottom"/>
            <w:gridSpan w:val="6"/>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060" w:type="dxa"/>
            <w:vAlign w:val="bottom"/>
            <w:gridSpan w:val="26"/>
          </w:tcPr>
          <w:p>
            <w:pPr>
              <w:spacing w:after="0"/>
              <w:rPr>
                <w:rFonts w:ascii="Arial" w:cs="Arial" w:eastAsia="Arial" w:hAnsi="Arial"/>
                <w:sz w:val="18"/>
                <w:szCs w:val="18"/>
                <w:color w:val="0000EE"/>
                <w:w w:val="91"/>
              </w:rPr>
            </w:pPr>
            <w:hyperlink w:anchor="page168">
              <w:r>
                <w:rPr>
                  <w:rFonts w:ascii="Arial" w:cs="Arial" w:eastAsia="Arial" w:hAnsi="Arial"/>
                  <w:sz w:val="18"/>
                  <w:szCs w:val="18"/>
                  <w:color w:val="0000EE"/>
                  <w:w w:val="91"/>
                </w:rPr>
                <w:t>Management’s Discussion and Analysis of Financial Condition and Results of Operations of Tango Therapeutics, Inc. as of June 30, 2021</w:t>
              </w:r>
            </w:hyperlink>
          </w:p>
        </w:tc>
      </w:tr>
      <w:tr>
        <w:trPr>
          <w:trHeight w:val="196"/>
        </w:trPr>
        <w:tc>
          <w:tcPr>
            <w:tcW w:w="9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and for the three and six months ended June 30, 2021.</w:t>
              </w:r>
            </w:hyperlink>
          </w:p>
        </w:tc>
        <w:tc>
          <w:tcPr>
            <w:tcW w:w="6020" w:type="dxa"/>
            <w:vAlign w:val="bottom"/>
            <w:tcBorders>
              <w:top w:val="single" w:sz="8" w:color="0000EE"/>
            </w:tcBorders>
            <w:gridSpan w:val="13"/>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96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83">
              <w:r>
                <w:rPr>
                  <w:rFonts w:ascii="Arial" w:cs="Arial" w:eastAsia="Arial" w:hAnsi="Arial"/>
                  <w:sz w:val="18"/>
                  <w:szCs w:val="18"/>
                  <w:color w:val="0000EE"/>
                  <w:w w:val="89"/>
                </w:rPr>
                <w:t>Condensed Consolidated Financial Statements of Tango Therapeutics, Inc. as of June 30, 2021 and for the three and six months ended</w:t>
              </w:r>
            </w:hyperlink>
          </w:p>
        </w:tc>
        <w:tc>
          <w:tcPr>
            <w:tcW w:w="40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June 30, 2021 and the related notes.</w:t>
              </w:r>
            </w:hyperlink>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140" w:type="dxa"/>
            <w:vAlign w:val="bottom"/>
            <w:tcBorders>
              <w:left w:val="single" w:sz="8" w:color="0000EE"/>
            </w:tcBorders>
            <w:gridSpan w:val="1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10060" w:type="dxa"/>
            <w:vAlign w:val="bottom"/>
            <w:gridSpan w:val="26"/>
          </w:tcPr>
          <w:p>
            <w:pPr>
              <w:spacing w:after="0"/>
              <w:rPr>
                <w:rFonts w:ascii="Arial" w:cs="Arial" w:eastAsia="Arial" w:hAnsi="Arial"/>
                <w:sz w:val="18"/>
                <w:szCs w:val="18"/>
                <w:color w:val="0000EE"/>
                <w:w w:val="93"/>
              </w:rPr>
            </w:pPr>
            <w:hyperlink w:anchor="page199">
              <w:r>
                <w:rPr>
                  <w:rFonts w:ascii="Arial" w:cs="Arial" w:eastAsia="Arial" w:hAnsi="Arial"/>
                  <w:sz w:val="18"/>
                  <w:szCs w:val="18"/>
                  <w:color w:val="0000EE"/>
                  <w:w w:val="93"/>
                </w:rPr>
                <w:t>Condensed Consolidated Financial Statements of BCTG Acquisition Corp. as of June 30, 2021 and for the three and six months ended</w:t>
              </w:r>
            </w:hyperlink>
          </w:p>
        </w:tc>
      </w:tr>
      <w:tr>
        <w:trPr>
          <w:trHeight w:val="196"/>
        </w:trPr>
        <w:tc>
          <w:tcPr>
            <w:tcW w:w="920" w:type="dxa"/>
            <w:vAlign w:val="bottom"/>
          </w:tcPr>
          <w:p>
            <w:pPr>
              <w:spacing w:after="0"/>
              <w:rPr>
                <w:sz w:val="17"/>
                <w:szCs w:val="17"/>
                <w:color w:val="auto"/>
              </w:rPr>
            </w:pPr>
          </w:p>
        </w:tc>
        <w:tc>
          <w:tcPr>
            <w:tcW w:w="96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June 30, 2021 and the related notes</w:t>
              </w:r>
              <w:r>
                <w:rPr>
                  <w:rFonts w:ascii="Arial" w:cs="Arial" w:eastAsia="Arial" w:hAnsi="Arial"/>
                  <w:sz w:val="18"/>
                  <w:szCs w:val="18"/>
                  <w:color w:val="000000"/>
                </w:rPr>
                <w:t>.</w:t>
              </w:r>
            </w:hyperlink>
          </w:p>
        </w:tc>
        <w:tc>
          <w:tcPr>
            <w:tcW w:w="38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50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99.4*</w:t>
            </w:r>
          </w:p>
        </w:tc>
        <w:tc>
          <w:tcPr>
            <w:tcW w:w="10060" w:type="dxa"/>
            <w:vAlign w:val="bottom"/>
            <w:gridSpan w:val="26"/>
          </w:tcPr>
          <w:p>
            <w:pPr>
              <w:spacing w:after="0"/>
              <w:rPr>
                <w:rFonts w:ascii="Arial" w:cs="Arial" w:eastAsia="Arial" w:hAnsi="Arial"/>
                <w:sz w:val="18"/>
                <w:szCs w:val="18"/>
                <w:color w:val="0000EE"/>
                <w:w w:val="90"/>
              </w:rPr>
            </w:pPr>
            <w:hyperlink w:anchor="page214">
              <w:r>
                <w:rPr>
                  <w:rFonts w:ascii="Arial" w:cs="Arial" w:eastAsia="Arial" w:hAnsi="Arial"/>
                  <w:sz w:val="18"/>
                  <w:szCs w:val="18"/>
                  <w:color w:val="0000EE"/>
                  <w:w w:val="90"/>
                </w:rPr>
                <w:t>Unaudited Pro Forma Condensed Combined Financial Information as of and for the six months ended June 30, 2021 and for the year ended</w:t>
              </w:r>
            </w:hyperlink>
          </w:p>
        </w:tc>
      </w:tr>
      <w:tr>
        <w:trPr>
          <w:trHeight w:val="196"/>
        </w:trPr>
        <w:tc>
          <w:tcPr>
            <w:tcW w:w="920" w:type="dxa"/>
            <w:vAlign w:val="bottom"/>
          </w:tcPr>
          <w:p>
            <w:pPr>
              <w:spacing w:after="0"/>
              <w:rPr>
                <w:sz w:val="17"/>
                <w:szCs w:val="17"/>
                <w:color w:val="auto"/>
              </w:rPr>
            </w:pPr>
          </w:p>
        </w:tc>
        <w:tc>
          <w:tcPr>
            <w:tcW w:w="100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December 31, 2020.</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600" w:type="dxa"/>
            <w:vAlign w:val="bottom"/>
            <w:gridSpan w:val="25"/>
          </w:tcPr>
          <w:p>
            <w:pPr>
              <w:spacing w:after="0" w:line="20" w:lineRule="exact"/>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60" w:type="dxa"/>
            <w:vAlign w:val="bottom"/>
            <w:gridSpan w:val="2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Schedules and exhibits to this Exhibit omitted pursuant to Regulation S-K Item 601(b)(2). The Registrant agrees to furnish supplementally a copy</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of any omitted schedule or exhibit to the SEC upon request.</w:t>
      </w:r>
    </w:p>
    <w:p>
      <w:pPr>
        <w:spacing w:after="0" w:line="9"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ectPr>
          <w:pgSz w:w="11900" w:h="16838" w:orient="portrait"/>
          <w:cols w:equalWidth="0" w:num="1">
            <w:col w:w="10984"/>
          </w:cols>
          <w:pgMar w:left="436" w:top="301" w:right="479" w:bottom="1440" w:gutter="0" w:footer="0" w:header="0"/>
        </w:sectPr>
      </w:pPr>
    </w:p>
    <w:bookmarkStart w:id="18" w:name="page19"/>
    <w:bookmarkEnd w:id="18"/>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Barbara Weber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ectPr>
          <w:pgSz w:w="11900" w:h="16838" w:orient="portrait"/>
          <w:cols w:equalWidth="0" w:num="1">
            <w:col w:w="10260"/>
          </w:cols>
          <w:pgMar w:left="440" w:top="297" w:right="11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07"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THIS AMENDED AND RESTATED REGISTRATION AND STOCKHOLDER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10th day of August, 2021, is made and entered into by and among. TANGO THERAPEUTICS,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certain former stockholders of Tango Therapeutics, Inc. (“</w:t>
      </w:r>
      <w:r>
        <w:rPr>
          <w:rFonts w:ascii="Arial" w:cs="Arial" w:eastAsia="Arial" w:hAnsi="Arial"/>
          <w:sz w:val="18"/>
          <w:szCs w:val="18"/>
          <w:b w:val="1"/>
          <w:bCs w:val="1"/>
          <w:u w:val="single" w:color="auto"/>
          <w:color w:val="auto"/>
        </w:rPr>
        <w:t>Old Tango</w:t>
      </w:r>
      <w:r>
        <w:rPr>
          <w:rFonts w:ascii="Arial" w:cs="Arial" w:eastAsia="Arial" w:hAnsi="Arial"/>
          <w:sz w:val="18"/>
          <w:szCs w:val="18"/>
          <w:color w:val="auto"/>
        </w:rPr>
        <w:t>”), set forth on Schedule 1 hereto under the heading “Holders” (such stockholders, the “</w:t>
      </w:r>
      <w:r>
        <w:rPr>
          <w:rFonts w:ascii="Arial" w:cs="Arial" w:eastAsia="Arial" w:hAnsi="Arial"/>
          <w:sz w:val="18"/>
          <w:szCs w:val="18"/>
          <w:b w:val="1"/>
          <w:bCs w:val="1"/>
          <w:u w:val="single" w:color="auto"/>
          <w:color w:val="auto"/>
        </w:rPr>
        <w:t>Tango Investors</w:t>
      </w:r>
      <w:r>
        <w:rPr>
          <w:rFonts w:ascii="Arial" w:cs="Arial" w:eastAsia="Arial" w:hAnsi="Arial"/>
          <w:sz w:val="18"/>
          <w:szCs w:val="18"/>
          <w:color w:val="auto"/>
        </w:rPr>
        <w:t>”), and the undersigned parties set forth on Schedule I hereto under the heading “Investors” (each, an “</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 The Tango Investors, the Investors and any other person or entity who becomes a party to this Agreement, are referred to herein as the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or each a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w:t>
      </w:r>
    </w:p>
    <w:p>
      <w:pPr>
        <w:spacing w:after="0" w:line="19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WHEREAS, the Company and the Investors are party to that certain Registration and Stockholder Rights Agreement, dated as of September 2, 2020 (the “</w:t>
      </w:r>
      <w:r>
        <w:rPr>
          <w:rFonts w:ascii="Arial" w:cs="Arial" w:eastAsia="Arial" w:hAnsi="Arial"/>
          <w:sz w:val="18"/>
          <w:szCs w:val="18"/>
          <w:b w:val="1"/>
          <w:bCs w:val="1"/>
          <w:u w:val="single" w:color="auto"/>
          <w:color w:val="auto"/>
        </w:rPr>
        <w:t>Original RRA</w:t>
      </w:r>
      <w:r>
        <w:rPr>
          <w:rFonts w:ascii="Arial" w:cs="Arial" w:eastAsia="Arial" w:hAnsi="Arial"/>
          <w:sz w:val="18"/>
          <w:szCs w:val="18"/>
          <w:color w:val="auto"/>
        </w:rPr>
        <w:t>”);</w:t>
      </w:r>
    </w:p>
    <w:p>
      <w:pPr>
        <w:spacing w:after="0" w:line="166"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that certain Agreement and Plan of Merger, dated as of April 13, 2021 (as it may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or otherwise modified from time to time, the “</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 by and among the Company, BCTG Merger Sub Inc., a Delaware corporation and a direct, wholly owned subsidiary of the Company (“</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and Old Tango, pursuant to which Merger Sub merged with and into Old Tango (the “</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with Old Tango continuing as the surviving corporation and becoming a direct, wholly owned subsidiary of the Company;</w:t>
      </w:r>
    </w:p>
    <w:p>
      <w:pPr>
        <w:spacing w:after="0" w:line="183"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date hereof, pursuant to the Merger Agreement, the Holders received shares of Common Stock (as defined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Shares</w:t>
      </w:r>
      <w:r>
        <w:rPr>
          <w:rFonts w:ascii="Arial" w:cs="Arial" w:eastAsia="Arial" w:hAnsi="Arial"/>
          <w:sz w:val="18"/>
          <w:szCs w:val="18"/>
          <w:color w:val="auto"/>
        </w:rPr>
        <w:t>”) or options to acquire shares of Common Stock (the “</w:t>
      </w:r>
      <w:r>
        <w:rPr>
          <w:rFonts w:ascii="Arial" w:cs="Arial" w:eastAsia="Arial" w:hAnsi="Arial"/>
          <w:sz w:val="18"/>
          <w:szCs w:val="18"/>
          <w:b w:val="1"/>
          <w:bCs w:val="1"/>
          <w:u w:val="single" w:color="auto"/>
          <w:color w:val="auto"/>
        </w:rPr>
        <w:t>Merger Options</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the date hereof, certain investors (such other investors, collectively, the “</w:t>
      </w:r>
      <w:r>
        <w:rPr>
          <w:rFonts w:ascii="Arial" w:cs="Arial" w:eastAsia="Arial" w:hAnsi="Arial"/>
          <w:sz w:val="17"/>
          <w:szCs w:val="17"/>
          <w:b w:val="1"/>
          <w:bCs w:val="1"/>
          <w:u w:val="single" w:color="auto"/>
          <w:color w:val="auto"/>
        </w:rPr>
        <w:t>Third-Party Investor Stockholders</w:t>
      </w:r>
      <w:r>
        <w:rPr>
          <w:rFonts w:ascii="Arial" w:cs="Arial" w:eastAsia="Arial" w:hAnsi="Arial"/>
          <w:sz w:val="17"/>
          <w:szCs w:val="17"/>
          <w:color w:val="auto"/>
        </w:rPr>
        <w:t>”) purchased an</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of 18,610,000 shares of Common Stock (the “</w:t>
      </w:r>
      <w:r>
        <w:rPr>
          <w:rFonts w:ascii="Arial" w:cs="Arial" w:eastAsia="Arial" w:hAnsi="Arial"/>
          <w:sz w:val="17"/>
          <w:szCs w:val="17"/>
          <w:b w:val="1"/>
          <w:bCs w:val="1"/>
          <w:u w:val="single" w:color="auto"/>
          <w:color w:val="auto"/>
        </w:rPr>
        <w:t>Investor Shares</w:t>
      </w:r>
      <w:r>
        <w:rPr>
          <w:rFonts w:ascii="Arial" w:cs="Arial" w:eastAsia="Arial" w:hAnsi="Arial"/>
          <w:sz w:val="17"/>
          <w:szCs w:val="17"/>
          <w:color w:val="auto"/>
        </w:rPr>
        <w:t>”) in a transaction exempt from registration under the Securities Act pursuant to the respective Subscription Agreements, each dated as of April 13, 2021, entered into by and between the Company and each such Third-Party Investor Stockholder (each, a “</w:t>
      </w:r>
      <w:r>
        <w:rPr>
          <w:rFonts w:ascii="Arial" w:cs="Arial" w:eastAsia="Arial" w:hAnsi="Arial"/>
          <w:sz w:val="17"/>
          <w:szCs w:val="17"/>
          <w:b w:val="1"/>
          <w:bCs w:val="1"/>
          <w:u w:val="single" w:color="auto"/>
          <w:color w:val="auto"/>
        </w:rPr>
        <w:t>Subscription Agreement</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Subscription Agreements</w:t>
      </w:r>
      <w:r>
        <w:rPr>
          <w:rFonts w:ascii="Arial" w:cs="Arial" w:eastAsia="Arial" w:hAnsi="Arial"/>
          <w:sz w:val="17"/>
          <w:szCs w:val="17"/>
          <w:color w:val="auto"/>
        </w:rPr>
        <w:t>”);</w:t>
      </w:r>
    </w:p>
    <w:p>
      <w:pPr>
        <w:spacing w:after="0" w:line="165" w:lineRule="exact"/>
        <w:rPr>
          <w:sz w:val="20"/>
          <w:szCs w:val="20"/>
          <w:color w:val="auto"/>
        </w:rPr>
      </w:pPr>
    </w:p>
    <w:p>
      <w:pPr>
        <w:jc w:val="both"/>
        <w:ind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RRA, the provisions, covenants and conditions set forth therein may be amended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written consent of the holders of a majority of the Registrable Securities (the “Required Investors; and</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desire to amend and restate the Original RRA in its entirety and enter into this Agreement,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Company shall grant the Holders certain registration rights with respect to certain securities of the Company, as set forth in this Agreement, and terminate the Original RRA.</w:t>
      </w:r>
    </w:p>
    <w:p>
      <w:pPr>
        <w:spacing w:after="0" w:line="176" w:lineRule="exact"/>
        <w:rPr>
          <w:sz w:val="20"/>
          <w:szCs w:val="20"/>
          <w:color w:val="auto"/>
        </w:rPr>
      </w:pPr>
    </w:p>
    <w:p>
      <w:pPr>
        <w:ind w:right="140" w:firstLine="440"/>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020"/>
          </w:cols>
          <w:pgMar w:left="440" w:top="125" w:right="439" w:bottom="1440" w:gutter="0" w:footer="0" w:header="0"/>
        </w:sectPr>
      </w:pPr>
    </w:p>
    <w:bookmarkStart w:id="20" w:name="page21"/>
    <w:bookmarkEnd w:id="20"/>
    <w:p>
      <w:pPr>
        <w:ind w:right="3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EDGAR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S-1 Shelf</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 Shelf</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 Information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Public Offering</w:t>
      </w:r>
      <w:r>
        <w:rPr>
          <w:rFonts w:ascii="Arial" w:cs="Arial" w:eastAsia="Arial" w:hAnsi="Arial"/>
          <w:sz w:val="18"/>
          <w:szCs w:val="18"/>
          <w:color w:val="auto"/>
        </w:rPr>
        <w:t>” means the initial public offering of the Common Stock, which occurred on September 8,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Initial Shares</w:t>
      </w:r>
      <w:r>
        <w:rPr>
          <w:rFonts w:ascii="Arial" w:cs="Arial" w:eastAsia="Arial" w:hAnsi="Arial"/>
          <w:sz w:val="17"/>
          <w:szCs w:val="17"/>
          <w:color w:val="auto"/>
        </w:rPr>
        <w:t>” means all of the outstanding shares of Common Stock issued prior to the consummation of the Initial Public Offering.</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Joinder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Securities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Minimum Takedown Threshold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Original RRA</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Coordinated Offering</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of Distribution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ectPr>
          <w:pgSz w:w="11900" w:h="16838" w:orient="portrait"/>
          <w:cols w:equalWidth="0" w:num="1">
            <w:col w:w="10720"/>
          </w:cols>
          <w:pgMar w:left="440" w:top="270" w:right="739" w:bottom="1440" w:gutter="0" w:footer="0" w:header="0"/>
        </w:sectPr>
      </w:pPr>
    </w:p>
    <w:bookmarkStart w:id="21" w:name="page22"/>
    <w:bookmarkEnd w:id="21"/>
    <w:p>
      <w:pPr>
        <w:ind w:left="4" w:right="20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Transferees</w:t>
      </w:r>
      <w:r>
        <w:rPr>
          <w:rFonts w:ascii="Arial" w:cs="Arial" w:eastAsia="Arial" w:hAnsi="Arial"/>
          <w:sz w:val="18"/>
          <w:szCs w:val="18"/>
          <w:color w:val="auto"/>
        </w:rPr>
        <w:t>” shall mean with respect to each Holder and its Permitted Transferees, any person or entity to whom such Holder is permitted to transfer such Registrable Securities, subject to and in accordance with any applicable agreement between such Holder and/or its Permitted Transferees and the Company and any transferee thereafter.</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 w:right="10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Shares</w:t>
      </w:r>
      <w:r>
        <w:rPr>
          <w:rFonts w:ascii="Arial" w:cs="Arial" w:eastAsia="Arial" w:hAnsi="Arial"/>
          <w:sz w:val="18"/>
          <w:szCs w:val="18"/>
          <w:color w:val="auto"/>
        </w:rPr>
        <w:t>” means the aggregate of 533,500 shares of common stock (that Sponsor purchased in a private place that occurred simultaneously with the Initial Public Offering.</w:t>
      </w:r>
    </w:p>
    <w:p>
      <w:pPr>
        <w:spacing w:after="0" w:line="162" w:lineRule="exact"/>
        <w:rPr>
          <w:sz w:val="20"/>
          <w:szCs w:val="20"/>
          <w:color w:val="auto"/>
        </w:rPr>
      </w:pPr>
    </w:p>
    <w:p>
      <w:pPr>
        <w:jc w:val="both"/>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Expenses</w:t>
      </w:r>
      <w:r>
        <w:rPr>
          <w:rFonts w:ascii="Arial" w:cs="Arial" w:eastAsia="Arial" w:hAnsi="Arial"/>
          <w:sz w:val="17"/>
          <w:szCs w:val="17"/>
          <w:color w:val="auto"/>
        </w:rPr>
        <w:t>” shall mean the documented, out-of-pocket expenses of a Registration, including, without limitation, the following:</w:t>
      </w:r>
    </w:p>
    <w:p>
      <w:pPr>
        <w:spacing w:after="0" w:line="241" w:lineRule="exact"/>
        <w:rPr>
          <w:sz w:val="20"/>
          <w:szCs w:val="20"/>
          <w:color w:val="auto"/>
        </w:rPr>
      </w:pPr>
    </w:p>
    <w:p>
      <w:pPr>
        <w:ind w:left="4" w:right="540" w:firstLine="436"/>
        <w:spacing w:after="0" w:line="277" w:lineRule="auto"/>
        <w:tabs>
          <w:tab w:leader="none" w:pos="7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registration, listing and filing fees (including fees with respect to filings required to be made with the Financial Industry Regulatory Authority, Inc.) and any national securities exchange on which the Common Stock is then listed;</w:t>
      </w:r>
    </w:p>
    <w:p>
      <w:pPr>
        <w:spacing w:after="0" w:line="170" w:lineRule="exact"/>
        <w:rPr>
          <w:rFonts w:ascii="Arial" w:cs="Arial" w:eastAsia="Arial" w:hAnsi="Arial"/>
          <w:sz w:val="18"/>
          <w:szCs w:val="18"/>
          <w:color w:val="auto"/>
        </w:rPr>
      </w:pPr>
    </w:p>
    <w:p>
      <w:pPr>
        <w:ind w:left="4" w:right="400" w:firstLine="436"/>
        <w:spacing w:after="0" w:line="277" w:lineRule="auto"/>
        <w:tabs>
          <w:tab w:leader="none" w:pos="7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724" w:hanging="284"/>
        <w:spacing w:after="0"/>
        <w:tabs>
          <w:tab w:leader="none" w:pos="7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744" w:hanging="304"/>
        <w:spacing w:after="0"/>
        <w:tabs>
          <w:tab w:leader="none" w:pos="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disbursements of counsel for the Company;</w:t>
      </w:r>
    </w:p>
    <w:p>
      <w:pPr>
        <w:spacing w:after="0" w:line="225" w:lineRule="exact"/>
        <w:rPr>
          <w:rFonts w:ascii="Arial" w:cs="Arial" w:eastAsia="Arial" w:hAnsi="Arial"/>
          <w:sz w:val="18"/>
          <w:szCs w:val="18"/>
          <w:color w:val="auto"/>
        </w:rPr>
      </w:pPr>
    </w:p>
    <w:p>
      <w:pPr>
        <w:ind w:left="4" w:right="360" w:firstLine="436"/>
        <w:spacing w:after="0" w:line="277" w:lineRule="auto"/>
        <w:tabs>
          <w:tab w:leader="none" w:pos="7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disbursements of all independent registered public accountants of the Company and any other persons, including special experts, retained by the Company, incurred in connection with such Registration;</w:t>
      </w:r>
    </w:p>
    <w:p>
      <w:pPr>
        <w:spacing w:after="0" w:line="170" w:lineRule="exact"/>
        <w:rPr>
          <w:rFonts w:ascii="Arial" w:cs="Arial" w:eastAsia="Arial" w:hAnsi="Arial"/>
          <w:sz w:val="18"/>
          <w:szCs w:val="18"/>
          <w:color w:val="auto"/>
        </w:rPr>
      </w:pPr>
    </w:p>
    <w:p>
      <w:pPr>
        <w:ind w:left="4" w:right="80" w:firstLine="436"/>
        <w:spacing w:after="0" w:line="263" w:lineRule="auto"/>
        <w:tabs>
          <w:tab w:leader="none" w:pos="7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expenses in connection with the preparation, printing and filing of a Registration Statement, any Prospectus and amendments and supplements thereto and the mailing and delivering of copies thereof to any Holders, underwriters and dealers and all expenses incidental to delivery of the Registrable Securities; and</w:t>
      </w:r>
    </w:p>
    <w:p>
      <w:pPr>
        <w:spacing w:after="0" w:line="183" w:lineRule="exact"/>
        <w:rPr>
          <w:rFonts w:ascii="Arial" w:cs="Arial" w:eastAsia="Arial" w:hAnsi="Arial"/>
          <w:sz w:val="18"/>
          <w:szCs w:val="18"/>
          <w:color w:val="auto"/>
        </w:rPr>
      </w:pPr>
    </w:p>
    <w:p>
      <w:pPr>
        <w:ind w:left="4" w:right="220" w:firstLine="436"/>
        <w:spacing w:after="0" w:line="277" w:lineRule="auto"/>
        <w:tabs>
          <w:tab w:leader="none" w:pos="7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 Underwritten Offering, Block Trade or Other Coordinated Offering, reasonable fees and expenses of one (1) legal counsel selected by the majority-in-interest of the Demanding Holders (not to exceed $75,000 without the consent of the Company).</w:t>
      </w:r>
    </w:p>
    <w:p>
      <w:pPr>
        <w:spacing w:after="0" w:line="166"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(ii) the Private Shares, (iii) the Merger Shares, (iv) the shares of Common Stock issuable upon exercise of the Merger Options, and (v) any warrants, shares of capital stock or other securities of the Company issued as a dividend or other distribution with respect to or in exchange for or in replacement of the shares specified in clauses (i) through (iv).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w:t>
      </w:r>
    </w:p>
    <w:p>
      <w:pPr>
        <w:spacing w:after="0" w:line="1" w:lineRule="exact"/>
        <w:rPr>
          <w:sz w:val="20"/>
          <w:szCs w:val="20"/>
          <w:color w:val="auto"/>
        </w:rPr>
      </w:pPr>
    </w:p>
    <w:p>
      <w:pPr>
        <w:ind w:left="4" w:right="740" w:hanging="4"/>
        <w:spacing w:after="0" w:line="260"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securities shall have ceased to be outstanding, or (d) the Registrable Securities are freely saleable under Rule 144 without any volume limitations.</w:t>
      </w:r>
    </w:p>
    <w:p>
      <w:pPr>
        <w:sectPr>
          <w:pgSz w:w="11900" w:h="16838" w:orient="portrait"/>
          <w:cols w:equalWidth="0" w:num="1">
            <w:col w:w="10984"/>
          </w:cols>
          <w:pgMar w:left="436" w:top="270" w:right="479" w:bottom="1440" w:gutter="0" w:footer="0" w:header="0"/>
        </w:sectPr>
      </w:pPr>
    </w:p>
    <w:bookmarkStart w:id="22" w:name="page23"/>
    <w:bookmarkEnd w:id="22"/>
    <w:p>
      <w:pPr>
        <w:ind w:right="14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ind w:right="7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 Date</w:t>
      </w:r>
      <w:r>
        <w:rPr>
          <w:rFonts w:ascii="Arial" w:cs="Arial" w:eastAsia="Arial" w:hAnsi="Arial"/>
          <w:sz w:val="17"/>
          <w:szCs w:val="17"/>
          <w:color w:val="auto"/>
        </w:rPr>
        <w:t>” means the date on which the Initial Shares are disbursed from escrow pursuant to Section 3 of that certain Stock Escrow Agreement dated as of September 2, 2020 by and among the Investors and Continental Stock Transfer &amp; Trust Company.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w:t>
      </w:r>
      <w:r>
        <w:rPr>
          <w:rFonts w:ascii="Arial" w:cs="Arial" w:eastAsia="Arial" w:hAnsi="Arial"/>
          <w:sz w:val="18"/>
          <w:szCs w:val="18"/>
          <w:color w:val="auto"/>
        </w:rPr>
        <w:t>” shall mean the Form S-1 Shelf, the Form S-3 Shelf or any Subsequent Shelf Registration Statement, as the case may be.</w:t>
      </w:r>
    </w:p>
    <w:p>
      <w:pPr>
        <w:spacing w:after="0" w:line="22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 Registration</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 registration of securities pursuant to a registration statement filed with the Commission in accordance with and pursuant to Rule 415 promulgated under the Securities Act (or any successor rule then in effect).</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Shelf Takedown</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 Underwritten Shelf Takedown or any proposed transfer or sale using a Registration Statement,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Piggyback Registration.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means BCTG Holdings,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Subscription Agreement</w:t>
      </w:r>
      <w:r>
        <w:rPr>
          <w:rFonts w:ascii="Arial" w:cs="Arial" w:eastAsia="Arial" w:hAnsi="Arial"/>
          <w:sz w:val="18"/>
          <w:szCs w:val="18"/>
          <w:color w:val="auto"/>
        </w:rPr>
        <w:t>” shall be as defined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Subsequent Shelf Registration Statement</w:t>
      </w:r>
      <w:r>
        <w:rPr>
          <w:rFonts w:ascii="Arial" w:cs="Arial" w:eastAsia="Arial" w:hAnsi="Arial"/>
          <w:sz w:val="18"/>
          <w:szCs w:val="18"/>
          <w:color w:val="auto"/>
        </w:rPr>
        <w:t>” shall have the meaning given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Withdrawal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229" w:lineRule="exact"/>
        <w:rPr>
          <w:sz w:val="20"/>
          <w:szCs w:val="20"/>
          <w:color w:val="auto"/>
        </w:rPr>
      </w:pPr>
    </w:p>
    <w:p>
      <w:pPr>
        <w:ind w:left="620" w:hanging="18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17" w:lineRule="exact"/>
        <w:rPr>
          <w:sz w:val="20"/>
          <w:szCs w:val="20"/>
          <w:color w:val="auto"/>
        </w:rPr>
      </w:pPr>
    </w:p>
    <w:p>
      <w:pPr>
        <w:ind w:left="440" w:right="180" w:firstLine="423"/>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Filing</w:t>
      </w:r>
      <w:r>
        <w:rPr>
          <w:rFonts w:ascii="Arial" w:cs="Arial" w:eastAsia="Arial" w:hAnsi="Arial"/>
          <w:sz w:val="18"/>
          <w:szCs w:val="18"/>
          <w:color w:val="auto"/>
        </w:rPr>
        <w:t>. As soon as practicable but no later than thirty (30) calendar days following the closing date of the Merger, the Company shall submit to or file with the Commission a Registration Statement for a Shelf Registration on Form S-1 (the “</w:t>
      </w:r>
      <w:r>
        <w:rPr>
          <w:rFonts w:ascii="Arial" w:cs="Arial" w:eastAsia="Arial" w:hAnsi="Arial"/>
          <w:sz w:val="18"/>
          <w:szCs w:val="18"/>
          <w:b w:val="1"/>
          <w:bCs w:val="1"/>
          <w:u w:val="single" w:color="auto"/>
          <w:color w:val="auto"/>
        </w:rPr>
        <w:t>Form S-1 Shelf</w:t>
      </w:r>
      <w:r>
        <w:rPr>
          <w:rFonts w:ascii="Arial" w:cs="Arial" w:eastAsia="Arial" w:hAnsi="Arial"/>
          <w:sz w:val="18"/>
          <w:szCs w:val="18"/>
          <w:color w:val="auto"/>
        </w:rPr>
        <w:t>”) or a Registration Statement for a Shelf Registration on Form S-3 (the “</w:t>
      </w:r>
      <w:r>
        <w:rPr>
          <w:rFonts w:ascii="Arial" w:cs="Arial" w:eastAsia="Arial" w:hAnsi="Arial"/>
          <w:sz w:val="18"/>
          <w:szCs w:val="18"/>
          <w:b w:val="1"/>
          <w:bCs w:val="1"/>
          <w:u w:val="single" w:color="auto"/>
          <w:color w:val="auto"/>
        </w:rPr>
        <w:t>Form S-3 Shelf</w:t>
      </w:r>
      <w:r>
        <w:rPr>
          <w:rFonts w:ascii="Arial" w:cs="Arial" w:eastAsia="Arial" w:hAnsi="Arial"/>
          <w:sz w:val="18"/>
          <w:szCs w:val="18"/>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w:t>
      </w:r>
    </w:p>
    <w:p>
      <w:pPr>
        <w:sectPr>
          <w:pgSz w:w="11900" w:h="16838" w:orient="portrait"/>
          <w:cols w:equalWidth="0" w:num="1">
            <w:col w:w="10980"/>
          </w:cols>
          <w:pgMar w:left="440" w:top="270" w:right="479" w:bottom="1440" w:gutter="0" w:footer="0" w:header="0"/>
        </w:sectPr>
      </w:pPr>
    </w:p>
    <w:bookmarkStart w:id="23" w:name="page24"/>
    <w:bookmarkEnd w:id="23"/>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later than the earlier of (a) sixty (60) calendar days (or ninety (90) calendar days if the Commission notifies the Company that it will “review” such Shelf Registration) following the initial filing date thereof and (b) ten (10) business days after the Company is notified (orally or in writing, whichever is earlier) by the Commission that such Shelf Registration will not be “reviewed” or will not be subject to further review. Such Shelf shall provide for the resale of the Registrable Securities included therein pursuant to any method or combination of methods legally available (the “</w:t>
      </w:r>
      <w:r>
        <w:rPr>
          <w:rFonts w:ascii="Arial" w:cs="Arial" w:eastAsia="Arial" w:hAnsi="Arial"/>
          <w:sz w:val="16"/>
          <w:szCs w:val="16"/>
          <w:b w:val="1"/>
          <w:bCs w:val="1"/>
          <w:u w:val="single" w:color="auto"/>
          <w:color w:val="auto"/>
        </w:rPr>
        <w:t>Plan of Distribution</w:t>
      </w:r>
      <w:r>
        <w:rPr>
          <w:rFonts w:ascii="Arial" w:cs="Arial" w:eastAsia="Arial" w:hAnsi="Arial"/>
          <w:sz w:val="16"/>
          <w:szCs w:val="16"/>
          <w:color w:val="auto"/>
        </w:rPr>
        <w:t>”)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a Form S-3 Shelf. The Company shall, if requested by the Holder, use its best efforts to (i) cause the removal of any restrictive legend related to compliance with the federal securities laws set forth on the Registrable Securities, (ii) cause its legal counsel to deliver an opinion, if necessary, to the transfer agent in connection with the instruction under subclause (i) to the effect that removal of such legends in such circumstances may be effected in compliance under the Securities Act, and (iii) issue Registrable Securities without any such legend in certificated or book-entry form or by electronic delivery through The Depository Trust Company, at the Holder’s option, within two (2) business days of such request, if (A) the Registrable Securities are registered for resale under the Securities Act, (B) the Registrable Securities may be sold by the Holder without restriction under Rule 144, including without limitation, any volume and manner of sale restrictions, or (C) the Holder has sold or transferred, or proposes to sell or transfer within five (5) business days of such request, Registrable Securities pursuant to the Registration Statement or in compliance with Rule 144. The Company’s obligation to remove legends under this Section 2.1.1 may be conditioned upon the Holder timely providing such representations and documentation as are reasonably necessary and customarily required in connection with the removal of restrictive legends related to compliance with the federal securities laws.</w:t>
      </w:r>
    </w:p>
    <w:p>
      <w:pPr>
        <w:spacing w:after="0" w:line="290"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Subsequent Shelf Registration</w:t>
      </w:r>
      <w:r>
        <w:rPr>
          <w:rFonts w:ascii="Arial" w:cs="Arial" w:eastAsia="Arial" w:hAnsi="Arial"/>
          <w:sz w:val="16"/>
          <w:szCs w:val="16"/>
          <w:color w:val="auto"/>
        </w:rPr>
        <w:t>. If any Shelf ceases to be effective under the Securities Act for any reason at any time while Registrable Securities are still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6"/>
          <w:szCs w:val="16"/>
          <w:b w:val="1"/>
          <w:bCs w:val="1"/>
          <w:u w:val="single" w:color="auto"/>
          <w:color w:val="auto"/>
        </w:rPr>
        <w:t>Subsequent Shelf Registration Statement</w:t>
      </w:r>
      <w:r>
        <w:rPr>
          <w:rFonts w:ascii="Arial" w:cs="Arial" w:eastAsia="Arial" w:hAnsi="Arial"/>
          <w:sz w:val="16"/>
          <w:szCs w:val="16"/>
          <w:color w:val="auto"/>
        </w:rPr>
        <w:t>”) registering the resale of all Registrable Securities (determined as of two (2) business days prior to such filing), and pursuant to the Plan of Distribution.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w:t>
      </w:r>
    </w:p>
    <w:p>
      <w:pPr>
        <w:spacing w:after="0" w:line="66" w:lineRule="exact"/>
        <w:rPr>
          <w:sz w:val="20"/>
          <w:szCs w:val="20"/>
          <w:color w:val="auto"/>
        </w:rPr>
      </w:pPr>
    </w:p>
    <w:p>
      <w:pPr>
        <w:ind w:right="20" w:firstLine="423"/>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Additional Registrable Securities</w:t>
      </w:r>
      <w:r>
        <w:rPr>
          <w:rFonts w:ascii="Arial" w:cs="Arial" w:eastAsia="Arial" w:hAnsi="Arial"/>
          <w:sz w:val="16"/>
          <w:szCs w:val="16"/>
          <w:color w:val="auto"/>
        </w:rPr>
        <w:t xml:space="preserve">. 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only be required to cause such additional Registrable Securities to be so covered once per calendar year for each of the Investors (as a group) and the Tango Investors (as a group) for an aggregate of not more than three (3) additional registrations per calendar year.</w:t>
      </w:r>
    </w:p>
    <w:p>
      <w:pPr>
        <w:sectPr>
          <w:pgSz w:w="11900" w:h="16838" w:orient="portrait"/>
          <w:cols w:equalWidth="0" w:num="1">
            <w:col w:w="10560"/>
          </w:cols>
          <w:pgMar w:left="880" w:top="274" w:right="459" w:bottom="1440" w:gutter="0" w:footer="0" w:header="0"/>
        </w:sectPr>
      </w:pPr>
    </w:p>
    <w:bookmarkStart w:id="24" w:name="page25"/>
    <w:bookmarkEnd w:id="24"/>
    <w:p>
      <w:pPr>
        <w:ind w:left="4" w:right="40" w:firstLine="42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2.1.4 </w:t>
      </w:r>
      <w:r>
        <w:rPr>
          <w:rFonts w:ascii="Arial" w:cs="Arial" w:eastAsia="Arial" w:hAnsi="Arial"/>
          <w:sz w:val="16"/>
          <w:szCs w:val="16"/>
          <w:u w:val="single" w:color="auto"/>
          <w:color w:val="auto"/>
        </w:rPr>
        <w:t>Requests for Underwritten Shelf Takedowns</w:t>
      </w:r>
      <w:r>
        <w:rPr>
          <w:rFonts w:ascii="Arial" w:cs="Arial" w:eastAsia="Arial" w:hAnsi="Arial"/>
          <w:sz w:val="16"/>
          <w:szCs w:val="16"/>
          <w:color w:val="auto"/>
        </w:rPr>
        <w:t>. At any time and from time to time when an effective Shelf is on file with the Commission, a Holder (in such case,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may request to sell all or any portion of its Registrable Securities in an Underwritten Offering that is registered pursuant to the Shelf (each, an “</w:t>
      </w:r>
      <w:r>
        <w:rPr>
          <w:rFonts w:ascii="Arial" w:cs="Arial" w:eastAsia="Arial" w:hAnsi="Arial"/>
          <w:sz w:val="16"/>
          <w:szCs w:val="16"/>
          <w:b w:val="1"/>
          <w:bCs w:val="1"/>
          <w:u w:val="single" w:color="auto"/>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at least $20 million (the “</w:t>
      </w:r>
      <w:r>
        <w:rPr>
          <w:rFonts w:ascii="Arial" w:cs="Arial" w:eastAsia="Arial" w:hAnsi="Arial"/>
          <w:sz w:val="16"/>
          <w:szCs w:val="16"/>
          <w:b w:val="1"/>
          <w:bCs w:val="1"/>
          <w:u w:val="single" w:color="auto"/>
          <w:color w:val="auto"/>
        </w:rPr>
        <w:t>Minimum Takedown Threshold</w:t>
      </w:r>
      <w:r>
        <w:rPr>
          <w:rFonts w:ascii="Arial" w:cs="Arial" w:eastAsia="Arial" w:hAnsi="Arial"/>
          <w:sz w:val="16"/>
          <w:szCs w:val="16"/>
          <w:color w:val="auto"/>
        </w:rPr>
        <w:t>”).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Investors and the Tango Investors may each demand not more than three (3) Underwritten Shelf Takedowns, for an aggregate of not more than six (6) Underwritten Shelf Takedowns pursuant to this Agreement. The Company shall not be required to effect more than one</w:t>
      </w:r>
    </w:p>
    <w:p>
      <w:pPr>
        <w:spacing w:after="0" w:line="4" w:lineRule="exact"/>
        <w:rPr>
          <w:sz w:val="20"/>
          <w:szCs w:val="20"/>
          <w:color w:val="auto"/>
        </w:rPr>
      </w:pPr>
    </w:p>
    <w:p>
      <w:pPr>
        <w:jc w:val="both"/>
        <w:ind w:left="4" w:right="120" w:hanging="4"/>
        <w:spacing w:after="0" w:line="255"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Underwritten Shelf Takedown during in any six (6) month period . Notwithstanding anything to the contrary in this Agreement, the Company may effect any Underwritten Offering pursuant to any then effective Registration Statement, including a Form S-3, that is then available for such offering.</w:t>
      </w:r>
    </w:p>
    <w:p>
      <w:pPr>
        <w:spacing w:after="0" w:line="82" w:lineRule="exact"/>
        <w:rPr>
          <w:sz w:val="20"/>
          <w:szCs w:val="20"/>
          <w:color w:val="auto"/>
        </w:rPr>
      </w:pPr>
    </w:p>
    <w:p>
      <w:pPr>
        <w:ind w:left="4" w:firstLine="423"/>
        <w:spacing w:after="0" w:line="267"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Arial" w:cs="Arial" w:eastAsia="Arial" w:hAnsi="Arial"/>
          <w:sz w:val="17"/>
          <w:szCs w:val="17"/>
          <w:b w:val="1"/>
          <w:bCs w:val="1"/>
          <w:color w:val="auto"/>
        </w:rPr>
        <w:t>Requesting Holders</w:t>
      </w:r>
      <w:r>
        <w:rPr>
          <w:rFonts w:ascii="Arial" w:cs="Arial" w:eastAsia="Arial" w:hAnsi="Arial"/>
          <w:sz w:val="17"/>
          <w:szCs w:val="17"/>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color w:val="auto"/>
        </w:rPr>
        <w:t>Maximum Number of Securities</w:t>
      </w:r>
      <w:r>
        <w:rPr>
          <w:rFonts w:ascii="Arial" w:cs="Arial" w:eastAsia="Arial" w:hAnsi="Arial"/>
          <w:sz w:val="17"/>
          <w:szCs w:val="17"/>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(i) first, the Demanding Holders that can be sold without exceeding the Maximum Number of Securities (pro rata based on the respective number of Registrable Securities that each Demanding Holder has requested be included in such Underwritten Shelf Takedown and the aggregate number of Registrable Securities that all of the Demanding Holders have requested be included in such Underwritten Shelf Takedown) and (ii) second, to the extent that the Maximum Number of Securities has not been reached under the foregoing clause (i), the Requesting Holders (if any) (pro rata based on the respective number of Registrable Securities that each Requesting Holder (if any) has requested be included in such Underwritten Shelf Takedown and the aggregate number of Registrable Securities that all of the Requesting Holders have requested be included in such Underwritten Shelf Takedown) that can be sold without exceeding the Maximum Number of Securities.</w:t>
      </w:r>
    </w:p>
    <w:p>
      <w:pPr>
        <w:spacing w:after="0" w:line="82" w:lineRule="exact"/>
        <w:rPr>
          <w:sz w:val="20"/>
          <w:szCs w:val="20"/>
          <w:color w:val="auto"/>
        </w:rPr>
      </w:pPr>
    </w:p>
    <w:p>
      <w:pPr>
        <w:ind w:left="4" w:right="80" w:firstLine="423"/>
        <w:spacing w:after="0" w:line="272"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Withdrawal</w:t>
      </w:r>
      <w:r>
        <w:rPr>
          <w:rFonts w:ascii="Arial" w:cs="Arial" w:eastAsia="Arial" w:hAnsi="Arial"/>
          <w:sz w:val="17"/>
          <w:szCs w:val="17"/>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Arial" w:cs="Arial" w:eastAsia="Arial" w:hAnsi="Arial"/>
          <w:sz w:val="17"/>
          <w:szCs w:val="17"/>
          <w:b w:val="1"/>
          <w:bCs w:val="1"/>
          <w:color w:val="auto"/>
        </w:rPr>
        <w:t>Withdrawal Notice</w:t>
      </w:r>
      <w:r>
        <w:rPr>
          <w:rFonts w:ascii="Arial" w:cs="Arial" w:eastAsia="Arial" w:hAnsi="Arial"/>
          <w:sz w:val="17"/>
          <w:szCs w:val="17"/>
          <w:color w:val="auto"/>
        </w:rPr>
        <w:t xml:space="preserve">”) to the Company and the Underwriter or Underwriters (if any) of their intention to withdraw from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Sponsor or a Tango Investor may elect to have the Company continue an Underwritten Shelf Takedown if the Minimum Takedown Threshold would still be satisfied by the Registrable Securities proposed to be sold in the Underwritten Shelf Takedown by the Sponsor the Tango Investors or any of their respective Permitted Transferees, as applicable. If withdrawn, a</w:t>
      </w:r>
    </w:p>
    <w:p>
      <w:pPr>
        <w:sectPr>
          <w:pgSz w:w="11900" w:h="16838" w:orient="portrait"/>
          <w:cols w:equalWidth="0" w:num="1">
            <w:col w:w="10564"/>
          </w:cols>
          <w:pgMar w:left="876" w:top="274" w:right="459" w:bottom="1440" w:gutter="0" w:footer="0" w:header="0"/>
        </w:sectPr>
      </w:pPr>
    </w:p>
    <w:bookmarkStart w:id="25" w:name="page26"/>
    <w:bookmarkEnd w:id="25"/>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demand for an Underwritten Shelf Takedown shall constitute a demand for an Underwritten Shelf Takedown by the withdrawing Demanding Holder for purposes of </w:t>
      </w:r>
      <w:r>
        <w:rPr>
          <w:rFonts w:ascii="Arial" w:cs="Arial" w:eastAsia="Arial" w:hAnsi="Arial"/>
          <w:sz w:val="16"/>
          <w:szCs w:val="16"/>
          <w:u w:val="single" w:color="auto"/>
          <w:color w:val="auto"/>
        </w:rPr>
        <w:t>Section 2.1.4</w:t>
      </w:r>
      <w:r>
        <w:rPr>
          <w:rFonts w:ascii="Arial" w:cs="Arial" w:eastAsia="Arial" w:hAnsi="Arial"/>
          <w:sz w:val="16"/>
          <w:szCs w:val="16"/>
          <w:color w:val="auto"/>
        </w:rPr>
        <w:t>, unless either (i) such Demanding Holder has not previously withdrawn any Underwritten Shelf Takedown or</w:t>
      </w:r>
    </w:p>
    <w:p>
      <w:pPr>
        <w:ind w:left="4" w:hanging="4"/>
        <w:spacing w:after="0" w:line="268" w:lineRule="auto"/>
        <w:tabs>
          <w:tab w:leader="none" w:pos="26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Sponsor, a Director Holder or a Tango Investor elects to continue an Underwritten Shelf Takedown pursuant to the proviso in the immediately preceding sentence, such Underwritten Shelf Takedown shall instead count as an Underwritten Shelf Takedown demanded by the Sponsor, such Director Holder or such Tango Investor, as applicable, for purposes of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other than if a Demanding Holder elects to pay such Registration Expenses pursuant to clause (ii) of the second sentence of this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7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left="4" w:firstLine="423"/>
        <w:spacing w:after="0" w:line="267"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If at any time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7"/>
          <w:szCs w:val="17"/>
          <w:b w:val="1"/>
          <w:bCs w:val="1"/>
          <w:u w:val="single" w:color="auto"/>
          <w:color w:val="auto"/>
        </w:rPr>
        <w:t>Piggy-Back Registration</w:t>
      </w:r>
      <w:r>
        <w:rPr>
          <w:rFonts w:ascii="Arial" w:cs="Arial" w:eastAsia="Arial" w:hAnsi="Arial"/>
          <w:sz w:val="17"/>
          <w:szCs w:val="17"/>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83" w:lineRule="exact"/>
        <w:rPr>
          <w:sz w:val="20"/>
          <w:szCs w:val="20"/>
          <w:color w:val="auto"/>
        </w:rPr>
      </w:pPr>
    </w:p>
    <w:p>
      <w:pPr>
        <w:ind w:left="4" w:right="80" w:firstLine="423"/>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Securities, then the Company shall include in any such registration:</w:t>
      </w:r>
    </w:p>
    <w:p>
      <w:pPr>
        <w:spacing w:after="0" w:line="69" w:lineRule="exact"/>
        <w:rPr>
          <w:sz w:val="20"/>
          <w:szCs w:val="20"/>
          <w:color w:val="auto"/>
        </w:rPr>
      </w:pPr>
    </w:p>
    <w:p>
      <w:pPr>
        <w:ind w:left="984" w:right="200" w:firstLine="391"/>
        <w:spacing w:after="0" w:line="342" w:lineRule="auto"/>
        <w:tabs>
          <w:tab w:leader="none" w:pos="16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(A) first, the shares of Common Stock or other securities that the Company desires to sell that can be sold without exceeding the Maximum Number of Securities; (B) second, to the extent</w:t>
      </w:r>
    </w:p>
    <w:p>
      <w:pPr>
        <w:sectPr>
          <w:pgSz w:w="11900" w:h="16838" w:orient="portrait"/>
          <w:cols w:equalWidth="0" w:num="1">
            <w:col w:w="10564"/>
          </w:cols>
          <w:pgMar w:left="876" w:top="274" w:right="459" w:bottom="1440" w:gutter="0" w:footer="0" w:header="0"/>
        </w:sectPr>
      </w:pPr>
    </w:p>
    <w:bookmarkStart w:id="26" w:name="page27"/>
    <w:bookmarkEnd w:id="26"/>
    <w:p>
      <w:pPr>
        <w:ind w:left="984"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Maximum Number of Securities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Securities; and (C) third, to the extent that the Maximum Number of Securities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Securities;</w:t>
      </w:r>
    </w:p>
    <w:p>
      <w:pPr>
        <w:spacing w:after="0" w:line="69" w:lineRule="exact"/>
        <w:rPr>
          <w:sz w:val="20"/>
          <w:szCs w:val="20"/>
          <w:color w:val="auto"/>
        </w:rPr>
      </w:pPr>
    </w:p>
    <w:p>
      <w:pPr>
        <w:ind w:left="1624" w:hanging="249"/>
        <w:spacing w:after="0"/>
        <w:tabs>
          <w:tab w:leader="none" w:pos="16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registration is a “demand” registration undertaken at the demand of persons other than either the holders of</w:t>
      </w:r>
    </w:p>
    <w:p>
      <w:pPr>
        <w:spacing w:after="0" w:line="34" w:lineRule="exact"/>
        <w:rPr>
          <w:rFonts w:ascii="Arial" w:cs="Arial" w:eastAsia="Arial" w:hAnsi="Arial"/>
          <w:sz w:val="17"/>
          <w:szCs w:val="17"/>
          <w:color w:val="auto"/>
        </w:rPr>
      </w:pPr>
    </w:p>
    <w:p>
      <w:pPr>
        <w:ind w:left="984"/>
        <w:spacing w:after="0" w:line="268" w:lineRule="auto"/>
        <w:rPr>
          <w:rFonts w:ascii="Arial" w:cs="Arial" w:eastAsia="Arial" w:hAnsi="Arial"/>
          <w:sz w:val="17"/>
          <w:szCs w:val="17"/>
          <w:color w:val="auto"/>
        </w:rPr>
      </w:pPr>
      <w:r>
        <w:rPr>
          <w:rFonts w:ascii="Arial" w:cs="Arial" w:eastAsia="Arial" w:hAnsi="Arial"/>
          <w:sz w:val="17"/>
          <w:szCs w:val="17"/>
          <w:color w:val="auto"/>
        </w:rPr>
        <w:t>Registrable Securities, (A) first, the shares of Common Stock or other securities for the account of the demanding persons that can be sold without exceeding the Maximum Number of Securities; (B) second, to the extent that the Maximum Number of Securities has not been reached under the foregoing clause (A), the shares of Common Stock or other securities that the Company desires to sell that can be sold without exceeding the Maximum Number of Securities; (C) third, to the extent that the Maximum Number of Securities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Securities; and (D) fourth, to the extent that the Maximum Number of Securities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Securities.</w:t>
      </w:r>
    </w:p>
    <w:p>
      <w:pPr>
        <w:spacing w:after="0" w:line="71" w:lineRule="exact"/>
        <w:rPr>
          <w:sz w:val="20"/>
          <w:szCs w:val="20"/>
          <w:color w:val="auto"/>
        </w:rPr>
      </w:pPr>
    </w:p>
    <w:p>
      <w:pPr>
        <w:ind w:left="4" w:firstLine="423"/>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w:t>
      </w:r>
    </w:p>
    <w:p>
      <w:pPr>
        <w:spacing w:after="0" w:line="8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Block Trades; Other Coordinated Offerings</w:t>
      </w:r>
    </w:p>
    <w:p>
      <w:pPr>
        <w:spacing w:after="0" w:line="117" w:lineRule="exact"/>
        <w:rPr>
          <w:sz w:val="20"/>
          <w:szCs w:val="20"/>
          <w:color w:val="auto"/>
        </w:rPr>
      </w:pPr>
    </w:p>
    <w:p>
      <w:pPr>
        <w:ind w:left="4" w:right="140" w:firstLine="423"/>
        <w:spacing w:after="0" w:line="285" w:lineRule="auto"/>
        <w:rPr>
          <w:sz w:val="20"/>
          <w:szCs w:val="20"/>
          <w:color w:val="auto"/>
        </w:rPr>
      </w:pPr>
      <w:r>
        <w:rPr>
          <w:rFonts w:ascii="Arial" w:cs="Arial" w:eastAsia="Arial" w:hAnsi="Arial"/>
          <w:sz w:val="16"/>
          <w:szCs w:val="16"/>
          <w:color w:val="auto"/>
        </w:rPr>
        <w:t xml:space="preserve">2.3.1 Notwithstanding any other provision of this Article II, but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at any time and from time to time when an effective Shelf is on file with the Commission, if a Demanding Holder notifies the Company that such Demanding Holder wishes to engage in (a) an underwritten registered offering not involving a “roadshow,” an offer commonly known as a “block trade” (a “</w:t>
      </w:r>
      <w:r>
        <w:rPr>
          <w:rFonts w:ascii="Arial" w:cs="Arial" w:eastAsia="Arial" w:hAnsi="Arial"/>
          <w:sz w:val="16"/>
          <w:szCs w:val="16"/>
          <w:b w:val="1"/>
          <w:bCs w:val="1"/>
          <w:color w:val="auto"/>
        </w:rPr>
        <w:t>Block Trade</w:t>
      </w:r>
      <w:r>
        <w:rPr>
          <w:rFonts w:ascii="Arial" w:cs="Arial" w:eastAsia="Arial" w:hAnsi="Arial"/>
          <w:sz w:val="16"/>
          <w:szCs w:val="16"/>
          <w:color w:val="auto"/>
        </w:rPr>
        <w:t>”), or (b) an “at the market” or similar registered offering through a broker, sales agent or distribution agent, whether as agent or principal (an “</w:t>
      </w:r>
      <w:r>
        <w:rPr>
          <w:rFonts w:ascii="Arial" w:cs="Arial" w:eastAsia="Arial" w:hAnsi="Arial"/>
          <w:sz w:val="16"/>
          <w:szCs w:val="16"/>
          <w:b w:val="1"/>
          <w:bCs w:val="1"/>
          <w:color w:val="auto"/>
        </w:rPr>
        <w:t>Other Coordinated</w:t>
      </w:r>
      <w:r>
        <w:rPr>
          <w:rFonts w:ascii="Arial" w:cs="Arial" w:eastAsia="Arial" w:hAnsi="Arial"/>
          <w:sz w:val="16"/>
          <w:szCs w:val="16"/>
          <w:color w:val="auto"/>
        </w:rPr>
        <w:t xml:space="preserve"> </w:t>
      </w:r>
      <w:r>
        <w:rPr>
          <w:rFonts w:ascii="Arial" w:cs="Arial" w:eastAsia="Arial" w:hAnsi="Arial"/>
          <w:sz w:val="16"/>
          <w:szCs w:val="16"/>
          <w:b w:val="1"/>
          <w:bCs w:val="1"/>
          <w:color w:val="auto"/>
        </w:rPr>
        <w:t>Offering</w:t>
      </w:r>
      <w:r>
        <w:rPr>
          <w:rFonts w:ascii="Arial" w:cs="Arial" w:eastAsia="Arial" w:hAnsi="Arial"/>
          <w:sz w:val="16"/>
          <w:szCs w:val="16"/>
          <w:color w:val="auto"/>
        </w:rPr>
        <w:t>”), in each case, (x) with a total offering price reasonably expected to exceed ten million dollars ($10,000,000) in the aggregate or</w:t>
      </w:r>
    </w:p>
    <w:p>
      <w:pPr>
        <w:spacing w:after="0" w:line="2" w:lineRule="exact"/>
        <w:rPr>
          <w:sz w:val="20"/>
          <w:szCs w:val="20"/>
          <w:color w:val="auto"/>
        </w:rPr>
      </w:pPr>
    </w:p>
    <w:p>
      <w:pPr>
        <w:ind w:left="4" w:right="140" w:hanging="4"/>
        <w:spacing w:after="0" w:line="286" w:lineRule="auto"/>
        <w:tabs>
          <w:tab w:leader="none" w:pos="2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with respect to all remaining Registrable Securities held by the Demanding Holder, then such Demanding Holder only needs to notify the Company of the Block Trade or Other Coordinated Offering at least five (5) business days prior to the day such offering is to commence and the Company shall, use its reasonable best efforts to facilitate as expeditiously as possible, such Block Trade or Other Coordinated Offering of the Registrable Securities for which such Demanding Holder has requested such offering, without giving any effect to any required notice periods or delivery of notices to any other Holders; provided, that the Demanding Holders representing a majority of the Registrable Securities wishing to engage in the Block Trade or Other Coordinated Offering shall use reasonable best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 Any offering conducted as a Block Trade or Other Coordinated Offering will not count as an Underwritten Shelf Takedown for the purposes of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ectPr>
          <w:pgSz w:w="11900" w:h="16838" w:orient="portrait"/>
          <w:cols w:equalWidth="0" w:num="1">
            <w:col w:w="10564"/>
          </w:cols>
          <w:pgMar w:left="876" w:top="274" w:right="459" w:bottom="1440" w:gutter="0" w:footer="0" w:header="0"/>
        </w:sectPr>
      </w:pPr>
    </w:p>
    <w:bookmarkStart w:id="27" w:name="page28"/>
    <w:bookmarkEnd w:id="27"/>
    <w:p>
      <w:pPr>
        <w:ind w:left="440" w:right="20"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7"/>
          <w:szCs w:val="17"/>
          <w:u w:val="single" w:color="auto"/>
          <w:color w:val="auto"/>
        </w:rPr>
        <w:t>Section 2.3.2.</w:t>
      </w:r>
    </w:p>
    <w:p>
      <w:pPr>
        <w:spacing w:after="0" w:line="70" w:lineRule="exact"/>
        <w:rPr>
          <w:sz w:val="20"/>
          <w:szCs w:val="20"/>
          <w:color w:val="auto"/>
        </w:rPr>
      </w:pPr>
    </w:p>
    <w:p>
      <w:pPr>
        <w:ind w:left="440" w:right="540" w:firstLine="423"/>
        <w:spacing w:after="0" w:line="277" w:lineRule="auto"/>
        <w:rPr>
          <w:sz w:val="20"/>
          <w:szCs w:val="20"/>
          <w:color w:val="auto"/>
        </w:rPr>
      </w:pPr>
      <w:r>
        <w:rPr>
          <w:rFonts w:ascii="Arial" w:cs="Arial" w:eastAsia="Arial" w:hAnsi="Arial"/>
          <w:sz w:val="18"/>
          <w:szCs w:val="18"/>
          <w:color w:val="auto"/>
        </w:rPr>
        <w:t xml:space="preserve">2.3.3 Notwithstanding anything to the contrary in this Agreement,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not apply to a Block Trade or Other Coordinated Offering initiated by a Demanding Holder pursuant to this Agreement.</w:t>
      </w:r>
    </w:p>
    <w:p>
      <w:pPr>
        <w:spacing w:after="0" w:line="62"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color w:val="auto"/>
        </w:rPr>
        <w:t>2.3.4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spacing w:after="0" w:line="76" w:lineRule="exact"/>
        <w:rPr>
          <w:sz w:val="20"/>
          <w:szCs w:val="20"/>
          <w:color w:val="auto"/>
        </w:rPr>
      </w:pPr>
    </w:p>
    <w:p>
      <w:pPr>
        <w:ind w:left="440" w:firstLine="423"/>
        <w:spacing w:after="0" w:line="286" w:lineRule="auto"/>
        <w:rPr>
          <w:sz w:val="20"/>
          <w:szCs w:val="20"/>
          <w:color w:val="auto"/>
        </w:rPr>
      </w:pPr>
      <w:r>
        <w:rPr>
          <w:rFonts w:ascii="Arial" w:cs="Arial" w:eastAsia="Arial" w:hAnsi="Arial"/>
          <w:sz w:val="17"/>
          <w:szCs w:val="17"/>
          <w:color w:val="auto"/>
        </w:rPr>
        <w:t xml:space="preserve">2.3.5 A Demanding Holder in the aggregate may demand no more than two (2) Block Trades or Other Coordinated Offerings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 any twelve (12) month period. For the avoidance of doubt, any Block Trade or Other Coordinated Offering effected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not be counted as a demand for an Underwritten Shelf Takedown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hereof.</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REGISTRATION PROCEDURES.</w:t>
      </w:r>
    </w:p>
    <w:p>
      <w:pPr>
        <w:spacing w:after="0" w:line="225" w:lineRule="exact"/>
        <w:rPr>
          <w:sz w:val="20"/>
          <w:szCs w:val="20"/>
          <w:color w:val="auto"/>
        </w:rPr>
      </w:pPr>
    </w:p>
    <w:p>
      <w:pPr>
        <w:ind w:firstLine="881"/>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In connection with any Shelf and/or Shelf Takedown, the Company shall use its commercially reasonable efforts to effect such Registration to permit the sale of such Registrable Securities in accordance with the intended plan of distribution thereof, and pursuant thereto the Company shall:</w:t>
      </w:r>
    </w:p>
    <w:p>
      <w:pPr>
        <w:spacing w:after="0" w:line="76" w:lineRule="exact"/>
        <w:rPr>
          <w:sz w:val="20"/>
          <w:szCs w:val="20"/>
          <w:color w:val="auto"/>
        </w:rPr>
      </w:pPr>
    </w:p>
    <w:p>
      <w:pPr>
        <w:ind w:left="440" w:right="140" w:firstLine="423"/>
        <w:spacing w:after="0" w:line="259"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are sold in accordance with the intended plan of distribution set forth in such Registration Statement or have ceased to be Registrable Securities;</w:t>
      </w:r>
    </w:p>
    <w:p>
      <w:pPr>
        <w:spacing w:after="0" w:line="79" w:lineRule="exact"/>
        <w:rPr>
          <w:sz w:val="20"/>
          <w:szCs w:val="20"/>
          <w:color w:val="auto"/>
        </w:rPr>
      </w:pPr>
    </w:p>
    <w:p>
      <w:pPr>
        <w:ind w:left="440" w:right="120" w:firstLine="423"/>
        <w:spacing w:after="0" w:line="293" w:lineRule="auto"/>
        <w:rPr>
          <w:sz w:val="20"/>
          <w:szCs w:val="20"/>
          <w:color w:val="auto"/>
        </w:rPr>
      </w:pPr>
      <w:r>
        <w:rPr>
          <w:rFonts w:ascii="Arial" w:cs="Arial" w:eastAsia="Arial" w:hAnsi="Arial"/>
          <w:sz w:val="16"/>
          <w:szCs w:val="16"/>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56" w:lineRule="exact"/>
        <w:rPr>
          <w:sz w:val="20"/>
          <w:szCs w:val="20"/>
          <w:color w:val="auto"/>
        </w:rPr>
      </w:pPr>
    </w:p>
    <w:p>
      <w:pPr>
        <w:ind w:left="440" w:right="20" w:firstLine="423"/>
        <w:spacing w:after="0" w:line="271"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w:t>
      </w:r>
    </w:p>
    <w:p>
      <w:pPr>
        <w:sectPr>
          <w:pgSz w:w="11900" w:h="16838" w:orient="portrait"/>
          <w:cols w:equalWidth="0" w:num="1">
            <w:col w:w="10940"/>
          </w:cols>
          <w:pgMar w:left="440" w:top="274" w:right="519" w:bottom="1440" w:gutter="0" w:footer="0" w:header="0"/>
        </w:sectPr>
      </w:pPr>
    </w:p>
    <w:bookmarkStart w:id="28" w:name="page29"/>
    <w:bookmarkEnd w:id="28"/>
    <w:p>
      <w:pPr>
        <w:ind w:firstLine="42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60" w:lineRule="exact"/>
        <w:rPr>
          <w:sz w:val="20"/>
          <w:szCs w:val="20"/>
          <w:color w:val="auto"/>
        </w:rPr>
      </w:pPr>
    </w:p>
    <w:p>
      <w:pPr>
        <w:ind w:right="640" w:firstLine="423"/>
        <w:spacing w:after="0" w:line="277" w:lineRule="auto"/>
        <w:rPr>
          <w:sz w:val="20"/>
          <w:szCs w:val="20"/>
          <w:color w:val="auto"/>
        </w:rPr>
      </w:pPr>
      <w:r>
        <w:rPr>
          <w:rFonts w:ascii="Arial" w:cs="Arial" w:eastAsia="Arial" w:hAnsi="Arial"/>
          <w:sz w:val="18"/>
          <w:szCs w:val="18"/>
          <w:color w:val="auto"/>
        </w:rPr>
        <w:t>3.1.5 cause all such Registrable Securities to be listed on each national securities exchange on which similar securities issued by the Company are then listed;</w:t>
      </w:r>
    </w:p>
    <w:p>
      <w:pPr>
        <w:spacing w:after="0" w:line="62" w:lineRule="exact"/>
        <w:rPr>
          <w:sz w:val="20"/>
          <w:szCs w:val="20"/>
          <w:color w:val="auto"/>
        </w:rPr>
      </w:pPr>
    </w:p>
    <w:p>
      <w:pPr>
        <w:ind w:right="100" w:firstLine="423"/>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62" w:lineRule="exact"/>
        <w:rPr>
          <w:sz w:val="20"/>
          <w:szCs w:val="20"/>
          <w:color w:val="auto"/>
        </w:rPr>
      </w:pPr>
    </w:p>
    <w:p>
      <w:pPr>
        <w:ind w:right="60" w:firstLine="423"/>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79" w:lineRule="exact"/>
        <w:rPr>
          <w:sz w:val="20"/>
          <w:szCs w:val="20"/>
          <w:color w:val="auto"/>
        </w:rPr>
      </w:pPr>
    </w:p>
    <w:p>
      <w:pPr>
        <w:ind w:right="80" w:firstLine="423"/>
        <w:spacing w:after="0" w:line="296" w:lineRule="auto"/>
        <w:rPr>
          <w:sz w:val="20"/>
          <w:szCs w:val="20"/>
          <w:color w:val="auto"/>
        </w:rPr>
      </w:pPr>
      <w:r>
        <w:rPr>
          <w:rFonts w:ascii="Arial" w:cs="Arial" w:eastAsia="Arial" w:hAnsi="Arial"/>
          <w:sz w:val="16"/>
          <w:szCs w:val="16"/>
          <w:color w:val="auto"/>
        </w:rPr>
        <w:t>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thereof to each seller of such Registrable Securities or its counsel (excluding any exhibits thereto and any filing made under the Exchange Act that is to be incorporated by reference therein);</w:t>
      </w:r>
    </w:p>
    <w:p>
      <w:pPr>
        <w:spacing w:after="0" w:line="53" w:lineRule="exact"/>
        <w:rPr>
          <w:sz w:val="20"/>
          <w:szCs w:val="20"/>
          <w:color w:val="auto"/>
        </w:rPr>
      </w:pPr>
    </w:p>
    <w:p>
      <w:pPr>
        <w:ind w:right="600" w:firstLine="423"/>
        <w:spacing w:after="0" w:line="286" w:lineRule="auto"/>
        <w:rPr>
          <w:sz w:val="20"/>
          <w:szCs w:val="20"/>
          <w:color w:val="auto"/>
        </w:rPr>
      </w:pPr>
      <w:r>
        <w:rPr>
          <w:rFonts w:ascii="Arial" w:cs="Arial" w:eastAsia="Arial" w:hAnsi="Arial"/>
          <w:sz w:val="17"/>
          <w:szCs w:val="17"/>
          <w:color w:val="auto"/>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w:t>
      </w:r>
    </w:p>
    <w:p>
      <w:pPr>
        <w:spacing w:after="0" w:line="57" w:lineRule="exact"/>
        <w:rPr>
          <w:sz w:val="20"/>
          <w:szCs w:val="20"/>
          <w:color w:val="auto"/>
        </w:rPr>
      </w:pPr>
    </w:p>
    <w:p>
      <w:pPr>
        <w:ind w:right="40" w:firstLine="423"/>
        <w:spacing w:after="0" w:line="270" w:lineRule="auto"/>
        <w:rPr>
          <w:sz w:val="20"/>
          <w:szCs w:val="20"/>
          <w:color w:val="auto"/>
        </w:rPr>
      </w:pPr>
      <w:r>
        <w:rPr>
          <w:rFonts w:ascii="Arial" w:cs="Arial" w:eastAsia="Arial" w:hAnsi="Arial"/>
          <w:sz w:val="17"/>
          <w:szCs w:val="17"/>
          <w:color w:val="auto"/>
        </w:rPr>
        <w:t>3.1.10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provided, however, that such representatives, Underwriters or financial institutions agree to confidentiality arrangements in form and substance reasonably satisfactory to the Company, prior to the release or disclosure of any such information;</w:t>
      </w:r>
    </w:p>
    <w:p>
      <w:pPr>
        <w:sectPr>
          <w:pgSz w:w="11900" w:h="16838" w:orient="portrait"/>
          <w:cols w:equalWidth="0" w:num="1">
            <w:col w:w="10560"/>
          </w:cols>
          <w:pgMar w:left="880" w:top="274" w:right="459" w:bottom="1440" w:gutter="0" w:footer="0" w:header="0"/>
        </w:sectPr>
      </w:pPr>
    </w:p>
    <w:bookmarkStart w:id="29" w:name="page30"/>
    <w:bookmarkEnd w:id="29"/>
    <w:p>
      <w:pPr>
        <w:ind w:left="4" w:right="160" w:firstLine="42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3.1.11 obtain a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for a transaction of its type as the managing Underwriter may reasonably request, and reasonably satisfactory to a majority-in-interest of the participating Holders;</w:t>
      </w:r>
    </w:p>
    <w:p>
      <w:pPr>
        <w:spacing w:after="0" w:line="84" w:lineRule="exact"/>
        <w:rPr>
          <w:sz w:val="20"/>
          <w:szCs w:val="20"/>
          <w:color w:val="auto"/>
        </w:rPr>
      </w:pPr>
    </w:p>
    <w:p>
      <w:pPr>
        <w:ind w:left="4" w:firstLine="423"/>
        <w:spacing w:after="0" w:line="293" w:lineRule="auto"/>
        <w:rPr>
          <w:sz w:val="20"/>
          <w:szCs w:val="20"/>
          <w:color w:val="auto"/>
        </w:rPr>
      </w:pPr>
      <w:r>
        <w:rPr>
          <w:rFonts w:ascii="Arial" w:cs="Arial" w:eastAsia="Arial" w:hAnsi="Arial"/>
          <w:sz w:val="16"/>
          <w:szCs w:val="16"/>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56" w:lineRule="exact"/>
        <w:rPr>
          <w:sz w:val="20"/>
          <w:szCs w:val="20"/>
          <w:color w:val="auto"/>
        </w:rPr>
      </w:pPr>
    </w:p>
    <w:p>
      <w:pPr>
        <w:ind w:left="4" w:firstLine="423"/>
        <w:spacing w:after="0" w:line="311" w:lineRule="auto"/>
        <w:rPr>
          <w:sz w:val="20"/>
          <w:szCs w:val="20"/>
          <w:color w:val="auto"/>
        </w:rPr>
      </w:pPr>
      <w:r>
        <w:rPr>
          <w:rFonts w:ascii="Arial" w:cs="Arial" w:eastAsia="Arial" w:hAnsi="Arial"/>
          <w:sz w:val="16"/>
          <w:szCs w:val="16"/>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41" w:lineRule="exact"/>
        <w:rPr>
          <w:sz w:val="20"/>
          <w:szCs w:val="20"/>
          <w:color w:val="auto"/>
        </w:rPr>
      </w:pPr>
    </w:p>
    <w:p>
      <w:pPr>
        <w:ind w:left="424"/>
        <w:spacing w:after="0"/>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w:t>
      </w:r>
    </w:p>
    <w:p>
      <w:pPr>
        <w:spacing w:after="0" w:line="46" w:lineRule="exact"/>
        <w:rPr>
          <w:sz w:val="20"/>
          <w:szCs w:val="20"/>
          <w:color w:val="auto"/>
        </w:rPr>
      </w:pPr>
    </w:p>
    <w:p>
      <w:pPr>
        <w:ind w:left="4" w:right="200" w:hanging="4"/>
        <w:spacing w:after="0" w:line="290" w:lineRule="auto"/>
        <w:tabs>
          <w:tab w:leader="none" w:pos="3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53" w:lineRule="exact"/>
        <w:rPr>
          <w:sz w:val="20"/>
          <w:szCs w:val="20"/>
          <w:color w:val="auto"/>
        </w:rPr>
      </w:pPr>
    </w:p>
    <w:p>
      <w:pPr>
        <w:ind w:left="4" w:right="160" w:firstLine="423"/>
        <w:spacing w:after="0" w:line="263" w:lineRule="auto"/>
        <w:rPr>
          <w:sz w:val="20"/>
          <w:szCs w:val="20"/>
          <w:color w:val="auto"/>
        </w:rPr>
      </w:pPr>
      <w:r>
        <w:rPr>
          <w:rFonts w:ascii="Arial" w:cs="Arial" w:eastAsia="Arial" w:hAnsi="Arial"/>
          <w:sz w:val="18"/>
          <w:szCs w:val="18"/>
          <w:color w:val="auto"/>
        </w:rPr>
        <w:t>3.1.15 with respect to an Underwritten Offering pursuant to Section 2.1.4, use its commercially reasonable efforts to make available senior executives of the Company to participate in customary “road show” presentations that may be reasonably requested by the Underwriter in such Underwritten Offering; and</w:t>
      </w:r>
    </w:p>
    <w:p>
      <w:pPr>
        <w:spacing w:after="0" w:line="76" w:lineRule="exact"/>
        <w:rPr>
          <w:sz w:val="20"/>
          <w:szCs w:val="20"/>
          <w:color w:val="auto"/>
        </w:rPr>
      </w:pPr>
    </w:p>
    <w:p>
      <w:pPr>
        <w:ind w:left="4" w:right="720" w:firstLine="423"/>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62"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41" w:lineRule="exact"/>
        <w:rPr>
          <w:sz w:val="20"/>
          <w:szCs w:val="20"/>
          <w:color w:val="auto"/>
        </w:rPr>
      </w:pPr>
    </w:p>
    <w:p>
      <w:pPr>
        <w:ind w:left="4" w:firstLine="423"/>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79" w:lineRule="exact"/>
        <w:rPr>
          <w:sz w:val="20"/>
          <w:szCs w:val="20"/>
          <w:color w:val="auto"/>
        </w:rPr>
      </w:pPr>
    </w:p>
    <w:p>
      <w:pPr>
        <w:ind w:left="4" w:right="60" w:firstLine="423"/>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Registration Statement in Offerings</w:t>
      </w:r>
      <w:r>
        <w:rPr>
          <w:rFonts w:ascii="Arial" w:cs="Arial" w:eastAsia="Arial" w:hAnsi="Arial"/>
          <w:sz w:val="18"/>
          <w:szCs w:val="18"/>
          <w:color w:val="auto"/>
        </w:rPr>
        <w:t>.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w:t>
      </w:r>
    </w:p>
    <w:p>
      <w:pPr>
        <w:sectPr>
          <w:pgSz w:w="11900" w:h="16838" w:orient="portrait"/>
          <w:cols w:equalWidth="0" w:num="1">
            <w:col w:w="10564"/>
          </w:cols>
          <w:pgMar w:left="876" w:top="274" w:right="459" w:bottom="1440" w:gutter="0" w:footer="0" w:header="0"/>
        </w:sectPr>
      </w:pPr>
    </w:p>
    <w:bookmarkStart w:id="30" w:name="page31"/>
    <w:bookmarkEnd w:id="30"/>
    <w:p>
      <w:pPr>
        <w:ind w:left="440"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agreements, underwriting or other agreements and other customary documents as may be reasonably required under the terms of such underwriting, sales, distribution or placement arrangements. For the avoidance of doubt, the exclusion of a Holder’s Registrable Securities as a result of this Section 3.3 shall not affect the registration of the other Registrable Securities to be included in such Registration.</w:t>
      </w:r>
    </w:p>
    <w:p>
      <w:pPr>
        <w:spacing w:after="0" w:line="5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 Adverse Disclosure; Restrictions on Registration Rights.</w:t>
      </w:r>
    </w:p>
    <w:p>
      <w:pPr>
        <w:spacing w:after="0" w:line="117" w:lineRule="exact"/>
        <w:rPr>
          <w:sz w:val="20"/>
          <w:szCs w:val="20"/>
          <w:color w:val="auto"/>
        </w:rPr>
      </w:pPr>
    </w:p>
    <w:p>
      <w:pPr>
        <w:ind w:left="440" w:right="180" w:firstLine="423"/>
        <w:spacing w:after="0" w:line="257" w:lineRule="auto"/>
        <w:rPr>
          <w:sz w:val="20"/>
          <w:szCs w:val="20"/>
          <w:color w:val="auto"/>
        </w:rPr>
      </w:pPr>
      <w:r>
        <w:rPr>
          <w:rFonts w:ascii="Arial" w:cs="Arial" w:eastAsia="Arial" w:hAnsi="Arial"/>
          <w:sz w:val="18"/>
          <w:szCs w:val="18"/>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80"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 xml:space="preserve">3.4.2 Subject to </w:t>
      </w:r>
      <w:r>
        <w:rPr>
          <w:rFonts w:ascii="Arial" w:cs="Arial" w:eastAsia="Arial" w:hAnsi="Arial"/>
          <w:sz w:val="17"/>
          <w:szCs w:val="17"/>
          <w:u w:val="single" w:color="auto"/>
          <w:color w:val="auto"/>
        </w:rPr>
        <w:t>Section 3.4.4</w:t>
      </w:r>
      <w:r>
        <w:rPr>
          <w:rFonts w:ascii="Arial" w:cs="Arial" w:eastAsia="Arial" w:hAnsi="Arial"/>
          <w:sz w:val="17"/>
          <w:szCs w:val="17"/>
          <w:color w:val="auto"/>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Arial" w:cs="Arial" w:eastAsia="Arial" w:hAnsi="Arial"/>
          <w:sz w:val="17"/>
          <w:szCs w:val="17"/>
          <w:u w:val="single" w:color="auto"/>
          <w:color w:val="auto"/>
        </w:rPr>
        <w:t>Section 3.4.2</w:t>
      </w:r>
      <w:r>
        <w:rPr>
          <w:rFonts w:ascii="Arial" w:cs="Arial" w:eastAsia="Arial" w:hAnsi="Arial"/>
          <w:sz w:val="17"/>
          <w:szCs w:val="17"/>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74" w:lineRule="exact"/>
        <w:rPr>
          <w:sz w:val="20"/>
          <w:szCs w:val="20"/>
          <w:color w:val="auto"/>
        </w:rPr>
      </w:pPr>
    </w:p>
    <w:p>
      <w:pPr>
        <w:ind w:left="440" w:right="180" w:firstLine="423"/>
        <w:spacing w:after="0" w:line="293" w:lineRule="auto"/>
        <w:rPr>
          <w:sz w:val="20"/>
          <w:szCs w:val="20"/>
          <w:color w:val="auto"/>
        </w:rPr>
      </w:pPr>
      <w:r>
        <w:rPr>
          <w:rFonts w:ascii="Arial" w:cs="Arial" w:eastAsia="Arial" w:hAnsi="Arial"/>
          <w:sz w:val="16"/>
          <w:szCs w:val="16"/>
          <w:color w:val="auto"/>
        </w:rPr>
        <w:t xml:space="preserve">3.4.3 Subject to </w:t>
      </w:r>
      <w:r>
        <w:rPr>
          <w:rFonts w:ascii="Arial" w:cs="Arial" w:eastAsia="Arial" w:hAnsi="Arial"/>
          <w:sz w:val="16"/>
          <w:szCs w:val="16"/>
          <w:u w:val="single" w:color="auto"/>
          <w:color w:val="auto"/>
        </w:rPr>
        <w:t>Section 3.4.4</w:t>
      </w:r>
      <w:r>
        <w:rPr>
          <w:rFonts w:ascii="Arial" w:cs="Arial" w:eastAsia="Arial" w:hAnsi="Arial"/>
          <w:sz w:val="16"/>
          <w:szCs w:val="16"/>
          <w:color w:val="auto"/>
        </w:rPr>
        <w:t xml:space="preserve">, (a) during the period starting with the date sixty (60) days prior to the Company’s good faith estimate of the date of the filing of, and ending on a date one hundred and twenty (120) days after the effective date of, a Company-initiated Registration and provided that the Company continues to actively employ, in good faith, all commercially reasonable efforts to maintain the effectiveness of the applicable Shelf Registration Statement, or (b) if,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64"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 xml:space="preserve">3.4.4 The right to delay or suspend any filing, initial effectiveness or continued use of a Registration Statement pursuant to </w:t>
      </w:r>
      <w:r>
        <w:rPr>
          <w:rFonts w:ascii="Arial" w:cs="Arial" w:eastAsia="Arial" w:hAnsi="Arial"/>
          <w:sz w:val="17"/>
          <w:szCs w:val="17"/>
          <w:u w:val="single" w:color="auto"/>
          <w:color w:val="auto"/>
        </w:rPr>
        <w:t>Section 3.4.2</w:t>
      </w:r>
      <w:r>
        <w:rPr>
          <w:rFonts w:ascii="Arial" w:cs="Arial" w:eastAsia="Arial" w:hAnsi="Arial"/>
          <w:sz w:val="17"/>
          <w:szCs w:val="17"/>
          <w:color w:val="auto"/>
        </w:rPr>
        <w:t xml:space="preserve"> or a registered offering pursuant to </w:t>
      </w:r>
      <w:r>
        <w:rPr>
          <w:rFonts w:ascii="Arial" w:cs="Arial" w:eastAsia="Arial" w:hAnsi="Arial"/>
          <w:sz w:val="17"/>
          <w:szCs w:val="17"/>
          <w:u w:val="single" w:color="auto"/>
          <w:color w:val="auto"/>
        </w:rPr>
        <w:t>Section 3.4.3</w:t>
      </w:r>
      <w:r>
        <w:rPr>
          <w:rFonts w:ascii="Arial" w:cs="Arial" w:eastAsia="Arial" w:hAnsi="Arial"/>
          <w:sz w:val="17"/>
          <w:szCs w:val="17"/>
          <w:color w:val="auto"/>
        </w:rPr>
        <w:t xml:space="preserve"> shall be exercised by the Company, in the aggregate, for not more than ninety (90) consecutive calendar days or more than one hundred and twenty (120) total calendar days in each case, during any twelve (12)-month period.</w:t>
      </w:r>
    </w:p>
    <w:p>
      <w:pPr>
        <w:spacing w:after="0" w:line="16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provided that any documents publicly filed or furnished with the Commission pursuant to EDGAR shall be deemed to have been furnished or delivered to the Holders pursuant to</w:t>
      </w:r>
    </w:p>
    <w:p>
      <w:pPr>
        <w:sectPr>
          <w:pgSz w:w="11900" w:h="16838" w:orient="portrait"/>
          <w:cols w:equalWidth="0" w:num="1">
            <w:col w:w="11000"/>
          </w:cols>
          <w:pgMar w:left="440" w:top="274" w:right="459" w:bottom="1440" w:gutter="0" w:footer="0" w:header="0"/>
        </w:sectPr>
      </w:pPr>
    </w:p>
    <w:bookmarkStart w:id="31" w:name="page32"/>
    <w:bookmarkEnd w:id="31"/>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Arial" w:cs="Arial" w:eastAsia="Arial" w:hAnsi="Arial"/>
          <w:sz w:val="18"/>
          <w:szCs w:val="18"/>
          <w:u w:val="single" w:color="auto"/>
          <w:color w:val="auto"/>
        </w:rPr>
        <w:t>Section 3.5</w:t>
      </w:r>
      <w:r>
        <w:rPr>
          <w:rFonts w:ascii="Arial" w:cs="Arial" w:eastAsia="Arial" w:hAnsi="Arial"/>
          <w:sz w:val="18"/>
          <w:szCs w:val="18"/>
          <w:color w:val="auto"/>
        </w:rPr>
        <w: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188" w:lineRule="exact"/>
        <w:rPr>
          <w:sz w:val="20"/>
          <w:szCs w:val="20"/>
          <w:color w:val="auto"/>
        </w:rPr>
      </w:pPr>
    </w:p>
    <w:p>
      <w:pPr>
        <w:ind w:left="620" w:hanging="184"/>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the Holders, and each of their respective officers, employees, affiliates, directors, partners, members, attorneys and agents, and each person, if any, who controls a Holder (within the meaning of Section 15 of the Securities Act or Section 20 of the Exchange Act) (each, a “</w:t>
      </w:r>
      <w:r>
        <w:rPr>
          <w:rFonts w:ascii="Arial" w:cs="Arial" w:eastAsia="Arial" w:hAnsi="Arial"/>
          <w:sz w:val="16"/>
          <w:szCs w:val="16"/>
          <w:b w:val="1"/>
          <w:bCs w:val="1"/>
          <w:u w:val="single" w:color="auto"/>
          <w:color w:val="auto"/>
        </w:rPr>
        <w:t>Holder Indemnified Party</w:t>
      </w:r>
      <w:r>
        <w:rPr>
          <w:rFonts w:ascii="Arial" w:cs="Arial" w:eastAsia="Arial" w:hAnsi="Arial"/>
          <w:sz w:val="16"/>
          <w:szCs w:val="16"/>
          <w:color w:val="auto"/>
        </w:rPr>
        <w:t xml:space="preserve">”),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Holder Indemnified Party for any legal and any other expenses reasonably incurred by such Holder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392"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84"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such person (the “Indemnified Party”) shall, if a claim in respect thereof is to be made against any other person for indemnification hereunder, notify such other person (the “</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in</w:t>
      </w:r>
    </w:p>
    <w:p>
      <w:pPr>
        <w:sectPr>
          <w:pgSz w:w="11900" w:h="16838" w:orient="portrait"/>
          <w:cols w:equalWidth="0" w:num="1">
            <w:col w:w="10980"/>
          </w:cols>
          <w:pgMar w:left="440" w:top="274" w:right="479" w:bottom="1440" w:gutter="0" w:footer="0" w:header="0"/>
        </w:sectPr>
      </w:pPr>
    </w:p>
    <w:bookmarkStart w:id="32" w:name="page33"/>
    <w:bookmarkEnd w:id="32"/>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sz w:val="20"/>
          <w:szCs w:val="20"/>
          <w:color w:val="auto"/>
        </w:rPr>
      </w:pPr>
    </w:p>
    <w:p>
      <w:pPr>
        <w:ind w:left="440" w:right="20" w:firstLine="423"/>
        <w:spacing w:after="0" w:line="253" w:lineRule="auto"/>
        <w:rPr>
          <w:sz w:val="20"/>
          <w:szCs w:val="20"/>
          <w:color w:val="auto"/>
        </w:rPr>
      </w:pPr>
      <w:r>
        <w:rPr>
          <w:rFonts w:ascii="Arial" w:cs="Arial" w:eastAsia="Arial" w:hAnsi="Arial"/>
          <w:sz w:val="18"/>
          <w:szCs w:val="18"/>
          <w:color w:val="auto"/>
        </w:rPr>
        <w:t xml:space="preserve">4.4.1 If the indemnification provided for in the foregoing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88" w:lineRule="exact"/>
        <w:rPr>
          <w:sz w:val="20"/>
          <w:szCs w:val="20"/>
          <w:color w:val="auto"/>
        </w:rPr>
      </w:pPr>
    </w:p>
    <w:p>
      <w:pPr>
        <w:ind w:left="440" w:right="80" w:firstLine="423"/>
        <w:spacing w:after="0" w:line="263" w:lineRule="auto"/>
        <w:rPr>
          <w:sz w:val="20"/>
          <w:szCs w:val="20"/>
          <w:color w:val="auto"/>
        </w:rPr>
      </w:pPr>
      <w:r>
        <w:rPr>
          <w:rFonts w:ascii="Arial" w:cs="Arial" w:eastAsia="Arial" w:hAnsi="Arial"/>
          <w:sz w:val="18"/>
          <w:szCs w:val="18"/>
          <w:color w:val="auto"/>
        </w:rPr>
        <w:t xml:space="preserve">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76" w:lineRule="exact"/>
        <w:rPr>
          <w:sz w:val="20"/>
          <w:szCs w:val="20"/>
          <w:color w:val="auto"/>
        </w:rPr>
      </w:pPr>
    </w:p>
    <w:p>
      <w:pPr>
        <w:ind w:left="440" w:firstLine="423"/>
        <w:spacing w:after="0" w:line="291" w:lineRule="auto"/>
        <w:rPr>
          <w:sz w:val="20"/>
          <w:szCs w:val="20"/>
          <w:color w:val="auto"/>
        </w:rPr>
      </w:pPr>
      <w:r>
        <w:rPr>
          <w:rFonts w:ascii="Arial" w:cs="Arial" w:eastAsia="Arial" w:hAnsi="Arial"/>
          <w:sz w:val="16"/>
          <w:szCs w:val="16"/>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ectPr>
          <w:pgSz w:w="11900" w:h="16838" w:orient="portrait"/>
          <w:cols w:equalWidth="0" w:num="1">
            <w:col w:w="11000"/>
          </w:cols>
          <w:pgMar w:left="440" w:top="274" w:right="459" w:bottom="1440" w:gutter="0" w:footer="0" w:header="0"/>
        </w:sectPr>
      </w:pPr>
    </w:p>
    <w:bookmarkStart w:id="33" w:name="page34"/>
    <w:bookmarkEnd w:id="33"/>
    <w:p>
      <w:pPr>
        <w:ind w:left="620" w:hanging="18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Other than the Sponsor and Holders who each have registration rights with respect to their Holder shares pursuant to their respective Subscription Agreements,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without (a) the prior written consent of (i) the Sponsor, for so long as the Sponsor and its affiliates hold, in the aggregate, Registrable Securities representing at least one percent (1%) of the outstanding shares of Common Stock of the Company, and (ii) a Tango Investor, for so long as such Tango Investor and its affiliates hold, in the aggregate, Registrable Securities representing at least one percent (1%) of the outstanding shares of Common Stock of the Company, or (b) granting economically and legally equivalent rights to the Holders hereunder such that the 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6"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xml:space="preserve">. This Agreement and the rights, duties and obligations of the Company hereunder may not be assigned or delegated by the Company in whole or in part.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Any transfer or assignment made other than as provided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null and void.</w:t>
      </w:r>
    </w:p>
    <w:p>
      <w:pPr>
        <w:spacing w:after="0" w:line="160" w:lineRule="exact"/>
        <w:rPr>
          <w:sz w:val="20"/>
          <w:szCs w:val="20"/>
          <w:color w:val="auto"/>
        </w:rPr>
      </w:pPr>
    </w:p>
    <w:p>
      <w:pPr>
        <w:ind w:firstLine="991"/>
        <w:spacing w:after="0" w:line="29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 Binney Street, Suite 700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bweber@tangotx.com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(which shall not constitute notice):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Goodwin Procter LLP</w:t>
      </w:r>
    </w:p>
    <w:p>
      <w:pPr>
        <w:spacing w:after="0" w:line="9" w:lineRule="exact"/>
        <w:rPr>
          <w:sz w:val="20"/>
          <w:szCs w:val="20"/>
          <w:color w:val="auto"/>
        </w:rPr>
      </w:pPr>
    </w:p>
    <w:p>
      <w:pPr>
        <w:ind w:left="440" w:right="9020" w:hanging="4"/>
        <w:spacing w:after="0" w:line="281" w:lineRule="auto"/>
        <w:tabs>
          <w:tab w:leader="none" w:pos="7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Northern Avenue Boston, MA 02210</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Attention: Mitchell S. Bloom, William D. Collins &amp; Laurie A. Burlingame</w:t>
      </w:r>
    </w:p>
    <w:p>
      <w:pPr>
        <w:spacing w:after="0" w:line="9"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 xml:space="preserve">Email: MBloom@Goodwinlaw.com; Wcollins@Goodwinlaw.com; </w:t>
      </w:r>
      <w:r>
        <w:rPr>
          <w:rFonts w:ascii="Arial" w:cs="Arial" w:eastAsia="Arial" w:hAnsi="Arial"/>
          <w:sz w:val="18"/>
          <w:szCs w:val="18"/>
          <w:u w:val="single" w:color="auto"/>
          <w:color w:val="auto"/>
        </w:rPr>
        <w:t>LBurlingame@goodwinlaw.com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 Holder, to the address set forth below such Holder’s name on Exhibit A hereto.</w:t>
      </w:r>
    </w:p>
    <w:p>
      <w:pPr>
        <w:sectPr>
          <w:pgSz w:w="11900" w:h="16838" w:orient="portrait"/>
          <w:cols w:equalWidth="0" w:num="1">
            <w:col w:w="11000"/>
          </w:cols>
          <w:pgMar w:left="440" w:top="274" w:right="459" w:bottom="1440" w:gutter="0" w:footer="0" w:header="0"/>
        </w:sectPr>
      </w:pPr>
    </w:p>
    <w:bookmarkStart w:id="34" w:name="page35"/>
    <w:bookmarkEnd w:id="34"/>
    <w:p>
      <w:pPr>
        <w:ind w:right="2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49" w:lineRule="exact"/>
        <w:rPr>
          <w:sz w:val="20"/>
          <w:szCs w:val="20"/>
          <w:color w:val="auto"/>
        </w:rPr>
      </w:pPr>
    </w:p>
    <w:p>
      <w:pPr>
        <w:ind w:right="180" w:firstLine="991"/>
        <w:spacing w:after="0" w:line="26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provided, however, that notwithstanding the foregoing, any amendment hereto or waiver hereof shall also require the written consent of the Sponsor; provided, further, that notwithstanding the foregoing, any amendment hereto or waiver hereof shall also require the written consent of each Tango Investor so long as such Tango Investor and its respective affiliates hold, in the aggregate, at least one percent (1%) of the outstanding shares of Common Stock of the Company; and provided, further,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7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on the earlier of (a) the tenth (10th) anniversary of the date of this Agreement and (b) with respect to any Holder, on the date that such Holder no longer holds any Registrable Securities.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Holder Information</w:t>
      </w:r>
      <w:r>
        <w:rPr>
          <w:rFonts w:ascii="Arial" w:cs="Arial" w:eastAsia="Arial" w:hAnsi="Arial"/>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70"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Additional Holders; Joinder</w:t>
      </w:r>
      <w:r>
        <w:rPr>
          <w:rFonts w:ascii="Arial" w:cs="Arial" w:eastAsia="Arial" w:hAnsi="Arial"/>
          <w:sz w:val="16"/>
          <w:szCs w:val="16"/>
          <w:color w:val="auto"/>
        </w:rPr>
        <w:t xml:space="preserve">. In addition to persons or entities who may become Holders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hereof, subject to the prior written consent of each of the Sponsor and each Tango Investor (in each case, so long as such Tango Investor and its affiliates hold, in the aggregate, Registrable Securities representing at least one percent (1%) of the outstanding shares of Common Stock of the Company), the Company may make any person or entity who acquires Common Stock or rights to acquire Common Stock after the date hereof a party to this Agreement (each such person or entity, an “</w:t>
      </w:r>
      <w:r>
        <w:rPr>
          <w:rFonts w:ascii="Arial" w:cs="Arial" w:eastAsia="Arial" w:hAnsi="Arial"/>
          <w:sz w:val="16"/>
          <w:szCs w:val="16"/>
          <w:b w:val="1"/>
          <w:bCs w:val="1"/>
          <w:i w:val="1"/>
          <w:iCs w:val="1"/>
          <w:color w:val="auto"/>
        </w:rPr>
        <w:t>Additional Holder</w:t>
      </w:r>
      <w:r>
        <w:rPr>
          <w:rFonts w:ascii="Arial" w:cs="Arial" w:eastAsia="Arial" w:hAnsi="Arial"/>
          <w:sz w:val="16"/>
          <w:szCs w:val="16"/>
          <w:color w:val="auto"/>
        </w:rPr>
        <w:t>”) by obtaining an executed joinder to this Agreement from such Additional Holder in the form of Exhibit A attached hereto (a “</w:t>
      </w:r>
      <w:r>
        <w:rPr>
          <w:rFonts w:ascii="Arial" w:cs="Arial" w:eastAsia="Arial" w:hAnsi="Arial"/>
          <w:sz w:val="16"/>
          <w:szCs w:val="16"/>
          <w:b w:val="1"/>
          <w:bCs w:val="1"/>
          <w:i w:val="1"/>
          <w:iCs w:val="1"/>
          <w:color w:val="auto"/>
        </w:rPr>
        <w:t>Joinder</w:t>
      </w:r>
      <w:r>
        <w:rPr>
          <w:rFonts w:ascii="Arial" w:cs="Arial" w:eastAsia="Arial" w:hAnsi="Arial"/>
          <w:sz w:val="16"/>
          <w:szCs w:val="16"/>
          <w:color w:val="auto"/>
        </w:rPr>
        <w:t>”). Such Joinder shall specify the rights and obligations of the applicable Additional Holder under this Agreement. Upon the execution and delivery and subject to the terms of a Joinder by such Additional Holder, the Common Stock then owned, or underlying any rights then owned, by such Additional Holder (the “</w:t>
      </w:r>
      <w:r>
        <w:rPr>
          <w:rFonts w:ascii="Arial" w:cs="Arial" w:eastAsia="Arial" w:hAnsi="Arial"/>
          <w:sz w:val="16"/>
          <w:szCs w:val="16"/>
          <w:b w:val="1"/>
          <w:bCs w:val="1"/>
          <w:i w:val="1"/>
          <w:iCs w:val="1"/>
          <w:color w:val="auto"/>
        </w:rPr>
        <w:t>Additional Holder Common Stock</w:t>
      </w:r>
      <w:r>
        <w:rPr>
          <w:rFonts w:ascii="Arial" w:cs="Arial" w:eastAsia="Arial" w:hAnsi="Arial"/>
          <w:sz w:val="16"/>
          <w:szCs w:val="16"/>
          <w:color w:val="auto"/>
        </w:rPr>
        <w:t>”) shall be Registrable Securities to the extent provided herein and therein and such Additional Holder shall be a Holder under this Agreement with respect to such Additional Holder Common Stock.</w:t>
      </w:r>
    </w:p>
    <w:p>
      <w:pPr>
        <w:spacing w:after="0" w:line="166"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ectPr>
          <w:pgSz w:w="11900" w:h="16838" w:orient="portrait"/>
          <w:cols w:equalWidth="0" w:num="1">
            <w:col w:w="11020"/>
          </w:cols>
          <w:pgMar w:left="440" w:top="274" w:right="439" w:bottom="1440" w:gutter="0" w:footer="0" w:header="0"/>
        </w:sectPr>
      </w:pPr>
    </w:p>
    <w:bookmarkStart w:id="35" w:name="page36"/>
    <w:bookmarkEnd w:id="35"/>
    <w:p>
      <w:pPr>
        <w:ind w:right="2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Common Stock</w:t>
      </w:r>
      <w:r>
        <w:rPr>
          <w:rFonts w:ascii="Arial" w:cs="Arial" w:eastAsia="Arial" w:hAnsi="Arial"/>
          <w:sz w:val="18"/>
          <w:szCs w:val="18"/>
          <w:color w:val="auto"/>
        </w:rPr>
        <w:t>”) shall be Registrable Securities to the extent provided herein and therein and such Additional Holder shall be a Holder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with respect to such Additional Holder Common Stock.</w:t>
      </w:r>
    </w:p>
    <w:p>
      <w:pPr>
        <w:spacing w:after="0" w:line="170"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8"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7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84" w:lineRule="exact"/>
        <w:rPr>
          <w:sz w:val="20"/>
          <w:szCs w:val="20"/>
          <w:color w:val="auto"/>
        </w:rPr>
      </w:pPr>
    </w:p>
    <w:p>
      <w:pPr>
        <w:ind w:right="460" w:firstLine="991"/>
        <w:spacing w:after="0" w:line="31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4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IN WITNESS WHEREOF, the parties have caused this Amended and Restated Registration and Stockholder Rights Agreement to be executed and delivered by their duly authorized representatives as of the date first written above.</w:t>
      </w:r>
    </w:p>
    <w:p>
      <w:pPr>
        <w:sectPr>
          <w:pgSz w:w="11900" w:h="16838" w:orient="portrait"/>
          <w:cols w:equalWidth="0" w:num="1">
            <w:col w:w="11000"/>
          </w:cols>
          <w:pgMar w:left="440" w:top="274" w:right="459" w:bottom="1440" w:gutter="0" w:footer="0" w:header="0"/>
        </w:sectPr>
      </w:pPr>
    </w:p>
    <w:bookmarkStart w:id="36" w:name="page37"/>
    <w:bookmarkEnd w:id="36"/>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80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Barbara Weber</w:t>
      </w:r>
    </w:p>
    <w:p>
      <w:pPr>
        <w:spacing w:after="0" w:line="23" w:lineRule="exact"/>
        <w:rPr>
          <w:sz w:val="20"/>
          <w:szCs w:val="20"/>
          <w:color w:val="auto"/>
        </w:rPr>
      </w:pPr>
    </w:p>
    <w:p>
      <w:pPr>
        <w:ind w:left="680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31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ind w:left="680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Aaron Davis</w:t>
      </w:r>
    </w:p>
    <w:p>
      <w:pPr>
        <w:spacing w:after="0" w:line="23" w:lineRule="exact"/>
        <w:rPr>
          <w:sz w:val="20"/>
          <w:szCs w:val="20"/>
          <w:color w:val="auto"/>
        </w:rPr>
      </w:pPr>
    </w:p>
    <w:p>
      <w:pPr>
        <w:ind w:left="680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Richard Heyman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Charles M. Baum</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Jamie G. Christensen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Troy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Troy Wilson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Benjamin Cravatt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Benjamin Cravatt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 Hager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Sheila Gujrathi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NexTx Insights,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Bender</w:t>
            </w:r>
          </w:p>
        </w:tc>
      </w:tr>
      <w:tr>
        <w:trPr>
          <w:trHeight w:val="182"/>
        </w:trPr>
        <w:tc>
          <w:tcPr>
            <w:tcW w:w="520" w:type="dxa"/>
            <w:vAlign w:val="bottom"/>
          </w:tcPr>
          <w:p>
            <w:pPr>
              <w:spacing w:after="0" w:line="182"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5"/>
                <w:szCs w:val="15"/>
                <w:color w:val="auto"/>
              </w:rPr>
            </w:pPr>
          </w:p>
        </w:tc>
        <w:tc>
          <w:tcPr>
            <w:tcW w:w="3820" w:type="dxa"/>
            <w:vAlign w:val="bottom"/>
          </w:tcPr>
          <w:p>
            <w:pPr>
              <w:spacing w:after="0" w:line="182" w:lineRule="exact"/>
              <w:rPr>
                <w:sz w:val="20"/>
                <w:szCs w:val="20"/>
                <w:color w:val="auto"/>
              </w:rPr>
            </w:pPr>
            <w:r>
              <w:rPr>
                <w:rFonts w:ascii="Arial" w:cs="Arial" w:eastAsia="Arial" w:hAnsi="Arial"/>
                <w:sz w:val="18"/>
                <w:szCs w:val="18"/>
                <w:color w:val="auto"/>
              </w:rPr>
              <w:t>Steven L. Bender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Principal Consultant</w:t>
            </w:r>
          </w:p>
        </w:tc>
      </w:tr>
    </w:tbl>
    <w:p>
      <w:pPr>
        <w:sectPr>
          <w:pgSz w:w="11900" w:h="16838" w:orient="portrait"/>
          <w:cols w:equalWidth="0" w:num="1">
            <w:col w:w="11020"/>
          </w:cols>
          <w:pgMar w:left="440" w:top="274" w:right="439" w:bottom="1440" w:gutter="0" w:footer="0" w:header="0"/>
        </w:sectPr>
      </w:pPr>
    </w:p>
    <w:bookmarkStart w:id="37" w:name="page38"/>
    <w:bookmarkEnd w:id="3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BOXER CAPITAL,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Aaron Davis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MVA INVESTORS,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Aaron Davis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38" w:name="page39"/>
    <w:bookmarkEnd w:id="3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CASDIN PARTNERS MASTER FUND,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E.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Kevin E. O’Brien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39" w:name="page40"/>
    <w:bookmarkEnd w:id="39"/>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PRIVATE HEALTHCARE FUND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Bihua Chen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GLOBAL HEALTHCARE MASTER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Bihua Chen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CRMA SPV,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Bihua Chen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1000"/>
          </w:cols>
          <w:pgMar w:left="440" w:top="274" w:right="459" w:bottom="1440" w:gutter="0" w:footer="0" w:header="0"/>
        </w:sectPr>
      </w:pPr>
    </w:p>
    <w:bookmarkStart w:id="40" w:name="page41"/>
    <w:bookmarkEnd w:id="40"/>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FIFTH AVENUE PRIVATE EQUITY 15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M.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Lisa M. Corcoran</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Managing Director of Bessemer Trust Co., N.A., as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900"/>
          </w:cols>
          <w:pgMar w:left="440" w:top="274" w:right="559" w:bottom="1440" w:gutter="0" w:footer="0" w:header="0"/>
        </w:sectPr>
      </w:pPr>
    </w:p>
    <w:bookmarkStart w:id="41" w:name="page42"/>
    <w:bookmarkEnd w:id="4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GILEAD SCIENCES,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Dickinson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EVP and Chief Financial Officer</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2" w:name="page43"/>
    <w:bookmarkEnd w:id="4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HARVARD MANAGEMENT PRIVATE EQUITY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Slocum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Slocum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Kathryn Murtagh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Kathryn Murtagh</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3" w:name="page44"/>
    <w:bookmarkEnd w:id="4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HH AUT-IV HOLDINGS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Colm O’Connell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4" w:name="page45"/>
    <w:bookmarkEnd w:id="4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PELLINI FAMILY TRUST</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Pellini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5" w:name="page46"/>
    <w:bookmarkEnd w:id="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PH INVESTMENTS, LLC</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Melinda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Melinda Barber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6" w:name="page47"/>
    <w:bookmarkEnd w:id="4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PORTLAND INVESTMENT - EP, LLC</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 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B. Weden, III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Corporate Director, Investment Operations</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PORTLAND INVESTMENT - PIA, LLC</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 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B. Weden, III</w:t>
      </w:r>
    </w:p>
    <w:p>
      <w:pPr>
        <w:spacing w:after="0" w:line="23" w:lineRule="exact"/>
        <w:rPr>
          <w:sz w:val="20"/>
          <w:szCs w:val="20"/>
          <w:color w:val="auto"/>
        </w:rPr>
      </w:pPr>
    </w:p>
    <w:p>
      <w:pPr>
        <w:ind w:left="3520" w:right="440" w:firstLine="3084"/>
        <w:spacing w:after="0" w:line="433" w:lineRule="auto"/>
        <w:rPr>
          <w:sz w:val="20"/>
          <w:szCs w:val="20"/>
          <w:color w:val="auto"/>
        </w:rPr>
      </w:pPr>
      <w:r>
        <w:rPr>
          <w:rFonts w:ascii="Arial" w:cs="Arial" w:eastAsia="Arial" w:hAnsi="Arial"/>
          <w:sz w:val="18"/>
          <w:szCs w:val="18"/>
          <w:color w:val="auto"/>
        </w:rPr>
        <w:t xml:space="preserve">Title: Corporate Director, Investment Operations </w:t>
      </w: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7" w:name="page48"/>
    <w:bookmarkEnd w:id="4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SCUBED CAPITAL, LLC</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Stevens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Partner</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8" w:name="page49"/>
    <w:bookmarkEnd w:id="4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SOBRATO CAPITAL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 DBA of Sobrato Family Holdings,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 California limited liability company</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Christina 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Christina N. Richardson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Investment Officer</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49" w:name="page50"/>
    <w:bookmarkEnd w:id="4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IV, L.P.</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Third Rock Ventures GP IV, L.P., its general partner</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 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Kevin Gillis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Operating Officer</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50" w:name="page51"/>
    <w:bookmarkEnd w:id="5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Barbara Weber</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51" w:name="page52"/>
    <w:bookmarkEnd w:id="5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Daniella Beckman</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52" w:name="page53"/>
    <w:bookmarkEnd w:id="5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Amended and Restated Registration and Stockholder Rights Agreement to be executed and delivered by their duly authorized representatives as of the date first written above.</w:t>
      </w:r>
    </w:p>
    <w:p>
      <w:pPr>
        <w:spacing w:after="0" w:line="19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Alan Huang</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720"/>
          </w:cols>
          <w:pgMar w:left="440" w:top="274" w:right="739" w:bottom="1440" w:gutter="0" w:footer="0" w:header="0"/>
        </w:sectPr>
      </w:pPr>
    </w:p>
    <w:bookmarkStart w:id="53" w:name="page54"/>
    <w:bookmarkEnd w:id="53"/>
    <w:p>
      <w:pPr>
        <w:jc w:val="right"/>
        <w:ind w:right="39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&amp; Address of Investor</w:t>
      </w:r>
      <w:r>
        <w:rPr>
          <w:rFonts w:ascii="Arial" w:cs="Arial" w:eastAsia="Arial" w:hAnsi="Arial"/>
          <w:sz w:val="15"/>
          <w:szCs w:val="15"/>
          <w:u w:val="single" w:color="auto"/>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Heyman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Charles M. 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Jamie G. Christensen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Troy Wilson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Benjamin Cravatt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 Hager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Sheila Gujrathi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NexTx Insights,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Barbara Weber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Daniella Beckman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Alan Huang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Casdin Partners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II, LP</w:t>
      </w:r>
    </w:p>
    <w:p>
      <w:pPr>
        <w:sectPr>
          <w:pgSz w:w="11900" w:h="16838" w:orient="portrait"/>
          <w:cols w:equalWidth="0" w:num="1">
            <w:col w:w="10019"/>
          </w:cols>
          <w:pgMar w:left="440" w:top="270" w:right="1440" w:bottom="1440" w:gutter="0" w:footer="0" w:header="0"/>
        </w:sectPr>
      </w:pPr>
    </w:p>
    <w:bookmarkStart w:id="54" w:name="page55"/>
    <w:bookmarkEnd w:id="5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CRMA SPV, LP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Fifth Avenue Private Equity 15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Gilead Sciences,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Harvard Management Private Equity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HH-AUT-IV Holdings Limited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Pellini Family Trust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PH Investments,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Portland Investment – EP,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Portland Investment – PIA,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SCubed Capital,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Sobrato Capital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Third 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line="277"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stated above, the business address of each Investor is c/o BCTG Acquisition Corp., 12860 El Camino Real, Suite 300, San Diego, CA 92130.</w:t>
      </w:r>
    </w:p>
    <w:p>
      <w:pPr>
        <w:sectPr>
          <w:pgSz w:w="11900" w:h="16838" w:orient="portrait"/>
          <w:cols w:equalWidth="0" w:num="1">
            <w:col w:w="10804"/>
          </w:cols>
          <w:pgMar w:left="436" w:top="274" w:right="6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JOINDER</w:t>
      </w:r>
    </w:p>
    <w:p>
      <w:pPr>
        <w:sectPr>
          <w:pgSz w:w="11900" w:h="16838" w:orient="portrait"/>
          <w:cols w:equalWidth="0" w:num="1">
            <w:col w:w="9019"/>
          </w:cols>
          <w:pgMar w:left="1440" w:top="274"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10.4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17" w:lineRule="exact"/>
        <w:rPr>
          <w:sz w:val="20"/>
          <w:szCs w:val="20"/>
          <w:color w:val="auto"/>
        </w:rPr>
      </w:pPr>
    </w:p>
    <w:p>
      <w:pPr>
        <w:ind w:right="340" w:firstLine="440"/>
        <w:spacing w:after="0" w:line="255" w:lineRule="auto"/>
        <w:rPr>
          <w:sz w:val="20"/>
          <w:szCs w:val="20"/>
          <w:color w:val="auto"/>
        </w:rPr>
      </w:pPr>
      <w:r>
        <w:rPr>
          <w:rFonts w:ascii="Arial" w:cs="Arial" w:eastAsia="Arial" w:hAnsi="Arial"/>
          <w:sz w:val="18"/>
          <w:szCs w:val="18"/>
          <w:color w:val="auto"/>
        </w:rPr>
        <w:t>The name of the plan is the Tango Therapeutics, Inc. 2021 Stock Option and Incentive Plan (as amended from time to time, the “Plan”). The purpose of the Plan is to encourage and enable the officers, employees, Non-Employee Directors and Consultants of Tango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i w:val="1"/>
          <w:iCs w:val="1"/>
          <w:color w:val="auto"/>
        </w:rPr>
        <w:t xml:space="preserve">“Administrator” </w:t>
      </w:r>
      <w:r>
        <w:rPr>
          <w:rFonts w:ascii="Arial" w:cs="Arial" w:eastAsia="Arial" w:hAnsi="Arial"/>
          <w:sz w:val="17"/>
          <w:szCs w:val="17"/>
          <w:color w:val="auto"/>
        </w:rPr>
        <w:t>means either the Board or the compensation committee of the Board or a similar committee performing the functions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which is comprised of not less than two Non-Employee Directors who are independent.</w:t>
      </w:r>
    </w:p>
    <w:p>
      <w:pPr>
        <w:spacing w:after="0" w:line="146"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2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Options, Stock Appreciation Rights, Restricted Stock Awards, Restricted Stock Units, Unrestricted Stock Awards, Cash-Based Awards, and Dividend Equivalent Rights.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Certificate is subject to the terms and conditions of the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ectPr>
          <w:pgSz w:w="11900" w:h="16838" w:orient="portrait"/>
          <w:cols w:equalWidth="0" w:num="1">
            <w:col w:w="11020"/>
          </w:cols>
          <w:pgMar w:left="440" w:top="125" w:right="439" w:bottom="1440" w:gutter="0" w:footer="0" w:header="0"/>
        </w:sectPr>
      </w:pPr>
    </w:p>
    <w:bookmarkStart w:id="57" w:name="page58"/>
    <w:bookmarkEnd w:id="57"/>
    <w:p>
      <w:pPr>
        <w:ind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 Affiliate as an independent contractor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as a consultant or advisor under Instruction A.1.(a)(1) of Form S-8 under the Act.</w:t>
      </w:r>
    </w:p>
    <w:p>
      <w:pPr>
        <w:spacing w:after="0" w:line="170"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 xml:space="preserve">“Registration Date” </w:t>
      </w:r>
      <w:r>
        <w:rPr>
          <w:rFonts w:ascii="Arial" w:cs="Arial" w:eastAsia="Arial" w:hAnsi="Arial"/>
          <w:sz w:val="18"/>
          <w:szCs w:val="18"/>
          <w:color w:val="auto"/>
        </w:rPr>
        <w:t>means the date upon which the registration statement on Form S-1 that is filed by the Company with respect to its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is declared effective by the Securities and Exchange Commission.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8" w:name="page59"/>
    <w:bookmarkEnd w:id="58"/>
    <w:p>
      <w:pPr>
        <w:ind w:left="4" w:right="2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“Restricted Stock Units” </w:t>
      </w:r>
      <w:r>
        <w:rPr>
          <w:rFonts w:ascii="Arial" w:cs="Arial" w:eastAsia="Arial" w:hAnsi="Arial"/>
          <w:sz w:val="18"/>
          <w:szCs w:val="18"/>
          <w:color w:val="auto"/>
        </w:rPr>
        <w:t>means an Award of stock units subject to such restrictions and conditions as the Administrator may determine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means (i) the sale of all or substantially all of the assets of the Company on a consolidated basis to an unrelated person or entity,</w:t>
      </w:r>
    </w:p>
    <w:p>
      <w:pPr>
        <w:spacing w:after="0" w:line="46" w:lineRule="exact"/>
        <w:rPr>
          <w:sz w:val="20"/>
          <w:szCs w:val="20"/>
          <w:color w:val="auto"/>
        </w:rPr>
      </w:pPr>
    </w:p>
    <w:p>
      <w:pPr>
        <w:ind w:left="264" w:hanging="264"/>
        <w:spacing w:after="0"/>
        <w:tabs>
          <w:tab w:leader="none" w:pos="264"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merger, reorganization or consolidation pursuant to which the holders of the Company’s outstanding voting power and outstanding stock</w:t>
      </w:r>
    </w:p>
    <w:p>
      <w:pPr>
        <w:spacing w:after="0" w:line="20" w:lineRule="exact"/>
        <w:rPr>
          <w:rFonts w:ascii="Arial" w:cs="Arial" w:eastAsia="Arial" w:hAnsi="Arial"/>
          <w:sz w:val="17"/>
          <w:szCs w:val="17"/>
          <w:color w:val="auto"/>
        </w:rPr>
      </w:pPr>
    </w:p>
    <w:p>
      <w:pPr>
        <w:ind w:left="4"/>
        <w:spacing w:after="0" w:line="292" w:lineRule="auto"/>
        <w:rPr>
          <w:rFonts w:ascii="Arial" w:cs="Arial" w:eastAsia="Arial" w:hAnsi="Arial"/>
          <w:sz w:val="17"/>
          <w:szCs w:val="17"/>
          <w:color w:val="auto"/>
        </w:rPr>
      </w:pPr>
      <w:r>
        <w:rPr>
          <w:rFonts w:ascii="Arial" w:cs="Arial" w:eastAsia="Arial" w:hAnsi="Arial"/>
          <w:sz w:val="16"/>
          <w:szCs w:val="16"/>
          <w:color w:val="auto"/>
        </w:rPr>
        <w:t>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62"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an employee, director or Consultant of the Company or any Affiliate (e.g.,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9"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10 percent of the combined voting power of all classes of stock of the Company or any parent or subsidiary corporation.</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5464" w:right="4780" w:hanging="5024"/>
        <w:spacing w:after="0" w:line="387" w:lineRule="auto"/>
        <w:tabs>
          <w:tab w:leader="none" w:pos="68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Administration of Plan</w:t>
      </w:r>
      <w:r>
        <w:rPr>
          <w:rFonts w:ascii="Arial" w:cs="Arial" w:eastAsia="Arial" w:hAnsi="Arial"/>
          <w:sz w:val="16"/>
          <w:szCs w:val="16"/>
          <w:color w:val="auto"/>
        </w:rPr>
        <w:t>. The Plan shall be administered by the Administrator. 3</w:t>
      </w:r>
    </w:p>
    <w:p>
      <w:pPr>
        <w:sectPr>
          <w:pgSz w:w="11900" w:h="16838" w:orient="portrait"/>
          <w:cols w:equalWidth="0" w:num="1">
            <w:col w:w="11004"/>
          </w:cols>
          <w:pgMar w:left="436" w:top="274" w:right="459" w:bottom="1440" w:gutter="0" w:footer="0" w:header="0"/>
        </w:sectPr>
      </w:pPr>
    </w:p>
    <w:bookmarkStart w:id="59" w:name="page60"/>
    <w:bookmarkEnd w:id="59"/>
    <w:p>
      <w:pPr>
        <w:ind w:left="4" w:right="680" w:firstLine="436"/>
        <w:spacing w:after="0" w:line="277" w:lineRule="auto"/>
        <w:tabs>
          <w:tab w:leader="none" w:pos="69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70" w:lineRule="exact"/>
        <w:rPr>
          <w:rFonts w:ascii="Arial" w:cs="Arial" w:eastAsia="Arial" w:hAnsi="Arial"/>
          <w:sz w:val="18"/>
          <w:szCs w:val="18"/>
          <w:color w:val="auto"/>
        </w:rPr>
      </w:pPr>
    </w:p>
    <w:p>
      <w:pPr>
        <w:ind w:left="1204" w:hanging="213"/>
        <w:spacing w:after="0"/>
        <w:tabs>
          <w:tab w:leader="none" w:pos="12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left="4" w:right="520" w:firstLine="987"/>
        <w:spacing w:after="0" w:line="263"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83" w:lineRule="exact"/>
        <w:rPr>
          <w:rFonts w:ascii="Arial" w:cs="Arial" w:eastAsia="Arial" w:hAnsi="Arial"/>
          <w:sz w:val="18"/>
          <w:szCs w:val="18"/>
          <w:color w:val="auto"/>
        </w:rPr>
      </w:pPr>
    </w:p>
    <w:p>
      <w:pPr>
        <w:ind w:left="1304" w:hanging="313"/>
        <w:spacing w:after="0"/>
        <w:tabs>
          <w:tab w:leader="none" w:pos="13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25" w:lineRule="exact"/>
        <w:rPr>
          <w:rFonts w:ascii="Arial" w:cs="Arial" w:eastAsia="Arial" w:hAnsi="Arial"/>
          <w:sz w:val="18"/>
          <w:szCs w:val="18"/>
          <w:color w:val="auto"/>
        </w:rPr>
      </w:pPr>
    </w:p>
    <w:p>
      <w:pPr>
        <w:ind w:left="4" w:right="40" w:firstLine="987"/>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23" w:lineRule="exact"/>
        <w:rPr>
          <w:rFonts w:ascii="Arial" w:cs="Arial" w:eastAsia="Arial" w:hAnsi="Arial"/>
          <w:sz w:val="16"/>
          <w:szCs w:val="16"/>
          <w:color w:val="auto"/>
        </w:rPr>
      </w:pPr>
    </w:p>
    <w:p>
      <w:pPr>
        <w:ind w:left="1244" w:hanging="253"/>
        <w:spacing w:after="0"/>
        <w:tabs>
          <w:tab w:leader="none" w:pos="12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225" w:lineRule="exact"/>
        <w:rPr>
          <w:rFonts w:ascii="Arial" w:cs="Arial" w:eastAsia="Arial" w:hAnsi="Arial"/>
          <w:sz w:val="18"/>
          <w:szCs w:val="18"/>
          <w:color w:val="auto"/>
        </w:rPr>
      </w:pPr>
    </w:p>
    <w:p>
      <w:pPr>
        <w:ind w:left="4" w:right="40" w:firstLine="987"/>
        <w:spacing w:after="0" w:line="275"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subject to the provisions of Section 5(c) or Section 6(d), as applicable, to extend at any time the period in which Stock Options and Stock Appreciation Rights may be exercised; and (vii)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left="4" w:firstLine="436"/>
        <w:spacing w:after="0" w:line="287" w:lineRule="auto"/>
        <w:tabs>
          <w:tab w:leader="none" w:pos="689"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Delegation of Authority to Grant Awards</w:t>
      </w:r>
      <w:r>
        <w:rPr>
          <w:rFonts w:ascii="Arial" w:cs="Arial" w:eastAsia="Arial" w:hAnsi="Arial"/>
          <w:sz w:val="16"/>
          <w:szCs w:val="16"/>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w:t>
      </w:r>
    </w:p>
    <w:p>
      <w:pPr>
        <w:spacing w:after="0" w:line="2"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60" w:name="page61"/>
    <w:bookmarkEnd w:id="60"/>
    <w:p>
      <w:pPr>
        <w:ind w:left="4" w:right="80" w:firstLine="436"/>
        <w:spacing w:after="0" w:line="342" w:lineRule="auto"/>
        <w:tabs>
          <w:tab w:leader="none" w:pos="699"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23" w:lineRule="exact"/>
        <w:rPr>
          <w:rFonts w:ascii="Arial" w:cs="Arial" w:eastAsia="Arial" w:hAnsi="Arial"/>
          <w:sz w:val="16"/>
          <w:szCs w:val="16"/>
          <w:color w:val="auto"/>
        </w:rPr>
      </w:pPr>
    </w:p>
    <w:p>
      <w:pPr>
        <w:ind w:left="4" w:right="220" w:firstLine="436"/>
        <w:spacing w:after="0" w:line="273" w:lineRule="auto"/>
        <w:tabs>
          <w:tab w:leader="none" w:pos="689"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77" w:lineRule="exact"/>
        <w:rPr>
          <w:rFonts w:ascii="Arial" w:cs="Arial" w:eastAsia="Arial" w:hAnsi="Arial"/>
          <w:sz w:val="17"/>
          <w:szCs w:val="17"/>
          <w:color w:val="auto"/>
        </w:rPr>
      </w:pPr>
    </w:p>
    <w:p>
      <w:pPr>
        <w:ind w:left="4" w:right="60" w:firstLine="436"/>
        <w:spacing w:after="0" w:line="284" w:lineRule="auto"/>
        <w:tabs>
          <w:tab w:leader="none" w:pos="669"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w:t>
      </w:r>
    </w:p>
    <w:p>
      <w:pPr>
        <w:spacing w:after="0" w:line="2" w:lineRule="exact"/>
        <w:rPr>
          <w:rFonts w:ascii="Arial" w:cs="Arial" w:eastAsia="Arial" w:hAnsi="Arial"/>
          <w:sz w:val="16"/>
          <w:szCs w:val="16"/>
          <w:color w:val="auto"/>
        </w:rPr>
      </w:pPr>
    </w:p>
    <w:p>
      <w:pPr>
        <w:jc w:val="both"/>
        <w:ind w:left="4" w:right="120" w:hanging="4"/>
        <w:spacing w:after="0" w:line="253"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117" w:lineRule="exact"/>
        <w:rPr>
          <w:sz w:val="20"/>
          <w:szCs w:val="20"/>
          <w:color w:val="auto"/>
        </w:rPr>
      </w:pPr>
    </w:p>
    <w:p>
      <w:pPr>
        <w:ind w:left="4" w:firstLine="436"/>
        <w:spacing w:after="0" w:line="271" w:lineRule="auto"/>
        <w:tabs>
          <w:tab w:leader="none" w:pos="689"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of Stock reserved and available for issuance under the Plan shall be 9,498,725 shares (the “Initial Limit”), subject to adjustment as provided in this Section 3, plus on January 1, 2022 and each January 1 thereafter, the number of shares of Stock reserved and available for issuance under the Plan shall be cumulatively increased by (i) five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as cumulatively increased on January 1, 2022 and each January 1 thereafter by the lesser of the Annual Increase for such year or 4,749,362 shares of Stock, subject in all cases to adjustment as provided in Section 3(b). For purposes of this limitation, the shares of Stock underlying any awards under the Plan and under the Company’s 2016 Stock</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61" w:name="page62"/>
    <w:bookmarkEnd w:id="6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77" w:lineRule="exact"/>
        <w:rPr>
          <w:sz w:val="20"/>
          <w:szCs w:val="20"/>
          <w:color w:val="auto"/>
        </w:rPr>
      </w:pPr>
    </w:p>
    <w:p>
      <w:pPr>
        <w:ind w:right="20" w:firstLine="436"/>
        <w:spacing w:after="0" w:line="268" w:lineRule="auto"/>
        <w:tabs>
          <w:tab w:leader="none" w:pos="69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79" w:lineRule="exact"/>
        <w:rPr>
          <w:rFonts w:ascii="Arial" w:cs="Arial" w:eastAsia="Arial" w:hAnsi="Arial"/>
          <w:sz w:val="17"/>
          <w:szCs w:val="17"/>
          <w:color w:val="auto"/>
        </w:rPr>
      </w:pPr>
    </w:p>
    <w:p>
      <w:pPr>
        <w:ind w:right="40" w:firstLine="436"/>
        <w:spacing w:after="0" w:line="273" w:lineRule="auto"/>
        <w:tabs>
          <w:tab w:leader="none" w:pos="68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Mergers and Other Transactions</w:t>
      </w:r>
      <w:r>
        <w:rPr>
          <w:rFonts w:ascii="Arial" w:cs="Arial" w:eastAsia="Arial" w:hAnsi="Arial"/>
          <w:sz w:val="17"/>
          <w:szCs w:val="17"/>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2" w:name="page63"/>
    <w:bookmarkEnd w:id="62"/>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w:t>
      </w:r>
    </w:p>
    <w:p>
      <w:pPr>
        <w:spacing w:after="0" w:line="1" w:lineRule="exact"/>
        <w:rPr>
          <w:sz w:val="20"/>
          <w:szCs w:val="20"/>
          <w:color w:val="auto"/>
        </w:rPr>
      </w:pPr>
    </w:p>
    <w:p>
      <w:pPr>
        <w:ind w:left="4" w:right="20" w:hanging="4"/>
        <w:spacing w:after="0" w:line="253"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92" w:lineRule="exact"/>
        <w:rPr>
          <w:rFonts w:ascii="Arial" w:cs="Arial" w:eastAsia="Arial" w:hAnsi="Arial"/>
          <w:sz w:val="18"/>
          <w:szCs w:val="18"/>
          <w:color w:val="auto"/>
        </w:rPr>
      </w:pPr>
    </w:p>
    <w:p>
      <w:pPr>
        <w:ind w:left="4" w:right="80" w:firstLine="436"/>
        <w:spacing w:after="0" w:line="255" w:lineRule="auto"/>
        <w:tabs>
          <w:tab w:leader="none" w:pos="69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17"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left="4" w:firstLine="436"/>
        <w:spacing w:after="0" w:line="277" w:lineRule="auto"/>
        <w:tabs>
          <w:tab w:leader="none" w:pos="68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63" w:name="page64"/>
    <w:bookmarkEnd w:id="63"/>
    <w:p>
      <w:pPr>
        <w:ind w:right="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49" w:lineRule="exact"/>
        <w:rPr>
          <w:sz w:val="20"/>
          <w:szCs w:val="20"/>
          <w:color w:val="auto"/>
        </w:rPr>
      </w:pPr>
    </w:p>
    <w:p>
      <w:pPr>
        <w:ind w:right="100" w:firstLine="436"/>
        <w:spacing w:after="0" w:line="286"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w:t>
      </w:r>
    </w:p>
    <w:p>
      <w:pPr>
        <w:spacing w:after="0" w:line="1" w:lineRule="exact"/>
        <w:rPr>
          <w:rFonts w:ascii="Arial" w:cs="Arial" w:eastAsia="Arial" w:hAnsi="Arial"/>
          <w:sz w:val="16"/>
          <w:szCs w:val="16"/>
          <w:color w:val="auto"/>
        </w:rPr>
      </w:pPr>
    </w:p>
    <w:p>
      <w:pPr>
        <w:ind w:right="240"/>
        <w:spacing w:after="0" w:line="255" w:lineRule="auto"/>
        <w:rPr>
          <w:rFonts w:ascii="Arial" w:cs="Arial" w:eastAsia="Arial" w:hAnsi="Arial"/>
          <w:sz w:val="16"/>
          <w:szCs w:val="16"/>
          <w:color w:val="auto"/>
        </w:rPr>
      </w:pPr>
      <w:r>
        <w:rPr>
          <w:rFonts w:ascii="Arial" w:cs="Arial" w:eastAsia="Arial" w:hAnsi="Arial"/>
          <w:sz w:val="18"/>
          <w:szCs w:val="18"/>
          <w:color w:val="auto"/>
        </w:rPr>
        <w:t>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89" w:lineRule="exact"/>
        <w:rPr>
          <w:rFonts w:ascii="Arial" w:cs="Arial" w:eastAsia="Arial" w:hAnsi="Arial"/>
          <w:sz w:val="16"/>
          <w:szCs w:val="16"/>
          <w:color w:val="auto"/>
        </w:rPr>
      </w:pPr>
    </w:p>
    <w:p>
      <w:pPr>
        <w:jc w:val="both"/>
        <w:ind w:right="20" w:firstLine="436"/>
        <w:spacing w:after="0" w:line="263"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83" w:lineRule="exact"/>
        <w:rPr>
          <w:rFonts w:ascii="Arial" w:cs="Arial" w:eastAsia="Arial" w:hAnsi="Arial"/>
          <w:sz w:val="18"/>
          <w:szCs w:val="18"/>
          <w:color w:val="auto"/>
        </w:rPr>
      </w:pPr>
    </w:p>
    <w:p>
      <w:pPr>
        <w:ind w:firstLine="436"/>
        <w:spacing w:after="0" w:line="259"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6" w:lineRule="exact"/>
        <w:rPr>
          <w:rFonts w:ascii="Arial" w:cs="Arial" w:eastAsia="Arial" w:hAnsi="Arial"/>
          <w:sz w:val="18"/>
          <w:szCs w:val="18"/>
          <w:color w:val="auto"/>
        </w:rPr>
      </w:pPr>
    </w:p>
    <w:p>
      <w:pPr>
        <w:jc w:val="both"/>
        <w:ind w:right="300" w:firstLine="436"/>
        <w:spacing w:after="0" w:line="263"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right="20" w:firstLine="987"/>
        <w:spacing w:after="0" w:line="342" w:lineRule="auto"/>
        <w:tabs>
          <w:tab w:leader="none" w:pos="1256"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4" w:name="page65"/>
    <w:bookmarkEnd w:id="64"/>
    <w:p>
      <w:pPr>
        <w:ind w:right="80" w:firstLine="987"/>
        <w:spacing w:after="0" w:line="279" w:lineRule="auto"/>
        <w:tabs>
          <w:tab w:leader="none" w:pos="1306" w:val="left"/>
        </w:tabs>
        <w:numPr>
          <w:ilvl w:val="0"/>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1" w:lineRule="exact"/>
        <w:rPr>
          <w:rFonts w:ascii="Arial" w:cs="Arial" w:eastAsia="Arial" w:hAnsi="Arial"/>
          <w:sz w:val="17"/>
          <w:szCs w:val="17"/>
          <w:color w:val="auto"/>
        </w:rPr>
      </w:pPr>
    </w:p>
    <w:p>
      <w:pPr>
        <w:jc w:val="both"/>
        <w:ind w:right="160" w:firstLine="987"/>
        <w:spacing w:after="0" w:line="263" w:lineRule="auto"/>
        <w:tabs>
          <w:tab w:leader="none" w:pos="12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1" w:lineRule="exact"/>
        <w:rPr>
          <w:sz w:val="20"/>
          <w:szCs w:val="20"/>
          <w:color w:val="auto"/>
        </w:rPr>
      </w:pPr>
    </w:p>
    <w:p>
      <w:pPr>
        <w:ind w:right="20" w:firstLine="436"/>
        <w:spacing w:after="0" w:line="301" w:lineRule="auto"/>
        <w:tabs>
          <w:tab w:leader="none" w:pos="66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ind w:right="200" w:firstLine="436"/>
        <w:spacing w:after="0" w:line="301" w:lineRule="auto"/>
        <w:tabs>
          <w:tab w:leader="none" w:pos="68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Award of Stock Appreciation Rights</w:t>
      </w:r>
      <w:r>
        <w:rPr>
          <w:rFonts w:ascii="Arial" w:cs="Arial" w:eastAsia="Arial" w:hAnsi="Arial"/>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57"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5" w:name="page66"/>
    <w:bookmarkEnd w:id="65"/>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w:t>
      </w:r>
    </w:p>
    <w:p>
      <w:pPr>
        <w:ind w:left="4" w:right="560" w:hanging="4"/>
        <w:spacing w:after="0" w:line="260" w:lineRule="auto"/>
        <w:tabs>
          <w:tab w:leader="none" w:pos="2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individuals who are not subject to U.S. income tax on the date of grant, or (iii) if the Stock Appreciation Right is otherwise compliant with Section 409A.</w:t>
      </w:r>
    </w:p>
    <w:p>
      <w:pPr>
        <w:spacing w:after="0" w:line="185" w:lineRule="exact"/>
        <w:rPr>
          <w:rFonts w:ascii="Arial" w:cs="Arial" w:eastAsia="Arial" w:hAnsi="Arial"/>
          <w:sz w:val="18"/>
          <w:szCs w:val="18"/>
          <w:color w:val="auto"/>
        </w:rPr>
      </w:pPr>
    </w:p>
    <w:p>
      <w:pPr>
        <w:ind w:left="4" w:right="60" w:firstLine="436"/>
        <w:spacing w:after="0" w:line="277" w:lineRule="auto"/>
        <w:tabs>
          <w:tab w:leader="none" w:pos="689"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70" w:lineRule="exact"/>
        <w:rPr>
          <w:rFonts w:ascii="Arial" w:cs="Arial" w:eastAsia="Arial" w:hAnsi="Arial"/>
          <w:sz w:val="18"/>
          <w:szCs w:val="18"/>
          <w:color w:val="auto"/>
        </w:rPr>
      </w:pPr>
    </w:p>
    <w:p>
      <w:pPr>
        <w:ind w:left="4" w:right="280" w:firstLine="436"/>
        <w:spacing w:after="0" w:line="311" w:lineRule="auto"/>
        <w:tabs>
          <w:tab w:leader="none" w:pos="699"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117" w:lineRule="exact"/>
        <w:rPr>
          <w:sz w:val="20"/>
          <w:szCs w:val="20"/>
          <w:color w:val="auto"/>
        </w:rPr>
      </w:pPr>
    </w:p>
    <w:p>
      <w:pPr>
        <w:ind w:left="4" w:firstLine="436"/>
        <w:spacing w:after="0" w:line="311" w:lineRule="auto"/>
        <w:tabs>
          <w:tab w:leader="none" w:pos="68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48" w:lineRule="exact"/>
        <w:rPr>
          <w:rFonts w:ascii="Arial" w:cs="Arial" w:eastAsia="Arial" w:hAnsi="Arial"/>
          <w:sz w:val="16"/>
          <w:szCs w:val="16"/>
          <w:color w:val="auto"/>
        </w:rPr>
      </w:pPr>
    </w:p>
    <w:p>
      <w:pPr>
        <w:ind w:left="4" w:right="20" w:firstLine="436"/>
        <w:spacing w:after="0" w:line="284" w:lineRule="auto"/>
        <w:tabs>
          <w:tab w:leader="none" w:pos="69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4" w:lineRule="exact"/>
        <w:rPr>
          <w:rFonts w:ascii="Arial" w:cs="Arial" w:eastAsia="Arial" w:hAnsi="Arial"/>
          <w:sz w:val="16"/>
          <w:szCs w:val="16"/>
          <w:color w:val="auto"/>
        </w:rPr>
      </w:pPr>
    </w:p>
    <w:p>
      <w:pPr>
        <w:ind w:left="4" w:right="280" w:hanging="4"/>
        <w:spacing w:after="0" w:line="255" w:lineRule="auto"/>
        <w:tabs>
          <w:tab w:leader="none" w:pos="2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9" w:lineRule="exact"/>
        <w:rPr>
          <w:rFonts w:ascii="Arial" w:cs="Arial" w:eastAsia="Arial" w:hAnsi="Arial"/>
          <w:sz w:val="18"/>
          <w:szCs w:val="18"/>
          <w:color w:val="auto"/>
        </w:rPr>
      </w:pPr>
    </w:p>
    <w:p>
      <w:pPr>
        <w:ind w:left="4" w:right="40" w:firstLine="436"/>
        <w:spacing w:after="0" w:line="273" w:lineRule="auto"/>
        <w:tabs>
          <w:tab w:leader="none" w:pos="689"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66" w:name="page67"/>
    <w:bookmarkEnd w:id="66"/>
    <w:p>
      <w:pPr>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65" w:lineRule="exact"/>
        <w:rPr>
          <w:sz w:val="20"/>
          <w:szCs w:val="20"/>
          <w:color w:val="auto"/>
        </w:rPr>
      </w:pPr>
    </w:p>
    <w:p>
      <w:pPr>
        <w:ind w:right="60" w:firstLine="436"/>
        <w:spacing w:after="0" w:line="301"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Vesting of Restricted Shares</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117" w:lineRule="exact"/>
        <w:rPr>
          <w:sz w:val="20"/>
          <w:szCs w:val="20"/>
          <w:color w:val="auto"/>
        </w:rPr>
      </w:pPr>
    </w:p>
    <w:p>
      <w:pPr>
        <w:ind w:right="40" w:firstLine="436"/>
        <w:spacing w:after="0" w:line="270" w:lineRule="auto"/>
        <w:tabs>
          <w:tab w:leader="none" w:pos="68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80" w:lineRule="exact"/>
        <w:rPr>
          <w:rFonts w:ascii="Arial" w:cs="Arial" w:eastAsia="Arial" w:hAnsi="Arial"/>
          <w:sz w:val="17"/>
          <w:szCs w:val="17"/>
          <w:color w:val="auto"/>
        </w:rPr>
      </w:pPr>
    </w:p>
    <w:p>
      <w:pPr>
        <w:ind w:firstLine="436"/>
        <w:spacing w:after="0" w:line="270"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80" w:lineRule="exact"/>
        <w:rPr>
          <w:rFonts w:ascii="Arial" w:cs="Arial" w:eastAsia="Arial" w:hAnsi="Arial"/>
          <w:sz w:val="17"/>
          <w:szCs w:val="17"/>
          <w:color w:val="auto"/>
        </w:rPr>
      </w:pPr>
    </w:p>
    <w:p>
      <w:pPr>
        <w:jc w:val="both"/>
        <w:ind w:right="120" w:firstLine="436"/>
        <w:spacing w:after="0" w:line="311"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7" w:name="page68"/>
    <w:bookmarkEnd w:id="67"/>
    <w:p>
      <w:pPr>
        <w:jc w:val="both"/>
        <w:ind w:right="340" w:firstLine="436"/>
        <w:spacing w:after="0" w:line="286"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CASH-BASED AWARDS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u w:val="single" w:color="auto"/>
          <w:color w:val="auto"/>
        </w:rPr>
        <w:t>Grant of Cash-Based Awards</w:t>
      </w:r>
      <w:r>
        <w:rPr>
          <w:rFonts w:ascii="Arial" w:cs="Arial" w:eastAsia="Arial" w:hAnsi="Arial"/>
          <w:sz w:val="17"/>
          <w:szCs w:val="17"/>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117" w:lineRule="exact"/>
        <w:rPr>
          <w:sz w:val="20"/>
          <w:szCs w:val="20"/>
          <w:color w:val="auto"/>
        </w:rPr>
      </w:pPr>
    </w:p>
    <w:p>
      <w:pPr>
        <w:ind w:right="80" w:firstLine="436"/>
        <w:spacing w:after="0" w:line="269" w:lineRule="auto"/>
        <w:tabs>
          <w:tab w:leader="none" w:pos="68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68" w:name="page69"/>
    <w:bookmarkEnd w:id="68"/>
    <w:p>
      <w:pPr>
        <w:ind w:right="300" w:firstLine="436"/>
        <w:spacing w:after="0" w:line="263"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Arial" w:cs="Arial" w:eastAsia="Arial" w:hAnsi="Arial"/>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firstLine="436"/>
        <w:spacing w:after="0" w:line="257" w:lineRule="auto"/>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7" w:lineRule="exact"/>
        <w:rPr>
          <w:rFonts w:ascii="Arial" w:cs="Arial" w:eastAsia="Arial" w:hAnsi="Arial"/>
          <w:sz w:val="18"/>
          <w:szCs w:val="18"/>
          <w:color w:val="auto"/>
        </w:rPr>
      </w:pPr>
    </w:p>
    <w:p>
      <w:pPr>
        <w:ind w:right="260" w:firstLine="436"/>
        <w:spacing w:after="0" w:line="275" w:lineRule="auto"/>
        <w:tabs>
          <w:tab w:leader="none" w:pos="69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Administrator Action</w:t>
      </w:r>
      <w:r>
        <w:rPr>
          <w:rFonts w:ascii="Arial" w:cs="Arial" w:eastAsia="Arial" w:hAnsi="Arial"/>
          <w:sz w:val="17"/>
          <w:szCs w:val="17"/>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6" w:lineRule="exact"/>
        <w:rPr>
          <w:rFonts w:ascii="Arial" w:cs="Arial" w:eastAsia="Arial" w:hAnsi="Arial"/>
          <w:sz w:val="17"/>
          <w:szCs w:val="17"/>
          <w:color w:val="auto"/>
        </w:rPr>
      </w:pPr>
    </w:p>
    <w:p>
      <w:pPr>
        <w:ind w:right="40" w:firstLine="436"/>
        <w:spacing w:after="0" w:line="275" w:lineRule="auto"/>
        <w:tabs>
          <w:tab w:leader="none" w:pos="68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6" w:lineRule="exact"/>
        <w:rPr>
          <w:rFonts w:ascii="Arial" w:cs="Arial" w:eastAsia="Arial" w:hAnsi="Arial"/>
          <w:sz w:val="17"/>
          <w:szCs w:val="17"/>
          <w:color w:val="auto"/>
        </w:rPr>
      </w:pPr>
    </w:p>
    <w:p>
      <w:pPr>
        <w:ind w:right="180" w:firstLine="436"/>
        <w:spacing w:after="0" w:line="257"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TAX WITHHOLDING</w:t>
      </w:r>
    </w:p>
    <w:p>
      <w:pPr>
        <w:spacing w:after="0" w:line="117" w:lineRule="exact"/>
        <w:rPr>
          <w:sz w:val="20"/>
          <w:szCs w:val="20"/>
          <w:color w:val="auto"/>
        </w:rPr>
      </w:pPr>
    </w:p>
    <w:p>
      <w:pPr>
        <w:ind w:right="60" w:firstLine="436"/>
        <w:spacing w:after="0" w:line="273" w:lineRule="auto"/>
        <w:tabs>
          <w:tab w:leader="none" w:pos="685"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77" w:lineRule="exact"/>
        <w:rPr>
          <w:rFonts w:ascii="Arial" w:cs="Arial" w:eastAsia="Arial" w:hAnsi="Arial"/>
          <w:sz w:val="17"/>
          <w:szCs w:val="17"/>
          <w:color w:val="auto"/>
        </w:rPr>
      </w:pPr>
    </w:p>
    <w:p>
      <w:pPr>
        <w:ind w:right="40" w:firstLine="436"/>
        <w:spacing w:after="0" w:line="254"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Arial" w:cs="Arial" w:eastAsia="Arial" w:hAnsi="Arial"/>
          <w:sz w:val="18"/>
          <w:szCs w:val="18"/>
          <w:u w:val="single" w:color="auto"/>
          <w:color w:val="auto"/>
        </w:rPr>
        <w:t>TERMINATION OF SERVICE RELATIONSHIP, TRANSFER, LEAVE OF ABSENCE, ETC.</w:t>
      </w:r>
    </w:p>
    <w:p>
      <w:pPr>
        <w:spacing w:after="0" w:line="117" w:lineRule="exact"/>
        <w:rPr>
          <w:sz w:val="20"/>
          <w:szCs w:val="20"/>
          <w:color w:val="auto"/>
        </w:rPr>
      </w:pPr>
    </w:p>
    <w:p>
      <w:pPr>
        <w:ind w:right="220" w:firstLine="436"/>
        <w:spacing w:after="0" w:line="277"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an Affiliate or from the Company to an Affiliate, or from one Affiliate to another; or</w:t>
      </w:r>
    </w:p>
    <w:p>
      <w:pPr>
        <w:spacing w:after="0" w:line="248" w:lineRule="exact"/>
        <w:rPr>
          <w:rFonts w:ascii="Arial" w:cs="Arial" w:eastAsia="Arial" w:hAnsi="Arial"/>
          <w:sz w:val="16"/>
          <w:szCs w:val="16"/>
          <w:color w:val="auto"/>
        </w:rPr>
      </w:pPr>
    </w:p>
    <w:p>
      <w:pPr>
        <w:ind w:right="220" w:firstLine="987"/>
        <w:spacing w:after="0" w:line="263" w:lineRule="auto"/>
        <w:tabs>
          <w:tab w:leader="none" w:pos="12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right="20" w:firstLine="436"/>
        <w:spacing w:after="0" w:line="277" w:lineRule="auto"/>
        <w:tabs>
          <w:tab w:leader="none" w:pos="68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71" w:name="page72"/>
    <w:bookmarkEnd w:id="71"/>
    <w:p>
      <w:pPr>
        <w:ind w:left="-40" w:firstLine="436"/>
        <w:spacing w:after="0" w:line="285"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6" w:lineRule="exact"/>
        <w:rPr>
          <w:rFonts w:ascii="Arial" w:cs="Arial" w:eastAsia="Arial" w:hAnsi="Arial"/>
          <w:sz w:val="16"/>
          <w:szCs w:val="16"/>
          <w:color w:val="auto"/>
        </w:rPr>
      </w:pPr>
    </w:p>
    <w:p>
      <w:pPr>
        <w:ind w:left="-40" w:right="20" w:firstLine="436"/>
        <w:spacing w:after="0" w:line="263"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83" w:lineRule="exact"/>
        <w:rPr>
          <w:rFonts w:ascii="Arial" w:cs="Arial" w:eastAsia="Arial" w:hAnsi="Arial"/>
          <w:sz w:val="18"/>
          <w:szCs w:val="18"/>
          <w:color w:val="auto"/>
        </w:rPr>
      </w:pPr>
    </w:p>
    <w:p>
      <w:pPr>
        <w:ind w:left="-40" w:firstLine="436"/>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83" w:lineRule="exact"/>
        <w:rPr>
          <w:rFonts w:ascii="Arial" w:cs="Arial" w:eastAsia="Arial" w:hAnsi="Arial"/>
          <w:sz w:val="18"/>
          <w:szCs w:val="18"/>
          <w:color w:val="auto"/>
        </w:rPr>
      </w:pPr>
    </w:p>
    <w:p>
      <w:pPr>
        <w:ind w:left="-40" w:right="120" w:firstLine="436"/>
        <w:spacing w:after="0" w:line="259"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86" w:lineRule="exact"/>
        <w:rPr>
          <w:rFonts w:ascii="Arial" w:cs="Arial" w:eastAsia="Arial" w:hAnsi="Arial"/>
          <w:sz w:val="18"/>
          <w:szCs w:val="18"/>
          <w:color w:val="auto"/>
        </w:rPr>
      </w:pPr>
    </w:p>
    <w:p>
      <w:pPr>
        <w:ind w:left="-40" w:right="180" w:firstLine="436"/>
        <w:spacing w:after="0" w:line="277" w:lineRule="auto"/>
        <w:tabs>
          <w:tab w:leader="none" w:pos="62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74" w:right="499" w:bottom="1440" w:gutter="0" w:footer="0" w:header="0"/>
        </w:sectPr>
      </w:pPr>
    </w:p>
    <w:bookmarkStart w:id="72" w:name="page73"/>
    <w:bookmarkEnd w:id="72"/>
    <w:p>
      <w:pPr>
        <w:jc w:val="both"/>
        <w:ind w:firstLine="436"/>
        <w:spacing w:after="0" w:line="286"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Clawback Policy</w:t>
      </w:r>
      <w:r>
        <w:rPr>
          <w:rFonts w:ascii="Arial" w:cs="Arial" w:eastAsia="Arial" w:hAnsi="Arial"/>
          <w:sz w:val="17"/>
          <w:szCs w:val="17"/>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June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August 9, 2021</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74" w:right="5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37204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spacing w:after="0"/>
        <w:tabs>
          <w:tab w:leader="none" w:pos="2480" w:val="left"/>
        </w:tabs>
        <w:rPr>
          <w:sz w:val="20"/>
          <w:szCs w:val="20"/>
          <w:color w:val="auto"/>
        </w:rPr>
      </w:pPr>
      <w:r>
        <w:rPr>
          <w:rFonts w:ascii="Arial" w:cs="Arial" w:eastAsia="Arial" w:hAnsi="Arial"/>
          <w:sz w:val="17"/>
          <w:szCs w:val="17"/>
          <w:color w:val="auto"/>
        </w:rPr>
        <w:t>Option Exercise Price per Share: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-3175</wp:posOffset>
            </wp:positionV>
            <wp:extent cx="10852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085215" cy="8890"/>
                    </a:xfrm>
                    <a:prstGeom prst="rect">
                      <a:avLst/>
                    </a:prstGeom>
                    <a:noFill/>
                  </pic:spPr>
                </pic:pic>
              </a:graphicData>
            </a:graphic>
          </wp:anchor>
        </w:drawing>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[FMV on Grant Date (110% of FMV if a 10% owner)]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 more than 10 years (5 years if a 10% owner)]</w:t>
      </w:r>
    </w:p>
    <w:p>
      <w:pPr>
        <w:spacing w:after="0" w:line="21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Pursuant to the Tango Therapeutics, Inc. 2021 Stock Option and Incentive Plan, as amended through the date hereof (the “Plan”), Tango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171" w:lineRule="exact"/>
        <w:rPr>
          <w:sz w:val="20"/>
          <w:szCs w:val="20"/>
          <w:color w:val="auto"/>
        </w:rPr>
      </w:pPr>
    </w:p>
    <w:p>
      <w:pPr>
        <w:ind w:right="60" w:firstLine="436"/>
        <w:spacing w:after="0" w:line="259"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1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ectPr>
          <w:pgSz w:w="11900" w:h="16838" w:orient="portrait"/>
          <w:cols w:equalWidth="0" w:num="1">
            <w:col w:w="11020"/>
          </w:cols>
          <w:pgMar w:left="440" w:top="125" w:right="439" w:bottom="1440" w:gutter="0" w:footer="0" w:header="0"/>
        </w:sectPr>
      </w:pPr>
    </w:p>
    <w:p>
      <w:pPr>
        <w:spacing w:after="0" w:line="209" w:lineRule="exact"/>
        <w:rPr>
          <w:sz w:val="20"/>
          <w:szCs w:val="20"/>
          <w:color w:val="auto"/>
        </w:rPr>
      </w:pPr>
    </w:p>
    <w:p>
      <w:pPr>
        <w:jc w:val="center"/>
        <w:ind w:left="1140"/>
        <w:spacing w:after="0"/>
        <w:rPr>
          <w:sz w:val="20"/>
          <w:szCs w:val="20"/>
          <w:color w:val="auto"/>
        </w:rPr>
      </w:pPr>
      <w:r>
        <w:rPr>
          <w:rFonts w:ascii="Arial" w:cs="Arial" w:eastAsia="Arial" w:hAnsi="Arial"/>
          <w:sz w:val="14"/>
          <w:szCs w:val="14"/>
          <w:color w:val="auto"/>
        </w:rPr>
        <w:t>Incremental Number of</w:t>
      </w:r>
    </w:p>
    <w:p>
      <w:pPr>
        <w:jc w:val="center"/>
        <w:ind w:left="1140"/>
        <w:spacing w:after="0"/>
        <w:rPr>
          <w:sz w:val="20"/>
          <w:szCs w:val="20"/>
          <w:color w:val="auto"/>
        </w:rPr>
      </w:pPr>
      <w:r>
        <w:rPr>
          <w:rFonts w:ascii="Arial" w:cs="Arial" w:eastAsia="Arial" w:hAnsi="Arial"/>
          <w:sz w:val="13"/>
          <w:szCs w:val="13"/>
          <w:u w:val="single" w:color="auto"/>
          <w:color w:val="auto"/>
        </w:rPr>
        <w:t>Option Shares Exercisable*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Exercisability Date</w:t>
      </w:r>
    </w:p>
    <w:p>
      <w:pPr>
        <w:spacing w:after="0" w:line="32" w:lineRule="exact"/>
        <w:rPr>
          <w:sz w:val="20"/>
          <w:szCs w:val="20"/>
          <w:color w:val="auto"/>
        </w:rPr>
      </w:pPr>
    </w:p>
    <w:p>
      <w:pPr>
        <w:sectPr>
          <w:pgSz w:w="11900" w:h="16838" w:orient="portrait"/>
          <w:cols w:equalWidth="0" w:num="2">
            <w:col w:w="6220" w:space="720"/>
            <w:col w:w="4080"/>
          </w:cols>
          <w:pgMar w:left="440" w:top="125" w:right="439" w:bottom="1440" w:gutter="0" w:footer="0" w:header="0"/>
          <w:type w:val="continuous"/>
        </w:sectPr>
      </w:pPr>
    </w:p>
    <w:p>
      <w:pPr>
        <w:ind w:left="4140" w:hanging="420"/>
        <w:spacing w:after="0"/>
        <w:tabs>
          <w:tab w:leader="none" w:pos="4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-20320</wp:posOffset>
            </wp:positionV>
            <wp:extent cx="7232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-20320</wp:posOffset>
            </wp:positionV>
            <wp:extent cx="571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140" w:hanging="420"/>
        <w:spacing w:after="0"/>
        <w:tabs>
          <w:tab w:leader="none" w:pos="4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140" w:hanging="420"/>
        <w:spacing w:after="0"/>
        <w:tabs>
          <w:tab w:leader="none" w:pos="4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 Max. of $100,000 per 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-284480</wp:posOffset>
            </wp:positionV>
            <wp:extent cx="7232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-284480</wp:posOffset>
            </wp:positionV>
            <wp:extent cx="571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020"/>
          </w:cols>
          <w:pgMar w:left="440" w:top="125" w:right="439" w:bottom="1440" w:gutter="0" w:footer="0" w:header="0"/>
          <w:type w:val="continuous"/>
        </w:sectPr>
      </w:pPr>
    </w:p>
    <w:bookmarkStart w:id="74" w:name="page75"/>
    <w:bookmarkEnd w:id="74"/>
    <w:p>
      <w:pPr>
        <w:ind w:left="620" w:hanging="18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spacing w:after="0" w:line="177" w:lineRule="exact"/>
        <w:rPr>
          <w:sz w:val="20"/>
          <w:szCs w:val="20"/>
          <w:color w:val="auto"/>
        </w:rPr>
      </w:pPr>
    </w:p>
    <w:p>
      <w:pPr>
        <w:ind w:right="20" w:firstLine="987"/>
        <w:spacing w:after="0" w:line="291" w:lineRule="auto"/>
        <w:tabs>
          <w:tab w:leader="none" w:pos="124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5" w:name="page76"/>
    <w:bookmarkEnd w:id="75"/>
    <w:p>
      <w:pPr>
        <w:ind w:right="60" w:firstLine="987"/>
        <w:spacing w:after="0" w:line="263" w:lineRule="auto"/>
        <w:tabs>
          <w:tab w:leader="none" w:pos="1236"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210" w:lineRule="exact"/>
        <w:rPr>
          <w:rFonts w:ascii="Arial" w:cs="Arial" w:eastAsia="Arial" w:hAnsi="Arial"/>
          <w:sz w:val="17"/>
          <w:szCs w:val="17"/>
          <w:color w:val="auto"/>
        </w:rPr>
      </w:pPr>
    </w:p>
    <w:p>
      <w:pPr>
        <w:ind w:right="160" w:firstLine="436"/>
        <w:spacing w:after="0" w:line="277"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with the Company or a Subsidiary terminates, the period within which to exercise the Stock Option may be subject to earlier termination as set forth below.</w:t>
      </w:r>
    </w:p>
    <w:p>
      <w:pPr>
        <w:spacing w:after="0" w:line="170" w:lineRule="exact"/>
        <w:rPr>
          <w:rFonts w:ascii="Arial" w:cs="Arial" w:eastAsia="Arial" w:hAnsi="Arial"/>
          <w:sz w:val="18"/>
          <w:szCs w:val="18"/>
          <w:color w:val="auto"/>
        </w:rPr>
      </w:pPr>
    </w:p>
    <w:p>
      <w:pPr>
        <w:ind w:right="200" w:firstLine="987"/>
        <w:spacing w:after="0" w:line="259" w:lineRule="auto"/>
        <w:tabs>
          <w:tab w:leader="none" w:pos="1236"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6" w:lineRule="exact"/>
        <w:rPr>
          <w:rFonts w:ascii="Arial" w:cs="Arial" w:eastAsia="Arial" w:hAnsi="Arial"/>
          <w:sz w:val="18"/>
          <w:szCs w:val="18"/>
          <w:color w:val="auto"/>
        </w:rPr>
      </w:pPr>
    </w:p>
    <w:p>
      <w:pPr>
        <w:ind w:right="40" w:firstLine="987"/>
        <w:spacing w:after="0" w:line="301" w:lineRule="auto"/>
        <w:tabs>
          <w:tab w:leader="none" w:pos="1246"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the Optionee’s employment terminates by reason of the Optionee’s disability (as determined by the Administrator), any portion of this Stock Option outstanding on such date, to the extent exercisable on the date of such termination of employment,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spacing w:after="0" w:line="157" w:lineRule="exact"/>
        <w:rPr>
          <w:rFonts w:ascii="Arial" w:cs="Arial" w:eastAsia="Arial" w:hAnsi="Arial"/>
          <w:sz w:val="16"/>
          <w:szCs w:val="16"/>
          <w:color w:val="auto"/>
        </w:rPr>
      </w:pPr>
    </w:p>
    <w:p>
      <w:pPr>
        <w:ind w:firstLine="987"/>
        <w:spacing w:after="0" w:line="273" w:lineRule="auto"/>
        <w:tabs>
          <w:tab w:leader="none" w:pos="1236"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employment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 Subsidiary.</w:t>
      </w:r>
    </w:p>
    <w:p>
      <w:pPr>
        <w:spacing w:after="0" w:line="177" w:lineRule="exact"/>
        <w:rPr>
          <w:rFonts w:ascii="Arial" w:cs="Arial" w:eastAsia="Arial" w:hAnsi="Arial"/>
          <w:sz w:val="17"/>
          <w:szCs w:val="17"/>
          <w:color w:val="auto"/>
        </w:rPr>
      </w:pPr>
    </w:p>
    <w:p>
      <w:pPr>
        <w:ind w:right="140" w:firstLine="987"/>
        <w:spacing w:after="0" w:line="301" w:lineRule="auto"/>
        <w:tabs>
          <w:tab w:leader="none" w:pos="1246"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6" w:name="page77"/>
    <w:bookmarkEnd w:id="76"/>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Administrator’s determination of the reason for termination of the Optionee’s employment shall be conclusive and binding on the Optionee and his or her representatives or legatees.</w:t>
      </w:r>
    </w:p>
    <w:p>
      <w:pPr>
        <w:spacing w:after="0" w:line="170" w:lineRule="exact"/>
        <w:rPr>
          <w:sz w:val="20"/>
          <w:szCs w:val="20"/>
          <w:color w:val="auto"/>
        </w:rPr>
      </w:pPr>
    </w:p>
    <w:p>
      <w:pPr>
        <w:ind w:firstLine="436"/>
        <w:spacing w:after="0" w:line="263"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right="340" w:firstLine="436"/>
        <w:spacing w:after="0" w:line="263"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3" w:lineRule="exact"/>
        <w:rPr>
          <w:rFonts w:ascii="Arial" w:cs="Arial" w:eastAsia="Arial" w:hAnsi="Arial"/>
          <w:sz w:val="18"/>
          <w:szCs w:val="18"/>
          <w:color w:val="auto"/>
        </w:rPr>
      </w:pPr>
    </w:p>
    <w:p>
      <w:pPr>
        <w:ind w:right="20" w:firstLine="436"/>
        <w:spacing w:after="0" w:line="289"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Status of the Stock Option</w:t>
      </w:r>
      <w:r>
        <w:rPr>
          <w:rFonts w:ascii="Arial" w:cs="Arial" w:eastAsia="Arial" w:hAnsi="Arial"/>
          <w:sz w:val="16"/>
          <w:szCs w:val="16"/>
          <w:color w:val="auto"/>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Arial" w:cs="Arial" w:eastAsia="Arial" w:hAnsi="Arial"/>
          <w:sz w:val="16"/>
          <w:szCs w:val="16"/>
          <w:b w:val="1"/>
          <w:bCs w:val="1"/>
          <w:i w:val="1"/>
          <w:iCs w:val="1"/>
          <w:color w:val="auto"/>
        </w:rPr>
        <w:t>this Stock Option must be exercised within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three months after termination of employment as an employee (or 12 months in the case of death or disability) to qualify as an “incentive stock option.</w:t>
      </w:r>
      <w:r>
        <w:rPr>
          <w:rFonts w:ascii="Arial" w:cs="Arial" w:eastAsia="Arial" w:hAnsi="Arial"/>
          <w:sz w:val="16"/>
          <w:szCs w:val="16"/>
          <w:color w:val="auto"/>
        </w:rPr>
        <w:t>” To the extent any portion of this Stock Option does not so qualify as an “incentive stock option,” such portion shall be deemed to be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66" w:lineRule="exact"/>
        <w:rPr>
          <w:rFonts w:ascii="Arial" w:cs="Arial" w:eastAsia="Arial" w:hAnsi="Arial"/>
          <w:sz w:val="16"/>
          <w:szCs w:val="16"/>
          <w:color w:val="auto"/>
        </w:rPr>
      </w:pPr>
    </w:p>
    <w:p>
      <w:pPr>
        <w:ind w:right="40" w:firstLine="436"/>
        <w:spacing w:after="0" w:line="254"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94" w:lineRule="exact"/>
        <w:rPr>
          <w:rFonts w:ascii="Arial" w:cs="Arial" w:eastAsia="Arial" w:hAnsi="Arial"/>
          <w:sz w:val="18"/>
          <w:szCs w:val="18"/>
          <w:color w:val="auto"/>
        </w:rPr>
      </w:pPr>
    </w:p>
    <w:p>
      <w:pPr>
        <w:jc w:val="both"/>
        <w:ind w:right="20" w:firstLine="436"/>
        <w:spacing w:after="0" w:line="263"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Optionee’s employment and neither the Plan nor this Agreement shall interfere in any way with the right of the Company or any Subsidiary to terminate the employment of the Optionee at any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7" w:name="page78"/>
    <w:bookmarkEnd w:id="77"/>
    <w:p>
      <w:pPr>
        <w:ind w:left="-60" w:right="360" w:firstLine="436"/>
        <w:spacing w:after="0" w:line="277" w:lineRule="auto"/>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60" w:firstLine="436"/>
        <w:spacing w:after="0" w:line="270" w:lineRule="auto"/>
        <w:tabs>
          <w:tab w:leader="none" w:pos="65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74" w:right="519" w:bottom="1440" w:gutter="0" w:footer="0" w:header="0"/>
        </w:sectPr>
      </w:pPr>
    </w:p>
    <w:bookmarkStart w:id="78" w:name="page79"/>
    <w:bookmarkEnd w:id="78"/>
    <w:p>
      <w:pPr>
        <w:ind w:firstLine="436"/>
        <w:spacing w:after="0" w:line="263" w:lineRule="auto"/>
        <w:tabs>
          <w:tab w:leader="none" w:pos="70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220345</wp:posOffset>
            </wp:positionV>
            <wp:extent cx="28632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443230</wp:posOffset>
            </wp:positionV>
            <wp:extent cx="2863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666115</wp:posOffset>
            </wp:positionV>
            <wp:extent cx="28632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37204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spacing w:after="0"/>
        <w:tabs>
          <w:tab w:leader="none" w:pos="2480" w:val="left"/>
        </w:tabs>
        <w:rPr>
          <w:sz w:val="20"/>
          <w:szCs w:val="20"/>
          <w:color w:val="auto"/>
        </w:rPr>
      </w:pPr>
      <w:r>
        <w:rPr>
          <w:rFonts w:ascii="Arial" w:cs="Arial" w:eastAsia="Arial" w:hAnsi="Arial"/>
          <w:sz w:val="17"/>
          <w:szCs w:val="17"/>
          <w:color w:val="auto"/>
        </w:rPr>
        <w:t>Option Exercise Price per Share: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-3175</wp:posOffset>
            </wp:positionV>
            <wp:extent cx="10852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[FMV on Grant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 more than 10 years]</w:t>
      </w:r>
    </w:p>
    <w:p>
      <w:pPr>
        <w:spacing w:after="0" w:line="211" w:lineRule="exact"/>
        <w:rPr>
          <w:sz w:val="20"/>
          <w:szCs w:val="20"/>
          <w:color w:val="auto"/>
        </w:rPr>
      </w:pPr>
    </w:p>
    <w:p>
      <w:pPr>
        <w:ind w:right="260" w:firstLine="440"/>
        <w:spacing w:after="0" w:line="273" w:lineRule="auto"/>
        <w:rPr>
          <w:sz w:val="20"/>
          <w:szCs w:val="20"/>
          <w:color w:val="auto"/>
        </w:rPr>
      </w:pPr>
      <w:r>
        <w:rPr>
          <w:rFonts w:ascii="Arial" w:cs="Arial" w:eastAsia="Arial" w:hAnsi="Arial"/>
          <w:sz w:val="17"/>
          <w:szCs w:val="17"/>
          <w:color w:val="auto"/>
        </w:rPr>
        <w:t>Pursuant to the Tango Therapeutics, Inc. 2021 Stock Option and Incentive Plan, as amended through the date hereof (the “Plan”), Tango Therapeutics,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8" w:lineRule="exact"/>
        <w:rPr>
          <w:sz w:val="20"/>
          <w:szCs w:val="20"/>
          <w:color w:val="auto"/>
        </w:rPr>
      </w:pPr>
    </w:p>
    <w:p>
      <w:pPr>
        <w:ind w:firstLine="436"/>
        <w:spacing w:after="0" w:line="259" w:lineRule="auto"/>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1 of the Plan) to accelerate the exercisability schedule hereunder, this Stock Option shall be exercisable with respect to the following number of Option Shares on the dates indicated so long as the Optionee remains in a service as a member of the Board on such dates:</w:t>
      </w:r>
    </w:p>
    <w:p>
      <w:pPr>
        <w:sectPr>
          <w:pgSz w:w="11900" w:h="16838" w:orient="portrait"/>
          <w:cols w:equalWidth="0" w:num="1">
            <w:col w:w="10960"/>
          </w:cols>
          <w:pgMar w:left="440" w:top="270" w:right="499" w:bottom="1440" w:gutter="0" w:footer="0" w:header="0"/>
        </w:sectPr>
      </w:pPr>
    </w:p>
    <w:p>
      <w:pPr>
        <w:spacing w:after="0" w:line="209" w:lineRule="exact"/>
        <w:rPr>
          <w:sz w:val="20"/>
          <w:szCs w:val="20"/>
          <w:color w:val="auto"/>
        </w:rPr>
      </w:pPr>
    </w:p>
    <w:p>
      <w:pPr>
        <w:jc w:val="center"/>
        <w:ind w:left="1140"/>
        <w:spacing w:after="0"/>
        <w:rPr>
          <w:sz w:val="20"/>
          <w:szCs w:val="20"/>
          <w:color w:val="auto"/>
        </w:rPr>
      </w:pPr>
      <w:r>
        <w:rPr>
          <w:rFonts w:ascii="Arial" w:cs="Arial" w:eastAsia="Arial" w:hAnsi="Arial"/>
          <w:sz w:val="14"/>
          <w:szCs w:val="14"/>
          <w:color w:val="auto"/>
        </w:rPr>
        <w:t>Incremental Number of</w:t>
      </w:r>
    </w:p>
    <w:p>
      <w:pPr>
        <w:jc w:val="center"/>
        <w:ind w:left="1140"/>
        <w:spacing w:after="0"/>
        <w:rPr>
          <w:sz w:val="20"/>
          <w:szCs w:val="20"/>
          <w:color w:val="auto"/>
        </w:rPr>
      </w:pPr>
      <w:r>
        <w:rPr>
          <w:rFonts w:ascii="Arial" w:cs="Arial" w:eastAsia="Arial" w:hAnsi="Arial"/>
          <w:sz w:val="12"/>
          <w:szCs w:val="12"/>
          <w:u w:val="single" w:color="auto"/>
          <w:color w:val="auto"/>
        </w:rPr>
        <w:t>Option Shares Exercisable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Exercisability Date</w:t>
      </w:r>
    </w:p>
    <w:p>
      <w:pPr>
        <w:spacing w:after="0" w:line="32" w:lineRule="exact"/>
        <w:rPr>
          <w:sz w:val="20"/>
          <w:szCs w:val="20"/>
          <w:color w:val="auto"/>
        </w:rPr>
      </w:pPr>
    </w:p>
    <w:p>
      <w:pPr>
        <w:sectPr>
          <w:pgSz w:w="11900" w:h="16838" w:orient="portrait"/>
          <w:cols w:equalWidth="0" w:num="2">
            <w:col w:w="6220" w:space="720"/>
            <w:col w:w="4020"/>
          </w:cols>
          <w:pgMar w:left="440" w:top="270" w:right="499" w:bottom="1440" w:gutter="0" w:footer="0" w:header="0"/>
          <w:type w:val="continuous"/>
        </w:sectPr>
      </w:pPr>
    </w:p>
    <w:p>
      <w:pPr>
        <w:ind w:left="4140" w:hanging="420"/>
        <w:spacing w:after="0"/>
        <w:tabs>
          <w:tab w:leader="none" w:pos="4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-20320</wp:posOffset>
            </wp:positionV>
            <wp:extent cx="7232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-20320</wp:posOffset>
            </wp:positionV>
            <wp:extent cx="571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140" w:hanging="420"/>
        <w:spacing w:after="0"/>
        <w:tabs>
          <w:tab w:leader="none" w:pos="4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-156210</wp:posOffset>
            </wp:positionV>
            <wp:extent cx="7232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-156210</wp:posOffset>
            </wp:positionV>
            <wp:extent cx="571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Notwithstanding anything to the contrary herein or in the Plan, all outstanding Option Shares shall become fully exercisable upon a Sale Event. 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0960"/>
          </w:cols>
          <w:pgMar w:left="440" w:top="270" w:right="499" w:bottom="1440" w:gutter="0" w:footer="0" w:header="0"/>
          <w:type w:val="continuous"/>
        </w:sectPr>
      </w:pPr>
    </w:p>
    <w:bookmarkStart w:id="80" w:name="page81"/>
    <w:bookmarkEnd w:id="80"/>
    <w:p>
      <w:pPr>
        <w:ind w:left="620" w:hanging="184"/>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spacing w:after="0" w:line="177" w:lineRule="exact"/>
        <w:rPr>
          <w:sz w:val="20"/>
          <w:szCs w:val="20"/>
          <w:color w:val="auto"/>
        </w:rPr>
      </w:pPr>
    </w:p>
    <w:p>
      <w:pPr>
        <w:ind w:right="20" w:firstLine="987"/>
        <w:spacing w:after="0" w:line="257"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1" w:name="page82"/>
    <w:bookmarkEnd w:id="8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4" w:lineRule="exact"/>
        <w:rPr>
          <w:sz w:val="20"/>
          <w:szCs w:val="20"/>
          <w:color w:val="auto"/>
        </w:rPr>
      </w:pPr>
    </w:p>
    <w:p>
      <w:pPr>
        <w:ind w:right="60" w:firstLine="987"/>
        <w:spacing w:after="0" w:line="263" w:lineRule="auto"/>
        <w:tabs>
          <w:tab w:leader="none" w:pos="123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210" w:lineRule="exact"/>
        <w:rPr>
          <w:rFonts w:ascii="Arial" w:cs="Arial" w:eastAsia="Arial" w:hAnsi="Arial"/>
          <w:sz w:val="17"/>
          <w:szCs w:val="17"/>
          <w:color w:val="auto"/>
        </w:rPr>
      </w:pPr>
    </w:p>
    <w:p>
      <w:pPr>
        <w:ind w:right="40"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Termination of Service as a Director</w:t>
      </w:r>
      <w:r>
        <w:rPr>
          <w:rFonts w:ascii="Arial" w:cs="Arial" w:eastAsia="Arial" w:hAnsi="Arial"/>
          <w:sz w:val="18"/>
          <w:szCs w:val="18"/>
          <w:color w:val="auto"/>
        </w:rPr>
        <w:t>. If the Optionee ceases to serve on the Board, the period within which to exercise the Stock Option may be subject to earlier termination as set forth below.</w:t>
      </w:r>
    </w:p>
    <w:p>
      <w:pPr>
        <w:spacing w:after="0" w:line="170" w:lineRule="exact"/>
        <w:rPr>
          <w:rFonts w:ascii="Arial" w:cs="Arial" w:eastAsia="Arial" w:hAnsi="Arial"/>
          <w:sz w:val="18"/>
          <w:szCs w:val="18"/>
          <w:color w:val="auto"/>
        </w:rPr>
      </w:pPr>
    </w:p>
    <w:p>
      <w:pPr>
        <w:ind w:firstLine="987"/>
        <w:spacing w:after="0" w:line="259" w:lineRule="auto"/>
        <w:tabs>
          <w:tab w:leader="none" w:pos="123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service on the Board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6" w:lineRule="exact"/>
        <w:rPr>
          <w:rFonts w:ascii="Arial" w:cs="Arial" w:eastAsia="Arial" w:hAnsi="Arial"/>
          <w:sz w:val="18"/>
          <w:szCs w:val="18"/>
          <w:color w:val="auto"/>
        </w:rPr>
      </w:pPr>
    </w:p>
    <w:p>
      <w:pPr>
        <w:ind w:right="60" w:firstLine="987"/>
        <w:spacing w:after="0" w:line="301" w:lineRule="auto"/>
        <w:tabs>
          <w:tab w:leader="none" w:pos="1246"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service on the Board ceases for any reason other than the Optionee’s death, any portion of this Stock Option outstanding on such date may be exercised, to the extent exercisable on the date the Optionee ceased to serve on the Board, for a period of six months from the date the Optionee ceased to serve on the Board or until the Expiration Date, if earlier. Any portion of this Stock Option that is not exercisable on the date the Optionee ceases to serve on the Board shall terminate immediately and be of no further force or effect.</w:t>
      </w:r>
    </w:p>
    <w:p>
      <w:pPr>
        <w:spacing w:after="0" w:line="157" w:lineRule="exact"/>
        <w:rPr>
          <w:rFonts w:ascii="Arial" w:cs="Arial" w:eastAsia="Arial" w:hAnsi="Arial"/>
          <w:sz w:val="16"/>
          <w:szCs w:val="16"/>
          <w:color w:val="auto"/>
        </w:rPr>
      </w:pPr>
    </w:p>
    <w:p>
      <w:pPr>
        <w:ind w:right="20" w:firstLine="436"/>
        <w:spacing w:after="0" w:line="263"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right="360" w:firstLine="436"/>
        <w:spacing w:after="0" w:line="263"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3" w:lineRule="exact"/>
        <w:rPr>
          <w:rFonts w:ascii="Arial" w:cs="Arial" w:eastAsia="Arial" w:hAnsi="Arial"/>
          <w:sz w:val="18"/>
          <w:szCs w:val="18"/>
          <w:color w:val="auto"/>
        </w:rPr>
      </w:pPr>
    </w:p>
    <w:p>
      <w:pPr>
        <w:ind w:right="120"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as a Director</w:t>
      </w:r>
      <w:r>
        <w:rPr>
          <w:rFonts w:ascii="Arial" w:cs="Arial" w:eastAsia="Arial" w:hAnsi="Arial"/>
          <w:sz w:val="18"/>
          <w:szCs w:val="18"/>
          <w:color w:val="auto"/>
        </w:rPr>
        <w:t>. Neither the Plan nor this Stock Option confers upon the Optionee any rights with respect to a continued service on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2" w:name="page83"/>
    <w:bookmarkEnd w:id="82"/>
    <w:p>
      <w:pPr>
        <w:ind w:left="-100" w:right="340" w:firstLine="436"/>
        <w:spacing w:after="0" w:line="277"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100" w:firstLine="436"/>
        <w:spacing w:after="0" w:line="270"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540" w:top="274" w:right="539" w:bottom="1440" w:gutter="0" w:footer="0" w:header="0"/>
        </w:sectPr>
      </w:pPr>
    </w:p>
    <w:bookmarkStart w:id="83" w:name="page84"/>
    <w:bookmarkEnd w:id="83"/>
    <w:p>
      <w:pPr>
        <w:ind w:firstLine="436"/>
        <w:spacing w:after="0" w:line="263"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14605</wp:posOffset>
            </wp:positionV>
            <wp:extent cx="6454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220345</wp:posOffset>
            </wp:positionV>
            <wp:extent cx="28632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443230</wp:posOffset>
            </wp:positionV>
            <wp:extent cx="28632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666115</wp:posOffset>
            </wp:positionV>
            <wp:extent cx="28632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37204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spacing w:after="0"/>
        <w:tabs>
          <w:tab w:leader="none" w:pos="2480" w:val="left"/>
        </w:tabs>
        <w:rPr>
          <w:sz w:val="20"/>
          <w:szCs w:val="20"/>
          <w:color w:val="auto"/>
        </w:rPr>
      </w:pPr>
      <w:r>
        <w:rPr>
          <w:rFonts w:ascii="Arial" w:cs="Arial" w:eastAsia="Arial" w:hAnsi="Arial"/>
          <w:sz w:val="17"/>
          <w:szCs w:val="17"/>
          <w:color w:val="auto"/>
        </w:rPr>
        <w:t>Option Exercise Price per Share: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-3175</wp:posOffset>
            </wp:positionV>
            <wp:extent cx="10852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[FMV on Grant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-10160</wp:posOffset>
            </wp:positionV>
            <wp:extent cx="11709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 more than 10 years]</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Pursuant to the Tango Therapeutics, Inc. 2021 Stock Option and Incentive Plan, as amended through the date hereof (the “Plan”), Tango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6" w:lineRule="exact"/>
        <w:rPr>
          <w:sz w:val="20"/>
          <w:szCs w:val="20"/>
          <w:color w:val="auto"/>
        </w:rPr>
      </w:pPr>
    </w:p>
    <w:p>
      <w:pPr>
        <w:ind w:firstLine="436"/>
        <w:spacing w:after="0" w:line="259"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1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ectPr>
          <w:pgSz w:w="11900" w:h="16838" w:orient="portrait"/>
          <w:cols w:equalWidth="0" w:num="1">
            <w:col w:w="10960"/>
          </w:cols>
          <w:pgMar w:left="440" w:top="270" w:right="499" w:bottom="1440" w:gutter="0" w:footer="0" w:header="0"/>
        </w:sectPr>
      </w:pPr>
    </w:p>
    <w:p>
      <w:pPr>
        <w:spacing w:after="0" w:line="209" w:lineRule="exact"/>
        <w:rPr>
          <w:sz w:val="20"/>
          <w:szCs w:val="20"/>
          <w:color w:val="auto"/>
        </w:rPr>
      </w:pPr>
    </w:p>
    <w:p>
      <w:pPr>
        <w:jc w:val="center"/>
        <w:ind w:left="1140"/>
        <w:spacing w:after="0"/>
        <w:rPr>
          <w:sz w:val="20"/>
          <w:szCs w:val="20"/>
          <w:color w:val="auto"/>
        </w:rPr>
      </w:pPr>
      <w:r>
        <w:rPr>
          <w:rFonts w:ascii="Arial" w:cs="Arial" w:eastAsia="Arial" w:hAnsi="Arial"/>
          <w:sz w:val="14"/>
          <w:szCs w:val="14"/>
          <w:color w:val="auto"/>
        </w:rPr>
        <w:t>Incremental Number of</w:t>
      </w:r>
    </w:p>
    <w:p>
      <w:pPr>
        <w:jc w:val="center"/>
        <w:ind w:left="1140"/>
        <w:spacing w:after="0"/>
        <w:rPr>
          <w:sz w:val="20"/>
          <w:szCs w:val="20"/>
          <w:color w:val="auto"/>
        </w:rPr>
      </w:pPr>
      <w:r>
        <w:rPr>
          <w:rFonts w:ascii="Arial" w:cs="Arial" w:eastAsia="Arial" w:hAnsi="Arial"/>
          <w:sz w:val="12"/>
          <w:szCs w:val="12"/>
          <w:u w:val="single" w:color="auto"/>
          <w:color w:val="auto"/>
        </w:rPr>
        <w:t>Option Shares Exercisable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Exercisability Date</w:t>
      </w:r>
    </w:p>
    <w:p>
      <w:pPr>
        <w:spacing w:after="0" w:line="32" w:lineRule="exact"/>
        <w:rPr>
          <w:sz w:val="20"/>
          <w:szCs w:val="20"/>
          <w:color w:val="auto"/>
        </w:rPr>
      </w:pPr>
    </w:p>
    <w:p>
      <w:pPr>
        <w:sectPr>
          <w:pgSz w:w="11900" w:h="16838" w:orient="portrait"/>
          <w:cols w:equalWidth="0" w:num="2">
            <w:col w:w="6220" w:space="720"/>
            <w:col w:w="4020"/>
          </w:cols>
          <w:pgMar w:left="440" w:top="270" w:right="499" w:bottom="1440" w:gutter="0" w:footer="0" w:header="0"/>
          <w:type w:val="continuous"/>
        </w:sectPr>
      </w:pPr>
    </w:p>
    <w:p>
      <w:pPr>
        <w:ind w:left="4140" w:hanging="420"/>
        <w:spacing w:after="0"/>
        <w:tabs>
          <w:tab w:leader="none" w:pos="4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-20320</wp:posOffset>
            </wp:positionV>
            <wp:extent cx="7232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-20320</wp:posOffset>
            </wp:positionV>
            <wp:extent cx="571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140" w:hanging="420"/>
        <w:spacing w:after="0"/>
        <w:tabs>
          <w:tab w:leader="none" w:pos="4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140" w:hanging="420"/>
        <w:spacing w:after="0"/>
        <w:tabs>
          <w:tab w:leader="none" w:pos="4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-156210</wp:posOffset>
            </wp:positionV>
            <wp:extent cx="7232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-156210</wp:posOffset>
            </wp:positionV>
            <wp:extent cx="571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0960"/>
          </w:cols>
          <w:pgMar w:left="440" w:top="270" w:right="499" w:bottom="1440" w:gutter="0" w:footer="0" w:header="0"/>
          <w:type w:val="continuous"/>
        </w:sectPr>
      </w:pPr>
    </w:p>
    <w:bookmarkStart w:id="85" w:name="page86"/>
    <w:bookmarkEnd w:id="85"/>
    <w:p>
      <w:pPr>
        <w:ind w:left="620" w:hanging="184"/>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spacing w:after="0" w:line="177" w:lineRule="exact"/>
        <w:rPr>
          <w:sz w:val="20"/>
          <w:szCs w:val="20"/>
          <w:color w:val="auto"/>
        </w:rPr>
      </w:pPr>
    </w:p>
    <w:p>
      <w:pPr>
        <w:ind w:right="20" w:firstLine="987"/>
        <w:spacing w:after="0" w:line="291" w:lineRule="auto"/>
        <w:tabs>
          <w:tab w:leader="none" w:pos="12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6" w:name="page87"/>
    <w:bookmarkEnd w:id="86"/>
    <w:p>
      <w:pPr>
        <w:ind w:right="60" w:firstLine="987"/>
        <w:spacing w:after="0" w:line="263" w:lineRule="auto"/>
        <w:tabs>
          <w:tab w:leader="none" w:pos="1236" w:val="left"/>
        </w:tabs>
        <w:numPr>
          <w:ilvl w:val="1"/>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210" w:lineRule="exact"/>
        <w:rPr>
          <w:rFonts w:ascii="Arial" w:cs="Arial" w:eastAsia="Arial" w:hAnsi="Arial"/>
          <w:sz w:val="17"/>
          <w:szCs w:val="17"/>
          <w:color w:val="auto"/>
        </w:rPr>
      </w:pPr>
    </w:p>
    <w:p>
      <w:pPr>
        <w:ind w:right="40" w:firstLine="436"/>
        <w:spacing w:after="0" w:line="277"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by the Company or a Subsidiary terminates, the period within which to exercise the Stock Option may be subject to earlier termination as set forth below.</w:t>
      </w:r>
    </w:p>
    <w:p>
      <w:pPr>
        <w:spacing w:after="0" w:line="170" w:lineRule="exact"/>
        <w:rPr>
          <w:rFonts w:ascii="Arial" w:cs="Arial" w:eastAsia="Arial" w:hAnsi="Arial"/>
          <w:sz w:val="18"/>
          <w:szCs w:val="18"/>
          <w:color w:val="auto"/>
        </w:rPr>
      </w:pPr>
    </w:p>
    <w:p>
      <w:pPr>
        <w:ind w:right="200" w:firstLine="987"/>
        <w:spacing w:after="0" w:line="259" w:lineRule="auto"/>
        <w:tabs>
          <w:tab w:leader="none" w:pos="123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6" w:lineRule="exact"/>
        <w:rPr>
          <w:rFonts w:ascii="Arial" w:cs="Arial" w:eastAsia="Arial" w:hAnsi="Arial"/>
          <w:sz w:val="18"/>
          <w:szCs w:val="18"/>
          <w:color w:val="auto"/>
        </w:rPr>
      </w:pPr>
    </w:p>
    <w:p>
      <w:pPr>
        <w:ind w:right="40" w:firstLine="987"/>
        <w:spacing w:after="0" w:line="301" w:lineRule="auto"/>
        <w:tabs>
          <w:tab w:leader="none" w:pos="1246"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the Optionee’s employment terminates by reason of the Optionee’s disability (as determined by the Administrator), any portion of this Stock Option outstanding on such date, to the extent exercisable on the date of such termination of employment,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spacing w:after="0" w:line="157" w:lineRule="exact"/>
        <w:rPr>
          <w:rFonts w:ascii="Arial" w:cs="Arial" w:eastAsia="Arial" w:hAnsi="Arial"/>
          <w:sz w:val="16"/>
          <w:szCs w:val="16"/>
          <w:color w:val="auto"/>
        </w:rPr>
      </w:pPr>
    </w:p>
    <w:p>
      <w:pPr>
        <w:ind w:firstLine="987"/>
        <w:spacing w:after="0" w:line="273" w:lineRule="auto"/>
        <w:tabs>
          <w:tab w:leader="none" w:pos="1236"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employment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any Subsidiary.</w:t>
      </w:r>
    </w:p>
    <w:p>
      <w:pPr>
        <w:spacing w:after="0" w:line="177" w:lineRule="exact"/>
        <w:rPr>
          <w:rFonts w:ascii="Arial" w:cs="Arial" w:eastAsia="Arial" w:hAnsi="Arial"/>
          <w:sz w:val="17"/>
          <w:szCs w:val="17"/>
          <w:color w:val="auto"/>
        </w:rPr>
      </w:pPr>
    </w:p>
    <w:p>
      <w:pPr>
        <w:ind w:right="180" w:firstLine="987"/>
        <w:spacing w:after="0" w:line="301" w:lineRule="auto"/>
        <w:tabs>
          <w:tab w:leader="none" w:pos="1246"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7" w:name="page88"/>
    <w:bookmarkEnd w:id="87"/>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Administrator’s determination of the reason for termination of the Optionee’s employment shall be conclusive and binding on the Optionee and his or her representatives or legatees.</w:t>
      </w:r>
    </w:p>
    <w:p>
      <w:pPr>
        <w:spacing w:after="0" w:line="170" w:lineRule="exact"/>
        <w:rPr>
          <w:sz w:val="20"/>
          <w:szCs w:val="20"/>
          <w:color w:val="auto"/>
        </w:rPr>
      </w:pPr>
    </w:p>
    <w:p>
      <w:pPr>
        <w:ind w:firstLine="436"/>
        <w:spacing w:after="0" w:line="263"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right="340" w:firstLine="436"/>
        <w:spacing w:after="0" w:line="263"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3" w:lineRule="exact"/>
        <w:rPr>
          <w:rFonts w:ascii="Arial" w:cs="Arial" w:eastAsia="Arial" w:hAnsi="Arial"/>
          <w:sz w:val="18"/>
          <w:szCs w:val="18"/>
          <w:color w:val="auto"/>
        </w:rPr>
      </w:pPr>
    </w:p>
    <w:p>
      <w:pPr>
        <w:ind w:right="40" w:firstLine="436"/>
        <w:spacing w:after="0" w:line="254"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94" w:lineRule="exact"/>
        <w:rPr>
          <w:rFonts w:ascii="Arial" w:cs="Arial" w:eastAsia="Arial" w:hAnsi="Arial"/>
          <w:sz w:val="18"/>
          <w:szCs w:val="18"/>
          <w:color w:val="auto"/>
        </w:rPr>
      </w:pPr>
    </w:p>
    <w:p>
      <w:pPr>
        <w:jc w:val="both"/>
        <w:ind w:firstLine="436"/>
        <w:spacing w:after="0" w:line="263"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Optionee’s employment and neither the Plan nor this Agreement shall interfere in any way with the right of the Company or any Subsidiary to terminate the employment of the Optionee at any time.</w:t>
      </w:r>
    </w:p>
    <w:p>
      <w:pPr>
        <w:spacing w:after="0" w:line="183" w:lineRule="exact"/>
        <w:rPr>
          <w:rFonts w:ascii="Arial" w:cs="Arial" w:eastAsia="Arial" w:hAnsi="Arial"/>
          <w:sz w:val="18"/>
          <w:szCs w:val="18"/>
          <w:color w:val="auto"/>
        </w:rPr>
      </w:pPr>
    </w:p>
    <w:p>
      <w:pPr>
        <w:ind w:right="400" w:firstLine="436"/>
        <w:spacing w:after="0" w:line="277"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right="60" w:firstLine="436"/>
        <w:spacing w:after="0" w:line="257"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88" w:name="page89"/>
    <w:bookmarkEnd w:id="8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71" w:lineRule="exact"/>
        <w:rPr>
          <w:sz w:val="20"/>
          <w:szCs w:val="20"/>
          <w:color w:val="auto"/>
        </w:rPr>
      </w:pPr>
    </w:p>
    <w:p>
      <w:pPr>
        <w:ind w:firstLine="436"/>
        <w:spacing w:after="0" w:line="263" w:lineRule="auto"/>
        <w:tabs>
          <w:tab w:leader="none" w:pos="71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14605</wp:posOffset>
            </wp:positionV>
            <wp:extent cx="6454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220345</wp:posOffset>
            </wp:positionV>
            <wp:extent cx="28632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443230</wp:posOffset>
            </wp:positionV>
            <wp:extent cx="28632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666115</wp:posOffset>
            </wp:positionV>
            <wp:extent cx="28632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 AWARD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14605</wp:posOffset>
            </wp:positionV>
            <wp:extent cx="38830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-10160</wp:posOffset>
            </wp:positionV>
            <wp:extent cx="1170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-10160</wp:posOffset>
            </wp:positionV>
            <wp:extent cx="11709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Pursuant to the Tango Therapeutics, Inc. 2021 Stock Option and Incentive Plan, as amended through the date hereof (the “Plan”), Tango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49" w:lineRule="exact"/>
        <w:rPr>
          <w:sz w:val="20"/>
          <w:szCs w:val="20"/>
          <w:color w:val="auto"/>
        </w:rPr>
      </w:pPr>
    </w:p>
    <w:p>
      <w:pPr>
        <w:ind w:right="20" w:firstLine="436"/>
        <w:spacing w:after="0" w:line="259" w:lineRule="auto"/>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6" w:lineRule="exact"/>
        <w:rPr>
          <w:rFonts w:ascii="Arial" w:cs="Arial" w:eastAsia="Arial" w:hAnsi="Arial"/>
          <w:sz w:val="18"/>
          <w:szCs w:val="18"/>
          <w:color w:val="auto"/>
        </w:rPr>
      </w:pPr>
    </w:p>
    <w:p>
      <w:pPr>
        <w:jc w:val="both"/>
        <w:ind w:right="40" w:firstLine="436"/>
        <w:spacing w:after="0" w:line="259" w:lineRule="auto"/>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remains in service as a member of the Board on such Dates.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11000"/>
          </w:cols>
          <w:pgMar w:left="440" w:top="270" w:right="459" w:bottom="1440" w:gutter="0" w:footer="0" w:header="0"/>
        </w:sectPr>
      </w:pPr>
    </w:p>
    <w:p>
      <w:pPr>
        <w:spacing w:after="0" w:line="209" w:lineRule="exact"/>
        <w:rPr>
          <w:sz w:val="20"/>
          <w:szCs w:val="20"/>
          <w:color w:val="auto"/>
        </w:rPr>
      </w:pPr>
    </w:p>
    <w:p>
      <w:pPr>
        <w:jc w:val="center"/>
        <w:ind w:left="960"/>
        <w:spacing w:after="0"/>
        <w:rPr>
          <w:sz w:val="20"/>
          <w:szCs w:val="20"/>
          <w:color w:val="auto"/>
        </w:rPr>
      </w:pPr>
      <w:r>
        <w:rPr>
          <w:rFonts w:ascii="Arial" w:cs="Arial" w:eastAsia="Arial" w:hAnsi="Arial"/>
          <w:sz w:val="14"/>
          <w:szCs w:val="14"/>
          <w:color w:val="auto"/>
        </w:rPr>
        <w:t>Incremental Number of</w:t>
      </w:r>
    </w:p>
    <w:p>
      <w:pPr>
        <w:jc w:val="center"/>
        <w:ind w:left="960"/>
        <w:spacing w:after="0"/>
        <w:rPr>
          <w:sz w:val="20"/>
          <w:szCs w:val="20"/>
          <w:color w:val="auto"/>
        </w:rPr>
      </w:pPr>
      <w:r>
        <w:rPr>
          <w:rFonts w:ascii="Arial" w:cs="Arial" w:eastAsia="Arial" w:hAnsi="Arial"/>
          <w:sz w:val="13"/>
          <w:szCs w:val="13"/>
          <w:u w:val="single" w:color="auto"/>
          <w:color w:val="auto"/>
        </w:rPr>
        <w:t>Restricted Stock Units Vested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Vesting Date</w:t>
      </w:r>
    </w:p>
    <w:p>
      <w:pPr>
        <w:spacing w:after="0" w:line="44" w:lineRule="exact"/>
        <w:rPr>
          <w:sz w:val="20"/>
          <w:szCs w:val="20"/>
          <w:color w:val="auto"/>
        </w:rPr>
      </w:pPr>
    </w:p>
    <w:p>
      <w:pPr>
        <w:sectPr>
          <w:pgSz w:w="11900" w:h="16838" w:orient="portrait"/>
          <w:cols w:equalWidth="0" w:num="2">
            <w:col w:w="6400" w:space="720"/>
            <w:col w:w="3880"/>
          </w:cols>
          <w:pgMar w:left="440" w:top="270" w:right="459" w:bottom="1440" w:gutter="0" w:footer="0" w:header="0"/>
          <w:type w:val="continuous"/>
        </w:sectPr>
      </w:pPr>
    </w:p>
    <w:p>
      <w:pPr>
        <w:ind w:left="4140" w:hanging="420"/>
        <w:spacing w:after="0"/>
        <w:tabs>
          <w:tab w:leader="none" w:pos="4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-20320</wp:posOffset>
            </wp:positionV>
            <wp:extent cx="7232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-20320</wp:posOffset>
            </wp:positionV>
            <wp:extent cx="571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140" w:hanging="420"/>
        <w:spacing w:after="0"/>
        <w:tabs>
          <w:tab w:leader="none" w:pos="41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-156210</wp:posOffset>
            </wp:positionV>
            <wp:extent cx="7232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3265"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-156210</wp:posOffset>
            </wp:positionV>
            <wp:extent cx="571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anything to the contrary herein or in the Plan, all outstanding Restricted Stock Units shall become fully vested upon a Sale Event.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211" w:lineRule="exact"/>
        <w:rPr>
          <w:sz w:val="20"/>
          <w:szCs w:val="20"/>
          <w:color w:val="auto"/>
        </w:rPr>
      </w:pPr>
    </w:p>
    <w:p>
      <w:pPr>
        <w:jc w:val="both"/>
        <w:ind w:right="120" w:firstLine="436"/>
        <w:spacing w:after="0" w:line="279"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Termination of Service as a Director</w:t>
      </w:r>
      <w:r>
        <w:rPr>
          <w:rFonts w:ascii="Arial" w:cs="Arial" w:eastAsia="Arial" w:hAnsi="Arial"/>
          <w:sz w:val="17"/>
          <w:szCs w:val="17"/>
          <w:color w:val="auto"/>
        </w:rPr>
        <w:t>. If the Grantee’s service on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1000"/>
          </w:cols>
          <w:pgMar w:left="440" w:top="270" w:right="459" w:bottom="1440" w:gutter="0" w:footer="0" w:header="0"/>
          <w:type w:val="continuous"/>
        </w:sectPr>
      </w:pPr>
    </w:p>
    <w:bookmarkStart w:id="90" w:name="page91"/>
    <w:bookmarkEnd w:id="90"/>
    <w:p>
      <w:pPr>
        <w:ind w:left="-20" w:right="120" w:firstLine="436"/>
        <w:spacing w:after="0" w:line="259"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6" w:lineRule="exact"/>
        <w:rPr>
          <w:rFonts w:ascii="Arial" w:cs="Arial" w:eastAsia="Arial" w:hAnsi="Arial"/>
          <w:sz w:val="18"/>
          <w:szCs w:val="18"/>
          <w:color w:val="auto"/>
        </w:rPr>
      </w:pPr>
    </w:p>
    <w:p>
      <w:pPr>
        <w:ind w:left="-20" w:right="20" w:firstLine="436"/>
        <w:spacing w:after="0" w:line="263"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left="-20" w:right="160" w:firstLine="436"/>
        <w:spacing w:after="0" w:line="308" w:lineRule="auto"/>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46" w:lineRule="exact"/>
        <w:rPr>
          <w:rFonts w:ascii="Arial" w:cs="Arial" w:eastAsia="Arial" w:hAnsi="Arial"/>
          <w:sz w:val="17"/>
          <w:szCs w:val="17"/>
          <w:color w:val="auto"/>
        </w:rPr>
      </w:pPr>
    </w:p>
    <w:p>
      <w:pPr>
        <w:ind w:left="-20" w:right="700" w:firstLine="436"/>
        <w:spacing w:after="0" w:line="277"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as a Director</w:t>
      </w:r>
      <w:r>
        <w:rPr>
          <w:rFonts w:ascii="Arial" w:cs="Arial" w:eastAsia="Arial" w:hAnsi="Arial"/>
          <w:sz w:val="18"/>
          <w:szCs w:val="18"/>
          <w:color w:val="auto"/>
        </w:rPr>
        <w:t>. Neither the Plan nor this Award confers upon the Grantee any rights with respect to a continued service on the Board.</w:t>
      </w:r>
    </w:p>
    <w:p>
      <w:pPr>
        <w:spacing w:after="0" w:line="170" w:lineRule="exact"/>
        <w:rPr>
          <w:rFonts w:ascii="Arial" w:cs="Arial" w:eastAsia="Arial" w:hAnsi="Arial"/>
          <w:sz w:val="18"/>
          <w:szCs w:val="18"/>
          <w:color w:val="auto"/>
        </w:rPr>
      </w:pPr>
    </w:p>
    <w:p>
      <w:pPr>
        <w:ind w:left="-20" w:right="40" w:firstLine="436"/>
        <w:spacing w:after="0" w:line="277"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20" w:firstLine="436"/>
        <w:spacing w:after="0" w:line="253"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91" w:name="page92"/>
    <w:bookmarkEnd w:id="91"/>
    <w:p>
      <w:pPr>
        <w:jc w:val="both"/>
        <w:ind w:firstLine="436"/>
        <w:spacing w:after="0" w:line="263" w:lineRule="auto"/>
        <w:tabs>
          <w:tab w:leader="none" w:pos="71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14605</wp:posOffset>
            </wp:positionV>
            <wp:extent cx="64547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220345</wp:posOffset>
            </wp:positionV>
            <wp:extent cx="28632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443230</wp:posOffset>
            </wp:positionV>
            <wp:extent cx="28632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666115</wp:posOffset>
            </wp:positionV>
            <wp:extent cx="28632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40" w:top="274" w:right="61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14605</wp:posOffset>
            </wp:positionV>
            <wp:extent cx="38830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-10160</wp:posOffset>
            </wp:positionV>
            <wp:extent cx="11709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-10160</wp:posOffset>
            </wp:positionV>
            <wp:extent cx="11709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Pursuant to the Tango Therapeutics, Inc. 2021 Stock Option and Incentive Plan, as amended through the date hereof (the “Plan”), Tango Therapeutics,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49" w:lineRule="exact"/>
        <w:rPr>
          <w:sz w:val="20"/>
          <w:szCs w:val="20"/>
          <w:color w:val="auto"/>
        </w:rPr>
      </w:pPr>
    </w:p>
    <w:p>
      <w:pPr>
        <w:ind w:firstLine="436"/>
        <w:spacing w:after="0" w:line="259" w:lineRule="auto"/>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6" w:lineRule="exact"/>
        <w:rPr>
          <w:rFonts w:ascii="Arial" w:cs="Arial" w:eastAsia="Arial" w:hAnsi="Arial"/>
          <w:sz w:val="18"/>
          <w:szCs w:val="18"/>
          <w:color w:val="auto"/>
        </w:rPr>
      </w:pPr>
    </w:p>
    <w:p>
      <w:pPr>
        <w:jc w:val="both"/>
        <w:ind w:right="280" w:firstLine="436"/>
        <w:spacing w:after="0" w:line="259" w:lineRule="auto"/>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remains an employee of the Company or a Subsidiary on such on such Dates.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10980"/>
          </w:cols>
          <w:pgMar w:left="440" w:top="270" w:right="479" w:bottom="1440" w:gutter="0" w:footer="0" w:header="0"/>
        </w:sectPr>
      </w:pPr>
    </w:p>
    <w:p>
      <w:pPr>
        <w:spacing w:after="0" w:line="209" w:lineRule="exact"/>
        <w:rPr>
          <w:sz w:val="20"/>
          <w:szCs w:val="20"/>
          <w:color w:val="auto"/>
        </w:rPr>
      </w:pPr>
    </w:p>
    <w:p>
      <w:pPr>
        <w:jc w:val="center"/>
        <w:ind w:left="960"/>
        <w:spacing w:after="0"/>
        <w:rPr>
          <w:sz w:val="20"/>
          <w:szCs w:val="20"/>
          <w:color w:val="auto"/>
        </w:rPr>
      </w:pPr>
      <w:r>
        <w:rPr>
          <w:rFonts w:ascii="Arial" w:cs="Arial" w:eastAsia="Arial" w:hAnsi="Arial"/>
          <w:sz w:val="14"/>
          <w:szCs w:val="14"/>
          <w:color w:val="auto"/>
        </w:rPr>
        <w:t>Incremental Number of</w:t>
      </w:r>
    </w:p>
    <w:p>
      <w:pPr>
        <w:jc w:val="center"/>
        <w:ind w:left="960"/>
        <w:spacing w:after="0"/>
        <w:rPr>
          <w:sz w:val="20"/>
          <w:szCs w:val="20"/>
          <w:color w:val="auto"/>
        </w:rPr>
      </w:pPr>
      <w:r>
        <w:rPr>
          <w:rFonts w:ascii="Arial" w:cs="Arial" w:eastAsia="Arial" w:hAnsi="Arial"/>
          <w:sz w:val="13"/>
          <w:szCs w:val="13"/>
          <w:u w:val="single" w:color="auto"/>
          <w:color w:val="auto"/>
        </w:rPr>
        <w:t>Restricted Stock Units Vested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Vesting Date</w:t>
      </w:r>
    </w:p>
    <w:p>
      <w:pPr>
        <w:spacing w:after="0" w:line="44" w:lineRule="exact"/>
        <w:rPr>
          <w:sz w:val="20"/>
          <w:szCs w:val="20"/>
          <w:color w:val="auto"/>
        </w:rPr>
      </w:pPr>
    </w:p>
    <w:p>
      <w:pPr>
        <w:sectPr>
          <w:pgSz w:w="11900" w:h="16838" w:orient="portrait"/>
          <w:cols w:equalWidth="0" w:num="2">
            <w:col w:w="6400" w:space="720"/>
            <w:col w:w="3860"/>
          </w:cols>
          <w:pgMar w:left="440" w:top="270" w:right="479" w:bottom="1440" w:gutter="0" w:footer="0" w:header="0"/>
          <w:type w:val="continuous"/>
        </w:sectPr>
      </w:pPr>
    </w:p>
    <w:p>
      <w:pPr>
        <w:ind w:left="4140" w:hanging="420"/>
        <w:spacing w:after="0"/>
        <w:tabs>
          <w:tab w:leader="none" w:pos="4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-20320</wp:posOffset>
            </wp:positionV>
            <wp:extent cx="7232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-20320</wp:posOffset>
            </wp:positionV>
            <wp:extent cx="571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420"/>
        <w:spacing w:after="0"/>
        <w:tabs>
          <w:tab w:leader="none" w:pos="4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140" w:hanging="420"/>
        <w:spacing w:after="0"/>
        <w:tabs>
          <w:tab w:leader="none" w:pos="4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-156210</wp:posOffset>
            </wp:positionV>
            <wp:extent cx="7232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-156210</wp:posOffset>
            </wp:positionV>
            <wp:extent cx="571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-19050</wp:posOffset>
            </wp:positionV>
            <wp:extent cx="7232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-19050</wp:posOffset>
            </wp:positionV>
            <wp:extent cx="571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225" w:lineRule="exact"/>
        <w:rPr>
          <w:sz w:val="20"/>
          <w:szCs w:val="20"/>
          <w:color w:val="auto"/>
        </w:rPr>
      </w:pPr>
    </w:p>
    <w:p>
      <w:pPr>
        <w:ind w:right="60" w:firstLine="436"/>
        <w:spacing w:after="0" w:line="279" w:lineRule="auto"/>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If the Grantee’s employment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70" w:right="479" w:bottom="1440" w:gutter="0" w:footer="0" w:header="0"/>
          <w:type w:val="continuous"/>
        </w:sectPr>
      </w:pPr>
    </w:p>
    <w:bookmarkStart w:id="93" w:name="page94"/>
    <w:bookmarkEnd w:id="93"/>
    <w:p>
      <w:pPr>
        <w:ind w:left="-20" w:right="120" w:firstLine="436"/>
        <w:spacing w:after="0" w:line="259"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6" w:lineRule="exact"/>
        <w:rPr>
          <w:rFonts w:ascii="Arial" w:cs="Arial" w:eastAsia="Arial" w:hAnsi="Arial"/>
          <w:sz w:val="18"/>
          <w:szCs w:val="18"/>
          <w:color w:val="auto"/>
        </w:rPr>
      </w:pPr>
    </w:p>
    <w:p>
      <w:pPr>
        <w:ind w:left="-20" w:right="20" w:firstLine="436"/>
        <w:spacing w:after="0" w:line="263"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left="-20" w:right="80" w:firstLine="436"/>
        <w:spacing w:after="0" w:line="254"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94" w:lineRule="exact"/>
        <w:rPr>
          <w:rFonts w:ascii="Arial" w:cs="Arial" w:eastAsia="Arial" w:hAnsi="Arial"/>
          <w:sz w:val="18"/>
          <w:szCs w:val="18"/>
          <w:color w:val="auto"/>
        </w:rPr>
      </w:pPr>
    </w:p>
    <w:p>
      <w:pPr>
        <w:ind w:left="-20" w:right="160" w:firstLine="436"/>
        <w:spacing w:after="0" w:line="308" w:lineRule="auto"/>
        <w:tabs>
          <w:tab w:leader="none" w:pos="60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46" w:lineRule="exact"/>
        <w:rPr>
          <w:rFonts w:ascii="Arial" w:cs="Arial" w:eastAsia="Arial" w:hAnsi="Arial"/>
          <w:sz w:val="17"/>
          <w:szCs w:val="17"/>
          <w:color w:val="auto"/>
        </w:rPr>
      </w:pPr>
    </w:p>
    <w:p>
      <w:pPr>
        <w:ind w:left="-20" w:right="40" w:firstLine="436"/>
        <w:spacing w:after="0" w:line="263"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Grantee’s employment and neither the Plan nor this Agreement shall interfere in any way with the right of the Company or any Subsidiary to terminate the employment of the Grantee at any time.</w:t>
      </w:r>
    </w:p>
    <w:p>
      <w:pPr>
        <w:spacing w:after="0" w:line="183" w:lineRule="exact"/>
        <w:rPr>
          <w:rFonts w:ascii="Arial" w:cs="Arial" w:eastAsia="Arial" w:hAnsi="Arial"/>
          <w:sz w:val="18"/>
          <w:szCs w:val="18"/>
          <w:color w:val="auto"/>
        </w:rPr>
      </w:pPr>
    </w:p>
    <w:p>
      <w:pPr>
        <w:ind w:left="-20" w:right="40" w:firstLine="436"/>
        <w:spacing w:after="0" w:line="277" w:lineRule="auto"/>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20" w:firstLine="436"/>
        <w:spacing w:after="0" w:line="296" w:lineRule="auto"/>
        <w:tabs>
          <w:tab w:leader="none" w:pos="69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94" w:name="page95"/>
    <w:bookmarkEnd w:id="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7" w:lineRule="exact"/>
        <w:rPr>
          <w:sz w:val="20"/>
          <w:szCs w:val="20"/>
          <w:color w:val="auto"/>
        </w:rPr>
      </w:pPr>
    </w:p>
    <w:p>
      <w:pPr>
        <w:jc w:val="both"/>
        <w:ind w:right="60" w:firstLine="436"/>
        <w:spacing w:after="0" w:line="263" w:lineRule="auto"/>
        <w:tabs>
          <w:tab w:leader="none" w:pos="70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95" w:name="page96"/>
    <w:bookmarkEnd w:id="9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AWARD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14605</wp:posOffset>
            </wp:positionV>
            <wp:extent cx="43973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-10160</wp:posOffset>
            </wp:positionV>
            <wp:extent cx="11709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-10160</wp:posOffset>
            </wp:positionV>
            <wp:extent cx="11709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Pursuant to the Tango Therapeutics, Inc. 2021 Stock Option and Incentive Plan, as amended through the date hereof (the “Plan”), Tango Therapeutics,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92" w:lineRule="exact"/>
        <w:rPr>
          <w:sz w:val="20"/>
          <w:szCs w:val="20"/>
          <w:color w:val="auto"/>
        </w:rPr>
      </w:pPr>
    </w:p>
    <w:p>
      <w:pPr>
        <w:ind w:left="4" w:right="60" w:firstLine="436"/>
        <w:spacing w:after="0" w:line="257" w:lineRule="auto"/>
        <w:tabs>
          <w:tab w:leader="none" w:pos="62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and in the Plab. The Grantee shall (i) sign and deliver to the Company a copy of this Award Agreement and (ii) deliver to the Company a stock power endorsed in blank.</w:t>
      </w:r>
    </w:p>
    <w:p>
      <w:pPr>
        <w:spacing w:after="0" w:line="187" w:lineRule="exact"/>
        <w:rPr>
          <w:rFonts w:ascii="Arial" w:cs="Arial" w:eastAsia="Arial" w:hAnsi="Arial"/>
          <w:sz w:val="18"/>
          <w:szCs w:val="18"/>
          <w:color w:val="auto"/>
        </w:rPr>
      </w:pPr>
    </w:p>
    <w:p>
      <w:pPr>
        <w:ind w:left="624" w:hanging="184"/>
        <w:spacing w:after="0"/>
        <w:tabs>
          <w:tab w:leader="none" w:pos="62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2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25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Shares of Restricted Stock granted herein may not be sold, assigned, transferred, pledged or otherwise encumbered or disposed of by the Grantee prior to vesting.</w:t>
      </w:r>
    </w:p>
    <w:p>
      <w:pPr>
        <w:spacing w:after="0" w:line="166" w:lineRule="exact"/>
        <w:rPr>
          <w:rFonts w:ascii="Arial" w:cs="Arial" w:eastAsia="Arial" w:hAnsi="Arial"/>
          <w:sz w:val="18"/>
          <w:szCs w:val="18"/>
          <w:color w:val="auto"/>
        </w:rPr>
      </w:pPr>
    </w:p>
    <w:p>
      <w:pPr>
        <w:ind w:left="4" w:firstLine="987"/>
        <w:spacing w:after="0" w:line="266" w:lineRule="auto"/>
        <w:tabs>
          <w:tab w:leader="none" w:pos="12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If the Grantee’s </w:t>
      </w:r>
      <w:r>
        <w:rPr>
          <w:rFonts w:ascii="Arial" w:cs="Arial" w:eastAsia="Arial" w:hAnsi="Arial"/>
          <w:sz w:val="18"/>
          <w:szCs w:val="18"/>
          <w:b w:val="1"/>
          <w:bCs w:val="1"/>
          <w:color w:val="auto"/>
        </w:rPr>
        <w:t>[employment with the Company and its Subsidiaries]</w:t>
      </w:r>
      <w:r>
        <w:rPr>
          <w:rFonts w:ascii="Arial" w:cs="Arial" w:eastAsia="Arial" w:hAnsi="Arial"/>
          <w:sz w:val="15"/>
          <w:szCs w:val="15"/>
          <w:b w:val="1"/>
          <w:bCs w:val="1"/>
          <w:color w:val="auto"/>
        </w:rPr>
        <w:t>1</w:t>
      </w:r>
      <w:r>
        <w:rPr>
          <w:rFonts w:ascii="Arial" w:cs="Arial" w:eastAsia="Arial" w:hAnsi="Arial"/>
          <w:sz w:val="18"/>
          <w:szCs w:val="18"/>
          <w:b w:val="1"/>
          <w:bCs w:val="1"/>
          <w:color w:val="auto"/>
        </w:rPr>
        <w:t>[service as a member of the Board]</w:t>
      </w:r>
      <w:r>
        <w:rPr>
          <w:rFonts w:ascii="Arial" w:cs="Arial" w:eastAsia="Arial" w:hAnsi="Arial"/>
          <w:sz w:val="15"/>
          <w:szCs w:val="15"/>
          <w:b w:val="1"/>
          <w:bCs w:val="1"/>
          <w:color w:val="auto"/>
        </w:rPr>
        <w:t>2</w:t>
      </w:r>
      <w:r>
        <w:rPr>
          <w:rFonts w:ascii="Arial" w:cs="Arial" w:eastAsia="Arial" w:hAnsi="Arial"/>
          <w:sz w:val="18"/>
          <w:szCs w:val="18"/>
          <w:color w:val="auto"/>
        </w:rPr>
        <w:t xml:space="preserve"> is voluntarily or involuntarily terminated for any reason (including death) prior to vesting of shares of Restricted Stock granted herein, all shares of Restricted Stock shall immediately and automatically be forfeited and returned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224" w:hanging="224"/>
        <w:spacing w:after="0"/>
        <w:tabs>
          <w:tab w:leader="none" w:pos="224" w:val="left"/>
        </w:tabs>
        <w:numPr>
          <w:ilvl w:val="0"/>
          <w:numId w:val="111"/>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To be used for employee awards.</w:t>
      </w:r>
    </w:p>
    <w:p>
      <w:pPr>
        <w:spacing w:after="0" w:line="26" w:lineRule="exact"/>
        <w:rPr>
          <w:sz w:val="20"/>
          <w:szCs w:val="20"/>
          <w:color w:val="auto"/>
        </w:rPr>
      </w:pPr>
    </w:p>
    <w:p>
      <w:pPr>
        <w:ind w:left="224" w:hanging="224"/>
        <w:spacing w:after="0"/>
        <w:tabs>
          <w:tab w:leader="none" w:pos="224" w:val="left"/>
        </w:tabs>
        <w:numPr>
          <w:ilvl w:val="0"/>
          <w:numId w:val="112"/>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To be used for non-employee director awards.</w:t>
      </w:r>
    </w:p>
    <w:p>
      <w:pPr>
        <w:sectPr>
          <w:pgSz w:w="11900" w:h="16838" w:orient="portrait"/>
          <w:cols w:equalWidth="0" w:num="1">
            <w:col w:w="11004"/>
          </w:cols>
          <w:pgMar w:left="436" w:top="270" w:right="459" w:bottom="1440" w:gutter="0" w:footer="0" w:header="0"/>
        </w:sectPr>
      </w:pPr>
    </w:p>
    <w:bookmarkStart w:id="96" w:name="page97"/>
    <w:bookmarkEnd w:id="96"/>
    <w:p>
      <w:pPr>
        <w:jc w:val="both"/>
        <w:ind w:left="4" w:right="40" w:firstLine="436"/>
        <w:spacing w:after="0" w:line="259" w:lineRule="auto"/>
        <w:tabs>
          <w:tab w:leader="none" w:pos="624"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 of Restricted Stock</w:t>
      </w:r>
      <w:r>
        <w:rPr>
          <w:rFonts w:ascii="Arial" w:cs="Arial" w:eastAsia="Arial" w:hAnsi="Arial"/>
          <w:sz w:val="18"/>
          <w:szCs w:val="18"/>
          <w:color w:val="auto"/>
        </w:rPr>
        <w:t>. The restrictions and conditions in Paragraph 2 of this Agreement shall lapse on the Vesting Date or Dates specified in the following schedule so long as the Grantee remains [</w:t>
      </w:r>
      <w:r>
        <w:rPr>
          <w:rFonts w:ascii="Arial" w:cs="Arial" w:eastAsia="Arial" w:hAnsi="Arial"/>
          <w:sz w:val="18"/>
          <w:szCs w:val="18"/>
          <w:b w:val="1"/>
          <w:bCs w:val="1"/>
          <w:color w:val="auto"/>
        </w:rPr>
        <w:t>an employee of the Company or a Subsidiary]</w:t>
      </w:r>
      <w:r>
        <w:rPr>
          <w:rFonts w:ascii="Arial" w:cs="Arial" w:eastAsia="Arial" w:hAnsi="Arial"/>
          <w:sz w:val="15"/>
          <w:szCs w:val="15"/>
          <w:b w:val="1"/>
          <w:bCs w:val="1"/>
          <w:color w:val="auto"/>
        </w:rPr>
        <w:t>3</w:t>
      </w:r>
      <w:r>
        <w:rPr>
          <w:rFonts w:ascii="Arial" w:cs="Arial" w:eastAsia="Arial" w:hAnsi="Arial"/>
          <w:sz w:val="18"/>
          <w:szCs w:val="18"/>
          <w:b w:val="1"/>
          <w:bCs w:val="1"/>
          <w:color w:val="auto"/>
        </w:rPr>
        <w:t>[in service as a member of the Board]</w:t>
      </w:r>
      <w:r>
        <w:rPr>
          <w:rFonts w:ascii="Arial" w:cs="Arial" w:eastAsia="Arial" w:hAnsi="Arial"/>
          <w:sz w:val="15"/>
          <w:szCs w:val="15"/>
          <w:b w:val="1"/>
          <w:bCs w:val="1"/>
          <w:color w:val="auto"/>
        </w:rPr>
        <w:t>4</w:t>
      </w:r>
      <w:r>
        <w:rPr>
          <w:rFonts w:ascii="Arial" w:cs="Arial" w:eastAsia="Arial" w:hAnsi="Arial"/>
          <w:sz w:val="18"/>
          <w:szCs w:val="18"/>
          <w:color w:val="auto"/>
        </w:rPr>
        <w:t xml:space="preserve"> on such Vesting Dates. If a series of Vesting Dates is specified, then the restrictions and conditions in Paragraph 2 shall lapse only with respect to the number of shares of Restricted Stock specified as vested on such date.</w:t>
      </w:r>
    </w:p>
    <w:p>
      <w:pPr>
        <w:sectPr>
          <w:pgSz w:w="11900" w:h="16838" w:orient="portrait"/>
          <w:cols w:equalWidth="0" w:num="1">
            <w:col w:w="10984"/>
          </w:cols>
          <w:pgMar w:left="436" w:top="274" w:right="479" w:bottom="1440" w:gutter="0" w:footer="0" w:header="0"/>
        </w:sectPr>
      </w:pPr>
    </w:p>
    <w:p>
      <w:pPr>
        <w:spacing w:after="0" w:line="209" w:lineRule="exact"/>
        <w:rPr>
          <w:sz w:val="20"/>
          <w:szCs w:val="20"/>
          <w:color w:val="auto"/>
        </w:rPr>
      </w:pPr>
    </w:p>
    <w:p>
      <w:pPr>
        <w:jc w:val="center"/>
        <w:ind w:right="1656"/>
        <w:spacing w:after="0"/>
        <w:rPr>
          <w:sz w:val="20"/>
          <w:szCs w:val="20"/>
          <w:color w:val="auto"/>
        </w:rPr>
      </w:pPr>
      <w:r>
        <w:rPr>
          <w:rFonts w:ascii="Arial" w:cs="Arial" w:eastAsia="Arial" w:hAnsi="Arial"/>
          <w:sz w:val="13"/>
          <w:szCs w:val="13"/>
          <w:color w:val="auto"/>
        </w:rPr>
        <w:t>Incremental Number</w:t>
      </w:r>
    </w:p>
    <w:p>
      <w:pPr>
        <w:spacing w:after="0" w:line="11" w:lineRule="exact"/>
        <w:rPr>
          <w:sz w:val="20"/>
          <w:szCs w:val="20"/>
          <w:color w:val="auto"/>
        </w:rPr>
      </w:pPr>
    </w:p>
    <w:p>
      <w:pPr>
        <w:jc w:val="center"/>
        <w:ind w:right="1656"/>
        <w:spacing w:after="0"/>
        <w:rPr>
          <w:sz w:val="20"/>
          <w:szCs w:val="20"/>
          <w:color w:val="auto"/>
        </w:rPr>
      </w:pPr>
      <w:r>
        <w:rPr>
          <w:rFonts w:ascii="Arial" w:cs="Arial" w:eastAsia="Arial" w:hAnsi="Arial"/>
          <w:sz w:val="14"/>
          <w:szCs w:val="14"/>
          <w:u w:val="single" w:color="auto"/>
          <w:color w:val="auto"/>
        </w:rPr>
        <w:t>of Shares Vested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Vesting Date</w:t>
      </w:r>
    </w:p>
    <w:p>
      <w:pPr>
        <w:spacing w:after="0" w:line="44" w:lineRule="exact"/>
        <w:rPr>
          <w:sz w:val="20"/>
          <w:szCs w:val="20"/>
          <w:color w:val="auto"/>
        </w:rPr>
      </w:pPr>
    </w:p>
    <w:p>
      <w:pPr>
        <w:sectPr>
          <w:pgSz w:w="11900" w:h="16838" w:orient="portrait"/>
          <w:cols w:equalWidth="0" w:num="2">
            <w:col w:w="7284" w:space="720"/>
            <w:col w:w="2980"/>
          </w:cols>
          <w:pgMar w:left="436" w:top="274" w:right="479" w:bottom="1440" w:gutter="0" w:footer="0" w:header="0"/>
          <w:type w:val="continuous"/>
        </w:sectPr>
      </w:pPr>
    </w:p>
    <w:p>
      <w:pPr>
        <w:ind w:left="3284" w:hanging="424"/>
        <w:spacing w:after="0"/>
        <w:tabs>
          <w:tab w:leader="none" w:pos="328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-20320</wp:posOffset>
            </wp:positionV>
            <wp:extent cx="7232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-20320</wp:posOffset>
            </wp:positionV>
            <wp:extent cx="571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3284" w:hanging="424"/>
        <w:spacing w:after="0"/>
        <w:tabs>
          <w:tab w:leader="none" w:pos="328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-19050</wp:posOffset>
            </wp:positionV>
            <wp:extent cx="7232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-19050</wp:posOffset>
            </wp:positionV>
            <wp:extent cx="571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3284" w:hanging="424"/>
        <w:spacing w:after="0"/>
        <w:tabs>
          <w:tab w:leader="none" w:pos="328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284" w:hanging="424"/>
        <w:spacing w:after="0"/>
        <w:tabs>
          <w:tab w:leader="none" w:pos="328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-156210</wp:posOffset>
            </wp:positionV>
            <wp:extent cx="7232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-156210</wp:posOffset>
            </wp:positionV>
            <wp:extent cx="571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-19050</wp:posOffset>
            </wp:positionV>
            <wp:extent cx="7232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-19050</wp:posOffset>
            </wp:positionV>
            <wp:extent cx="571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1"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color w:val="auto"/>
        </w:rPr>
        <w:t>Subsequent to such Vesting Date or Dates, the shares of Stock on which all restrictions and conditions have lapsed shall no longer be deemed Restricted Stock</w:t>
      </w:r>
      <w:r>
        <w:rPr>
          <w:rFonts w:ascii="Arial" w:cs="Arial" w:eastAsia="Arial" w:hAnsi="Arial"/>
          <w:sz w:val="17"/>
          <w:szCs w:val="17"/>
          <w:b w:val="1"/>
          <w:bCs w:val="1"/>
          <w:color w:val="auto"/>
        </w:rPr>
        <w:t>. [Notwithstanding anything to the contrary herein or in the Plan, all outstanding shares of Restricted Stock shall become fully vested</w:t>
      </w:r>
      <w:r>
        <w:rPr>
          <w:rFonts w:ascii="Arial" w:cs="Arial" w:eastAsia="Arial" w:hAnsi="Arial"/>
          <w:sz w:val="17"/>
          <w:szCs w:val="17"/>
          <w:color w:val="auto"/>
        </w:rPr>
        <w:t xml:space="preserve"> </w:t>
      </w:r>
      <w:r>
        <w:rPr>
          <w:rFonts w:ascii="Arial" w:cs="Arial" w:eastAsia="Arial" w:hAnsi="Arial"/>
          <w:sz w:val="17"/>
          <w:szCs w:val="17"/>
          <w:b w:val="1"/>
          <w:bCs w:val="1"/>
          <w:color w:val="auto"/>
        </w:rPr>
        <w:t>upon a Sale Event.]</w:t>
      </w:r>
      <w:r>
        <w:rPr>
          <w:rFonts w:ascii="Arial" w:cs="Arial" w:eastAsia="Arial" w:hAnsi="Arial"/>
          <w:sz w:val="14"/>
          <w:szCs w:val="14"/>
          <w:b w:val="1"/>
          <w:bCs w:val="1"/>
          <w:color w:val="auto"/>
        </w:rPr>
        <w:t>5</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at any time accelerate the vesting schedule specified in this Paragraph 3.</w:t>
      </w:r>
    </w:p>
    <w:p>
      <w:pPr>
        <w:spacing w:after="0" w:line="165" w:lineRule="exact"/>
        <w:rPr>
          <w:sz w:val="20"/>
          <w:szCs w:val="20"/>
          <w:color w:val="auto"/>
        </w:rPr>
      </w:pPr>
    </w:p>
    <w:p>
      <w:pPr>
        <w:ind w:left="624" w:hanging="184"/>
        <w:spacing w:after="0"/>
        <w:tabs>
          <w:tab w:leader="none" w:pos="62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on shares of Restricted Stock shall be paid currently to the Grantee.</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Award shall be subject to and governed by all the terms and</w:t>
      </w:r>
    </w:p>
    <w:p>
      <w:pPr>
        <w:spacing w:after="0" w:line="34" w:lineRule="exact"/>
        <w:rPr>
          <w:rFonts w:ascii="Arial" w:cs="Arial" w:eastAsia="Arial" w:hAnsi="Arial"/>
          <w:sz w:val="17"/>
          <w:szCs w:val="17"/>
          <w:color w:val="auto"/>
        </w:rPr>
      </w:pPr>
    </w:p>
    <w:p>
      <w:pPr>
        <w:ind w:left="4"/>
        <w:spacing w:after="0" w:line="260" w:lineRule="auto"/>
        <w:rPr>
          <w:rFonts w:ascii="Arial" w:cs="Arial" w:eastAsia="Arial" w:hAnsi="Arial"/>
          <w:sz w:val="17"/>
          <w:szCs w:val="17"/>
          <w:color w:val="auto"/>
        </w:rPr>
      </w:pPr>
      <w:r>
        <w:rPr>
          <w:rFonts w:ascii="Arial" w:cs="Arial" w:eastAsia="Arial" w:hAnsi="Arial"/>
          <w:sz w:val="18"/>
          <w:szCs w:val="18"/>
          <w:color w:val="auto"/>
        </w:rPr>
        <w:t>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rFonts w:ascii="Arial" w:cs="Arial" w:eastAsia="Arial" w:hAnsi="Arial"/>
          <w:sz w:val="17"/>
          <w:szCs w:val="17"/>
          <w:color w:val="auto"/>
        </w:rPr>
      </w:pPr>
    </w:p>
    <w:p>
      <w:pPr>
        <w:ind w:left="4" w:right="440" w:firstLine="436"/>
        <w:spacing w:after="0" w:line="277" w:lineRule="auto"/>
        <w:tabs>
          <w:tab w:leader="none" w:pos="62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70" w:lineRule="exact"/>
        <w:rPr>
          <w:rFonts w:ascii="Arial" w:cs="Arial" w:eastAsia="Arial" w:hAnsi="Arial"/>
          <w:sz w:val="18"/>
          <w:szCs w:val="18"/>
          <w:color w:val="auto"/>
        </w:rPr>
      </w:pPr>
    </w:p>
    <w:p>
      <w:pPr>
        <w:ind w:left="4" w:right="20" w:firstLine="436"/>
        <w:spacing w:after="0" w:line="272" w:lineRule="auto"/>
        <w:tabs>
          <w:tab w:leader="none" w:pos="624"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by the transfer agent, the number of shares of Stock necessary to satisfy the Federal, state and local taxes required by law to be withheld from the Grantee on account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6" w:lineRule="exact"/>
        <w:rPr>
          <w:sz w:val="20"/>
          <w:szCs w:val="20"/>
          <w:color w:val="auto"/>
        </w:rPr>
      </w:pPr>
    </w:p>
    <w:p>
      <w:pPr>
        <w:ind w:left="224" w:hanging="224"/>
        <w:spacing w:after="0"/>
        <w:tabs>
          <w:tab w:leader="none" w:pos="224" w:val="left"/>
        </w:tabs>
        <w:numPr>
          <w:ilvl w:val="0"/>
          <w:numId w:val="118"/>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To be used for employee awards.</w:t>
      </w:r>
    </w:p>
    <w:p>
      <w:pPr>
        <w:spacing w:after="0" w:line="26" w:lineRule="exact"/>
        <w:rPr>
          <w:sz w:val="20"/>
          <w:szCs w:val="20"/>
          <w:color w:val="auto"/>
        </w:rPr>
      </w:pPr>
    </w:p>
    <w:p>
      <w:pPr>
        <w:ind w:left="224" w:hanging="224"/>
        <w:spacing w:after="0"/>
        <w:tabs>
          <w:tab w:leader="none" w:pos="224" w:val="left"/>
        </w:tabs>
        <w:numPr>
          <w:ilvl w:val="0"/>
          <w:numId w:val="119"/>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To be used for non-employee director awards.</w:t>
      </w:r>
    </w:p>
    <w:p>
      <w:pPr>
        <w:spacing w:after="0" w:line="9" w:lineRule="exact"/>
        <w:rPr>
          <w:sz w:val="20"/>
          <w:szCs w:val="20"/>
          <w:color w:val="auto"/>
        </w:rPr>
      </w:pPr>
    </w:p>
    <w:p>
      <w:pPr>
        <w:ind w:left="224" w:hanging="224"/>
        <w:spacing w:after="0"/>
        <w:tabs>
          <w:tab w:leader="none" w:pos="224" w:val="left"/>
        </w:tabs>
        <w:numPr>
          <w:ilvl w:val="0"/>
          <w:numId w:val="120"/>
        </w:numPr>
        <w:rPr>
          <w:rFonts w:ascii="Arial" w:cs="Arial" w:eastAsia="Arial" w:hAnsi="Arial"/>
          <w:sz w:val="15"/>
          <w:szCs w:val="15"/>
          <w:color w:val="auto"/>
        </w:rPr>
      </w:pPr>
      <w:r>
        <w:rPr>
          <w:rFonts w:ascii="Arial" w:cs="Arial" w:eastAsia="Arial" w:hAnsi="Arial"/>
          <w:sz w:val="18"/>
          <w:szCs w:val="18"/>
          <w:b w:val="1"/>
          <w:bCs w:val="1"/>
          <w:color w:val="auto"/>
        </w:rPr>
        <w:t xml:space="preserve">Note to Draft: </w:t>
      </w:r>
      <w:r>
        <w:rPr>
          <w:rFonts w:ascii="Arial" w:cs="Arial" w:eastAsia="Arial" w:hAnsi="Arial"/>
          <w:sz w:val="18"/>
          <w:szCs w:val="18"/>
          <w:color w:val="auto"/>
        </w:rPr>
        <w:t>To be used only for non-employee directors.</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type w:val="continuous"/>
        </w:sectPr>
      </w:pPr>
    </w:p>
    <w:bookmarkStart w:id="97" w:name="page98"/>
    <w:bookmarkEnd w:id="97"/>
    <w:p>
      <w:pPr>
        <w:ind w:firstLine="436"/>
        <w:spacing w:after="0" w:line="275" w:lineRule="auto"/>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Under Section 83(b)</w:t>
      </w:r>
      <w:r>
        <w:rPr>
          <w:rFonts w:ascii="Arial" w:cs="Arial" w:eastAsia="Arial" w:hAnsi="Arial"/>
          <w:sz w:val="17"/>
          <w:szCs w:val="17"/>
          <w:color w:val="auto"/>
        </w:rPr>
        <w:t>. The Grantee and the Company hereby agree that the Grantee may, within 30 days following the Grant Date of this Award, file with the Internal Revenue Service and the Company an election under Section 83(b) of the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76" w:lineRule="exact"/>
        <w:rPr>
          <w:rFonts w:ascii="Arial" w:cs="Arial" w:eastAsia="Arial" w:hAnsi="Arial"/>
          <w:sz w:val="17"/>
          <w:szCs w:val="17"/>
          <w:color w:val="auto"/>
        </w:rPr>
      </w:pPr>
    </w:p>
    <w:p>
      <w:pPr>
        <w:ind w:right="380" w:firstLine="436"/>
        <w:spacing w:after="0" w:line="263"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Grantee in a Service Relationship and neither the Plan nor this Agreement shall interfere in any way with the right of the Company or any Subsidiary to terminate the Grantee’s Service Relationship at any time.</w:t>
      </w:r>
    </w:p>
    <w:p>
      <w:pPr>
        <w:spacing w:after="0" w:line="183" w:lineRule="exact"/>
        <w:rPr>
          <w:rFonts w:ascii="Arial" w:cs="Arial" w:eastAsia="Arial" w:hAnsi="Arial"/>
          <w:sz w:val="18"/>
          <w:szCs w:val="18"/>
          <w:color w:val="auto"/>
        </w:rPr>
      </w:pPr>
    </w:p>
    <w:p>
      <w:pPr>
        <w:ind w:right="840" w:firstLine="436"/>
        <w:spacing w:after="0" w:line="277" w:lineRule="auto"/>
        <w:tabs>
          <w:tab w:leader="none" w:pos="71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right="20" w:firstLine="436"/>
        <w:spacing w:after="0" w:line="253" w:lineRule="auto"/>
        <w:tabs>
          <w:tab w:leader="none" w:pos="70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8" w:name="page99"/>
    <w:bookmarkEnd w:id="98"/>
    <w:p>
      <w:pPr>
        <w:jc w:val="both"/>
        <w:ind w:firstLine="436"/>
        <w:spacing w:after="0" w:line="263" w:lineRule="auto"/>
        <w:tabs>
          <w:tab w:leader="none" w:pos="71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220345</wp:posOffset>
            </wp:positionV>
            <wp:extent cx="28632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443230</wp:posOffset>
            </wp:positionV>
            <wp:extent cx="28632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666115</wp:posOffset>
            </wp:positionV>
            <wp:extent cx="28632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440" w:top="274" w:right="6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10.6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21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The purpose of the Tango Therapeutics, Inc. 2021 Employee Stock Purchase Plan (the “Plan”) is to provide eligible employees of Tango Therapeutics, Inc. (the “Company”) and each Designated Subsidiary (as defined in Section 11) with opportunities to purchase shares of the Company’s common stock, par value $0.001 per share (the “Common Stock”). An aggregate of 949,873 shares of Common Stock have been approved and reserved for this purpose, plus on January 1, 2022, and each January 1 thereafter through January 1, 2031, the number of shares of Common Stock reserved and available for issuance under the Plan shall be cumulatively increased by the least of (i) one percent (1%) of the number of shares of Common Stock issued and outstanding on the immediately preceding December 31st, (ii) 949,873 shares of Common Stock or (iii) such number of shares of Common Stock as determined by the Administrator. The Plan is intended to constitute an “employee stock purchase plan” within the meaning of Section 423(b) of the Internal Revenue Code of 1986, as amended (the “Code”), and shall be interpreted in accordance with that intent.</w:t>
      </w:r>
    </w:p>
    <w:p>
      <w:pPr>
        <w:spacing w:after="0" w:line="165" w:lineRule="exact"/>
        <w:rPr>
          <w:sz w:val="20"/>
          <w:szCs w:val="20"/>
          <w:color w:val="auto"/>
        </w:rPr>
      </w:pPr>
    </w:p>
    <w:p>
      <w:pPr>
        <w:ind w:right="160" w:firstLine="436"/>
        <w:spacing w:after="0" w:line="272" w:lineRule="auto"/>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ectPr>
          <w:pgSz w:w="11900" w:h="16838" w:orient="portrait"/>
          <w:cols w:equalWidth="0" w:num="1">
            <w:col w:w="11020"/>
          </w:cols>
          <w:pgMar w:left="440" w:top="125" w:right="439" w:bottom="1440" w:gutter="0" w:footer="0" w:header="0"/>
        </w:sectPr>
      </w:pPr>
    </w:p>
    <w:bookmarkStart w:id="100" w:name="page101"/>
    <w:bookmarkEnd w:id="100"/>
    <w:p>
      <w:pPr>
        <w:ind w:left="-40" w:right="220" w:firstLine="436"/>
        <w:spacing w:after="0" w:line="279" w:lineRule="auto"/>
        <w:tabs>
          <w:tab w:leader="none" w:pos="58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Offerings</w:t>
      </w:r>
      <w:r>
        <w:rPr>
          <w:rFonts w:ascii="Arial" w:cs="Arial" w:eastAsia="Arial" w:hAnsi="Arial"/>
          <w:sz w:val="17"/>
          <w:szCs w:val="17"/>
          <w:color w:val="auto"/>
        </w:rPr>
        <w:t>. The Company may make one or more offerings to eligible employees to purchase Common Stock under the Plan (“Offerings”). Unless otherwise determined by the Administrator, an Offering will begin on the first business day occurring on or after each May 1 and November 1 and will end on the last business day occurring on or before the following October 31 and April 30 respectively. The Administrator may, in its discretion, designate a different period for any Offering, provided that no Offering shall exceed 27 months in duration .</w:t>
      </w:r>
    </w:p>
    <w:p>
      <w:pPr>
        <w:spacing w:after="0" w:line="171" w:lineRule="exact"/>
        <w:rPr>
          <w:rFonts w:ascii="Arial" w:cs="Arial" w:eastAsia="Arial" w:hAnsi="Arial"/>
          <w:sz w:val="17"/>
          <w:szCs w:val="17"/>
          <w:color w:val="auto"/>
        </w:rPr>
      </w:pPr>
    </w:p>
    <w:p>
      <w:pPr>
        <w:ind w:left="-40" w:firstLine="436"/>
        <w:spacing w:after="0" w:line="270" w:lineRule="auto"/>
        <w:tabs>
          <w:tab w:leader="none" w:pos="58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 Designated Subsidiary for more than 20 hours a week and have completed at least thirty (30) days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4" w:right="479" w:bottom="1440" w:gutter="0" w:footer="0" w:header="0"/>
        </w:sectPr>
      </w:pPr>
    </w:p>
    <w:bookmarkStart w:id="101" w:name="page102"/>
    <w:bookmarkEnd w:id="101"/>
    <w:p>
      <w:pPr>
        <w:ind w:left="4" w:right="5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149" w:lineRule="exact"/>
        <w:rPr>
          <w:sz w:val="20"/>
          <w:szCs w:val="20"/>
          <w:color w:val="auto"/>
        </w:rPr>
      </w:pPr>
    </w:p>
    <w:p>
      <w:pPr>
        <w:ind w:left="624" w:hanging="184"/>
        <w:spacing w:after="0"/>
        <w:tabs>
          <w:tab w:leader="none" w:pos="624"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987"/>
        <w:spacing w:after="0" w:line="263" w:lineRule="auto"/>
        <w:tabs>
          <w:tab w:leader="none" w:pos="1240" w:val="left"/>
        </w:tabs>
        <w:numPr>
          <w:ilvl w:val="2"/>
          <w:numId w:val="125"/>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83" w:lineRule="exact"/>
        <w:rPr>
          <w:rFonts w:ascii="Arial" w:cs="Arial" w:eastAsia="Arial" w:hAnsi="Arial"/>
          <w:sz w:val="18"/>
          <w:szCs w:val="18"/>
          <w:color w:val="auto"/>
        </w:rPr>
      </w:pPr>
    </w:p>
    <w:p>
      <w:pPr>
        <w:jc w:val="both"/>
        <w:ind w:left="4" w:right="480" w:firstLine="987"/>
        <w:spacing w:after="0" w:line="291" w:lineRule="auto"/>
        <w:tabs>
          <w:tab w:leader="none" w:pos="1250" w:val="left"/>
        </w:tabs>
        <w:numPr>
          <w:ilvl w:val="2"/>
          <w:numId w:val="125"/>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The enrollment form will (a) state a whole percentage to be deducted from an eligible employee’s Compensation (as defined in Section 11) per pay period, (b) authorize the purchase of Common Stock in each Offering in accordance with the terms of the Plan and</w:t>
      </w:r>
    </w:p>
    <w:p>
      <w:pPr>
        <w:ind w:left="4" w:right="20" w:hanging="4"/>
        <w:spacing w:after="0" w:line="253" w:lineRule="auto"/>
        <w:tabs>
          <w:tab w:leader="none" w:pos="2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2"/>
          <w:numId w:val="126"/>
        </w:numPr>
        <w:rPr>
          <w:rFonts w:ascii="Arial" w:cs="Arial" w:eastAsia="Arial" w:hAnsi="Arial"/>
          <w:sz w:val="17"/>
          <w:szCs w:val="17"/>
          <w:color w:val="auto"/>
        </w:rPr>
      </w:pPr>
      <w:r>
        <w:rPr>
          <w:rFonts w:ascii="Arial" w:cs="Arial" w:eastAsia="Arial" w:hAnsi="Arial"/>
          <w:sz w:val="17"/>
          <w:szCs w:val="17"/>
          <w:color w:val="auto"/>
        </w:rPr>
        <w:t>Notwithstanding the foregoing, participation in the Plan will neither be permitted nor be denied contrary to the requirements of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Code.</w:t>
      </w:r>
    </w:p>
    <w:p>
      <w:pPr>
        <w:spacing w:after="0" w:line="210" w:lineRule="exact"/>
        <w:rPr>
          <w:rFonts w:ascii="Arial" w:cs="Arial" w:eastAsia="Arial" w:hAnsi="Arial"/>
          <w:sz w:val="17"/>
          <w:szCs w:val="17"/>
          <w:color w:val="auto"/>
        </w:rPr>
      </w:pPr>
    </w:p>
    <w:p>
      <w:pPr>
        <w:ind w:left="4" w:firstLine="436"/>
        <w:spacing w:after="0" w:line="286" w:lineRule="auto"/>
        <w:tabs>
          <w:tab w:leader="none" w:pos="624"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Employee Contributions</w:t>
      </w:r>
      <w:r>
        <w:rPr>
          <w:rFonts w:ascii="Arial" w:cs="Arial" w:eastAsia="Arial" w:hAnsi="Arial"/>
          <w:sz w:val="17"/>
          <w:szCs w:val="17"/>
          <w:color w:val="auto"/>
        </w:rPr>
        <w:t>. Each eligible employee may authorize payroll deductions at a minimum of one (1) percent up to a maximum of fifteen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02" w:name="page103"/>
    <w:bookmarkEnd w:id="102"/>
    <w:p>
      <w:pPr>
        <w:ind w:left="-80" w:right="60" w:firstLine="436"/>
        <w:spacing w:after="0" w:line="275"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 Changes</w:t>
      </w:r>
      <w:r>
        <w:rPr>
          <w:rFonts w:ascii="Arial" w:cs="Arial" w:eastAsia="Arial" w:hAnsi="Arial"/>
          <w:sz w:val="17"/>
          <w:szCs w:val="17"/>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76" w:lineRule="exact"/>
        <w:rPr>
          <w:rFonts w:ascii="Arial" w:cs="Arial" w:eastAsia="Arial" w:hAnsi="Arial"/>
          <w:sz w:val="17"/>
          <w:szCs w:val="17"/>
          <w:color w:val="auto"/>
        </w:rPr>
      </w:pPr>
    </w:p>
    <w:p>
      <w:pPr>
        <w:ind w:left="-80" w:right="200" w:firstLine="436"/>
        <w:spacing w:after="0" w:line="275"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76" w:lineRule="exact"/>
        <w:rPr>
          <w:rFonts w:ascii="Arial" w:cs="Arial" w:eastAsia="Arial" w:hAnsi="Arial"/>
          <w:sz w:val="17"/>
          <w:szCs w:val="17"/>
          <w:color w:val="auto"/>
        </w:rPr>
      </w:pPr>
    </w:p>
    <w:p>
      <w:pPr>
        <w:ind w:left="-80" w:firstLine="436"/>
        <w:spacing w:after="0" w:line="263"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20" w:top="274" w:right="519" w:bottom="1440" w:gutter="0" w:footer="0" w:header="0"/>
        </w:sectPr>
      </w:pPr>
    </w:p>
    <w:bookmarkStart w:id="103" w:name="page104"/>
    <w:bookmarkEnd w:id="10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at a maximum discount of 15 percent of the Fair Market Value of the Common Stock on the Offering Date or the Exercise Date, whichever is less.</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Notwithstanding the foregoing, no Participant may be granted an option hereunder if such Participant, immediately after the option was granted, would be treated as owning stock possessing five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04" w:name="page105"/>
    <w:bookmarkEnd w:id="104"/>
    <w:p>
      <w:pPr>
        <w:ind w:firstLine="436"/>
        <w:spacing w:after="0" w:line="255" w:lineRule="auto"/>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92" w:lineRule="exact"/>
        <w:rPr>
          <w:rFonts w:ascii="Arial" w:cs="Arial" w:eastAsia="Arial" w:hAnsi="Arial"/>
          <w:sz w:val="18"/>
          <w:szCs w:val="18"/>
          <w:color w:val="auto"/>
        </w:rPr>
      </w:pPr>
    </w:p>
    <w:p>
      <w:pPr>
        <w:ind w:right="200" w:firstLine="436"/>
        <w:spacing w:after="0" w:line="286" w:lineRule="auto"/>
        <w:tabs>
          <w:tab w:leader="none" w:pos="71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Issuance of Certificates</w:t>
      </w:r>
      <w:r>
        <w:rPr>
          <w:rFonts w:ascii="Arial" w:cs="Arial" w:eastAsia="Arial" w:hAnsi="Arial"/>
          <w:sz w:val="17"/>
          <w:szCs w:val="17"/>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term “Closing Date” means the date of the closing of the transactions contemplated by that certain Merger Agreement, dated as of April 13, 2021, by and among the Company and the other parties thereto.</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term “Compensation” means the regular salary or basic hourly rate of compensation. 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The current list of Designated Subsidiaries is attached hereto as Appendix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5" w:name="page106"/>
    <w:bookmarkEnd w:id="105"/>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term “Participant” means an individual who is eligible as determined in Section 3 and who has complied with the provisions of Section 4.</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pacing w:after="0" w:line="225" w:lineRule="exact"/>
        <w:rPr>
          <w:sz w:val="20"/>
          <w:szCs w:val="20"/>
          <w:color w:val="auto"/>
        </w:rPr>
      </w:pPr>
    </w:p>
    <w:p>
      <w:pPr>
        <w:ind w:firstLine="436"/>
        <w:spacing w:after="0" w:line="257" w:lineRule="auto"/>
        <w:tabs>
          <w:tab w:leader="none" w:pos="71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Rights on Termination of Employment</w:t>
      </w:r>
      <w:r>
        <w:rPr>
          <w:rFonts w:ascii="Arial" w:cs="Arial" w:eastAsia="Arial" w:hAnsi="Arial"/>
          <w:sz w:val="18"/>
          <w:szCs w:val="18"/>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4" w:right="559" w:bottom="1440" w:gutter="0" w:footer="0" w:header="0"/>
        </w:sectPr>
      </w:pPr>
    </w:p>
    <w:bookmarkStart w:id="106" w:name="page107"/>
    <w:bookmarkEnd w:id="10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87" w:lineRule="exact"/>
        <w:rPr>
          <w:sz w:val="20"/>
          <w:szCs w:val="20"/>
          <w:color w:val="auto"/>
        </w:rPr>
      </w:pPr>
    </w:p>
    <w:p>
      <w:pPr>
        <w:ind w:firstLine="436"/>
        <w:spacing w:after="0" w:line="257" w:lineRule="auto"/>
        <w:tabs>
          <w:tab w:leader="none" w:pos="71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87" w:lineRule="exact"/>
        <w:rPr>
          <w:rFonts w:ascii="Arial" w:cs="Arial" w:eastAsia="Arial" w:hAnsi="Arial"/>
          <w:sz w:val="18"/>
          <w:szCs w:val="18"/>
          <w:color w:val="auto"/>
        </w:rPr>
      </w:pPr>
    </w:p>
    <w:p>
      <w:pPr>
        <w:ind w:right="60" w:firstLine="436"/>
        <w:spacing w:after="0" w:line="263" w:lineRule="auto"/>
        <w:tabs>
          <w:tab w:leader="none" w:pos="71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Optionees Not Stockholders</w:t>
      </w:r>
      <w:r>
        <w:rPr>
          <w:rFonts w:ascii="Arial" w:cs="Arial" w:eastAsia="Arial" w:hAnsi="Arial"/>
          <w:sz w:val="18"/>
          <w:szCs w:val="18"/>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83" w:lineRule="exact"/>
        <w:rPr>
          <w:rFonts w:ascii="Arial" w:cs="Arial" w:eastAsia="Arial" w:hAnsi="Arial"/>
          <w:sz w:val="18"/>
          <w:szCs w:val="18"/>
          <w:color w:val="auto"/>
        </w:rPr>
      </w:pPr>
    </w:p>
    <w:p>
      <w:pPr>
        <w:ind w:right="140" w:firstLine="436"/>
        <w:spacing w:after="0" w:line="277" w:lineRule="auto"/>
        <w:tabs>
          <w:tab w:leader="none" w:pos="71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70" w:lineRule="exact"/>
        <w:rPr>
          <w:rFonts w:ascii="Arial" w:cs="Arial" w:eastAsia="Arial" w:hAnsi="Arial"/>
          <w:sz w:val="18"/>
          <w:szCs w:val="18"/>
          <w:color w:val="auto"/>
        </w:rPr>
      </w:pPr>
    </w:p>
    <w:p>
      <w:pPr>
        <w:ind w:right="300" w:firstLine="436"/>
        <w:spacing w:after="0" w:line="277" w:lineRule="auto"/>
        <w:tabs>
          <w:tab w:leader="none" w:pos="71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07" w:name="page108"/>
    <w:bookmarkEnd w:id="107"/>
    <w:p>
      <w:pPr>
        <w:ind w:left="-80" w:firstLine="436"/>
        <w:spacing w:after="0" w:line="263" w:lineRule="auto"/>
        <w:tabs>
          <w:tab w:leader="none" w:pos="63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 in Case of Changes Affecting Common Stock</w:t>
      </w:r>
      <w:r>
        <w:rPr>
          <w:rFonts w:ascii="Arial" w:cs="Arial" w:eastAsia="Arial" w:hAnsi="Arial"/>
          <w:sz w:val="18"/>
          <w:szCs w:val="18"/>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83" w:lineRule="exact"/>
        <w:rPr>
          <w:rFonts w:ascii="Arial" w:cs="Arial" w:eastAsia="Arial" w:hAnsi="Arial"/>
          <w:sz w:val="18"/>
          <w:szCs w:val="18"/>
          <w:color w:val="auto"/>
        </w:rPr>
      </w:pPr>
    </w:p>
    <w:p>
      <w:pPr>
        <w:ind w:left="-80" w:right="220" w:firstLine="436"/>
        <w:spacing w:after="0" w:line="259" w:lineRule="auto"/>
        <w:tabs>
          <w:tab w:leader="none" w:pos="63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86" w:lineRule="exact"/>
        <w:rPr>
          <w:rFonts w:ascii="Arial" w:cs="Arial" w:eastAsia="Arial" w:hAnsi="Arial"/>
          <w:sz w:val="18"/>
          <w:szCs w:val="18"/>
          <w:color w:val="auto"/>
        </w:rPr>
      </w:pPr>
    </w:p>
    <w:p>
      <w:pPr>
        <w:jc w:val="both"/>
        <w:ind w:left="-80" w:right="60" w:firstLine="436"/>
        <w:spacing w:after="0" w:line="259" w:lineRule="auto"/>
        <w:tabs>
          <w:tab w:leader="none" w:pos="63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86" w:lineRule="exact"/>
        <w:rPr>
          <w:rFonts w:ascii="Arial" w:cs="Arial" w:eastAsia="Arial" w:hAnsi="Arial"/>
          <w:sz w:val="18"/>
          <w:szCs w:val="18"/>
          <w:color w:val="auto"/>
        </w:rPr>
      </w:pPr>
    </w:p>
    <w:p>
      <w:pPr>
        <w:ind w:left="-80" w:right="160" w:firstLine="436"/>
        <w:spacing w:after="0" w:line="277" w:lineRule="auto"/>
        <w:tabs>
          <w:tab w:leader="none" w:pos="63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170" w:lineRule="exact"/>
        <w:rPr>
          <w:rFonts w:ascii="Arial" w:cs="Arial" w:eastAsia="Arial" w:hAnsi="Arial"/>
          <w:sz w:val="18"/>
          <w:szCs w:val="18"/>
          <w:color w:val="auto"/>
        </w:rPr>
      </w:pPr>
    </w:p>
    <w:p>
      <w:pPr>
        <w:ind w:left="-80" w:right="860" w:firstLine="436"/>
        <w:spacing w:after="0" w:line="277" w:lineRule="auto"/>
        <w:tabs>
          <w:tab w:leader="none" w:pos="63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520" w:top="274" w:right="519" w:bottom="1440" w:gutter="0" w:footer="0" w:header="0"/>
        </w:sectPr>
      </w:pPr>
    </w:p>
    <w:bookmarkStart w:id="108" w:name="page109"/>
    <w:bookmarkEnd w:id="108"/>
    <w:p>
      <w:pPr>
        <w:ind w:left="-20" w:right="220" w:firstLine="436"/>
        <w:spacing w:after="0" w:line="286" w:lineRule="auto"/>
        <w:tabs>
          <w:tab w:leader="none" w:pos="69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Arial" w:cs="Arial" w:eastAsia="Arial" w:hAnsi="Arial"/>
          <w:sz w:val="17"/>
          <w:szCs w:val="17"/>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5" w:lineRule="exact"/>
        <w:rPr>
          <w:rFonts w:ascii="Arial" w:cs="Arial" w:eastAsia="Arial" w:hAnsi="Arial"/>
          <w:sz w:val="17"/>
          <w:szCs w:val="17"/>
          <w:color w:val="auto"/>
        </w:rPr>
      </w:pPr>
    </w:p>
    <w:p>
      <w:pPr>
        <w:ind w:left="-20" w:right="260" w:firstLine="436"/>
        <w:spacing w:after="0" w:line="277" w:lineRule="auto"/>
        <w:tabs>
          <w:tab w:leader="none" w:pos="69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pacing w:after="0" w:line="170" w:lineRule="exact"/>
        <w:rPr>
          <w:rFonts w:ascii="Arial" w:cs="Arial" w:eastAsia="Arial" w:hAnsi="Arial"/>
          <w:sz w:val="18"/>
          <w:szCs w:val="18"/>
          <w:color w:val="auto"/>
        </w:rPr>
      </w:pPr>
    </w:p>
    <w:p>
      <w:pPr>
        <w:ind w:left="-20" w:firstLine="436"/>
        <w:spacing w:after="0" w:line="263" w:lineRule="auto"/>
        <w:tabs>
          <w:tab w:leader="none" w:pos="69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183" w:lineRule="exact"/>
        <w:rPr>
          <w:rFonts w:ascii="Arial" w:cs="Arial" w:eastAsia="Arial" w:hAnsi="Arial"/>
          <w:sz w:val="18"/>
          <w:szCs w:val="18"/>
          <w:color w:val="auto"/>
        </w:rPr>
      </w:pPr>
    </w:p>
    <w:p>
      <w:pPr>
        <w:ind w:left="-20" w:right="40" w:firstLine="436"/>
        <w:spacing w:after="0" w:line="263" w:lineRule="auto"/>
        <w:tabs>
          <w:tab w:leader="none" w:pos="69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83" w:lineRule="exact"/>
        <w:rPr>
          <w:rFonts w:ascii="Arial" w:cs="Arial" w:eastAsia="Arial" w:hAnsi="Arial"/>
          <w:sz w:val="18"/>
          <w:szCs w:val="18"/>
          <w:color w:val="auto"/>
        </w:rPr>
      </w:pPr>
    </w:p>
    <w:p>
      <w:pPr>
        <w:ind w:left="-20" w:right="360" w:firstLine="436"/>
        <w:spacing w:after="0" w:line="342" w:lineRule="auto"/>
        <w:tabs>
          <w:tab w:leader="none" w:pos="69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Plan shall become effective upon the date immediately preceding the Closing Date following stockholder approval in accordance with applicable state law, the Company’s bylaws and articles of incorporation, each as amended, and applicable stock exchange rules.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109" w:name="page110"/>
    <w:bookmarkEnd w:id="109"/>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u w:val="single" w:color="auto"/>
          <w:color w:val="auto"/>
        </w:rPr>
        <w:t>Designated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440" w:top="270"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10.7</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This Employment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made between Tango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w:t>
      </w:r>
    </w:p>
    <w:p>
      <w:pPr>
        <w:spacing w:after="0" w:line="35" w:lineRule="exact"/>
        <w:rPr>
          <w:sz w:val="20"/>
          <w:szCs w:val="20"/>
          <w:color w:val="auto"/>
        </w:rPr>
      </w:pPr>
    </w:p>
    <w:p>
      <w:pPr>
        <w:ind w:left="1844"/>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Executive</w:t>
      </w:r>
      <w:r>
        <w:rPr>
          <w:rFonts w:ascii="Arial" w:cs="Arial" w:eastAsia="Arial" w:hAnsi="Arial"/>
          <w:sz w:val="17"/>
          <w:szCs w:val="17"/>
          <w:color w:val="auto"/>
        </w:rPr>
        <w:t>”) and is effective as of the closing of the transactions contemplated by the Agreement and Plan of Merger,</w:t>
      </w:r>
    </w:p>
    <w:p>
      <w:pPr>
        <w:spacing w:after="0" w:line="21" w:lineRule="exact"/>
        <w:rPr>
          <w:sz w:val="20"/>
          <w:szCs w:val="20"/>
          <w:color w:val="auto"/>
        </w:rPr>
      </w:pPr>
    </w:p>
    <w:p>
      <w:pPr>
        <w:ind w:left="4" w:right="380"/>
        <w:spacing w:after="0" w:line="281" w:lineRule="auto"/>
        <w:rPr>
          <w:sz w:val="20"/>
          <w:szCs w:val="20"/>
          <w:color w:val="auto"/>
        </w:rPr>
      </w:pPr>
      <w:r>
        <w:rPr>
          <w:rFonts w:ascii="Arial" w:cs="Arial" w:eastAsia="Arial" w:hAnsi="Arial"/>
          <w:sz w:val="16"/>
          <w:szCs w:val="16"/>
          <w:color w:val="auto"/>
        </w:rPr>
        <w:t>dated as of April 13, 2021, by and among BCTG Acquisition Corp., BCTG Merger Sub Inc. and the Company (the “</w:t>
      </w:r>
      <w:r>
        <w:rPr>
          <w:rFonts w:ascii="Arial" w:cs="Arial" w:eastAsia="Arial" w:hAnsi="Arial"/>
          <w:sz w:val="16"/>
          <w:szCs w:val="16"/>
          <w:u w:val="single" w:color="auto"/>
          <w:color w:val="auto"/>
        </w:rPr>
        <w:t>Effective Date</w:t>
      </w:r>
      <w:r>
        <w:rPr>
          <w:rFonts w:ascii="Arial" w:cs="Arial" w:eastAsia="Arial" w:hAnsi="Arial"/>
          <w:sz w:val="16"/>
          <w:szCs w:val="16"/>
          <w:color w:val="auto"/>
        </w:rPr>
        <w:t>”). Except with respect to the Equity Documents (as defined below), this Agreement supersedes in all respects all prior agreements between the Executive and the Company regarding the subject matter herein, including without limitation (i) the Employment Agreement between the Executive and the Company</w:t>
      </w:r>
    </w:p>
    <w:p>
      <w:pPr>
        <w:spacing w:after="0" w:line="2" w:lineRule="exact"/>
        <w:rPr>
          <w:sz w:val="20"/>
          <w:szCs w:val="20"/>
          <w:color w:val="auto"/>
        </w:rPr>
      </w:pPr>
    </w:p>
    <w:p>
      <w:pPr>
        <w:ind w:left="4"/>
        <w:spacing w:after="0"/>
        <w:tabs>
          <w:tab w:leader="none" w:pos="1364"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(the “</w:t>
      </w:r>
      <w:r>
        <w:rPr>
          <w:rFonts w:ascii="Arial" w:cs="Arial" w:eastAsia="Arial" w:hAnsi="Arial"/>
          <w:sz w:val="18"/>
          <w:szCs w:val="18"/>
          <w:u w:val="single" w:color="auto"/>
          <w:color w:val="auto"/>
        </w:rPr>
        <w:t>Prior Agreement</w:t>
      </w:r>
      <w:r>
        <w:rPr>
          <w:rFonts w:ascii="Arial" w:cs="Arial" w:eastAsia="Arial" w:hAnsi="Arial"/>
          <w:sz w:val="18"/>
          <w:szCs w:val="18"/>
          <w:color w:val="auto"/>
        </w:rPr>
        <w:t>”), and (ii) any other offer letter, employment agreement or severance agreement.</w:t>
      </w:r>
    </w:p>
    <w:p>
      <w:pPr>
        <w:spacing w:after="0" w:line="21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WHEREAS, the Company desires to continue to employ the Executive and the Executive desires to continue to be employed by the Company on the new terms and conditions contained herein.</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4" w:hanging="184"/>
        <w:spacing w:after="0"/>
        <w:tabs>
          <w:tab w:leader="none" w:pos="624"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87"/>
        <w:spacing w:after="0" w:line="259" w:lineRule="auto"/>
        <w:tabs>
          <w:tab w:leader="none" w:pos="1237"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82" w:lineRule="exact"/>
        <w:rPr>
          <w:rFonts w:ascii="Arial" w:cs="Arial" w:eastAsia="Arial" w:hAnsi="Arial"/>
          <w:sz w:val="18"/>
          <w:szCs w:val="18"/>
          <w:color w:val="auto"/>
        </w:rPr>
      </w:pPr>
    </w:p>
    <w:p>
      <w:pPr>
        <w:ind w:left="4" w:right="120" w:firstLine="987"/>
        <w:spacing w:after="0" w:line="271" w:lineRule="auto"/>
        <w:tabs>
          <w:tab w:leader="none" w:pos="1250"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The Executive shall serve as the [</w:t>
      </w:r>
      <w:r>
        <w:rPr>
          <w:rFonts w:ascii="Arial" w:cs="Arial" w:eastAsia="Arial" w:hAnsi="Arial"/>
          <w:sz w:val="17"/>
          <w:szCs w:val="17"/>
          <w:b w:val="1"/>
          <w:bCs w:val="1"/>
          <w:color w:val="auto"/>
        </w:rPr>
        <w:t>Title</w:t>
      </w:r>
      <w:r>
        <w:rPr>
          <w:rFonts w:ascii="Arial" w:cs="Arial" w:eastAsia="Arial" w:hAnsi="Arial"/>
          <w:sz w:val="17"/>
          <w:szCs w:val="17"/>
          <w:color w:val="auto"/>
        </w:rPr>
        <w:t>] of the Company and shall have such powers and duties as may from time to time be prescribed by the [</w:t>
      </w:r>
      <w:r>
        <w:rPr>
          <w:rFonts w:ascii="Arial" w:cs="Arial" w:eastAsia="Arial" w:hAnsi="Arial"/>
          <w:sz w:val="17"/>
          <w:szCs w:val="17"/>
          <w:b w:val="1"/>
          <w:bCs w:val="1"/>
          <w:color w:val="auto"/>
        </w:rPr>
        <w:t>Board of Directors of the Company (the “</w:t>
      </w:r>
      <w:r>
        <w:rPr>
          <w:rFonts w:ascii="Arial" w:cs="Arial" w:eastAsia="Arial" w:hAnsi="Arial"/>
          <w:sz w:val="17"/>
          <w:szCs w:val="17"/>
          <w:b w:val="1"/>
          <w:bCs w:val="1"/>
          <w:u w:val="single" w:color="auto"/>
          <w:color w:val="auto"/>
        </w:rPr>
        <w:t>Board</w:t>
      </w:r>
      <w:r>
        <w:rPr>
          <w:rFonts w:ascii="Arial" w:cs="Arial" w:eastAsia="Arial" w:hAnsi="Arial"/>
          <w:sz w:val="17"/>
          <w:szCs w:val="17"/>
          <w:b w:val="1"/>
          <w:bCs w:val="1"/>
          <w:color w:val="auto"/>
        </w:rPr>
        <w:t>”)]</w:t>
      </w:r>
      <w:r>
        <w:rPr>
          <w:rFonts w:ascii="Arial" w:cs="Arial" w:eastAsia="Arial" w:hAnsi="Arial"/>
          <w:sz w:val="14"/>
          <w:szCs w:val="14"/>
          <w:b w:val="1"/>
          <w:bCs w:val="1"/>
          <w:color w:val="auto"/>
        </w:rPr>
        <w:t>1</w:t>
      </w:r>
      <w:r>
        <w:rPr>
          <w:rFonts w:ascii="Arial" w:cs="Arial" w:eastAsia="Arial" w:hAnsi="Arial"/>
          <w:sz w:val="17"/>
          <w:szCs w:val="17"/>
          <w:b w:val="1"/>
          <w:bCs w:val="1"/>
          <w:color w:val="auto"/>
        </w:rPr>
        <w:t>[Chief Executive Officer of the Company (the “</w:t>
      </w:r>
      <w:r>
        <w:rPr>
          <w:rFonts w:ascii="Arial" w:cs="Arial" w:eastAsia="Arial" w:hAnsi="Arial"/>
          <w:sz w:val="17"/>
          <w:szCs w:val="17"/>
          <w:b w:val="1"/>
          <w:bCs w:val="1"/>
          <w:u w:val="single" w:color="auto"/>
          <w:color w:val="auto"/>
        </w:rPr>
        <w:t>CEO</w:t>
      </w:r>
      <w:r>
        <w:rPr>
          <w:rFonts w:ascii="Arial" w:cs="Arial" w:eastAsia="Arial" w:hAnsi="Arial"/>
          <w:sz w:val="17"/>
          <w:szCs w:val="17"/>
          <w:b w:val="1"/>
          <w:bCs w:val="1"/>
          <w:color w:val="auto"/>
        </w:rPr>
        <w:t>”) or other</w:t>
      </w:r>
      <w:r>
        <w:rPr>
          <w:rFonts w:ascii="Arial" w:cs="Arial" w:eastAsia="Arial" w:hAnsi="Arial"/>
          <w:sz w:val="17"/>
          <w:szCs w:val="17"/>
          <w:color w:val="auto"/>
        </w:rPr>
        <w:t xml:space="preserve"> </w:t>
      </w:r>
      <w:r>
        <w:rPr>
          <w:rFonts w:ascii="Arial" w:cs="Arial" w:eastAsia="Arial" w:hAnsi="Arial"/>
          <w:sz w:val="17"/>
          <w:szCs w:val="17"/>
          <w:b w:val="1"/>
          <w:bCs w:val="1"/>
          <w:color w:val="auto"/>
        </w:rPr>
        <w:t>duly authorized executive</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w:t>
      </w:r>
      <w:r>
        <w:rPr>
          <w:rFonts w:ascii="Arial" w:cs="Arial" w:eastAsia="Arial" w:hAnsi="Arial"/>
          <w:sz w:val="17"/>
          <w:szCs w:val="17"/>
          <w:b w:val="1"/>
          <w:bCs w:val="1"/>
          <w:color w:val="auto"/>
        </w:rPr>
        <w:t>In addition, the Company shall cause the Executive to be nominated for election to the Board and to be recommended to the stockholders for election to the Board as long as the Executive remains the Chief Executive Officer of the Company (the “</w:t>
      </w:r>
      <w:r>
        <w:rPr>
          <w:rFonts w:ascii="Arial" w:cs="Arial" w:eastAsia="Arial" w:hAnsi="Arial"/>
          <w:sz w:val="17"/>
          <w:szCs w:val="17"/>
          <w:b w:val="1"/>
          <w:bCs w:val="1"/>
          <w:u w:val="single" w:color="auto"/>
          <w:color w:val="auto"/>
        </w:rPr>
        <w:t>CEO</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provided</w:t>
      </w:r>
      <w:r>
        <w:rPr>
          <w:rFonts w:ascii="Arial" w:cs="Arial" w:eastAsia="Arial" w:hAnsi="Arial"/>
          <w:sz w:val="17"/>
          <w:szCs w:val="17"/>
          <w:b w:val="1"/>
          <w:bCs w:val="1"/>
          <w:color w:val="auto"/>
        </w:rPr>
        <w:t xml:space="preserve"> that the Executive shall be deemed to have resigned from the Board and from any related positions upon ceasing to serve as CEO for any reason</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shall devote the Executive’s full working time and efforts to the business and affairs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the Executive may serve on other boards of directors, with the approval of the Board</w:t>
      </w:r>
      <w:r>
        <w:rPr>
          <w:rFonts w:ascii="Arial" w:cs="Arial" w:eastAsia="Arial" w:hAnsi="Arial"/>
          <w:sz w:val="17"/>
          <w:szCs w:val="17"/>
          <w:b w:val="1"/>
          <w:bCs w:val="1"/>
          <w:color w:val="auto"/>
        </w:rPr>
        <w:t>[ of Directors of the Company</w:t>
      </w:r>
      <w:r>
        <w:rPr>
          <w:rFonts w:ascii="Arial" w:cs="Arial" w:eastAsia="Arial" w:hAnsi="Arial"/>
          <w:sz w:val="17"/>
          <w:szCs w:val="17"/>
          <w:color w:val="auto"/>
        </w:rPr>
        <w:t xml:space="preserve"> </w:t>
      </w:r>
      <w:r>
        <w:rPr>
          <w:rFonts w:ascii="Arial" w:cs="Arial" w:eastAsia="Arial" w:hAnsi="Arial"/>
          <w:sz w:val="17"/>
          <w:szCs w:val="17"/>
          <w:b w:val="1"/>
          <w:bCs w:val="1"/>
          <w:color w:val="auto"/>
        </w:rPr>
        <w:t>(the “</w:t>
      </w:r>
      <w:r>
        <w:rPr>
          <w:rFonts w:ascii="Arial" w:cs="Arial" w:eastAsia="Arial" w:hAnsi="Arial"/>
          <w:sz w:val="17"/>
          <w:szCs w:val="17"/>
          <w:b w:val="1"/>
          <w:bCs w:val="1"/>
          <w:u w:val="single" w:color="auto"/>
          <w:color w:val="auto"/>
        </w:rPr>
        <w:t>Board</w:t>
      </w:r>
      <w:r>
        <w:rPr>
          <w:rFonts w:ascii="Arial" w:cs="Arial" w:eastAsia="Arial" w:hAnsi="Arial"/>
          <w:sz w:val="17"/>
          <w:szCs w:val="17"/>
          <w:b w:val="1"/>
          <w:bCs w:val="1"/>
          <w:color w:val="auto"/>
        </w:rPr>
        <w:t>”)]</w:t>
      </w:r>
      <w:r>
        <w:rPr>
          <w:rFonts w:ascii="Arial" w:cs="Arial" w:eastAsia="Arial" w:hAnsi="Arial"/>
          <w:sz w:val="14"/>
          <w:szCs w:val="14"/>
          <w:b w:val="1"/>
          <w:bCs w:val="1"/>
          <w:color w:val="auto"/>
        </w:rPr>
        <w:t>4</w:t>
      </w:r>
      <w:r>
        <w:rPr>
          <w:rFonts w:ascii="Arial" w:cs="Arial" w:eastAsia="Arial" w:hAnsi="Arial"/>
          <w:sz w:val="17"/>
          <w:szCs w:val="17"/>
          <w:color w:val="auto"/>
        </w:rPr>
        <w:t>, or engage in religious, charitable or other community activities as long as such services and activities do not interfere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performance of the Executive’s duties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224" w:hanging="224"/>
        <w:spacing w:after="0"/>
        <w:tabs>
          <w:tab w:leader="none" w:pos="224" w:val="left"/>
        </w:tabs>
        <w:numPr>
          <w:ilvl w:val="0"/>
          <w:numId w:val="134"/>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22" w:lineRule="exact"/>
        <w:rPr>
          <w:sz w:val="20"/>
          <w:szCs w:val="20"/>
          <w:color w:val="auto"/>
        </w:rPr>
      </w:pPr>
    </w:p>
    <w:p>
      <w:pPr>
        <w:ind w:left="224" w:hanging="224"/>
        <w:spacing w:after="0"/>
        <w:tabs>
          <w:tab w:leader="none" w:pos="224" w:val="left"/>
        </w:tabs>
        <w:numPr>
          <w:ilvl w:val="0"/>
          <w:numId w:val="135"/>
        </w:numPr>
        <w:rPr>
          <w:rFonts w:ascii="Arial" w:cs="Arial" w:eastAsia="Arial" w:hAnsi="Arial"/>
          <w:sz w:val="15"/>
          <w:szCs w:val="15"/>
          <w:color w:val="auto"/>
        </w:rPr>
      </w:pPr>
      <w:r>
        <w:rPr>
          <w:rFonts w:ascii="Arial" w:cs="Arial" w:eastAsia="Arial" w:hAnsi="Arial"/>
          <w:sz w:val="18"/>
          <w:szCs w:val="18"/>
          <w:color w:val="auto"/>
        </w:rPr>
        <w:t>For non-CEO executives.</w:t>
      </w:r>
    </w:p>
    <w:p>
      <w:pPr>
        <w:spacing w:after="0" w:line="10"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7"/>
          <w:szCs w:val="17"/>
          <w:color w:val="auto"/>
        </w:rPr>
        <w:t>For the CEO.</w:t>
      </w:r>
    </w:p>
    <w:p>
      <w:pPr>
        <w:spacing w:after="0" w:line="20"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5"/>
          <w:szCs w:val="15"/>
          <w:color w:val="auto"/>
        </w:rPr>
        <w:t xml:space="preserve">4  </w:t>
      </w:r>
      <w:r>
        <w:rPr>
          <w:rFonts w:ascii="Arial" w:cs="Arial" w:eastAsia="Arial" w:hAnsi="Arial"/>
          <w:sz w:val="17"/>
          <w:szCs w:val="17"/>
          <w:color w:val="auto"/>
        </w:rPr>
        <w:t>For non-CEOs.</w:t>
      </w:r>
    </w:p>
    <w:p>
      <w:pPr>
        <w:sectPr>
          <w:pgSz w:w="11900" w:h="16838" w:orient="portrait"/>
          <w:cols w:equalWidth="0" w:num="1">
            <w:col w:w="11024"/>
          </w:cols>
          <w:pgMar w:left="436" w:top="125" w:right="439" w:bottom="1440" w:gutter="0" w:footer="0" w:header="0"/>
        </w:sectPr>
      </w:pPr>
    </w:p>
    <w:bookmarkStart w:id="111" w:name="page112"/>
    <w:bookmarkEnd w:id="111"/>
    <w:p>
      <w:pPr>
        <w:ind w:right="380" w:firstLine="987"/>
        <w:spacing w:after="0" w:line="342" w:lineRule="auto"/>
        <w:tabs>
          <w:tab w:leader="none" w:pos="1236"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Location</w:t>
      </w:r>
      <w:r>
        <w:rPr>
          <w:rFonts w:ascii="Arial" w:cs="Arial" w:eastAsia="Arial" w:hAnsi="Arial"/>
          <w:sz w:val="16"/>
          <w:szCs w:val="16"/>
          <w:color w:val="auto"/>
        </w:rPr>
        <w:t xml:space="preserve">. The Executive’s primary work location will be in the Company’s office, currently located in Cambridge, Massachusetts;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Executive may be required to travel for business from time to time, consistent with the Company’s business needs.</w:t>
      </w:r>
    </w:p>
    <w:p>
      <w:pPr>
        <w:spacing w:after="0" w:line="123" w:lineRule="exact"/>
        <w:rPr>
          <w:rFonts w:ascii="Arial" w:cs="Arial" w:eastAsia="Arial" w:hAnsi="Arial"/>
          <w:sz w:val="16"/>
          <w:szCs w:val="16"/>
          <w:color w:val="auto"/>
        </w:rPr>
      </w:pPr>
    </w:p>
    <w:p>
      <w:pPr>
        <w:ind w:left="620" w:hanging="184"/>
        <w:spacing w:after="0"/>
        <w:tabs>
          <w:tab w:leader="none" w:pos="6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Executive’s initial base salary shall be paid at the rate of $[ ] per year. The Executive’s base salary shall be subject to periodic review by the Board or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The base salary in effect at any given time is referred to herein as “</w:t>
      </w:r>
      <w:r>
        <w:rPr>
          <w:rFonts w:ascii="Arial" w:cs="Arial" w:eastAsia="Arial" w:hAnsi="Arial"/>
          <w:sz w:val="18"/>
          <w:szCs w:val="18"/>
          <w:u w:val="single" w:color="auto"/>
          <w:color w:val="auto"/>
        </w:rPr>
        <w:t>Base Salary</w:t>
      </w:r>
      <w:r>
        <w:rPr>
          <w:rFonts w:ascii="Arial" w:cs="Arial" w:eastAsia="Arial" w:hAnsi="Arial"/>
          <w:sz w:val="18"/>
          <w:szCs w:val="18"/>
          <w:color w:val="auto"/>
        </w:rPr>
        <w:t>.” The Base Salary shall be payable in a manner that is consistent with the Company’s usual payroll practices for its executive officers.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The Executive shall be eligible to receive cash incentive compensation as determined by the Board or the</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Compensation Committee from time to time. The Executive’s initial target annual incentive compensation shall be [ ] percent of the Executive’s Base Salary. The target annual incentive compensation in effect at any given time is referred to herein as “</w:t>
      </w:r>
      <w:r>
        <w:rPr>
          <w:rFonts w:ascii="Arial" w:cs="Arial" w:eastAsia="Arial" w:hAnsi="Arial"/>
          <w:sz w:val="17"/>
          <w:szCs w:val="17"/>
          <w:u w:val="single" w:color="auto"/>
          <w:color w:val="auto"/>
        </w:rPr>
        <w:t>Target Bonus</w:t>
      </w:r>
      <w:r>
        <w:rPr>
          <w:rFonts w:ascii="Arial" w:cs="Arial" w:eastAsia="Arial" w:hAnsi="Arial"/>
          <w:sz w:val="17"/>
          <w:szCs w:val="17"/>
          <w:color w:val="auto"/>
        </w:rPr>
        <w:t>.” The actual amount of the Executive’s annual incentive compensation, if any, shall be determined in the sole discretion of the Board or the Compensation Committee, subject to the terms of any applicable incentive compensation plan that may be in effect from time to time. Any annual incentive compensation will be paid no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calendar year following the calendar year to which such bonus relates. Except as otherwise provided herein or as may be provided by the Board or the Compensation Committee, the Executive must be employed by the Company on the date such incentive compensation is paid in order to earn or receive any annual incentive compensation.</w:t>
      </w:r>
    </w:p>
    <w:p>
      <w:pPr>
        <w:spacing w:after="0" w:line="180" w:lineRule="exact"/>
        <w:rPr>
          <w:sz w:val="20"/>
          <w:szCs w:val="20"/>
          <w:color w:val="auto"/>
        </w:rPr>
      </w:pPr>
    </w:p>
    <w:p>
      <w:pPr>
        <w:ind w:right="100" w:firstLine="987"/>
        <w:spacing w:after="0" w:line="263" w:lineRule="auto"/>
        <w:tabs>
          <w:tab w:leader="none" w:pos="123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 officers.</w:t>
      </w:r>
    </w:p>
    <w:p>
      <w:pPr>
        <w:spacing w:after="0" w:line="183"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170" w:lineRule="exact"/>
        <w:rPr>
          <w:rFonts w:ascii="Arial" w:cs="Arial" w:eastAsia="Arial" w:hAnsi="Arial"/>
          <w:sz w:val="18"/>
          <w:szCs w:val="18"/>
          <w:color w:val="auto"/>
        </w:rPr>
      </w:pPr>
    </w:p>
    <w:p>
      <w:pPr>
        <w:jc w:val="both"/>
        <w:ind w:right="40" w:firstLine="987"/>
        <w:spacing w:after="0" w:line="257" w:lineRule="auto"/>
        <w:tabs>
          <w:tab w:leader="none" w:pos="121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The equity awards held by the Executive shall continue to be governed by the terms and conditions of the Company’s applicable equity incentive plan(s) and the applicable award agreement(s) governing the terms of such equity awards (collectively, the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and notwithstanding anything to the contrary in the Equity Documents, Section 6(a)(ii) of this Agreement shall apply in the event of a termination of the Executive’s employment by the Company without Cause or by the Executive for Good Reason in either event within the Change in Control Period (as such terms are defined below).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12" w:name="page113"/>
    <w:bookmarkEnd w:id="112"/>
    <w:p>
      <w:pPr>
        <w:ind w:left="4" w:right="860" w:firstLine="436"/>
        <w:spacing w:after="0" w:line="277" w:lineRule="auto"/>
        <w:tabs>
          <w:tab w:leader="none" w:pos="62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225" w:lineRule="exact"/>
        <w:rPr>
          <w:rFonts w:ascii="Arial" w:cs="Arial" w:eastAsia="Arial" w:hAnsi="Arial"/>
          <w:sz w:val="18"/>
          <w:szCs w:val="18"/>
          <w:color w:val="auto"/>
        </w:rPr>
      </w:pPr>
    </w:p>
    <w:p>
      <w:pPr>
        <w:ind w:left="4" w:firstLine="987"/>
        <w:spacing w:after="0" w:line="287" w:lineRule="auto"/>
        <w:tabs>
          <w:tab w:leader="none" w:pos="125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171" w:lineRule="exact"/>
        <w:rPr>
          <w:rFonts w:ascii="Arial" w:cs="Arial" w:eastAsia="Arial" w:hAnsi="Arial"/>
          <w:sz w:val="16"/>
          <w:szCs w:val="16"/>
          <w:color w:val="auto"/>
        </w:rPr>
      </w:pPr>
    </w:p>
    <w:p>
      <w:pPr>
        <w:ind w:left="4" w:right="40" w:firstLine="987"/>
        <w:spacing w:after="0" w:line="277" w:lineRule="auto"/>
        <w:tabs>
          <w:tab w:leader="none" w:pos="124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any of the following:</w:t>
      </w:r>
    </w:p>
    <w:p>
      <w:pPr>
        <w:spacing w:after="0" w:line="170" w:lineRule="exact"/>
        <w:rPr>
          <w:rFonts w:ascii="Arial" w:cs="Arial" w:eastAsia="Arial" w:hAnsi="Arial"/>
          <w:sz w:val="18"/>
          <w:szCs w:val="18"/>
          <w:color w:val="auto"/>
        </w:rPr>
      </w:pPr>
    </w:p>
    <w:p>
      <w:pPr>
        <w:ind w:left="4" w:right="100" w:firstLine="1428"/>
        <w:spacing w:after="0" w:line="263" w:lineRule="auto"/>
        <w:tabs>
          <w:tab w:leader="none" w:pos="1651"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79" w:lineRule="exact"/>
        <w:rPr>
          <w:rFonts w:ascii="Arial" w:cs="Arial" w:eastAsia="Arial" w:hAnsi="Arial"/>
          <w:sz w:val="18"/>
          <w:szCs w:val="18"/>
          <w:color w:val="auto"/>
        </w:rPr>
      </w:pPr>
    </w:p>
    <w:p>
      <w:pPr>
        <w:ind w:left="1704" w:hanging="272"/>
        <w:spacing w:after="0"/>
        <w:tabs>
          <w:tab w:leader="none" w:pos="1704" w:val="left"/>
        </w:tabs>
        <w:numPr>
          <w:ilvl w:val="2"/>
          <w:numId w:val="139"/>
        </w:numPr>
        <w:rPr>
          <w:rFonts w:ascii="Arial" w:cs="Arial" w:eastAsia="Arial" w:hAnsi="Arial"/>
          <w:sz w:val="17"/>
          <w:szCs w:val="17"/>
          <w:color w:val="auto"/>
        </w:rPr>
      </w:pPr>
      <w:r>
        <w:rPr>
          <w:rFonts w:ascii="Arial" w:cs="Arial" w:eastAsia="Arial" w:hAnsi="Arial"/>
          <w:sz w:val="17"/>
          <w:szCs w:val="17"/>
          <w:color w:val="auto"/>
        </w:rPr>
        <w:t>the Executive’s [</w:t>
      </w:r>
      <w:r>
        <w:rPr>
          <w:rFonts w:ascii="Arial" w:cs="Arial" w:eastAsia="Arial" w:hAnsi="Arial"/>
          <w:sz w:val="17"/>
          <w:szCs w:val="17"/>
          <w:b w:val="1"/>
          <w:bCs w:val="1"/>
          <w:color w:val="auto"/>
        </w:rPr>
        <w:t>conviction of</w:t>
      </w:r>
      <w:r>
        <w:rPr>
          <w:rFonts w:ascii="Arial" w:cs="Arial" w:eastAsia="Arial" w:hAnsi="Arial"/>
          <w:sz w:val="17"/>
          <w:szCs w:val="17"/>
          <w:color w:val="auto"/>
        </w:rPr>
        <w:t>]</w:t>
      </w:r>
      <w:r>
        <w:rPr>
          <w:rFonts w:ascii="Arial" w:cs="Arial" w:eastAsia="Arial" w:hAnsi="Arial"/>
          <w:sz w:val="14"/>
          <w:szCs w:val="14"/>
          <w:color w:val="auto"/>
        </w:rPr>
        <w:t>5</w:t>
      </w:r>
      <w:r>
        <w:rPr>
          <w:rFonts w:ascii="Arial" w:cs="Arial" w:eastAsia="Arial" w:hAnsi="Arial"/>
          <w:sz w:val="17"/>
          <w:szCs w:val="17"/>
          <w:color w:val="auto"/>
        </w:rPr>
        <w:t>[</w:t>
      </w:r>
      <w:r>
        <w:rPr>
          <w:rFonts w:ascii="Arial" w:cs="Arial" w:eastAsia="Arial" w:hAnsi="Arial"/>
          <w:sz w:val="17"/>
          <w:szCs w:val="17"/>
          <w:b w:val="1"/>
          <w:bCs w:val="1"/>
          <w:color w:val="auto"/>
        </w:rPr>
        <w:t>commission of</w:t>
      </w:r>
      <w:r>
        <w:rPr>
          <w:rFonts w:ascii="Arial" w:cs="Arial" w:eastAsia="Arial" w:hAnsi="Arial"/>
          <w:sz w:val="17"/>
          <w:szCs w:val="17"/>
          <w:color w:val="auto"/>
        </w:rPr>
        <w:t>]</w:t>
      </w:r>
      <w:r>
        <w:rPr>
          <w:rFonts w:ascii="Arial" w:cs="Arial" w:eastAsia="Arial" w:hAnsi="Arial"/>
          <w:sz w:val="14"/>
          <w:szCs w:val="14"/>
          <w:color w:val="auto"/>
        </w:rPr>
        <w:t>6</w:t>
      </w:r>
      <w:r>
        <w:rPr>
          <w:rFonts w:ascii="Arial" w:cs="Arial" w:eastAsia="Arial" w:hAnsi="Arial"/>
          <w:sz w:val="17"/>
          <w:szCs w:val="17"/>
          <w:color w:val="auto"/>
        </w:rPr>
        <w:t xml:space="preserve"> (A) a felony or (B) any misdemeanor involving moral turpitude, deceit,</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dishonesty or fraud;</w:t>
      </w:r>
    </w:p>
    <w:p>
      <w:pPr>
        <w:spacing w:after="0" w:line="210" w:lineRule="exact"/>
        <w:rPr>
          <w:rFonts w:ascii="Arial" w:cs="Arial" w:eastAsia="Arial" w:hAnsi="Arial"/>
          <w:sz w:val="17"/>
          <w:szCs w:val="17"/>
          <w:color w:val="auto"/>
        </w:rPr>
      </w:pPr>
    </w:p>
    <w:p>
      <w:pPr>
        <w:ind w:left="4" w:right="20" w:firstLine="1428"/>
        <w:spacing w:after="0" w:line="263" w:lineRule="auto"/>
        <w:tabs>
          <w:tab w:leader="none" w:pos="1751" w:val="left"/>
        </w:tabs>
        <w:numPr>
          <w:ilvl w:val="2"/>
          <w:numId w:val="139"/>
        </w:numPr>
        <w:rPr>
          <w:rFonts w:ascii="Arial" w:cs="Arial" w:eastAsia="Arial" w:hAnsi="Arial"/>
          <w:sz w:val="18"/>
          <w:szCs w:val="18"/>
          <w:color w:val="auto"/>
        </w:rPr>
      </w:pPr>
      <w:r>
        <w:rPr>
          <w:rFonts w:ascii="Arial" w:cs="Arial" w:eastAsia="Arial" w:hAnsi="Arial"/>
          <w:sz w:val="18"/>
          <w:szCs w:val="18"/>
          <w:color w:val="auto"/>
        </w:rPr>
        <w:t xml:space="preserve">the Executive’s substantial failure to perform the Executive’s assigned duties and responsibilities which failure continues for 30 days after written notice given to the Executive by the </w:t>
      </w:r>
      <w:r>
        <w:rPr>
          <w:rFonts w:ascii="Arial" w:cs="Arial" w:eastAsia="Arial" w:hAnsi="Arial"/>
          <w:sz w:val="18"/>
          <w:szCs w:val="18"/>
          <w:b w:val="1"/>
          <w:bCs w:val="1"/>
          <w:color w:val="auto"/>
        </w:rPr>
        <w:t>[Board]</w:t>
      </w:r>
      <w:r>
        <w:rPr>
          <w:rFonts w:ascii="Arial" w:cs="Arial" w:eastAsia="Arial" w:hAnsi="Arial"/>
          <w:sz w:val="15"/>
          <w:szCs w:val="15"/>
          <w:b w:val="1"/>
          <w:bCs w:val="1"/>
          <w:color w:val="auto"/>
        </w:rPr>
        <w:t>7</w:t>
      </w:r>
      <w:r>
        <w:rPr>
          <w:rFonts w:ascii="Arial" w:cs="Arial" w:eastAsia="Arial" w:hAnsi="Arial"/>
          <w:sz w:val="18"/>
          <w:szCs w:val="18"/>
          <w:b w:val="1"/>
          <w:bCs w:val="1"/>
          <w:color w:val="auto"/>
        </w:rPr>
        <w:t>/[CEO]</w:t>
      </w:r>
      <w:r>
        <w:rPr>
          <w:rFonts w:ascii="Arial" w:cs="Arial" w:eastAsia="Arial" w:hAnsi="Arial"/>
          <w:sz w:val="15"/>
          <w:szCs w:val="15"/>
          <w:b w:val="1"/>
          <w:bCs w:val="1"/>
          <w:color w:val="auto"/>
        </w:rPr>
        <w:t>8</w:t>
      </w:r>
      <w:r>
        <w:rPr>
          <w:rFonts w:ascii="Arial" w:cs="Arial" w:eastAsia="Arial" w:hAnsi="Arial"/>
          <w:sz w:val="18"/>
          <w:szCs w:val="18"/>
          <w:color w:val="auto"/>
        </w:rPr>
        <w:t xml:space="preserve"> describing such failure in reasonable detail in the reasonable good faith judgment of the </w:t>
      </w:r>
      <w:r>
        <w:rPr>
          <w:rFonts w:ascii="Arial" w:cs="Arial" w:eastAsia="Arial" w:hAnsi="Arial"/>
          <w:sz w:val="18"/>
          <w:szCs w:val="18"/>
          <w:b w:val="1"/>
          <w:bCs w:val="1"/>
          <w:color w:val="auto"/>
        </w:rPr>
        <w:t>[Board]</w:t>
      </w:r>
      <w:r>
        <w:rPr>
          <w:rFonts w:ascii="Arial" w:cs="Arial" w:eastAsia="Arial" w:hAnsi="Arial"/>
          <w:sz w:val="15"/>
          <w:szCs w:val="15"/>
          <w:b w:val="1"/>
          <w:bCs w:val="1"/>
          <w:color w:val="auto"/>
        </w:rPr>
        <w:t>9</w:t>
      </w:r>
      <w:r>
        <w:rPr>
          <w:rFonts w:ascii="Arial" w:cs="Arial" w:eastAsia="Arial" w:hAnsi="Arial"/>
          <w:sz w:val="18"/>
          <w:szCs w:val="18"/>
          <w:b w:val="1"/>
          <w:bCs w:val="1"/>
          <w:color w:val="auto"/>
        </w:rPr>
        <w:t>/[CEO]</w:t>
      </w:r>
      <w:r>
        <w:rPr>
          <w:rFonts w:ascii="Arial" w:cs="Arial" w:eastAsia="Arial" w:hAnsi="Arial"/>
          <w:sz w:val="15"/>
          <w:szCs w:val="15"/>
          <w:b w:val="1"/>
          <w:bCs w:val="1"/>
          <w:color w:val="auto"/>
        </w:rPr>
        <w:t>10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224" w:hanging="224"/>
        <w:spacing w:after="0"/>
        <w:tabs>
          <w:tab w:leader="none" w:pos="224" w:val="left"/>
        </w:tabs>
        <w:numPr>
          <w:ilvl w:val="0"/>
          <w:numId w:val="140"/>
        </w:numPr>
        <w:rPr>
          <w:rFonts w:ascii="Arial" w:cs="Arial" w:eastAsia="Arial" w:hAnsi="Arial"/>
          <w:sz w:val="15"/>
          <w:szCs w:val="15"/>
          <w:color w:val="auto"/>
        </w:rPr>
      </w:pPr>
      <w:r>
        <w:rPr>
          <w:rFonts w:ascii="Arial" w:cs="Arial" w:eastAsia="Arial" w:hAnsi="Arial"/>
          <w:sz w:val="18"/>
          <w:szCs w:val="18"/>
          <w:color w:val="auto"/>
        </w:rPr>
        <w:t>For CEO.</w:t>
      </w:r>
    </w:p>
    <w:p>
      <w:pPr>
        <w:spacing w:after="0" w:line="22" w:lineRule="exact"/>
        <w:rPr>
          <w:sz w:val="20"/>
          <w:szCs w:val="20"/>
          <w:color w:val="auto"/>
        </w:rPr>
      </w:pPr>
    </w:p>
    <w:p>
      <w:pPr>
        <w:ind w:left="224" w:hanging="224"/>
        <w:spacing w:after="0"/>
        <w:tabs>
          <w:tab w:leader="none" w:pos="224" w:val="left"/>
        </w:tabs>
        <w:numPr>
          <w:ilvl w:val="0"/>
          <w:numId w:val="141"/>
        </w:numPr>
        <w:rPr>
          <w:rFonts w:ascii="Arial" w:cs="Arial" w:eastAsia="Arial" w:hAnsi="Arial"/>
          <w:sz w:val="15"/>
          <w:szCs w:val="15"/>
          <w:color w:val="auto"/>
        </w:rPr>
      </w:pPr>
      <w:r>
        <w:rPr>
          <w:rFonts w:ascii="Arial" w:cs="Arial" w:eastAsia="Arial" w:hAnsi="Arial"/>
          <w:sz w:val="18"/>
          <w:szCs w:val="18"/>
          <w:color w:val="auto"/>
        </w:rPr>
        <w:t>For non-CEO executives.</w:t>
      </w:r>
    </w:p>
    <w:p>
      <w:pPr>
        <w:spacing w:after="0" w:line="10"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5"/>
          <w:szCs w:val="15"/>
          <w:color w:val="auto"/>
        </w:rPr>
        <w:t xml:space="preserve">7  </w:t>
      </w:r>
      <w:r>
        <w:rPr>
          <w:rFonts w:ascii="Arial" w:cs="Arial" w:eastAsia="Arial" w:hAnsi="Arial"/>
          <w:sz w:val="17"/>
          <w:szCs w:val="17"/>
          <w:color w:val="auto"/>
        </w:rPr>
        <w:t>For the CEO.</w:t>
      </w:r>
    </w:p>
    <w:p>
      <w:pPr>
        <w:spacing w:after="0" w:line="20"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5"/>
          <w:szCs w:val="15"/>
          <w:color w:val="auto"/>
        </w:rPr>
        <w:t xml:space="preserve">8  </w:t>
      </w:r>
      <w:r>
        <w:rPr>
          <w:rFonts w:ascii="Arial" w:cs="Arial" w:eastAsia="Arial" w:hAnsi="Arial"/>
          <w:sz w:val="17"/>
          <w:szCs w:val="17"/>
          <w:color w:val="auto"/>
        </w:rPr>
        <w:t>For non-CEO executives.</w:t>
      </w:r>
    </w:p>
    <w:p>
      <w:pPr>
        <w:spacing w:after="0" w:line="20"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5"/>
          <w:szCs w:val="15"/>
          <w:color w:val="auto"/>
        </w:rPr>
        <w:t xml:space="preserve">9  </w:t>
      </w:r>
      <w:r>
        <w:rPr>
          <w:rFonts w:ascii="Arial" w:cs="Arial" w:eastAsia="Arial" w:hAnsi="Arial"/>
          <w:sz w:val="17"/>
          <w:szCs w:val="17"/>
          <w:color w:val="auto"/>
        </w:rPr>
        <w:t>For the CEO.</w:t>
      </w:r>
    </w:p>
    <w:p>
      <w:pPr>
        <w:spacing w:after="0" w:line="20"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5"/>
          <w:szCs w:val="15"/>
          <w:color w:val="auto"/>
        </w:rPr>
        <w:t xml:space="preserve">10 </w:t>
      </w:r>
      <w:r>
        <w:rPr>
          <w:rFonts w:ascii="Arial" w:cs="Arial" w:eastAsia="Arial" w:hAnsi="Arial"/>
          <w:sz w:val="17"/>
          <w:szCs w:val="17"/>
          <w:color w:val="auto"/>
        </w:rPr>
        <w:t>For non-CEO executives.</w:t>
      </w:r>
    </w:p>
    <w:p>
      <w:pPr>
        <w:spacing w:after="0" w:line="15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113" w:name="page114"/>
    <w:bookmarkEnd w:id="113"/>
    <w:p>
      <w:pPr>
        <w:ind w:left="4" w:right="600" w:firstLine="1428"/>
        <w:spacing w:after="0" w:line="277" w:lineRule="auto"/>
        <w:tabs>
          <w:tab w:leader="none" w:pos="1741" w:val="left"/>
        </w:tabs>
        <w:numPr>
          <w:ilvl w:val="2"/>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Executive’s gross negligence, willful misconduct or insubordination with respect to the Company that results in or is reasonably anticipated to result in material harm to the Company;</w:t>
      </w:r>
    </w:p>
    <w:p>
      <w:pPr>
        <w:spacing w:after="0" w:line="170" w:lineRule="exact"/>
        <w:rPr>
          <w:rFonts w:ascii="Arial" w:cs="Arial" w:eastAsia="Arial" w:hAnsi="Arial"/>
          <w:sz w:val="18"/>
          <w:szCs w:val="18"/>
          <w:color w:val="auto"/>
        </w:rPr>
      </w:pPr>
    </w:p>
    <w:p>
      <w:pPr>
        <w:ind w:left="4" w:firstLine="1428"/>
        <w:spacing w:after="0" w:line="342" w:lineRule="auto"/>
        <w:tabs>
          <w:tab w:leader="none" w:pos="1691"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Executive’s material violation of this Agreement, the Restrictive Covenants Agreement, or any provision of any agreement(s) between the Executive and the Company relating to noncompetition, nonsolicitation, nondisclosure and/or assignment of inventions; or</w:t>
      </w:r>
    </w:p>
    <w:p>
      <w:pPr>
        <w:spacing w:after="0" w:line="123" w:lineRule="exact"/>
        <w:rPr>
          <w:rFonts w:ascii="Arial" w:cs="Arial" w:eastAsia="Arial" w:hAnsi="Arial"/>
          <w:sz w:val="16"/>
          <w:szCs w:val="16"/>
          <w:color w:val="auto"/>
        </w:rPr>
      </w:pPr>
    </w:p>
    <w:p>
      <w:pPr>
        <w:ind w:left="4" w:right="80" w:firstLine="1428"/>
        <w:spacing w:after="0" w:line="259" w:lineRule="auto"/>
        <w:tabs>
          <w:tab w:leader="none" w:pos="1741"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6" w:lineRule="exact"/>
        <w:rPr>
          <w:rFonts w:ascii="Arial" w:cs="Arial" w:eastAsia="Arial" w:hAnsi="Arial"/>
          <w:sz w:val="18"/>
          <w:szCs w:val="18"/>
          <w:color w:val="auto"/>
        </w:rPr>
      </w:pPr>
    </w:p>
    <w:p>
      <w:pPr>
        <w:jc w:val="both"/>
        <w:ind w:left="4" w:right="60" w:firstLine="987"/>
        <w:spacing w:after="0" w:line="311" w:lineRule="auto"/>
        <w:tabs>
          <w:tab w:leader="none" w:pos="125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48" w:lineRule="exact"/>
        <w:rPr>
          <w:rFonts w:ascii="Arial" w:cs="Arial" w:eastAsia="Arial" w:hAnsi="Arial"/>
          <w:sz w:val="16"/>
          <w:szCs w:val="16"/>
          <w:color w:val="auto"/>
        </w:rPr>
      </w:pPr>
    </w:p>
    <w:p>
      <w:pPr>
        <w:ind w:left="4" w:right="280" w:firstLine="987"/>
        <w:spacing w:after="0" w:line="259"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4" w:right="780" w:firstLine="408"/>
        <w:spacing w:after="0" w:line="277" w:lineRule="auto"/>
        <w:tabs>
          <w:tab w:leader="none" w:pos="16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material diminution in the Executive’s title, powers, authority or duties;]</w:t>
      </w:r>
      <w:r>
        <w:rPr>
          <w:rFonts w:ascii="Arial" w:cs="Arial" w:eastAsia="Arial" w:hAnsi="Arial"/>
          <w:sz w:val="15"/>
          <w:szCs w:val="15"/>
          <w:color w:val="auto"/>
        </w:rPr>
        <w:t>11</w:t>
      </w:r>
      <w:r>
        <w:rPr>
          <w:rFonts w:ascii="Arial" w:cs="Arial" w:eastAsia="Arial" w:hAnsi="Arial"/>
          <w:sz w:val="18"/>
          <w:szCs w:val="18"/>
          <w:color w:val="auto"/>
        </w:rPr>
        <w:t>[following a Change in Control, a material diminution in the Executive’s authority, duties or responsibilities]</w:t>
      </w:r>
      <w:r>
        <w:rPr>
          <w:rFonts w:ascii="Arial" w:cs="Arial" w:eastAsia="Arial" w:hAnsi="Arial"/>
          <w:sz w:val="15"/>
          <w:szCs w:val="15"/>
          <w:color w:val="auto"/>
        </w:rPr>
        <w:t>12</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1664" w:hanging="272"/>
        <w:spacing w:after="0"/>
        <w:tabs>
          <w:tab w:leader="none" w:pos="166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 material diminution in the Executive’s Base Salary [</w:t>
      </w:r>
      <w:r>
        <w:rPr>
          <w:rFonts w:ascii="Arial" w:cs="Arial" w:eastAsia="Arial" w:hAnsi="Arial"/>
          <w:sz w:val="17"/>
          <w:szCs w:val="17"/>
          <w:b w:val="1"/>
          <w:bCs w:val="1"/>
          <w:color w:val="auto"/>
        </w:rPr>
        <w:t>or a material reduction in the Executive’s benefits,]</w:t>
      </w:r>
      <w:r>
        <w:rPr>
          <w:rFonts w:ascii="Arial" w:cs="Arial" w:eastAsia="Arial" w:hAnsi="Arial"/>
          <w:sz w:val="14"/>
          <w:szCs w:val="14"/>
          <w:b w:val="1"/>
          <w:bCs w:val="1"/>
          <w:color w:val="auto"/>
        </w:rPr>
        <w:t>13)</w:t>
      </w:r>
      <w:r>
        <w:rPr>
          <w:rFonts w:ascii="Arial" w:cs="Arial" w:eastAsia="Arial" w:hAnsi="Arial"/>
          <w:sz w:val="17"/>
          <w:szCs w:val="17"/>
          <w:color w:val="auto"/>
        </w:rPr>
        <w:t xml:space="preserve"> except for</w:t>
      </w:r>
    </w:p>
    <w:p>
      <w:pPr>
        <w:spacing w:after="0" w:line="39" w:lineRule="exact"/>
        <w:rPr>
          <w:sz w:val="20"/>
          <w:szCs w:val="20"/>
          <w:color w:val="auto"/>
        </w:rPr>
      </w:pPr>
    </w:p>
    <w:p>
      <w:pPr>
        <w:ind w:left="984" w:right="520"/>
        <w:spacing w:after="0" w:line="260" w:lineRule="auto"/>
        <w:rPr>
          <w:sz w:val="20"/>
          <w:szCs w:val="20"/>
          <w:color w:val="auto"/>
        </w:rPr>
      </w:pPr>
      <w:r>
        <w:rPr>
          <w:rFonts w:ascii="Arial" w:cs="Arial" w:eastAsia="Arial" w:hAnsi="Arial"/>
          <w:sz w:val="18"/>
          <w:szCs w:val="18"/>
          <w:color w:val="auto"/>
        </w:rPr>
        <w:t>across-the-board salary reductions based on the Company’s financial performance [</w:t>
      </w:r>
      <w:r>
        <w:rPr>
          <w:rFonts w:ascii="Arial" w:cs="Arial" w:eastAsia="Arial" w:hAnsi="Arial"/>
          <w:sz w:val="18"/>
          <w:szCs w:val="18"/>
          <w:b w:val="1"/>
          <w:bCs w:val="1"/>
          <w:color w:val="auto"/>
        </w:rPr>
        <w:t>or a general reduction in the benefits, in each</w:t>
      </w:r>
      <w:r>
        <w:rPr>
          <w:rFonts w:ascii="Arial" w:cs="Arial" w:eastAsia="Arial" w:hAnsi="Arial"/>
          <w:sz w:val="18"/>
          <w:szCs w:val="18"/>
          <w:color w:val="auto"/>
        </w:rPr>
        <w:t xml:space="preserve"> </w:t>
      </w:r>
      <w:r>
        <w:rPr>
          <w:rFonts w:ascii="Arial" w:cs="Arial" w:eastAsia="Arial" w:hAnsi="Arial"/>
          <w:sz w:val="18"/>
          <w:szCs w:val="18"/>
          <w:b w:val="1"/>
          <w:bCs w:val="1"/>
          <w:color w:val="auto"/>
        </w:rPr>
        <w:t>case]</w:t>
      </w:r>
      <w:r>
        <w:rPr>
          <w:rFonts w:ascii="Arial" w:cs="Arial" w:eastAsia="Arial" w:hAnsi="Arial"/>
          <w:sz w:val="15"/>
          <w:szCs w:val="15"/>
          <w:b w:val="1"/>
          <w:bCs w:val="1"/>
          <w:color w:val="auto"/>
        </w:rPr>
        <w:t>14</w:t>
      </w:r>
      <w:r>
        <w:rPr>
          <w:rFonts w:ascii="Arial" w:cs="Arial" w:eastAsia="Arial" w:hAnsi="Arial"/>
          <w:sz w:val="18"/>
          <w:szCs w:val="18"/>
          <w:b w:val="1"/>
          <w:bCs w:val="1"/>
          <w:color w:val="auto"/>
        </w:rPr>
        <w:t xml:space="preserve"> </w:t>
      </w:r>
      <w:r>
        <w:rPr>
          <w:rFonts w:ascii="Arial" w:cs="Arial" w:eastAsia="Arial" w:hAnsi="Arial"/>
          <w:sz w:val="18"/>
          <w:szCs w:val="18"/>
          <w:color w:val="auto"/>
        </w:rPr>
        <w:t>similarly affecting all or substantially all senior management employees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715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8" w:lineRule="exact"/>
        <w:rPr>
          <w:sz w:val="20"/>
          <w:szCs w:val="20"/>
          <w:color w:val="auto"/>
        </w:rPr>
      </w:pPr>
    </w:p>
    <w:p>
      <w:pPr>
        <w:ind w:left="224" w:hanging="224"/>
        <w:spacing w:after="0"/>
        <w:tabs>
          <w:tab w:leader="none" w:pos="224" w:val="left"/>
        </w:tabs>
        <w:numPr>
          <w:ilvl w:val="0"/>
          <w:numId w:val="144"/>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144"/>
        </w:numPr>
        <w:rPr>
          <w:rFonts w:ascii="Arial" w:cs="Arial" w:eastAsia="Arial" w:hAnsi="Arial"/>
          <w:sz w:val="15"/>
          <w:szCs w:val="15"/>
          <w:color w:val="auto"/>
        </w:rPr>
      </w:pPr>
      <w:r>
        <w:rPr>
          <w:rFonts w:ascii="Arial" w:cs="Arial" w:eastAsia="Arial" w:hAnsi="Arial"/>
          <w:sz w:val="18"/>
          <w:szCs w:val="18"/>
          <w:color w:val="auto"/>
        </w:rPr>
        <w:t>For non-CEO executives.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44"/>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44"/>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114" w:name="page115"/>
    <w:bookmarkEnd w:id="114"/>
    <w:p>
      <w:pPr>
        <w:jc w:val="both"/>
        <w:ind w:left="984" w:firstLine="408"/>
        <w:spacing w:after="0" w:line="263" w:lineRule="auto"/>
        <w:tabs>
          <w:tab w:leader="none" w:pos="1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change in the geographic location of the principal office of the Company to which the Executive is assigned, such that there is an increase of at least 50 miles of driving distance to such location from the Executive’s principal residence as of such change, not including business travel and short-term assignments;</w:t>
      </w:r>
    </w:p>
    <w:p>
      <w:pPr>
        <w:spacing w:after="0" w:line="75" w:lineRule="exact"/>
        <w:rPr>
          <w:rFonts w:ascii="Arial" w:cs="Arial" w:eastAsia="Arial" w:hAnsi="Arial"/>
          <w:sz w:val="18"/>
          <w:szCs w:val="18"/>
          <w:color w:val="auto"/>
        </w:rPr>
      </w:pPr>
    </w:p>
    <w:p>
      <w:pPr>
        <w:ind w:left="1704" w:hanging="312"/>
        <w:spacing w:after="0"/>
        <w:tabs>
          <w:tab w:leader="none" w:pos="170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or</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failure by the Company to obtain the assumption of this Agreement by any successor to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sz w:val="20"/>
          <w:szCs w:val="20"/>
          <w:color w:val="auto"/>
        </w:rPr>
      </w:pPr>
    </w:p>
    <w:p>
      <w:pPr>
        <w:ind w:left="1604" w:hanging="212"/>
        <w:spacing w:after="0"/>
        <w:tabs>
          <w:tab w:leader="none" w:pos="160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rFonts w:ascii="Arial" w:cs="Arial" w:eastAsia="Arial" w:hAnsi="Arial"/>
          <w:sz w:val="18"/>
          <w:szCs w:val="18"/>
          <w:color w:val="auto"/>
        </w:rPr>
      </w:pPr>
    </w:p>
    <w:p>
      <w:pPr>
        <w:ind w:left="984" w:right="200" w:firstLine="408"/>
        <w:spacing w:after="0" w:line="277" w:lineRule="auto"/>
        <w:tabs>
          <w:tab w:leader="none" w:pos="16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60 days of the first occurrence of such condition;</w:t>
      </w:r>
    </w:p>
    <w:p>
      <w:pPr>
        <w:spacing w:after="0" w:line="62" w:lineRule="exact"/>
        <w:rPr>
          <w:rFonts w:ascii="Arial" w:cs="Arial" w:eastAsia="Arial" w:hAnsi="Arial"/>
          <w:sz w:val="18"/>
          <w:szCs w:val="18"/>
          <w:color w:val="auto"/>
        </w:rPr>
      </w:pPr>
    </w:p>
    <w:p>
      <w:pPr>
        <w:ind w:left="984" w:right="220" w:firstLine="408"/>
        <w:spacing w:after="0" w:line="277" w:lineRule="auto"/>
        <w:tabs>
          <w:tab w:leader="none" w:pos="1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30 days following such notice (the “</w:t>
      </w:r>
      <w:r>
        <w:rPr>
          <w:rFonts w:ascii="Arial" w:cs="Arial" w:eastAsia="Arial" w:hAnsi="Arial"/>
          <w:sz w:val="18"/>
          <w:szCs w:val="18"/>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Executive terminates employment within 60 days after the end of the Cure Period.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4" w:hanging="184"/>
        <w:spacing w:after="0"/>
        <w:tabs>
          <w:tab w:leader="none" w:pos="624"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40" w:firstLine="987"/>
        <w:spacing w:after="0" w:line="311" w:lineRule="auto"/>
        <w:tabs>
          <w:tab w:leader="none" w:pos="1240" w:val="left"/>
        </w:tabs>
        <w:numPr>
          <w:ilvl w:val="2"/>
          <w:numId w:val="147"/>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1244" w:hanging="253"/>
        <w:spacing w:after="0"/>
        <w:tabs>
          <w:tab w:leader="none" w:pos="1244" w:val="left"/>
        </w:tabs>
        <w:numPr>
          <w:ilvl w:val="2"/>
          <w:numId w:val="147"/>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Executive’s</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115" w:name="page116"/>
    <w:bookmarkEnd w:id="115"/>
    <w:p>
      <w:pPr>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92" w:lineRule="exact"/>
        <w:rPr>
          <w:sz w:val="20"/>
          <w:szCs w:val="20"/>
          <w:color w:val="auto"/>
        </w:rPr>
      </w:pPr>
    </w:p>
    <w:p>
      <w:pPr>
        <w:ind w:left="4" w:firstLine="987"/>
        <w:spacing w:after="0" w:line="296" w:lineRule="auto"/>
        <w:tabs>
          <w:tab w:leader="none" w:pos="1240"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and, if applicable, accrued but unused vacation earned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4" w:right="60" w:firstLine="987"/>
        <w:spacing w:after="0" w:line="259" w:lineRule="auto"/>
        <w:tabs>
          <w:tab w:leader="none" w:pos="125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86" w:lineRule="exact"/>
        <w:rPr>
          <w:rFonts w:ascii="Arial" w:cs="Arial" w:eastAsia="Arial" w:hAnsi="Arial"/>
          <w:sz w:val="18"/>
          <w:szCs w:val="18"/>
          <w:color w:val="auto"/>
        </w:rPr>
      </w:pPr>
    </w:p>
    <w:p>
      <w:pPr>
        <w:ind w:left="4" w:right="20" w:firstLine="436"/>
        <w:spacing w:after="0" w:line="288" w:lineRule="auto"/>
        <w:tabs>
          <w:tab w:leader="none" w:pos="62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Outside the Change in Control Period</w:t>
      </w:r>
      <w:r>
        <w:rPr>
          <w:rFonts w:ascii="Arial" w:cs="Arial" w:eastAsia="Arial" w:hAnsi="Arial"/>
          <w:sz w:val="16"/>
          <w:szCs w:val="16"/>
          <w:color w:val="auto"/>
        </w:rPr>
        <w:t>. If the Executive’s employment is terminated by the Company without Cause as provided in Section 3(d), or the Executive terminates employment for Good Reason as provided in Section 3(e), in each case outside of the Change in Control Period (as defined below),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that shall not release the Executive’s rights under this Agreement, a reaffirmation of all of the Executive’s Continuing Obligations (as defined below), and, in the Company’s sole discretion, a one-year post-employment noncompetition agreement (which shall not expand the scope of proscribed activities under any then-existing noncompetition obligations), and shall provide that if the Executive breaches any of the Continuing Obligations, all payments of the Severance Amount shall immediately cease (the “</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and (ii) the Separation Agreement becoming irrevocable, all within 60 days after the Date of Termination (or such shorter period as set forth in the Separation Agreement), which shall include a seven business day revocation period:</w:t>
      </w:r>
    </w:p>
    <w:p>
      <w:pPr>
        <w:spacing w:after="0" w:line="164" w:lineRule="exact"/>
        <w:rPr>
          <w:rFonts w:ascii="Arial" w:cs="Arial" w:eastAsia="Arial" w:hAnsi="Arial"/>
          <w:sz w:val="16"/>
          <w:szCs w:val="16"/>
          <w:color w:val="auto"/>
        </w:rPr>
      </w:pPr>
    </w:p>
    <w:p>
      <w:pPr>
        <w:ind w:left="4" w:right="40" w:firstLine="987"/>
        <w:spacing w:after="0" w:line="266" w:lineRule="auto"/>
        <w:tabs>
          <w:tab w:leader="none" w:pos="12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the Company shall pay the Executive an amount equal to </w:t>
      </w:r>
      <w:r>
        <w:rPr>
          <w:rFonts w:ascii="Arial" w:cs="Arial" w:eastAsia="Arial" w:hAnsi="Arial"/>
          <w:sz w:val="18"/>
          <w:szCs w:val="18"/>
          <w:b w:val="1"/>
          <w:bCs w:val="1"/>
          <w:color w:val="auto"/>
        </w:rPr>
        <w:t>[the sum of (i) 12 months of the Executive’s Base Salary plus (ii) a</w:t>
      </w:r>
      <w:r>
        <w:rPr>
          <w:rFonts w:ascii="Arial" w:cs="Arial" w:eastAsia="Arial" w:hAnsi="Arial"/>
          <w:sz w:val="18"/>
          <w:szCs w:val="18"/>
          <w:color w:val="auto"/>
        </w:rPr>
        <w:t xml:space="preserve"> </w:t>
      </w:r>
      <w:r>
        <w:rPr>
          <w:rFonts w:ascii="Arial" w:cs="Arial" w:eastAsia="Arial" w:hAnsi="Arial"/>
          <w:sz w:val="18"/>
          <w:szCs w:val="18"/>
          <w:b w:val="1"/>
          <w:bCs w:val="1"/>
          <w:color w:val="auto"/>
        </w:rPr>
        <w:t>prorated portion of the Target Bonus for the year of termination based on the Date of Termination (the “Prorated Bonus”)</w:t>
      </w:r>
      <w:r>
        <w:rPr>
          <w:rFonts w:ascii="Arial" w:cs="Arial" w:eastAsia="Arial" w:hAnsi="Arial"/>
          <w:sz w:val="18"/>
          <w:szCs w:val="18"/>
          <w:color w:val="auto"/>
        </w:rPr>
        <w:t>]</w:t>
      </w:r>
      <w:r>
        <w:rPr>
          <w:rFonts w:ascii="Arial" w:cs="Arial" w:eastAsia="Arial" w:hAnsi="Arial"/>
          <w:sz w:val="15"/>
          <w:szCs w:val="15"/>
          <w:color w:val="auto"/>
        </w:rPr>
        <w:t>15</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12 months of the Executive’s Base Salary</w:t>
      </w:r>
      <w:r>
        <w:rPr>
          <w:rFonts w:ascii="Arial" w:cs="Arial" w:eastAsia="Arial" w:hAnsi="Arial"/>
          <w:sz w:val="18"/>
          <w:szCs w:val="18"/>
          <w:color w:val="auto"/>
        </w:rPr>
        <w:t>]</w:t>
      </w:r>
      <w:r>
        <w:rPr>
          <w:rFonts w:ascii="Arial" w:cs="Arial" w:eastAsia="Arial" w:hAnsi="Arial"/>
          <w:sz w:val="15"/>
          <w:szCs w:val="15"/>
          <w:color w:val="auto"/>
        </w:rPr>
        <w:t>16</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Severance Amount</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224" w:hanging="224"/>
        <w:spacing w:after="0"/>
        <w:tabs>
          <w:tab w:leader="none" w:pos="224" w:val="left"/>
        </w:tabs>
        <w:numPr>
          <w:ilvl w:val="0"/>
          <w:numId w:val="151"/>
        </w:numPr>
        <w:rPr>
          <w:rFonts w:ascii="Arial" w:cs="Arial" w:eastAsia="Arial" w:hAnsi="Arial"/>
          <w:sz w:val="15"/>
          <w:szCs w:val="15"/>
          <w:color w:val="auto"/>
        </w:rPr>
      </w:pPr>
      <w:r>
        <w:rPr>
          <w:rFonts w:ascii="Arial" w:cs="Arial" w:eastAsia="Arial" w:hAnsi="Arial"/>
          <w:sz w:val="18"/>
          <w:szCs w:val="18"/>
          <w:color w:val="auto"/>
        </w:rPr>
        <w:t>For CEO.</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151"/>
        </w:numPr>
        <w:rPr>
          <w:rFonts w:ascii="Arial" w:cs="Arial" w:eastAsia="Arial" w:hAnsi="Arial"/>
          <w:sz w:val="15"/>
          <w:szCs w:val="15"/>
          <w:color w:val="auto"/>
        </w:rPr>
      </w:pPr>
      <w:r>
        <w:rPr>
          <w:rFonts w:ascii="Arial" w:cs="Arial" w:eastAsia="Arial" w:hAnsi="Arial"/>
          <w:sz w:val="18"/>
          <w:szCs w:val="18"/>
          <w:color w:val="auto"/>
        </w:rPr>
        <w:t>For non-CEO executives.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16" w:name="page117"/>
    <w:bookmarkEnd w:id="116"/>
    <w:p>
      <w:pPr>
        <w:ind w:left="4" w:right="100" w:firstLine="987"/>
        <w:spacing w:after="0" w:line="261" w:lineRule="auto"/>
        <w:tabs>
          <w:tab w:leader="none" w:pos="1250"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if the Date of Termination occurs after the end of a calendar year and the Board or the Compensation Committee, as</w:t>
      </w:r>
      <w:r>
        <w:rPr>
          <w:rFonts w:ascii="Arial" w:cs="Arial" w:eastAsia="Arial" w:hAnsi="Arial"/>
          <w:sz w:val="18"/>
          <w:szCs w:val="18"/>
          <w:color w:val="auto"/>
        </w:rPr>
        <w:t xml:space="preserve"> </w:t>
      </w:r>
      <w:r>
        <w:rPr>
          <w:rFonts w:ascii="Arial" w:cs="Arial" w:eastAsia="Arial" w:hAnsi="Arial"/>
          <w:sz w:val="18"/>
          <w:szCs w:val="18"/>
          <w:b w:val="1"/>
          <w:bCs w:val="1"/>
          <w:color w:val="auto"/>
        </w:rPr>
        <w:t>applicable, has determined and approved annual incentive compensation pursuant to Section 3(b) but has not yet paid such annual incentive compensation, then the Company shall pay the Executive the annual incentive compensation that she otherwise would have received if she had remained employed on the date of payment (the “</w:t>
      </w:r>
      <w:r>
        <w:rPr>
          <w:rFonts w:ascii="Arial" w:cs="Arial" w:eastAsia="Arial" w:hAnsi="Arial"/>
          <w:sz w:val="18"/>
          <w:szCs w:val="18"/>
          <w:b w:val="1"/>
          <w:bCs w:val="1"/>
          <w:u w:val="single" w:color="auto"/>
          <w:color w:val="auto"/>
        </w:rPr>
        <w:t>Prior Year Bonus</w:t>
      </w:r>
      <w:r>
        <w:rPr>
          <w:rFonts w:ascii="Arial" w:cs="Arial" w:eastAsia="Arial" w:hAnsi="Arial"/>
          <w:sz w:val="18"/>
          <w:szCs w:val="18"/>
          <w:b w:val="1"/>
          <w:bCs w:val="1"/>
          <w:color w:val="auto"/>
        </w:rPr>
        <w:t>”); and</w:t>
      </w:r>
      <w:r>
        <w:rPr>
          <w:rFonts w:ascii="Arial" w:cs="Arial" w:eastAsia="Arial" w:hAnsi="Arial"/>
          <w:sz w:val="18"/>
          <w:szCs w:val="18"/>
          <w:color w:val="auto"/>
        </w:rPr>
        <w:t>]</w:t>
      </w:r>
      <w:r>
        <w:rPr>
          <w:rFonts w:ascii="Arial" w:cs="Arial" w:eastAsia="Arial" w:hAnsi="Arial"/>
          <w:sz w:val="15"/>
          <w:szCs w:val="15"/>
          <w:color w:val="auto"/>
        </w:rPr>
        <w:t>17</w:t>
      </w:r>
    </w:p>
    <w:p>
      <w:pPr>
        <w:spacing w:after="0" w:line="183" w:lineRule="exact"/>
        <w:rPr>
          <w:rFonts w:ascii="Arial" w:cs="Arial" w:eastAsia="Arial" w:hAnsi="Arial"/>
          <w:sz w:val="18"/>
          <w:szCs w:val="18"/>
          <w:color w:val="auto"/>
        </w:rPr>
      </w:pPr>
    </w:p>
    <w:p>
      <w:pPr>
        <w:ind w:left="4" w:right="60" w:firstLine="987"/>
        <w:spacing w:after="0" w:line="269" w:lineRule="auto"/>
        <w:tabs>
          <w:tab w:leader="none" w:pos="12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xml:space="preserve">”),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12 month anniversary of the Date of Termination; (B) the date that the Executive becomes eligible for group medical plan benefits under any other employer’s group medical plan; or (C) the cessation of the Executive’s health continuation rights under COBRA;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 and</w:t>
      </w:r>
    </w:p>
    <w:p>
      <w:pPr>
        <w:spacing w:after="0" w:line="181" w:lineRule="exact"/>
        <w:rPr>
          <w:rFonts w:ascii="Arial" w:cs="Arial" w:eastAsia="Arial" w:hAnsi="Arial"/>
          <w:sz w:val="17"/>
          <w:szCs w:val="17"/>
          <w:color w:val="auto"/>
        </w:rPr>
      </w:pPr>
    </w:p>
    <w:p>
      <w:pPr>
        <w:ind w:left="4" w:firstLine="987"/>
        <w:spacing w:after="0" w:line="289" w:lineRule="auto"/>
        <w:tabs>
          <w:tab w:leader="none" w:pos="125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notwithstanding anything to the contrary in any applicable option agreement or other stock-based award agreement, the</w:t>
      </w:r>
      <w:r>
        <w:rPr>
          <w:rFonts w:ascii="Arial" w:cs="Arial" w:eastAsia="Arial" w:hAnsi="Arial"/>
          <w:sz w:val="16"/>
          <w:szCs w:val="16"/>
          <w:color w:val="auto"/>
        </w:rPr>
        <w:t xml:space="preserve"> </w:t>
      </w:r>
      <w:r>
        <w:rPr>
          <w:rFonts w:ascii="Arial" w:cs="Arial" w:eastAsia="Arial" w:hAnsi="Arial"/>
          <w:sz w:val="16"/>
          <w:szCs w:val="16"/>
          <w:b w:val="1"/>
          <w:bCs w:val="1"/>
          <w:color w:val="auto"/>
        </w:rPr>
        <w:t>portion of all time-based stock options and other stock-based awards subject solely to time-based vesting held by the Executive (the “</w:t>
      </w:r>
      <w:r>
        <w:rPr>
          <w:rFonts w:ascii="Arial" w:cs="Arial" w:eastAsia="Arial" w:hAnsi="Arial"/>
          <w:sz w:val="16"/>
          <w:szCs w:val="16"/>
          <w:b w:val="1"/>
          <w:bCs w:val="1"/>
          <w:u w:val="single" w:color="auto"/>
          <w:color w:val="auto"/>
        </w:rPr>
        <w:t>Time-Based Equity Awards</w:t>
      </w:r>
      <w:r>
        <w:rPr>
          <w:rFonts w:ascii="Arial" w:cs="Arial" w:eastAsia="Arial" w:hAnsi="Arial"/>
          <w:sz w:val="16"/>
          <w:szCs w:val="16"/>
          <w:b w:val="1"/>
          <w:bCs w:val="1"/>
          <w:color w:val="auto"/>
        </w:rPr>
        <w:t>”) scheduled to vest in the 12 month period following the Date of Termination shall immediately accelerate and become fully vested and exercisable or nonforfeitable as of the later of (A) the Date of Termination or (B) the effective date of the Separation Agreement (the “</w:t>
      </w:r>
      <w:r>
        <w:rPr>
          <w:rFonts w:ascii="Arial" w:cs="Arial" w:eastAsia="Arial" w:hAnsi="Arial"/>
          <w:sz w:val="16"/>
          <w:szCs w:val="16"/>
          <w:b w:val="1"/>
          <w:bCs w:val="1"/>
          <w:u w:val="single" w:color="auto"/>
          <w:color w:val="auto"/>
        </w:rPr>
        <w:t>Accelerated Vesting Date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provided</w:t>
      </w:r>
      <w:r>
        <w:rPr>
          <w:rFonts w:ascii="Arial" w:cs="Arial" w:eastAsia="Arial" w:hAnsi="Arial"/>
          <w:sz w:val="16"/>
          <w:szCs w:val="16"/>
          <w:b w:val="1"/>
          <w:bCs w:val="1"/>
          <w:color w:val="auto"/>
        </w:rPr>
        <w:t xml:space="preserve"> that in order to effectuate the accelerated vesting contemplated by this subsection, the unvested portion of the Executive’s Time-Based Equity Awards that are subject to acceleration pursuant to this subsection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subject to acceleration pursuant to this subsection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224" w:hanging="224"/>
        <w:spacing w:after="0"/>
        <w:tabs>
          <w:tab w:leader="none" w:pos="224" w:val="left"/>
        </w:tabs>
        <w:numPr>
          <w:ilvl w:val="0"/>
          <w:numId w:val="153"/>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117" w:name="page118"/>
    <w:bookmarkEnd w:id="117"/>
    <w:p>
      <w:pPr>
        <w:jc w:val="both"/>
        <w:ind w:left="4" w:right="1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terminate or be forfeited). Notwithstanding the foregoing, no additional vesting of the Time-Based Equity Awards shall occur during the period between the Date of Termination and the Accelerated Vesting Date. With respect to any performance-based vesting equity award, such award shall continue to be governed in all respects by the terms of the applicable equity award documents</w:t>
      </w:r>
      <w:r>
        <w:rPr>
          <w:rFonts w:ascii="Arial" w:cs="Arial" w:eastAsia="Arial" w:hAnsi="Arial"/>
          <w:sz w:val="17"/>
          <w:szCs w:val="17"/>
          <w:color w:val="auto"/>
        </w:rPr>
        <w:t>.]</w:t>
      </w:r>
      <w:r>
        <w:rPr>
          <w:rFonts w:ascii="Arial" w:cs="Arial" w:eastAsia="Arial" w:hAnsi="Arial"/>
          <w:sz w:val="14"/>
          <w:szCs w:val="14"/>
          <w:color w:val="auto"/>
        </w:rPr>
        <w:t>18</w:t>
      </w:r>
    </w:p>
    <w:p>
      <w:pPr>
        <w:spacing w:after="0" w:line="158"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Except for the Prior Year Bonus</w:t>
      </w:r>
      <w:r>
        <w:rPr>
          <w:rFonts w:ascii="Arial" w:cs="Arial" w:eastAsia="Arial" w:hAnsi="Arial"/>
          <w:sz w:val="17"/>
          <w:szCs w:val="17"/>
          <w:color w:val="auto"/>
        </w:rPr>
        <w:t>,]</w:t>
      </w:r>
      <w:r>
        <w:rPr>
          <w:rFonts w:ascii="Arial" w:cs="Arial" w:eastAsia="Arial" w:hAnsi="Arial"/>
          <w:sz w:val="14"/>
          <w:szCs w:val="14"/>
          <w:color w:val="auto"/>
        </w:rPr>
        <w:t>19</w:t>
      </w:r>
      <w:r>
        <w:rPr>
          <w:rFonts w:ascii="Arial" w:cs="Arial" w:eastAsia="Arial" w:hAnsi="Arial"/>
          <w:sz w:val="17"/>
          <w:szCs w:val="17"/>
          <w:color w:val="auto"/>
        </w:rPr>
        <w:t xml:space="preserve">, the amounts payable under Section 5, to the extent taxable, shall be paid out in substantially equal installments in accordance with the Company’s payroll practice over 12 months commencing within 60 days after the Date of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shall begin to be paid in the second calendar year by the last day of such 60-day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initial payment shall include a catch-up payment to cover amounts retroactive to the day immediately following the Date of Termination. [</w:t>
      </w:r>
      <w:r>
        <w:rPr>
          <w:rFonts w:ascii="Arial" w:cs="Arial" w:eastAsia="Arial" w:hAnsi="Arial"/>
          <w:sz w:val="17"/>
          <w:szCs w:val="17"/>
          <w:b w:val="1"/>
          <w:bCs w:val="1"/>
          <w:color w:val="auto"/>
        </w:rPr>
        <w:t>The Prior Year Bonus will be paid on the date that the Company’s other</w:t>
      </w:r>
      <w:r>
        <w:rPr>
          <w:rFonts w:ascii="Arial" w:cs="Arial" w:eastAsia="Arial" w:hAnsi="Arial"/>
          <w:sz w:val="17"/>
          <w:szCs w:val="17"/>
          <w:color w:val="auto"/>
        </w:rPr>
        <w:t xml:space="preserve"> </w:t>
      </w:r>
      <w:r>
        <w:rPr>
          <w:rFonts w:ascii="Arial" w:cs="Arial" w:eastAsia="Arial" w:hAnsi="Arial"/>
          <w:sz w:val="17"/>
          <w:szCs w:val="17"/>
          <w:b w:val="1"/>
          <w:bCs w:val="1"/>
          <w:color w:val="auto"/>
        </w:rPr>
        <w:t>executives receive their annual incentive compensation</w:t>
      </w:r>
      <w:r>
        <w:rPr>
          <w:rFonts w:ascii="Arial" w:cs="Arial" w:eastAsia="Arial" w:hAnsi="Arial"/>
          <w:sz w:val="17"/>
          <w:szCs w:val="17"/>
          <w:color w:val="auto"/>
        </w:rPr>
        <w:t>.]</w:t>
      </w:r>
      <w:r>
        <w:rPr>
          <w:rFonts w:ascii="Arial" w:cs="Arial" w:eastAsia="Arial" w:hAnsi="Arial"/>
          <w:sz w:val="14"/>
          <w:szCs w:val="14"/>
          <w:color w:val="auto"/>
        </w:rPr>
        <w:t>20</w:t>
      </w:r>
      <w:r>
        <w:rPr>
          <w:rFonts w:ascii="Arial" w:cs="Arial" w:eastAsia="Arial" w:hAnsi="Arial"/>
          <w:sz w:val="17"/>
          <w:szCs w:val="17"/>
          <w:b w:val="1"/>
          <w:bCs w:val="1"/>
          <w:color w:val="auto"/>
        </w:rPr>
        <w:t xml:space="preserve"> </w:t>
      </w:r>
      <w:r>
        <w:rPr>
          <w:rFonts w:ascii="Arial" w:cs="Arial" w:eastAsia="Arial" w:hAnsi="Arial"/>
          <w:sz w:val="17"/>
          <w:szCs w:val="17"/>
          <w:color w:val="auto"/>
        </w:rPr>
        <w:t>Each payment pursuant to this Agreement is intended to constitute a separate payment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of Treasury Regulation Section 1.409A -2(b)(2).</w:t>
      </w:r>
    </w:p>
    <w:p>
      <w:pPr>
        <w:spacing w:after="0" w:line="176" w:lineRule="exact"/>
        <w:rPr>
          <w:sz w:val="20"/>
          <w:szCs w:val="20"/>
          <w:color w:val="auto"/>
        </w:rPr>
      </w:pPr>
    </w:p>
    <w:p>
      <w:pPr>
        <w:ind w:left="4" w:right="20" w:firstLine="436"/>
        <w:spacing w:after="0" w:line="296" w:lineRule="auto"/>
        <w:tabs>
          <w:tab w:leader="none" w:pos="624"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on or within 12 months after the occurrence of the first event constituting a Change in Control (such period, the “</w:t>
      </w:r>
      <w:r>
        <w:rPr>
          <w:rFonts w:ascii="Arial" w:cs="Arial" w:eastAsia="Arial" w:hAnsi="Arial"/>
          <w:sz w:val="16"/>
          <w:szCs w:val="16"/>
          <w:u w:val="single" w:color="auto"/>
          <w:color w:val="auto"/>
        </w:rPr>
        <w:t>Change in Control Period</w:t>
      </w:r>
      <w:r>
        <w:rPr>
          <w:rFonts w:ascii="Arial" w:cs="Arial" w:eastAsia="Arial" w:hAnsi="Arial"/>
          <w:sz w:val="16"/>
          <w:szCs w:val="16"/>
          <w:color w:val="auto"/>
        </w:rPr>
        <w:t>”). These provisions shall terminate and be of no further force or effect after the Change in Control Period.</w:t>
      </w:r>
    </w:p>
    <w:p>
      <w:pPr>
        <w:spacing w:after="0" w:line="53" w:lineRule="exact"/>
        <w:rPr>
          <w:rFonts w:ascii="Arial" w:cs="Arial" w:eastAsia="Arial" w:hAnsi="Arial"/>
          <w:sz w:val="16"/>
          <w:szCs w:val="16"/>
          <w:color w:val="auto"/>
        </w:rPr>
      </w:pPr>
    </w:p>
    <w:p>
      <w:pPr>
        <w:ind w:left="4" w:right="40" w:firstLine="987"/>
        <w:spacing w:after="0" w:line="275" w:lineRule="auto"/>
        <w:tabs>
          <w:tab w:leader="none" w:pos="12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If the Executive’s employment is terminated by the Company without Cause as provided in Section 3(d) or the Executive terminates employment for Good Reason as provided in Section 3(e) and in each case the Date of Termination occurs within the Change in Control Period, then, in addition to the Accrued Obligations, and subject to the signing of a general release of claims against the Company and all related persons and entities that shall not release the Executive’s rights under this Agreement (the “</w:t>
      </w:r>
      <w:r>
        <w:rPr>
          <w:rFonts w:ascii="Arial" w:cs="Arial" w:eastAsia="Arial" w:hAnsi="Arial"/>
          <w:sz w:val="17"/>
          <w:szCs w:val="17"/>
          <w:u w:val="single" w:color="auto"/>
          <w:color w:val="auto"/>
        </w:rPr>
        <w:t>Release</w:t>
      </w:r>
      <w:r>
        <w:rPr>
          <w:rFonts w:ascii="Arial" w:cs="Arial" w:eastAsia="Arial" w:hAnsi="Arial"/>
          <w:sz w:val="17"/>
          <w:szCs w:val="17"/>
          <w:color w:val="auto"/>
        </w:rPr>
        <w:t>”) by the Executive and the Release becoming fully effective, all within the time frame set forth in the Release but in no event more than 60 days after the Date of Termination:</w:t>
      </w:r>
    </w:p>
    <w:p>
      <w:pPr>
        <w:spacing w:after="0" w:line="68" w:lineRule="exact"/>
        <w:rPr>
          <w:sz w:val="20"/>
          <w:szCs w:val="20"/>
          <w:color w:val="auto"/>
        </w:rPr>
      </w:pPr>
    </w:p>
    <w:p>
      <w:pPr>
        <w:ind w:left="984" w:right="120" w:firstLine="401"/>
        <w:spacing w:after="0" w:line="291" w:lineRule="auto"/>
        <w:rPr>
          <w:sz w:val="20"/>
          <w:szCs w:val="20"/>
          <w:color w:val="auto"/>
        </w:rPr>
      </w:pPr>
      <w:r>
        <w:rPr>
          <w:rFonts w:ascii="Arial" w:cs="Arial" w:eastAsia="Arial" w:hAnsi="Arial"/>
          <w:sz w:val="16"/>
          <w:szCs w:val="16"/>
          <w:color w:val="auto"/>
        </w:rPr>
        <w:t>(i) the Company shall pay the Executive a lump sum in cash in an amount equal to the sum of (A) [ ]</w:t>
      </w:r>
      <w:r>
        <w:rPr>
          <w:rFonts w:ascii="Arial" w:cs="Arial" w:eastAsia="Arial" w:hAnsi="Arial"/>
          <w:sz w:val="13"/>
          <w:szCs w:val="13"/>
          <w:color w:val="auto"/>
        </w:rPr>
        <w:t>21</w:t>
      </w:r>
      <w:r>
        <w:rPr>
          <w:rFonts w:ascii="Arial" w:cs="Arial" w:eastAsia="Arial" w:hAnsi="Arial"/>
          <w:sz w:val="16"/>
          <w:szCs w:val="16"/>
          <w:color w:val="auto"/>
        </w:rPr>
        <w:t xml:space="preserve"> months of the Executive’s then-current Base Salary (or the Executive’s Base Salary in effect immediately prior to the Change in Control, if higher) plus</w:t>
      </w:r>
    </w:p>
    <w:p>
      <w:pPr>
        <w:ind w:left="984" w:right="180" w:firstLine="7"/>
        <w:spacing w:after="0" w:line="260" w:lineRule="auto"/>
        <w:tabs>
          <w:tab w:leader="none" w:pos="126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Executive’s Target Bonus for the then-current year (or the Executive’s Target Bonus in effect immediately prior to the Change in Control, if higher) [</w:t>
      </w:r>
      <w:r>
        <w:rPr>
          <w:rFonts w:ascii="Arial" w:cs="Arial" w:eastAsia="Arial" w:hAnsi="Arial"/>
          <w:sz w:val="18"/>
          <w:szCs w:val="18"/>
          <w:b w:val="1"/>
          <w:bCs w:val="1"/>
          <w:color w:val="auto"/>
        </w:rPr>
        <w:t>plus the Prorated Bonus</w:t>
      </w:r>
      <w:r>
        <w:rPr>
          <w:rFonts w:ascii="Arial" w:cs="Arial" w:eastAsia="Arial" w:hAnsi="Arial"/>
          <w:sz w:val="18"/>
          <w:szCs w:val="18"/>
          <w:color w:val="auto"/>
        </w:rPr>
        <w:t>]</w:t>
      </w:r>
      <w:r>
        <w:rPr>
          <w:rFonts w:ascii="Arial" w:cs="Arial" w:eastAsia="Arial" w:hAnsi="Arial"/>
          <w:sz w:val="15"/>
          <w:szCs w:val="15"/>
          <w:color w:val="auto"/>
        </w:rPr>
        <w:t>22</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ind w:left="224" w:hanging="224"/>
        <w:spacing w:after="0"/>
        <w:tabs>
          <w:tab w:leader="none" w:pos="224" w:val="left"/>
        </w:tabs>
        <w:numPr>
          <w:ilvl w:val="0"/>
          <w:numId w:val="156"/>
        </w:numPr>
        <w:rPr>
          <w:rFonts w:ascii="Arial" w:cs="Arial" w:eastAsia="Arial" w:hAnsi="Arial"/>
          <w:sz w:val="15"/>
          <w:szCs w:val="15"/>
          <w:color w:val="auto"/>
        </w:rPr>
      </w:pPr>
      <w:r>
        <w:rPr>
          <w:rFonts w:ascii="Arial" w:cs="Arial" w:eastAsia="Arial" w:hAnsi="Arial"/>
          <w:sz w:val="18"/>
          <w:szCs w:val="18"/>
          <w:color w:val="auto"/>
        </w:rPr>
        <w:t>For CEO.</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156"/>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56"/>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56"/>
        </w:numPr>
        <w:rPr>
          <w:rFonts w:ascii="Arial" w:cs="Arial" w:eastAsia="Arial" w:hAnsi="Arial"/>
          <w:sz w:val="15"/>
          <w:szCs w:val="15"/>
          <w:color w:val="auto"/>
        </w:rPr>
      </w:pPr>
      <w:r>
        <w:rPr>
          <w:rFonts w:ascii="Arial" w:cs="Arial" w:eastAsia="Arial" w:hAnsi="Arial"/>
          <w:sz w:val="18"/>
          <w:szCs w:val="18"/>
          <w:color w:val="auto"/>
        </w:rPr>
        <w:t>18 for CEO; 12 for other C-level executives.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56"/>
        </w:numPr>
        <w:rPr>
          <w:rFonts w:ascii="Arial" w:cs="Arial" w:eastAsia="Arial" w:hAnsi="Arial"/>
          <w:sz w:val="15"/>
          <w:szCs w:val="15"/>
          <w:color w:val="auto"/>
        </w:rPr>
      </w:pPr>
      <w:r>
        <w:rPr>
          <w:rFonts w:ascii="Arial" w:cs="Arial" w:eastAsia="Arial" w:hAnsi="Arial"/>
          <w:sz w:val="18"/>
          <w:szCs w:val="18"/>
          <w:color w:val="auto"/>
        </w:rPr>
        <w:t>For CEO.</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118" w:name="page119"/>
    <w:bookmarkEnd w:id="118"/>
    <w:p>
      <w:pPr>
        <w:ind w:left="984" w:firstLine="408"/>
        <w:spacing w:after="0" w:line="289" w:lineRule="auto"/>
        <w:tabs>
          <w:tab w:leader="none" w:pos="1650" w:val="left"/>
        </w:tabs>
        <w:numPr>
          <w:ilvl w:val="0"/>
          <w:numId w:val="15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Date of Termination occurs after the end of a calendar year and the Board or the Compensation Committee, as applicable, has determined and approved annual incentive compensation pursuant to Section 3(b) but has not yet paid such annual incentive compensation, then the Company shall pay the Executive the Prior Year Bonus; and</w:t>
      </w:r>
      <w:r>
        <w:rPr>
          <w:rFonts w:ascii="Arial" w:cs="Arial" w:eastAsia="Arial" w:hAnsi="Arial"/>
          <w:sz w:val="17"/>
          <w:szCs w:val="17"/>
          <w:color w:val="auto"/>
        </w:rPr>
        <w:t>]</w:t>
      </w:r>
      <w:r>
        <w:rPr>
          <w:rFonts w:ascii="Arial" w:cs="Arial" w:eastAsia="Arial" w:hAnsi="Arial"/>
          <w:sz w:val="14"/>
          <w:szCs w:val="14"/>
          <w:color w:val="auto"/>
        </w:rPr>
        <w:t>23</w:t>
      </w:r>
    </w:p>
    <w:p>
      <w:pPr>
        <w:spacing w:after="0" w:line="53" w:lineRule="exact"/>
        <w:rPr>
          <w:rFonts w:ascii="Arial" w:cs="Arial" w:eastAsia="Arial" w:hAnsi="Arial"/>
          <w:sz w:val="17"/>
          <w:szCs w:val="17"/>
          <w:color w:val="auto"/>
        </w:rPr>
      </w:pPr>
    </w:p>
    <w:p>
      <w:pPr>
        <w:ind w:left="984" w:firstLine="408"/>
        <w:spacing w:after="0" w:line="267" w:lineRule="auto"/>
        <w:tabs>
          <w:tab w:leader="none" w:pos="1700" w:val="left"/>
        </w:tabs>
        <w:numPr>
          <w:ilvl w:val="0"/>
          <w:numId w:val="157"/>
        </w:numPr>
        <w:rPr>
          <w:rFonts w:ascii="Arial" w:cs="Arial" w:eastAsia="Arial" w:hAnsi="Arial"/>
          <w:sz w:val="18"/>
          <w:szCs w:val="18"/>
          <w:color w:val="auto"/>
        </w:rPr>
      </w:pPr>
      <w:r>
        <w:rPr>
          <w:rFonts w:ascii="Arial" w:cs="Arial" w:eastAsia="Arial" w:hAnsi="Arial"/>
          <w:sz w:val="15"/>
          <w:szCs w:val="15"/>
          <w:color w:val="auto"/>
        </w:rPr>
        <w:t>24</w:t>
      </w:r>
      <w:r>
        <w:rPr>
          <w:rFonts w:ascii="Arial" w:cs="Arial" w:eastAsia="Arial" w:hAnsi="Arial"/>
          <w:sz w:val="17"/>
          <w:szCs w:val="17"/>
          <w:color w:val="auto"/>
        </w:rPr>
        <w:t>notwithstanding anything to the contrary in any applicable option agreement or other stock-based award agreement, all stock</w:t>
      </w:r>
      <w:r>
        <w:rPr>
          <w:rFonts w:ascii="Arial" w:cs="Arial" w:eastAsia="Arial" w:hAnsi="Arial"/>
          <w:sz w:val="15"/>
          <w:szCs w:val="15"/>
          <w:color w:val="auto"/>
        </w:rPr>
        <w:t xml:space="preserve"> </w:t>
      </w:r>
      <w:r>
        <w:rPr>
          <w:rFonts w:ascii="Arial" w:cs="Arial" w:eastAsia="Arial" w:hAnsi="Arial"/>
          <w:sz w:val="17"/>
          <w:szCs w:val="17"/>
          <w:color w:val="auto"/>
        </w:rPr>
        <w:t>options and other stock-based awards held by the Executive that are subject solely to time-based vesting (the “</w:t>
      </w:r>
      <w:r>
        <w:rPr>
          <w:rFonts w:ascii="Arial" w:cs="Arial" w:eastAsia="Arial" w:hAnsi="Arial"/>
          <w:sz w:val="17"/>
          <w:szCs w:val="17"/>
          <w:u w:val="single" w:color="auto"/>
          <w:color w:val="auto"/>
        </w:rPr>
        <w:t>Time-Based Equity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Awards</w:t>
      </w:r>
      <w:r>
        <w:rPr>
          <w:rFonts w:ascii="Arial" w:cs="Arial" w:eastAsia="Arial" w:hAnsi="Arial"/>
          <w:sz w:val="17"/>
          <w:szCs w:val="17"/>
          <w:color w:val="auto"/>
        </w:rPr>
        <w:t>”) shall immediately accelerate and become fully vested and exercisable or nonforfeitable as of the later of (i) the Date of Termination or (ii) the effective date of the Release (the “</w:t>
      </w:r>
      <w:r>
        <w:rPr>
          <w:rFonts w:ascii="Arial" w:cs="Arial" w:eastAsia="Arial" w:hAnsi="Arial"/>
          <w:sz w:val="17"/>
          <w:szCs w:val="17"/>
          <w:u w:val="single" w:color="auto"/>
          <w:color w:val="auto"/>
        </w:rPr>
        <w:t>Accelerated Vesting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order to effectuate the accelerated vesting contemplated by this subsection, the unvested portion of the Executive’s Time-Based Equity Awards that would otherwise terminate or be forfeited on the Date of Termination will be delayed until the earlier of (A) the effective date of the Release (at which time acceleration will occur), or (B) the date that the Release can no longer become fully effective (at which time the unvested portion of the Executive’s Time-Based Equity Awards will terminate or be forfeited). Notwithstanding the foregoing, no additional vesting of the Time-Based Equity Awards shall occur during the period between the Date of Termination and the Accelerated Vesting Date. With respect to any performance-based vesting equity award, such award shall continue to be governed in all respects by the terms of the applicable equity award documents; and</w:t>
      </w:r>
    </w:p>
    <w:p>
      <w:pPr>
        <w:spacing w:after="0" w:line="79" w:lineRule="exact"/>
        <w:rPr>
          <w:rFonts w:ascii="Arial" w:cs="Arial" w:eastAsia="Arial" w:hAnsi="Arial"/>
          <w:sz w:val="18"/>
          <w:szCs w:val="18"/>
          <w:color w:val="auto"/>
        </w:rPr>
      </w:pPr>
    </w:p>
    <w:p>
      <w:pPr>
        <w:jc w:val="both"/>
        <w:ind w:left="984" w:right="200" w:firstLine="408"/>
        <w:spacing w:after="0" w:line="287" w:lineRule="auto"/>
        <w:tabs>
          <w:tab w:leader="none" w:pos="169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w:t>
      </w:r>
    </w:p>
    <w:p>
      <w:pPr>
        <w:spacing w:after="0" w:line="1" w:lineRule="exact"/>
        <w:rPr>
          <w:sz w:val="20"/>
          <w:szCs w:val="20"/>
          <w:color w:val="auto"/>
        </w:rPr>
      </w:pPr>
    </w:p>
    <w:p>
      <w:pPr>
        <w:ind w:left="984" w:right="80"/>
        <w:spacing w:after="0" w:line="289" w:lineRule="auto"/>
        <w:rPr>
          <w:sz w:val="20"/>
          <w:szCs w:val="20"/>
          <w:color w:val="auto"/>
        </w:rPr>
      </w:pPr>
      <w:r>
        <w:rPr>
          <w:rFonts w:ascii="Arial" w:cs="Arial" w:eastAsia="Arial" w:hAnsi="Arial"/>
          <w:sz w:val="16"/>
          <w:szCs w:val="16"/>
          <w:color w:val="auto"/>
        </w:rPr>
        <w:t>the Executive had remained employed by the Company until the earliest of (A) the [ ]</w:t>
      </w:r>
      <w:r>
        <w:rPr>
          <w:rFonts w:ascii="Arial" w:cs="Arial" w:eastAsia="Arial" w:hAnsi="Arial"/>
          <w:sz w:val="13"/>
          <w:szCs w:val="13"/>
          <w:color w:val="auto"/>
        </w:rPr>
        <w:t>25</w:t>
      </w:r>
      <w:r>
        <w:rPr>
          <w:rFonts w:ascii="Arial" w:cs="Arial" w:eastAsia="Arial" w:hAnsi="Arial"/>
          <w:sz w:val="16"/>
          <w:szCs w:val="16"/>
          <w:color w:val="auto"/>
        </w:rPr>
        <w:t xml:space="preserve"> month anniversary of the Date of Termination; (B) the date that the Executive becomes eligible for group medical plan benefits under any other employer’s group medical plan; or (C) the cessation of the Executive’s health continuation rights under COBRA;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71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7" w:lineRule="exact"/>
        <w:rPr>
          <w:sz w:val="20"/>
          <w:szCs w:val="20"/>
          <w:color w:val="auto"/>
        </w:rPr>
      </w:pPr>
    </w:p>
    <w:p>
      <w:pPr>
        <w:ind w:left="224" w:hanging="224"/>
        <w:spacing w:after="0"/>
        <w:tabs>
          <w:tab w:leader="none" w:pos="224" w:val="left"/>
        </w:tabs>
        <w:numPr>
          <w:ilvl w:val="0"/>
          <w:numId w:val="158"/>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158"/>
        </w:numPr>
        <w:rPr>
          <w:rFonts w:ascii="Arial" w:cs="Arial" w:eastAsia="Arial" w:hAnsi="Arial"/>
          <w:sz w:val="15"/>
          <w:szCs w:val="15"/>
          <w:color w:val="auto"/>
        </w:rPr>
      </w:pPr>
      <w:r>
        <w:rPr>
          <w:rFonts w:ascii="Arial" w:cs="Arial" w:eastAsia="Arial" w:hAnsi="Arial"/>
          <w:sz w:val="18"/>
          <w:szCs w:val="18"/>
          <w:color w:val="auto"/>
        </w:rPr>
        <w:t>For CEO, eliminate definitions for previously defined terms.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58"/>
        </w:numPr>
        <w:rPr>
          <w:rFonts w:ascii="Arial" w:cs="Arial" w:eastAsia="Arial" w:hAnsi="Arial"/>
          <w:sz w:val="15"/>
          <w:szCs w:val="15"/>
          <w:color w:val="auto"/>
        </w:rPr>
      </w:pPr>
      <w:r>
        <w:rPr>
          <w:rFonts w:ascii="Arial" w:cs="Arial" w:eastAsia="Arial" w:hAnsi="Arial"/>
          <w:sz w:val="18"/>
          <w:szCs w:val="18"/>
          <w:color w:val="auto"/>
        </w:rPr>
        <w:t>18 for CEO; 12 for other C-level executives.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119" w:name="page120"/>
    <w:bookmarkEnd w:id="119"/>
    <w:p>
      <w:pPr>
        <w:ind w:left="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the Prior Year Bonus,]</w:t>
      </w:r>
      <w:r>
        <w:rPr>
          <w:rFonts w:ascii="Arial" w:cs="Arial" w:eastAsia="Arial" w:hAnsi="Arial"/>
          <w:sz w:val="15"/>
          <w:szCs w:val="15"/>
          <w:color w:val="auto"/>
        </w:rPr>
        <w:t>26</w:t>
      </w:r>
      <w:r>
        <w:rPr>
          <w:rFonts w:ascii="Arial" w:cs="Arial" w:eastAsia="Arial" w:hAnsi="Arial"/>
          <w:sz w:val="18"/>
          <w:szCs w:val="18"/>
          <w:color w:val="auto"/>
        </w:rPr>
        <w:t xml:space="preserve"> the amounts payable under this Section 6(a), to the extent taxable, shall be paid or commence to be paid within 60 days after the Date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 [</w:t>
      </w:r>
      <w:r>
        <w:rPr>
          <w:rFonts w:ascii="Arial" w:cs="Arial" w:eastAsia="Arial" w:hAnsi="Arial"/>
          <w:sz w:val="18"/>
          <w:szCs w:val="18"/>
          <w:b w:val="1"/>
          <w:bCs w:val="1"/>
          <w:color w:val="auto"/>
        </w:rPr>
        <w:t>The Prior Year Bonus will be paid on the date that the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Company’s other executives receive their annual incentive compensation</w:t>
      </w:r>
      <w:r>
        <w:rPr>
          <w:rFonts w:ascii="Arial" w:cs="Arial" w:eastAsia="Arial" w:hAnsi="Arial"/>
          <w:sz w:val="18"/>
          <w:szCs w:val="18"/>
          <w:color w:val="auto"/>
        </w:rPr>
        <w:t>.]</w:t>
      </w:r>
      <w:r>
        <w:rPr>
          <w:rFonts w:ascii="Arial" w:cs="Arial" w:eastAsia="Arial" w:hAnsi="Arial"/>
          <w:sz w:val="15"/>
          <w:szCs w:val="15"/>
          <w:color w:val="auto"/>
        </w:rPr>
        <w:t>27</w:t>
      </w:r>
    </w:p>
    <w:p>
      <w:pPr>
        <w:spacing w:after="0" w:line="188" w:lineRule="exact"/>
        <w:rPr>
          <w:sz w:val="20"/>
          <w:szCs w:val="20"/>
          <w:color w:val="auto"/>
        </w:rPr>
      </w:pPr>
    </w:p>
    <w:p>
      <w:pPr>
        <w:ind w:left="1244" w:hanging="253"/>
        <w:spacing w:after="0"/>
        <w:tabs>
          <w:tab w:leader="none" w:pos="1244"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Additional Limitation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4" w:firstLine="408"/>
        <w:spacing w:after="0" w:line="283" w:lineRule="auto"/>
        <w:tabs>
          <w:tab w:leader="none" w:pos="16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u w:val="single" w:color="auto"/>
          <w:color w:val="auto"/>
        </w:rPr>
        <w:t>Aggregate Payments</w:t>
      </w:r>
      <w:r>
        <w:rPr>
          <w:rFonts w:ascii="Arial" w:cs="Arial" w:eastAsia="Arial" w:hAnsi="Arial"/>
          <w:sz w:val="16"/>
          <w:szCs w:val="16"/>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w:t>
      </w:r>
    </w:p>
    <w:p>
      <w:pPr>
        <w:spacing w:after="0" w:line="4" w:lineRule="exact"/>
        <w:rPr>
          <w:rFonts w:ascii="Arial" w:cs="Arial" w:eastAsia="Arial" w:hAnsi="Arial"/>
          <w:sz w:val="16"/>
          <w:szCs w:val="16"/>
          <w:color w:val="auto"/>
        </w:rPr>
      </w:pPr>
    </w:p>
    <w:p>
      <w:pPr>
        <w:ind w:left="984" w:right="10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(2) cash payments subject to Section 409A of the Code; (3) equity-based payments and acceleration; and (4) non-cash forms of benefits;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all the foregoing Aggregate Payments all amounts or payments that are not subject to calculation under Treas.</w:t>
      </w:r>
      <w:r>
        <w:rPr>
          <w:rFonts w:ascii="Arial" w:cs="Arial" w:eastAsia="Arial" w:hAnsi="Arial"/>
          <w:sz w:val="18"/>
          <w:szCs w:val="18"/>
          <w:i w:val="1"/>
          <w:iCs w:val="1"/>
          <w:color w:val="auto"/>
        </w:rPr>
        <w:t xml:space="preserve"> </w:t>
      </w:r>
      <w:r>
        <w:rPr>
          <w:rFonts w:ascii="Arial" w:cs="Arial" w:eastAsia="Arial" w:hAnsi="Arial"/>
          <w:sz w:val="18"/>
          <w:szCs w:val="18"/>
          <w:color w:val="auto"/>
        </w:rPr>
        <w:t>Reg. §1.280G -1, Q&amp;A-24(b) or (c) shall be reduced before any amounts that are subject to calculation under Treas. Reg. §1.280G -1, Q&amp;A-24(b) or (c).</w:t>
      </w:r>
    </w:p>
    <w:p>
      <w:pPr>
        <w:spacing w:after="0" w:line="84" w:lineRule="exact"/>
        <w:rPr>
          <w:rFonts w:ascii="Arial" w:cs="Arial" w:eastAsia="Arial" w:hAnsi="Arial"/>
          <w:sz w:val="16"/>
          <w:szCs w:val="16"/>
          <w:color w:val="auto"/>
        </w:rPr>
      </w:pPr>
    </w:p>
    <w:p>
      <w:pPr>
        <w:ind w:left="984" w:right="60" w:firstLine="408"/>
        <w:spacing w:after="0" w:line="293" w:lineRule="auto"/>
        <w:tabs>
          <w:tab w:leader="none" w:pos="165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purposes of this Section 6(b), the “</w:t>
      </w:r>
      <w:r>
        <w:rPr>
          <w:rFonts w:ascii="Arial" w:cs="Arial" w:eastAsia="Arial" w:hAnsi="Arial"/>
          <w:sz w:val="16"/>
          <w:szCs w:val="16"/>
          <w:u w:val="single" w:color="auto"/>
          <w:color w:val="auto"/>
        </w:rPr>
        <w:t>After Tax Amount</w:t>
      </w:r>
      <w:r>
        <w:rPr>
          <w:rFonts w:ascii="Arial" w:cs="Arial" w:eastAsia="Arial" w:hAnsi="Arial"/>
          <w:sz w:val="16"/>
          <w:szCs w:val="16"/>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71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7" w:lineRule="exact"/>
        <w:rPr>
          <w:sz w:val="20"/>
          <w:szCs w:val="20"/>
          <w:color w:val="auto"/>
        </w:rPr>
      </w:pPr>
    </w:p>
    <w:p>
      <w:pPr>
        <w:ind w:left="224" w:hanging="224"/>
        <w:spacing w:after="0"/>
        <w:tabs>
          <w:tab w:leader="none" w:pos="224" w:val="left"/>
        </w:tabs>
        <w:numPr>
          <w:ilvl w:val="0"/>
          <w:numId w:val="160"/>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160"/>
        </w:numPr>
        <w:rPr>
          <w:rFonts w:ascii="Arial" w:cs="Arial" w:eastAsia="Arial" w:hAnsi="Arial"/>
          <w:sz w:val="15"/>
          <w:szCs w:val="15"/>
          <w:color w:val="auto"/>
        </w:rPr>
      </w:pPr>
      <w:r>
        <w:rPr>
          <w:rFonts w:ascii="Arial" w:cs="Arial" w:eastAsia="Arial" w:hAnsi="Arial"/>
          <w:sz w:val="18"/>
          <w:szCs w:val="18"/>
          <w:color w:val="auto"/>
        </w:rPr>
        <w:t>For the CEO.</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20" w:name="page121"/>
    <w:bookmarkEnd w:id="120"/>
    <w:p>
      <w:pPr>
        <w:ind w:left="920" w:right="80" w:firstLine="408"/>
        <w:spacing w:after="0" w:line="257" w:lineRule="auto"/>
        <w:tabs>
          <w:tab w:leader="none" w:pos="1636" w:val="left"/>
        </w:tabs>
        <w:numPr>
          <w:ilvl w:val="2"/>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determination as to whether a reduction in the Aggregate Payments shall be made pursuant to Section 6(b)(i) shall be made by a nationally recognized accounting firm selected by the Company (the “</w:t>
      </w:r>
      <w:r>
        <w:rPr>
          <w:rFonts w:ascii="Arial" w:cs="Arial" w:eastAsia="Arial" w:hAnsi="Arial"/>
          <w:sz w:val="18"/>
          <w:szCs w:val="18"/>
          <w:u w:val="single" w:color="auto"/>
          <w:color w:val="auto"/>
        </w:rPr>
        <w:t>Accounting Firm</w:t>
      </w:r>
      <w:r>
        <w:rPr>
          <w:rFonts w:ascii="Arial" w:cs="Arial" w:eastAsia="Arial" w:hAnsi="Arial"/>
          <w:sz w:val="18"/>
          <w:szCs w:val="18"/>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18"/>
          <w:szCs w:val="18"/>
          <w:color w:val="auto"/>
        </w:rPr>
      </w:pPr>
    </w:p>
    <w:p>
      <w:pPr>
        <w:ind w:left="-60" w:right="100" w:firstLine="987"/>
        <w:spacing w:after="0" w:line="277" w:lineRule="auto"/>
        <w:tabs>
          <w:tab w:leader="none" w:pos="1176"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 “Sale Event” as defined in the Company’s 2021 Stock Option and Incentive Plan, as the same may be amended from time to time.</w:t>
      </w:r>
    </w:p>
    <w:p>
      <w:pPr>
        <w:spacing w:after="0" w:line="170" w:lineRule="exact"/>
        <w:rPr>
          <w:rFonts w:ascii="Arial" w:cs="Arial" w:eastAsia="Arial" w:hAnsi="Arial"/>
          <w:sz w:val="18"/>
          <w:szCs w:val="18"/>
          <w:color w:val="auto"/>
        </w:rPr>
      </w:pPr>
    </w:p>
    <w:p>
      <w:pPr>
        <w:ind w:left="560" w:hanging="184"/>
        <w:spacing w:after="0"/>
        <w:tabs>
          <w:tab w:leader="none" w:pos="5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987"/>
        <w:spacing w:after="0" w:line="270" w:lineRule="auto"/>
        <w:tabs>
          <w:tab w:leader="none" w:pos="1176"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0" w:lineRule="exact"/>
        <w:rPr>
          <w:rFonts w:ascii="Arial" w:cs="Arial" w:eastAsia="Arial" w:hAnsi="Arial"/>
          <w:sz w:val="17"/>
          <w:szCs w:val="17"/>
          <w:color w:val="auto"/>
        </w:rPr>
      </w:pPr>
    </w:p>
    <w:p>
      <w:pPr>
        <w:ind w:left="-60" w:right="60" w:firstLine="987"/>
        <w:spacing w:after="0" w:line="273" w:lineRule="auto"/>
        <w:tabs>
          <w:tab w:leader="none" w:pos="1186"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jc w:val="both"/>
        <w:ind w:left="-60" w:right="180" w:firstLine="987"/>
        <w:spacing w:after="0" w:line="301" w:lineRule="auto"/>
        <w:tabs>
          <w:tab w:leader="none" w:pos="117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500" w:top="274" w:right="499" w:bottom="1440" w:gutter="0" w:footer="0" w:header="0"/>
        </w:sectPr>
      </w:pPr>
    </w:p>
    <w:bookmarkStart w:id="121" w:name="page122"/>
    <w:bookmarkEnd w:id="121"/>
    <w:p>
      <w:pPr>
        <w:ind w:left="-40" w:right="200" w:firstLine="987"/>
        <w:spacing w:after="0" w:line="293" w:lineRule="auto"/>
        <w:tabs>
          <w:tab w:leader="none" w:pos="1206" w:val="left"/>
        </w:tabs>
        <w:numPr>
          <w:ilvl w:val="1"/>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 -2(b)(2).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4" w:lineRule="exact"/>
        <w:rPr>
          <w:rFonts w:ascii="Arial" w:cs="Arial" w:eastAsia="Arial" w:hAnsi="Arial"/>
          <w:sz w:val="16"/>
          <w:szCs w:val="16"/>
          <w:color w:val="auto"/>
        </w:rPr>
      </w:pPr>
    </w:p>
    <w:p>
      <w:pPr>
        <w:ind w:left="-40" w:right="20" w:firstLine="987"/>
        <w:spacing w:after="0" w:line="263" w:lineRule="auto"/>
        <w:tabs>
          <w:tab w:leader="none" w:pos="119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3" w:lineRule="exact"/>
        <w:rPr>
          <w:rFonts w:ascii="Arial" w:cs="Arial" w:eastAsia="Arial" w:hAnsi="Arial"/>
          <w:sz w:val="18"/>
          <w:szCs w:val="18"/>
          <w:color w:val="auto"/>
        </w:rPr>
      </w:pPr>
    </w:p>
    <w:p>
      <w:pPr>
        <w:ind w:left="580" w:hanging="184"/>
        <w:spacing w:after="0"/>
        <w:tabs>
          <w:tab w:leader="none" w:pos="5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87"/>
        <w:spacing w:after="0" w:line="290" w:lineRule="auto"/>
        <w:tabs>
          <w:tab w:leader="none" w:pos="1196"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Restrictive Covenants Agreement</w:t>
      </w:r>
      <w:r>
        <w:rPr>
          <w:rFonts w:ascii="Arial" w:cs="Arial" w:eastAsia="Arial" w:hAnsi="Arial"/>
          <w:sz w:val="16"/>
          <w:szCs w:val="16"/>
          <w:color w:val="auto"/>
        </w:rPr>
        <w:t xml:space="preserve">. As a condition of employment, the Executive is required to enter into the Employee Confidentiality, Assignment, Nonsolicitation and Noncompetition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Restrictive Covenants Agreement</w:t>
      </w:r>
      <w:r>
        <w:rPr>
          <w:rFonts w:ascii="Arial" w:cs="Arial" w:eastAsia="Arial" w:hAnsi="Arial"/>
          <w:sz w:val="16"/>
          <w:szCs w:val="16"/>
          <w:color w:val="auto"/>
        </w:rPr>
        <w:t>”). The Executive acknowledges and agrees that the Executive received the Restrictive Covenants Agreement with this Agreement and at least 10 business days before the commencement of the Executive’s employment.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Arial" w:cs="Arial" w:eastAsia="Arial" w:hAnsi="Arial"/>
          <w:sz w:val="16"/>
          <w:szCs w:val="16"/>
          <w:u w:val="single" w:color="auto"/>
          <w:color w:val="auto"/>
        </w:rPr>
        <w:t>Continuing Obligations</w:t>
      </w:r>
      <w:r>
        <w:rPr>
          <w:rFonts w:ascii="Arial" w:cs="Arial" w:eastAsia="Arial" w:hAnsi="Arial"/>
          <w:sz w:val="16"/>
          <w:szCs w:val="16"/>
          <w:color w:val="auto"/>
        </w:rPr>
        <w:t>.” In the event that the Executive is entitled to any payments under the Restrictive Covenants Agreement, then any severance pay that the Executive receives in any calendar year pursuant to this Agreement shall be reduced by the amount of the payments (if any) that the Executive receives in the same calendar year pursuant to the Restrictive Covenants Agreement.</w:t>
      </w:r>
    </w:p>
    <w:p>
      <w:pPr>
        <w:spacing w:after="0" w:line="165" w:lineRule="exact"/>
        <w:rPr>
          <w:rFonts w:ascii="Arial" w:cs="Arial" w:eastAsia="Arial" w:hAnsi="Arial"/>
          <w:sz w:val="16"/>
          <w:szCs w:val="16"/>
          <w:color w:val="auto"/>
        </w:rPr>
      </w:pPr>
    </w:p>
    <w:p>
      <w:pPr>
        <w:ind w:left="-40" w:right="100" w:firstLine="987"/>
        <w:spacing w:after="0" w:line="254" w:lineRule="auto"/>
        <w:tabs>
          <w:tab w:leader="none" w:pos="1206"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4" w:right="499" w:bottom="1440" w:gutter="0" w:footer="0" w:header="0"/>
        </w:sectPr>
      </w:pPr>
    </w:p>
    <w:bookmarkStart w:id="122" w:name="page123"/>
    <w:bookmarkEnd w:id="122"/>
    <w:p>
      <w:pPr>
        <w:ind w:left="-20" w:right="60" w:firstLine="987"/>
        <w:spacing w:after="0" w:line="269" w:lineRule="auto"/>
        <w:tabs>
          <w:tab w:leader="none" w:pos="1216"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185" w:lineRule="exact"/>
        <w:rPr>
          <w:rFonts w:ascii="Arial" w:cs="Arial" w:eastAsia="Arial" w:hAnsi="Arial"/>
          <w:sz w:val="17"/>
          <w:szCs w:val="17"/>
          <w:color w:val="auto"/>
        </w:rPr>
      </w:pPr>
    </w:p>
    <w:p>
      <w:pPr>
        <w:ind w:left="-20" w:right="160" w:firstLine="987"/>
        <w:spacing w:after="0" w:line="257" w:lineRule="auto"/>
        <w:tabs>
          <w:tab w:leader="none" w:pos="1226"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7" w:lineRule="exact"/>
        <w:rPr>
          <w:rFonts w:ascii="Arial" w:cs="Arial" w:eastAsia="Arial" w:hAnsi="Arial"/>
          <w:sz w:val="18"/>
          <w:szCs w:val="18"/>
          <w:color w:val="auto"/>
        </w:rPr>
      </w:pPr>
    </w:p>
    <w:p>
      <w:pPr>
        <w:ind w:left="-20" w:firstLine="436"/>
        <w:spacing w:after="0" w:line="259" w:lineRule="auto"/>
        <w:tabs>
          <w:tab w:leader="none" w:pos="6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86" w:lineRule="exact"/>
        <w:rPr>
          <w:rFonts w:ascii="Arial" w:cs="Arial" w:eastAsia="Arial" w:hAnsi="Arial"/>
          <w:sz w:val="18"/>
          <w:szCs w:val="18"/>
          <w:color w:val="auto"/>
        </w:rPr>
      </w:pPr>
    </w:p>
    <w:p>
      <w:pPr>
        <w:ind w:left="-20" w:right="160" w:firstLine="436"/>
        <w:spacing w:after="0" w:line="257" w:lineRule="auto"/>
        <w:tabs>
          <w:tab w:leader="none" w:pos="69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87" w:lineRule="exact"/>
        <w:rPr>
          <w:rFonts w:ascii="Arial" w:cs="Arial" w:eastAsia="Arial" w:hAnsi="Arial"/>
          <w:sz w:val="18"/>
          <w:szCs w:val="18"/>
          <w:color w:val="auto"/>
        </w:rPr>
      </w:pPr>
    </w:p>
    <w:p>
      <w:pPr>
        <w:ind w:left="-20" w:right="80" w:firstLine="436"/>
        <w:spacing w:after="0" w:line="263" w:lineRule="auto"/>
        <w:tabs>
          <w:tab w:leader="none" w:pos="68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constitutes the entire agreement between the parties with respect to the subject matter hereof and supersedes all prior agreements between the parties concerning such subject matter, including the Prior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Equity Documents remain in full force and effect.</w:t>
      </w:r>
    </w:p>
    <w:p>
      <w:pPr>
        <w:spacing w:after="0" w:line="183" w:lineRule="exact"/>
        <w:rPr>
          <w:rFonts w:ascii="Arial" w:cs="Arial" w:eastAsia="Arial" w:hAnsi="Arial"/>
          <w:sz w:val="18"/>
          <w:szCs w:val="18"/>
          <w:color w:val="auto"/>
        </w:rPr>
      </w:pPr>
    </w:p>
    <w:p>
      <w:pPr>
        <w:ind w:left="-20" w:right="20" w:firstLine="436"/>
        <w:spacing w:after="0" w:line="259" w:lineRule="auto"/>
        <w:tabs>
          <w:tab w:leader="none" w:pos="69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123" w:name="page124"/>
    <w:bookmarkEnd w:id="123"/>
    <w:p>
      <w:pPr>
        <w:ind w:left="-100" w:firstLine="436"/>
        <w:spacing w:after="0" w:line="287" w:lineRule="auto"/>
        <w:tabs>
          <w:tab w:leader="none" w:pos="610"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Successors and Assigns</w:t>
      </w:r>
      <w:r>
        <w:rPr>
          <w:rFonts w:ascii="Arial" w:cs="Arial" w:eastAsia="Arial" w:hAnsi="Arial"/>
          <w:sz w:val="16"/>
          <w:szCs w:val="16"/>
          <w:color w:val="auto"/>
        </w:rPr>
        <w:t xml:space="preserve">. Neither the Executive nor the Company may make any assignment of this Agreement or any interest in it, by operation of law or otherwise, without the prior written consent of the other;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71" w:lineRule="exact"/>
        <w:rPr>
          <w:rFonts w:ascii="Arial" w:cs="Arial" w:eastAsia="Arial" w:hAnsi="Arial"/>
          <w:sz w:val="16"/>
          <w:szCs w:val="16"/>
          <w:color w:val="auto"/>
        </w:rPr>
      </w:pPr>
    </w:p>
    <w:p>
      <w:pPr>
        <w:ind w:left="-100" w:right="180" w:firstLine="436"/>
        <w:spacing w:after="0" w:line="279" w:lineRule="auto"/>
        <w:tabs>
          <w:tab w:leader="none" w:pos="61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100" w:right="140" w:firstLine="436"/>
        <w:spacing w:after="0" w:line="277" w:lineRule="auto"/>
        <w:tabs>
          <w:tab w:leader="none" w:pos="61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For the avoidance of doubt, this Agreement shall survive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ind w:left="-100" w:right="40" w:firstLine="436"/>
        <w:spacing w:after="0" w:line="263" w:lineRule="auto"/>
        <w:tabs>
          <w:tab w:leader="none" w:pos="61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3" w:lineRule="exact"/>
        <w:rPr>
          <w:rFonts w:ascii="Arial" w:cs="Arial" w:eastAsia="Arial" w:hAnsi="Arial"/>
          <w:sz w:val="18"/>
          <w:szCs w:val="18"/>
          <w:color w:val="auto"/>
        </w:rPr>
      </w:pPr>
    </w:p>
    <w:p>
      <w:pPr>
        <w:ind w:left="-100" w:right="200" w:firstLine="436"/>
        <w:spacing w:after="0" w:line="259" w:lineRule="auto"/>
        <w:tabs>
          <w:tab w:leader="none" w:pos="61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20"/>
          </w:cols>
          <w:pgMar w:left="540" w:top="274" w:right="539" w:bottom="1440" w:gutter="0" w:footer="0" w:header="0"/>
        </w:sectPr>
      </w:pPr>
    </w:p>
    <w:bookmarkStart w:id="124" w:name="page125"/>
    <w:bookmarkEnd w:id="124"/>
    <w:p>
      <w:pPr>
        <w:ind w:left="-20" w:right="320" w:firstLine="436"/>
        <w:spacing w:after="0" w:line="277" w:lineRule="auto"/>
        <w:tabs>
          <w:tab w:leader="none" w:pos="69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20" w:firstLine="436"/>
        <w:spacing w:after="0" w:line="253" w:lineRule="auto"/>
        <w:tabs>
          <w:tab w:leader="none" w:pos="69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Effect on Other Plans and Agreements</w:t>
      </w:r>
      <w:r>
        <w:rPr>
          <w:rFonts w:ascii="Arial" w:cs="Arial" w:eastAsia="Arial" w:hAnsi="Arial"/>
          <w:sz w:val="18"/>
          <w:szCs w:val="18"/>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8 hereof, and except that the Executive shall have no rights to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96" w:lineRule="exact"/>
        <w:rPr>
          <w:rFonts w:ascii="Arial" w:cs="Arial" w:eastAsia="Arial" w:hAnsi="Arial"/>
          <w:sz w:val="18"/>
          <w:szCs w:val="18"/>
          <w:color w:val="auto"/>
        </w:rPr>
      </w:pPr>
    </w:p>
    <w:p>
      <w:pPr>
        <w:ind w:left="-20" w:right="180" w:firstLine="436"/>
        <w:spacing w:after="0" w:line="259" w:lineRule="auto"/>
        <w:tabs>
          <w:tab w:leader="none" w:pos="69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86" w:lineRule="exact"/>
        <w:rPr>
          <w:rFonts w:ascii="Arial" w:cs="Arial" w:eastAsia="Arial" w:hAnsi="Arial"/>
          <w:sz w:val="18"/>
          <w:szCs w:val="18"/>
          <w:color w:val="auto"/>
        </w:rPr>
      </w:pPr>
    </w:p>
    <w:p>
      <w:pPr>
        <w:ind w:left="-20" w:right="160" w:firstLine="436"/>
        <w:spacing w:after="0" w:line="277" w:lineRule="auto"/>
        <w:tabs>
          <w:tab w:leader="none" w:pos="69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580"/>
          </w:cols>
          <w:pgMar w:left="880" w:top="274" w:right="4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Restrictive Covenants Agreement</w:t>
      </w:r>
    </w:p>
    <w:p>
      <w:pPr>
        <w:sectPr>
          <w:pgSz w:w="11900" w:h="16838" w:orient="portrait"/>
          <w:cols w:equalWidth="0" w:num="1">
            <w:col w:w="9019"/>
          </w:cols>
          <w:pgMar w:left="1440" w:top="27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purpose of this Non-Employee Director Compensation Policy (the “Policy”) of Tango Therapeutics, Inc. (the “Company”) is to provide a total compensation package that enables the Company to attract and retain, on a long-term basis, high-caliber directors who are not employees or officers of the Company or its subsidiaries (“Outside Directors”). This Policy will become effective upon the Closing (as defined in the Agreement and Plan of Merger, dated as of April 13, 2021, by and among the Company (formerly known as BCTG Acquisition Corp.), BCTG Merger Sub Inc., and Tango Therapeutics, Inc.) (the “Effective Date”). In furtherance of the purpose stated above, all Outside Directors shall be paid compensation for services provided to the Company as set forth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Retainers</w:t>
      </w:r>
    </w:p>
    <w:p>
      <w:pPr>
        <w:spacing w:after="0" w:line="121" w:lineRule="exact"/>
        <w:rPr>
          <w:sz w:val="20"/>
          <w:szCs w:val="20"/>
          <w:color w:val="auto"/>
        </w:rPr>
      </w:pPr>
    </w:p>
    <w:p>
      <w:pPr>
        <w:ind w:left="440" w:right="360"/>
        <w:spacing w:after="0" w:line="263" w:lineRule="auto"/>
        <w:rPr>
          <w:sz w:val="20"/>
          <w:szCs w:val="20"/>
          <w:color w:val="auto"/>
        </w:rPr>
      </w:pPr>
      <w:r>
        <w:rPr>
          <w:rFonts w:ascii="Arial" w:cs="Arial" w:eastAsia="Arial" w:hAnsi="Arial"/>
          <w:sz w:val="18"/>
          <w:szCs w:val="18"/>
          <w:u w:val="single" w:color="auto"/>
          <w:color w:val="auto"/>
        </w:rPr>
        <w:t>Annual Retainer for Board Membership</w:t>
      </w:r>
      <w:r>
        <w:rPr>
          <w:rFonts w:ascii="Arial" w:cs="Arial" w:eastAsia="Arial" w:hAnsi="Arial"/>
          <w:sz w:val="18"/>
          <w:szCs w:val="18"/>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Annual Retainer for Non-Executive Chair: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00" w:type="dxa"/>
            <w:vAlign w:val="bottom"/>
            <w:gridSpan w:val="5"/>
          </w:tcPr>
          <w:p>
            <w:pPr>
              <w:spacing w:after="0"/>
              <w:rPr>
                <w:sz w:val="20"/>
                <w:szCs w:val="20"/>
                <w:color w:val="auto"/>
              </w:rPr>
            </w:pPr>
            <w:r>
              <w:rPr>
                <w:rFonts w:ascii="Arial" w:cs="Arial" w:eastAsia="Arial" w:hAnsi="Arial"/>
                <w:sz w:val="18"/>
                <w:szCs w:val="18"/>
                <w:color w:val="auto"/>
              </w:rPr>
              <w:t>Additional Annual Retainer for Lead Independent Director: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8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Additional Annual Retainers for Committee Membership:</w:t>
            </w: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gridSpan w:val="5"/>
          </w:tcPr>
          <w:p>
            <w:pPr>
              <w:spacing w:after="0"/>
              <w:rPr>
                <w:sz w:val="20"/>
                <w:szCs w:val="20"/>
                <w:color w:val="auto"/>
              </w:rPr>
            </w:pPr>
            <w:r>
              <w:rPr>
                <w:rFonts w:ascii="Arial" w:cs="Arial" w:eastAsia="Arial" w:hAnsi="Arial"/>
                <w:sz w:val="18"/>
                <w:szCs w:val="18"/>
                <w:color w:val="auto"/>
              </w:rPr>
              <w:t>Audit Committee Chair: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15,000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0"/>
        </w:trPr>
        <w:tc>
          <w:tcPr>
            <w:tcW w:w="5600" w:type="dxa"/>
            <w:vAlign w:val="bottom"/>
            <w:gridSpan w:val="5"/>
          </w:tcPr>
          <w:p>
            <w:pPr>
              <w:spacing w:after="0"/>
              <w:rPr>
                <w:sz w:val="20"/>
                <w:szCs w:val="20"/>
                <w:color w:val="auto"/>
              </w:rPr>
            </w:pPr>
            <w:r>
              <w:rPr>
                <w:rFonts w:ascii="Arial" w:cs="Arial" w:eastAsia="Arial" w:hAnsi="Arial"/>
                <w:sz w:val="18"/>
                <w:szCs w:val="18"/>
                <w:color w:val="auto"/>
              </w:rPr>
              <w:t>Compensation Committee Chair: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10,000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5600" w:type="dxa"/>
            <w:vAlign w:val="bottom"/>
            <w:gridSpan w:val="5"/>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Chair and committee member retainers are in addition to retainers for members of the Board of Directors. No additional compensation will be paid for attending individual committee meetings of the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Retainers</w:t>
      </w:r>
    </w:p>
    <w:p>
      <w:pPr>
        <w:spacing w:after="0" w:line="121" w:lineRule="exact"/>
        <w:rPr>
          <w:sz w:val="20"/>
          <w:szCs w:val="20"/>
          <w:color w:val="auto"/>
        </w:rPr>
      </w:pPr>
    </w:p>
    <w:p>
      <w:pPr>
        <w:ind w:left="440" w:right="360"/>
        <w:spacing w:after="0" w:line="342" w:lineRule="auto"/>
        <w:rPr>
          <w:sz w:val="20"/>
          <w:szCs w:val="20"/>
          <w:color w:val="auto"/>
        </w:rPr>
      </w:pPr>
      <w:r>
        <w:rPr>
          <w:rFonts w:ascii="Arial" w:cs="Arial" w:eastAsia="Arial" w:hAnsi="Arial"/>
          <w:sz w:val="16"/>
          <w:szCs w:val="16"/>
          <w:u w:val="single" w:color="auto"/>
          <w:color w:val="auto"/>
        </w:rPr>
        <w:t>Initial Award</w:t>
      </w:r>
      <w:r>
        <w:rPr>
          <w:rFonts w:ascii="Arial" w:cs="Arial" w:eastAsia="Arial" w:hAnsi="Arial"/>
          <w:sz w:val="16"/>
          <w:szCs w:val="16"/>
          <w:color w:val="auto"/>
        </w:rPr>
        <w:t>: An initial, one-time stock option award (the “Initial Award”) to purchase 80,000 shares will be granted to each new Outside Director upon his or her election to the Board of Directors, which shall vest in 12 substantially equal monthly installments over one year from</w:t>
      </w:r>
    </w:p>
    <w:p>
      <w:pPr>
        <w:sectPr>
          <w:pgSz w:w="11900" w:h="16838" w:orient="portrait"/>
          <w:cols w:equalWidth="0" w:num="1">
            <w:col w:w="11020"/>
          </w:cols>
          <w:pgMar w:left="440" w:top="125" w:right="439" w:bottom="1440" w:gutter="0" w:footer="0" w:header="0"/>
        </w:sectPr>
      </w:pPr>
    </w:p>
    <w:bookmarkStart w:id="128" w:name="page129"/>
    <w:bookmarkEnd w:id="128"/>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of grant, provided, however, that all vesting shall cease if the director ceases to serve on the Board of Directors, unless the Board of Directors determines that the circumstances warrant continuation of vesting. The Initial Award shall expire not later than ten years from the date of grant, and shall have a per share exercise price equal to the Fair Market Value (as defined in the Company’s 2021 Stock Option and Incentive Plan) of the Company’s common stock on the date of grant. This Initial Award applies only to Outside Directors who are first elected to the Board of Directors subsequent to the Effective Date.</w:t>
      </w:r>
    </w:p>
    <w:p>
      <w:pPr>
        <w:spacing w:after="0" w:line="80" w:lineRule="exact"/>
        <w:rPr>
          <w:sz w:val="20"/>
          <w:szCs w:val="20"/>
          <w:color w:val="auto"/>
        </w:rPr>
      </w:pPr>
    </w:p>
    <w:p>
      <w:pPr>
        <w:ind w:left="440" w:right="40"/>
        <w:spacing w:after="0" w:line="271" w:lineRule="auto"/>
        <w:rPr>
          <w:sz w:val="20"/>
          <w:szCs w:val="20"/>
          <w:color w:val="auto"/>
        </w:rPr>
      </w:pPr>
      <w:r>
        <w:rPr>
          <w:rFonts w:ascii="Arial" w:cs="Arial" w:eastAsia="Arial" w:hAnsi="Arial"/>
          <w:sz w:val="17"/>
          <w:szCs w:val="17"/>
          <w:u w:val="single" w:color="auto"/>
          <w:color w:val="auto"/>
        </w:rPr>
        <w:t>Annual Award</w:t>
      </w:r>
      <w:r>
        <w:rPr>
          <w:rFonts w:ascii="Arial" w:cs="Arial" w:eastAsia="Arial" w:hAnsi="Arial"/>
          <w:sz w:val="17"/>
          <w:szCs w:val="17"/>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40,000 shares; provided, however, that Annual Awards made to Outside Directors who were elected in the 12 months preceding the date of grant of such Annual Awards will be pro-rated on a monthly basis for time in service. The Annual Award shall vest in 36 substantially equal monthly installments over three years from the date of grant provided, however, that all vesting shall cease if the director ceases to serve on the Board of Directors, unless the Board of Directors determines that the circumstances warrant continuation of vesting. Such Annual Award shall expire no later than ten years from the date of grant, and shall have a per share exercise price equal to the Fair Market Value of the Company’s common stock on the date of grant.</w:t>
      </w:r>
    </w:p>
    <w:p>
      <w:pPr>
        <w:spacing w:after="0" w:line="70"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u w:val="single" w:color="auto"/>
          <w:color w:val="auto"/>
        </w:rPr>
        <w:t>Sale Event Acceleration</w:t>
      </w:r>
      <w:r>
        <w:rPr>
          <w:rFonts w:ascii="Arial" w:cs="Arial" w:eastAsia="Arial" w:hAnsi="Arial"/>
          <w:sz w:val="18"/>
          <w:szCs w:val="18"/>
          <w:color w:val="auto"/>
        </w:rPr>
        <w:t>: All outstanding Initial Awards and Annual Awards held by an Outside Director shall become fully vested and exercisable upon a Sale Event (as defined in the Company’s 2021 Stock Option and Incentive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The Company will reimburse all reasonable out-of-pocket expenses incurred by non-employee directors in attending meetings of the Board of Directors or any committee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Maximum Annual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amount of compensation, including both equity compensation and cash compensation, paid by the Company to any Outside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Director in a calendar year for services as an Outside Director period shall not exceed $750,000; provided, however, that such amount shall be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$1,000,000 for the calendar year in which the applicable Outside Director is initially elected or appointed to the Board of Directors; (or such other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limits as may be set forth in Section 3(b) of the Company’s 2021 Stock Option and Incentive Plan or any similar provision of a successor plan).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this purpose, the “amount” of equity compensation paid in a calendar year shall be determined based on the grant date fair value thereof, as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determined in accordance with FASB ASC Topic 718 or its successor provision, but excluding the impact of estimated forfeitures related to</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service-based vesting conditions.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Adopted June 9,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10.9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DIRECTOR INDEMNIFICATION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8"/>
          </w:tcPr>
          <w:p>
            <w:pPr>
              <w:ind w:left="440"/>
              <w:spacing w:after="0"/>
              <w:rPr>
                <w:sz w:val="20"/>
                <w:szCs w:val="20"/>
                <w:color w:val="auto"/>
              </w:rPr>
            </w:pPr>
            <w:r>
              <w:rPr>
                <w:rFonts w:ascii="Arial" w:cs="Arial" w:eastAsia="Arial" w:hAnsi="Arial"/>
                <w:sz w:val="18"/>
                <w:szCs w:val="18"/>
                <w:color w:val="auto"/>
                <w:w w:val="93"/>
              </w:rPr>
              <w:t>This Indemnification Agreement (“Agreement”) is made as of</w:t>
            </w:r>
          </w:p>
        </w:tc>
        <w:tc>
          <w:tcPr>
            <w:tcW w:w="900" w:type="dxa"/>
            <w:vAlign w:val="bottom"/>
          </w:tcPr>
          <w:p>
            <w:pPr>
              <w:spacing w:after="0"/>
              <w:rPr>
                <w:sz w:val="17"/>
                <w:szCs w:val="17"/>
                <w:color w:val="auto"/>
              </w:rPr>
            </w:pPr>
          </w:p>
        </w:tc>
        <w:tc>
          <w:tcPr>
            <w:tcW w:w="5100" w:type="dxa"/>
            <w:vAlign w:val="bottom"/>
          </w:tcPr>
          <w:p>
            <w:pPr>
              <w:ind w:left="40"/>
              <w:spacing w:after="0"/>
              <w:rPr>
                <w:sz w:val="20"/>
                <w:szCs w:val="20"/>
                <w:color w:val="auto"/>
              </w:rPr>
            </w:pPr>
            <w:r>
              <w:rPr>
                <w:rFonts w:ascii="Arial" w:cs="Arial" w:eastAsia="Arial" w:hAnsi="Arial"/>
                <w:sz w:val="18"/>
                <w:szCs w:val="18"/>
                <w:color w:val="auto"/>
                <w:w w:val="89"/>
              </w:rPr>
              <w:t>by and between Tango Therapeutics, Inc., a Delaware corporation (the</w:t>
            </w: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w w:val="94"/>
              </w:rPr>
              <w:t>“Company”), and</w:t>
            </w:r>
          </w:p>
        </w:tc>
        <w:tc>
          <w:tcPr>
            <w:tcW w:w="900" w:type="dxa"/>
            <w:vAlign w:val="bottom"/>
          </w:tcPr>
          <w:p>
            <w:pPr>
              <w:spacing w:after="0"/>
              <w:rPr>
                <w:sz w:val="17"/>
                <w:szCs w:val="17"/>
                <w:color w:val="auto"/>
              </w:rPr>
            </w:pPr>
          </w:p>
        </w:tc>
        <w:tc>
          <w:tcPr>
            <w:tcW w:w="2760" w:type="dxa"/>
            <w:vAlign w:val="bottom"/>
            <w:gridSpan w:val="5"/>
          </w:tcPr>
          <w:p>
            <w:pPr>
              <w:ind w:left="60"/>
              <w:spacing w:after="0" w:line="196" w:lineRule="exact"/>
              <w:rPr>
                <w:sz w:val="20"/>
                <w:szCs w:val="20"/>
                <w:color w:val="auto"/>
              </w:rPr>
            </w:pPr>
            <w:r>
              <w:rPr>
                <w:rFonts w:ascii="Arial" w:cs="Arial" w:eastAsia="Arial" w:hAnsi="Arial"/>
                <w:sz w:val="18"/>
                <w:szCs w:val="18"/>
                <w:color w:val="auto"/>
              </w:rPr>
              <w:t>(“Indemnitee”).</w:t>
            </w:r>
          </w:p>
        </w:tc>
        <w:tc>
          <w:tcPr>
            <w:tcW w:w="900" w:type="dxa"/>
            <w:vAlign w:val="bottom"/>
          </w:tcPr>
          <w:p>
            <w:pPr>
              <w:spacing w:after="0"/>
              <w:rPr>
                <w:sz w:val="17"/>
                <w:szCs w:val="17"/>
                <w:color w:val="auto"/>
              </w:rPr>
            </w:pPr>
          </w:p>
        </w:tc>
        <w:tc>
          <w:tcPr>
            <w:tcW w:w="5100" w:type="dxa"/>
            <w:vAlign w:val="bottom"/>
          </w:tcPr>
          <w:p>
            <w:pPr>
              <w:spacing w:after="0"/>
              <w:rPr>
                <w:sz w:val="17"/>
                <w:szCs w:val="17"/>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attract and retain the services of highly qualified individuals, such as Indemnitee, to serve the Company;</w:t>
      </w:r>
    </w:p>
    <w:p>
      <w:pPr>
        <w:spacing w:after="0" w:line="24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70"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WHEREAS, the Amended and Restated Certificate of Incorporation (as amended and in effect from time to time, the “</w:t>
      </w:r>
      <w:r>
        <w:rPr>
          <w:rFonts w:ascii="Arial" w:cs="Arial" w:eastAsia="Arial" w:hAnsi="Arial"/>
          <w:sz w:val="16"/>
          <w:szCs w:val="16"/>
          <w:u w:val="single" w:color="auto"/>
          <w:color w:val="auto"/>
        </w:rPr>
        <w:t>Charter</w:t>
      </w:r>
      <w:r>
        <w:rPr>
          <w:rFonts w:ascii="Arial" w:cs="Arial" w:eastAsia="Arial" w:hAnsi="Arial"/>
          <w:sz w:val="16"/>
          <w:szCs w:val="16"/>
          <w:color w:val="auto"/>
        </w:rPr>
        <w:t>”) and the Amended and Restated Bylaws (as amended and in effect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4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the increased difficulty in attracting and retaining highly qualified persons such as Indemnitee is detrimental to the best interests of the Company’s stockholders;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2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[WHEREAS, Indemnitee has certain rights to indemnification and/or insurance provided by [•] which Indemnitee and [•] intend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ectPr>
          <w:pgSz w:w="11900" w:h="16838" w:orient="portrait"/>
          <w:cols w:equalWidth="0" w:num="1">
            <w:col w:w="11020"/>
          </w:cols>
          <w:pgMar w:left="440" w:top="125" w:right="439" w:bottom="1440" w:gutter="0" w:footer="0" w:header="0"/>
        </w:sectPr>
      </w:pPr>
    </w:p>
    <w:bookmarkStart w:id="130" w:name="page131"/>
    <w:bookmarkEnd w:id="130"/>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premises and the covenants contained herein, the Company and Indemnitee do hereby covenant and agree as follows:</w:t>
      </w:r>
    </w:p>
    <w:p>
      <w:pPr>
        <w:spacing w:after="0" w:line="170" w:lineRule="exact"/>
        <w:rPr>
          <w:sz w:val="20"/>
          <w:szCs w:val="20"/>
          <w:color w:val="auto"/>
        </w:rPr>
      </w:pPr>
    </w:p>
    <w:p>
      <w:pPr>
        <w:jc w:val="both"/>
        <w:ind w:right="34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right="100" w:firstLine="987"/>
        <w:spacing w:after="0" w:line="259" w:lineRule="auto"/>
        <w:tabs>
          <w:tab w:leader="none" w:pos="12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and “Associate</w:t>
      </w:r>
      <w:r>
        <w:rPr>
          <w:rFonts w:ascii="Arial" w:cs="Arial" w:eastAsia="Arial" w:hAnsi="Arial"/>
          <w:sz w:val="18"/>
          <w:szCs w:val="18"/>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Person shall be deemed the “Beneficial Owner” of, and shall be deemed to “Beneficially Own” and have “Beneficial Ownership”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securities:</w:t>
      </w:r>
    </w:p>
    <w:p>
      <w:pPr>
        <w:spacing w:after="0" w:line="211" w:lineRule="exact"/>
        <w:rPr>
          <w:sz w:val="20"/>
          <w:szCs w:val="20"/>
          <w:color w:val="auto"/>
        </w:rPr>
      </w:pPr>
    </w:p>
    <w:p>
      <w:pPr>
        <w:ind w:right="20" w:firstLine="987"/>
        <w:spacing w:after="0" w:line="277" w:lineRule="auto"/>
        <w:tabs>
          <w:tab w:leader="none" w:pos="120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70" w:lineRule="exact"/>
        <w:rPr>
          <w:rFonts w:ascii="Arial" w:cs="Arial" w:eastAsia="Arial" w:hAnsi="Arial"/>
          <w:sz w:val="18"/>
          <w:szCs w:val="18"/>
          <w:color w:val="auto"/>
        </w:rPr>
      </w:pPr>
    </w:p>
    <w:p>
      <w:pPr>
        <w:ind w:firstLine="987"/>
        <w:spacing w:after="0" w:line="254" w:lineRule="auto"/>
        <w:tabs>
          <w:tab w:leader="none" w:pos="125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Arial" w:cs="Arial" w:eastAsia="Arial" w:hAnsi="Arial"/>
          <w:sz w:val="18"/>
          <w:szCs w:val="18"/>
          <w:i w:val="1"/>
          <w:iCs w:val="1"/>
          <w:color w:val="auto"/>
        </w:rPr>
        <w:t>bona fid</w:t>
      </w:r>
      <w:r>
        <w:rPr>
          <w:rFonts w:ascii="Arial" w:cs="Arial" w:eastAsia="Arial" w:hAnsi="Arial"/>
          <w:sz w:val="18"/>
          <w:szCs w:val="18"/>
          <w:color w:val="auto"/>
        </w:rPr>
        <w:t>e public offering of securities);</w:t>
      </w:r>
    </w:p>
    <w:p>
      <w:pPr>
        <w:spacing w:after="0" w:line="194" w:lineRule="exact"/>
        <w:rPr>
          <w:rFonts w:ascii="Arial" w:cs="Arial" w:eastAsia="Arial" w:hAnsi="Arial"/>
          <w:sz w:val="18"/>
          <w:szCs w:val="18"/>
          <w:color w:val="auto"/>
        </w:rPr>
      </w:pPr>
    </w:p>
    <w:p>
      <w:pPr>
        <w:ind w:right="420" w:firstLine="987"/>
        <w:spacing w:after="0" w:line="259" w:lineRule="auto"/>
        <w:tabs>
          <w:tab w:leader="none" w:pos="130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public offering of securities) for the purpose of acquiring, holding, voting or disposing of any securities of the Company;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1" w:name="page132"/>
    <w:bookmarkEnd w:id="131"/>
    <w:p>
      <w:pPr>
        <w:ind w:firstLine="987"/>
        <w:spacing w:after="0" w:line="290" w:lineRule="auto"/>
        <w:tabs>
          <w:tab w:leader="none" w:pos="1296"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65"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 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ind w:right="140" w:firstLine="987"/>
        <w:spacing w:after="0" w:line="255" w:lineRule="auto"/>
        <w:tabs>
          <w:tab w:leader="none" w:pos="120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Acquisition of Stock by Third Party</w:t>
      </w:r>
      <w:r>
        <w:rPr>
          <w:rFonts w:ascii="Arial" w:cs="Arial" w:eastAsia="Arial" w:hAnsi="Arial"/>
          <w:sz w:val="18"/>
          <w:szCs w:val="18"/>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92" w:lineRule="exact"/>
        <w:rPr>
          <w:rFonts w:ascii="Arial" w:cs="Arial" w:eastAsia="Arial" w:hAnsi="Arial"/>
          <w:sz w:val="18"/>
          <w:szCs w:val="18"/>
          <w:color w:val="auto"/>
        </w:rPr>
      </w:pPr>
    </w:p>
    <w:p>
      <w:pPr>
        <w:ind w:right="160" w:firstLine="987"/>
        <w:spacing w:after="0" w:line="255" w:lineRule="auto"/>
        <w:tabs>
          <w:tab w:leader="none" w:pos="125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92" w:lineRule="exact"/>
        <w:rPr>
          <w:rFonts w:ascii="Arial" w:cs="Arial" w:eastAsia="Arial" w:hAnsi="Arial"/>
          <w:sz w:val="18"/>
          <w:szCs w:val="18"/>
          <w:color w:val="auto"/>
        </w:rPr>
      </w:pPr>
    </w:p>
    <w:p>
      <w:pPr>
        <w:ind w:right="140" w:firstLine="987"/>
        <w:spacing w:after="0" w:line="308" w:lineRule="auto"/>
        <w:tabs>
          <w:tab w:leader="none" w:pos="130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or consolidation of the Company with any other entity, other than a merger or consolidation which would result in the voting securities of the Company outstanding immediately prior to such merger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32" w:name="page133"/>
    <w:bookmarkEnd w:id="132"/>
    <w:p>
      <w:pPr>
        <w:jc w:val="both"/>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49" w:lineRule="exact"/>
        <w:rPr>
          <w:sz w:val="20"/>
          <w:szCs w:val="20"/>
          <w:color w:val="auto"/>
        </w:rPr>
      </w:pPr>
    </w:p>
    <w:p>
      <w:pPr>
        <w:ind w:firstLine="987"/>
        <w:spacing w:after="0" w:line="342" w:lineRule="auto"/>
        <w:tabs>
          <w:tab w:leader="none" w:pos="1296"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23" w:lineRule="exact"/>
        <w:rPr>
          <w:rFonts w:ascii="Arial" w:cs="Arial" w:eastAsia="Arial" w:hAnsi="Arial"/>
          <w:sz w:val="16"/>
          <w:szCs w:val="16"/>
          <w:color w:val="auto"/>
        </w:rPr>
      </w:pPr>
    </w:p>
    <w:p>
      <w:pPr>
        <w:ind w:right="80" w:firstLine="987"/>
        <w:spacing w:after="0" w:line="263" w:lineRule="auto"/>
        <w:tabs>
          <w:tab w:leader="none" w:pos="1246"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p>
    <w:p>
      <w:pPr>
        <w:spacing w:after="0" w:line="184" w:lineRule="exact"/>
        <w:rPr>
          <w:sz w:val="20"/>
          <w:szCs w:val="20"/>
          <w:color w:val="auto"/>
        </w:rPr>
      </w:pPr>
    </w:p>
    <w:p>
      <w:pPr>
        <w:ind w:right="560" w:firstLine="987"/>
        <w:spacing w:after="0" w:line="342" w:lineRule="auto"/>
        <w:tabs>
          <w:tab w:leader="none" w:pos="124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123" w:lineRule="exact"/>
        <w:rPr>
          <w:rFonts w:ascii="Arial" w:cs="Arial" w:eastAsia="Arial" w:hAnsi="Arial"/>
          <w:sz w:val="16"/>
          <w:szCs w:val="16"/>
          <w:color w:val="auto"/>
        </w:rPr>
      </w:pPr>
    </w:p>
    <w:p>
      <w:pPr>
        <w:ind w:right="40" w:firstLine="987"/>
        <w:spacing w:after="0" w:line="259" w:lineRule="auto"/>
        <w:tabs>
          <w:tab w:leader="none" w:pos="12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86" w:lineRule="exact"/>
        <w:rPr>
          <w:rFonts w:ascii="Arial" w:cs="Arial" w:eastAsia="Arial" w:hAnsi="Arial"/>
          <w:sz w:val="18"/>
          <w:szCs w:val="18"/>
          <w:color w:val="auto"/>
        </w:rPr>
      </w:pPr>
    </w:p>
    <w:p>
      <w:pPr>
        <w:jc w:val="both"/>
        <w:ind w:right="360" w:firstLine="987"/>
        <w:spacing w:after="0" w:line="263" w:lineRule="auto"/>
        <w:tabs>
          <w:tab w:leader="none" w:pos="12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83"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76" w:lineRule="exact"/>
        <w:rPr>
          <w:rFonts w:ascii="Arial" w:cs="Arial" w:eastAsia="Arial" w:hAnsi="Arial"/>
          <w:sz w:val="17"/>
          <w:szCs w:val="17"/>
          <w:color w:val="auto"/>
        </w:rPr>
      </w:pPr>
    </w:p>
    <w:p>
      <w:pPr>
        <w:ind w:firstLine="987"/>
        <w:spacing w:after="0" w:line="263" w:lineRule="auto"/>
        <w:tabs>
          <w:tab w:leader="none" w:pos="12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Counsel</w:t>
      </w:r>
      <w:r>
        <w:rPr>
          <w:rFonts w:ascii="Arial" w:cs="Arial" w:eastAsia="Arial" w:hAnsi="Arial"/>
          <w:sz w:val="18"/>
          <w:szCs w:val="18"/>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33" w:name="page134"/>
    <w:bookmarkEnd w:id="133"/>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61" w:lineRule="exact"/>
        <w:rPr>
          <w:sz w:val="20"/>
          <w:szCs w:val="20"/>
          <w:color w:val="auto"/>
        </w:rPr>
      </w:pPr>
    </w:p>
    <w:p>
      <w:pPr>
        <w:jc w:val="both"/>
        <w:ind w:right="80" w:firstLine="987"/>
        <w:spacing w:after="0" w:line="259" w:lineRule="auto"/>
        <w:tabs>
          <w:tab w:leader="none" w:pos="120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186" w:lineRule="exact"/>
        <w:rPr>
          <w:rFonts w:ascii="Arial" w:cs="Arial" w:eastAsia="Arial" w:hAnsi="Arial"/>
          <w:sz w:val="18"/>
          <w:szCs w:val="18"/>
          <w:color w:val="auto"/>
        </w:rPr>
      </w:pPr>
    </w:p>
    <w:p>
      <w:pPr>
        <w:ind w:right="60" w:firstLine="987"/>
        <w:spacing w:after="0" w:line="269" w:lineRule="auto"/>
        <w:tabs>
          <w:tab w:leader="none" w:pos="120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“Proceeding” shall not include any action, suit or arbitration, or part thereof, initiated by Indemnitee to enforce Indemnitee’s rights under this Agreement as provided for in Section 12(a) of this Agreement.</w:t>
      </w:r>
    </w:p>
    <w:p>
      <w:pPr>
        <w:spacing w:after="0" w:line="18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Indemnity in Third-Party Proceedings</w:t>
      </w:r>
      <w:r>
        <w:rPr>
          <w:rFonts w:ascii="Arial" w:cs="Arial" w:eastAsia="Arial" w:hAnsi="Arial"/>
          <w:sz w:val="16"/>
          <w:szCs w:val="16"/>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64"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Indemnity in Proceedings by or in the Right of the Company</w:t>
      </w:r>
      <w:r>
        <w:rPr>
          <w:rFonts w:ascii="Arial" w:cs="Arial" w:eastAsia="Arial" w:hAnsi="Arial"/>
          <w:sz w:val="17"/>
          <w:szCs w:val="17"/>
          <w:color w:val="auto"/>
        </w:rPr>
        <w:t>. The Company shall indemnify Indemnitee to the extent set forth in this Section 4 if Indemnitee is, or is threatened to be made, a party to or a participant in any Proceeding by or in the right of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34" w:name="page135"/>
    <w:bookmarkEnd w:id="13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7"/>
          <w:szCs w:val="17"/>
          <w:u w:val="single" w:color="auto"/>
          <w:color w:val="auto"/>
        </w:rPr>
        <w:t>Delaware Court</w:t>
      </w:r>
      <w:r>
        <w:rPr>
          <w:rFonts w:ascii="Arial" w:cs="Arial" w:eastAsia="Arial" w:hAnsi="Arial"/>
          <w:sz w:val="17"/>
          <w:szCs w:val="17"/>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7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Reimbursement for Expenses of a Witness or in Response to a Subpoena</w:t>
      </w:r>
      <w:r>
        <w:rPr>
          <w:rFonts w:ascii="Arial" w:cs="Arial" w:eastAsia="Arial" w:hAnsi="Arial"/>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to the contrary, the Company shall not be obligated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987"/>
        <w:spacing w:after="0" w:line="259" w:lineRule="auto"/>
        <w:tabs>
          <w:tab w:leader="none" w:pos="12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[i] apply to any personal or umbrella liability insurance maintained by Indemnitee, [or, (ii) affect the rights of Indemnitee or the Fund Indemnitors as set forth in Section 13(c)];</w:t>
      </w:r>
    </w:p>
    <w:p>
      <w:pPr>
        <w:spacing w:after="0" w:line="186" w:lineRule="exact"/>
        <w:rPr>
          <w:rFonts w:ascii="Arial" w:cs="Arial" w:eastAsia="Arial" w:hAnsi="Arial"/>
          <w:sz w:val="18"/>
          <w:szCs w:val="18"/>
          <w:color w:val="auto"/>
        </w:rPr>
      </w:pPr>
    </w:p>
    <w:p>
      <w:pPr>
        <w:ind w:right="320" w:firstLine="987"/>
        <w:spacing w:after="0" w:line="311" w:lineRule="auto"/>
        <w:tabs>
          <w:tab w:leader="none" w:pos="124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(“SOX”);</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5" w:name="page136"/>
    <w:bookmarkEnd w:id="135"/>
    <w:p>
      <w:pPr>
        <w:jc w:val="both"/>
        <w:ind w:left="4" w:right="360" w:firstLine="987"/>
        <w:spacing w:after="0" w:line="291" w:lineRule="auto"/>
        <w:tabs>
          <w:tab w:leader="none" w:pos="1240" w:val="left"/>
        </w:tabs>
        <w:numPr>
          <w:ilvl w:val="1"/>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indemnify with respect to any Proceeding, or part thereof, brought by Indemnitee against the Company, any legal entity which it controls, any director or officer thereof or any third party, unless (i) the Board has consented to the initiation of such Proceeding or part thereof and</w:t>
      </w:r>
    </w:p>
    <w:p>
      <w:pPr>
        <w:ind w:left="4" w:right="140" w:hanging="4"/>
        <w:spacing w:after="0" w:line="253" w:lineRule="auto"/>
        <w:tabs>
          <w:tab w:leader="none" w:pos="26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90" w:lineRule="exact"/>
        <w:rPr>
          <w:rFonts w:ascii="Arial" w:cs="Arial" w:eastAsia="Arial" w:hAnsi="Arial"/>
          <w:sz w:val="18"/>
          <w:szCs w:val="18"/>
          <w:color w:val="auto"/>
        </w:rPr>
      </w:pPr>
    </w:p>
    <w:p>
      <w:pPr>
        <w:ind w:left="4" w:right="20" w:firstLine="987"/>
        <w:spacing w:after="0" w:line="277" w:lineRule="auto"/>
        <w:tabs>
          <w:tab w:leader="none" w:pos="125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to provide any indemnification or advancement of expenses that is prohibited by applicable law (as such law exists at the time payment would otherwise be required pursuant to this Agreement).</w:t>
      </w:r>
    </w:p>
    <w:p>
      <w:pPr>
        <w:spacing w:after="0" w:line="170"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the Expenses incurred by Indemnitee in connection with any Proceeding, and such advancement shall be made within forty five (45)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225" w:lineRule="exact"/>
        <w:rPr>
          <w:sz w:val="20"/>
          <w:szCs w:val="20"/>
          <w:color w:val="auto"/>
        </w:rPr>
      </w:pPr>
    </w:p>
    <w:p>
      <w:pPr>
        <w:jc w:val="both"/>
        <w:ind w:left="4" w:right="300" w:firstLine="987"/>
        <w:spacing w:after="0" w:line="263" w:lineRule="auto"/>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36" w:name="page137"/>
    <w:bookmarkEnd w:id="136"/>
    <w:p>
      <w:pPr>
        <w:ind w:left="4" w:firstLine="987"/>
        <w:spacing w:after="0" w:line="284" w:lineRule="auto"/>
        <w:tabs>
          <w:tab w:leader="none" w:pos="1250" w:val="left"/>
        </w:tabs>
        <w:numPr>
          <w:ilvl w:val="1"/>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w:t>
      </w:r>
    </w:p>
    <w:p>
      <w:pPr>
        <w:spacing w:after="0" w:line="2" w:lineRule="exact"/>
        <w:rPr>
          <w:rFonts w:ascii="Arial" w:cs="Arial" w:eastAsia="Arial" w:hAnsi="Arial"/>
          <w:sz w:val="16"/>
          <w:szCs w:val="16"/>
          <w:color w:val="auto"/>
        </w:rPr>
      </w:pPr>
    </w:p>
    <w:p>
      <w:pPr>
        <w:ind w:left="4" w:right="40" w:hanging="4"/>
        <w:spacing w:after="0" w:line="302" w:lineRule="auto"/>
        <w:tabs>
          <w:tab w:leader="none" w:pos="28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55" w:lineRule="exact"/>
        <w:rPr>
          <w:rFonts w:ascii="Arial" w:cs="Arial" w:eastAsia="Arial" w:hAnsi="Arial"/>
          <w:sz w:val="16"/>
          <w:szCs w:val="16"/>
          <w:color w:val="auto"/>
        </w:rPr>
      </w:pPr>
    </w:p>
    <w:p>
      <w:pPr>
        <w:ind w:left="4" w:firstLine="987"/>
        <w:spacing w:after="0" w:line="277" w:lineRule="auto"/>
        <w:tabs>
          <w:tab w:leader="none" w:pos="12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 the event that the Company does not assume the defense in a Proceeding pursuant to paragraph (b) above, then the Company will be entitled to participate in the Proceeding at its own expense.</w:t>
      </w:r>
    </w:p>
    <w:p>
      <w:pPr>
        <w:spacing w:after="0" w:line="170" w:lineRule="exact"/>
        <w:rPr>
          <w:rFonts w:ascii="Arial" w:cs="Arial" w:eastAsia="Arial" w:hAnsi="Arial"/>
          <w:sz w:val="18"/>
          <w:szCs w:val="18"/>
          <w:color w:val="auto"/>
        </w:rPr>
      </w:pPr>
    </w:p>
    <w:p>
      <w:pPr>
        <w:ind w:left="4" w:right="20" w:firstLine="987"/>
        <w:spacing w:after="0" w:line="289" w:lineRule="auto"/>
        <w:tabs>
          <w:tab w:leader="none" w:pos="125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96" w:lineRule="auto"/>
        <w:tabs>
          <w:tab w:leader="none" w:pos="12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4" w:right="519" w:bottom="1440" w:gutter="0" w:footer="0" w:header="0"/>
        </w:sectPr>
      </w:pPr>
    </w:p>
    <w:bookmarkStart w:id="137" w:name="page138"/>
    <w:bookmarkEnd w:id="137"/>
    <w:p>
      <w:pPr>
        <w:ind w:left="4"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forty-five (45)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84" w:lineRule="exact"/>
        <w:rPr>
          <w:sz w:val="20"/>
          <w:szCs w:val="20"/>
          <w:color w:val="auto"/>
        </w:rPr>
      </w:pPr>
    </w:p>
    <w:p>
      <w:pPr>
        <w:ind w:left="4" w:firstLine="987"/>
        <w:spacing w:after="0" w:line="284" w:lineRule="auto"/>
        <w:tabs>
          <w:tab w:leader="none" w:pos="125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w:t>
      </w:r>
    </w:p>
    <w:p>
      <w:pPr>
        <w:ind w:left="4" w:right="60" w:hanging="4"/>
        <w:spacing w:after="0" w:line="288" w:lineRule="auto"/>
        <w:tabs>
          <w:tab w:leader="none" w:pos="21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38" w:name="page139"/>
    <w:bookmarkEnd w:id="138"/>
    <w:p>
      <w:pPr>
        <w:jc w:val="both"/>
        <w:ind w:firstLine="987"/>
        <w:spacing w:after="0" w:line="279" w:lineRule="auto"/>
        <w:tabs>
          <w:tab w:leader="none" w:pos="1236" w:val="left"/>
        </w:tabs>
        <w:numPr>
          <w:ilvl w:val="0"/>
          <w:numId w:val="1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79" w:lineRule="auto"/>
        <w:tabs>
          <w:tab w:leader="none" w:pos="123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71" w:lineRule="exact"/>
        <w:rPr>
          <w:rFonts w:ascii="Arial" w:cs="Arial" w:eastAsia="Arial" w:hAnsi="Arial"/>
          <w:sz w:val="17"/>
          <w:szCs w:val="17"/>
          <w:color w:val="auto"/>
        </w:rPr>
      </w:pPr>
    </w:p>
    <w:p>
      <w:pPr>
        <w:ind w:right="20" w:firstLine="987"/>
        <w:spacing w:after="0" w:line="257" w:lineRule="auto"/>
        <w:tabs>
          <w:tab w:leader="none" w:pos="12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guilty,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ind w:right="140" w:firstLine="987"/>
        <w:spacing w:after="0" w:line="269" w:lineRule="auto"/>
        <w:tabs>
          <w:tab w:leader="none" w:pos="123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9" w:name="page140"/>
    <w:bookmarkEnd w:id="1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6" w:lineRule="auto"/>
        <w:tabs>
          <w:tab w:leader="none" w:pos="123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forty-five (45)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forty-five (45)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70" w:lineRule="exact"/>
        <w:rPr>
          <w:rFonts w:ascii="Arial" w:cs="Arial" w:eastAsia="Arial" w:hAnsi="Arial"/>
          <w:sz w:val="16"/>
          <w:szCs w:val="16"/>
          <w:color w:val="auto"/>
        </w:rPr>
      </w:pPr>
    </w:p>
    <w:p>
      <w:pPr>
        <w:ind w:right="60" w:firstLine="987"/>
        <w:spacing w:after="0" w:line="257" w:lineRule="auto"/>
        <w:tabs>
          <w:tab w:leader="none" w:pos="12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87" w:lineRule="exact"/>
        <w:rPr>
          <w:rFonts w:ascii="Arial" w:cs="Arial" w:eastAsia="Arial" w:hAnsi="Arial"/>
          <w:sz w:val="18"/>
          <w:szCs w:val="18"/>
          <w:color w:val="auto"/>
        </w:rPr>
      </w:pPr>
    </w:p>
    <w:p>
      <w:pPr>
        <w:ind w:right="80" w:firstLine="987"/>
        <w:spacing w:after="0" w:line="279" w:lineRule="auto"/>
        <w:tabs>
          <w:tab w:leader="none" w:pos="123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right="200" w:firstLine="987"/>
        <w:spacing w:after="0" w:line="263" w:lineRule="auto"/>
        <w:tabs>
          <w:tab w:leader="none" w:pos="124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440" w:firstLine="987"/>
        <w:spacing w:after="0" w:line="263" w:lineRule="auto"/>
        <w:tabs>
          <w:tab w:leader="none" w:pos="123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shall indemnify Indemnitee to the fullest extent permitted by law against any and all Enforcement Expenses and, if requested by Indemnitee, shall (within forty-five (45) days after receipt by the Company of a written request therefor) advance, to the extent not prohibited by law, such Enforcement Expenses to Indemnitee, which are incurred 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0" w:name="page141"/>
    <w:bookmarkEnd w:id="140"/>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76" w:lineRule="exact"/>
        <w:rPr>
          <w:sz w:val="20"/>
          <w:szCs w:val="20"/>
          <w:color w:val="auto"/>
        </w:rPr>
      </w:pPr>
    </w:p>
    <w:p>
      <w:pPr>
        <w:ind w:right="820" w:firstLine="987"/>
        <w:spacing w:after="0" w:line="277" w:lineRule="auto"/>
        <w:tabs>
          <w:tab w:leader="none" w:pos="121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5" w:lineRule="exact"/>
        <w:rPr>
          <w:rFonts w:ascii="Arial" w:cs="Arial" w:eastAsia="Arial" w:hAnsi="Arial"/>
          <w:sz w:val="17"/>
          <w:szCs w:val="17"/>
          <w:color w:val="auto"/>
        </w:rPr>
      </w:pPr>
    </w:p>
    <w:p>
      <w:pPr>
        <w:ind w:firstLine="987"/>
        <w:spacing w:after="0" w:line="269" w:lineRule="auto"/>
        <w:tabs>
          <w:tab w:leader="none" w:pos="124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41" w:name="page142"/>
    <w:bookmarkEnd w:id="141"/>
    <w:p>
      <w:pPr>
        <w:ind w:right="60" w:firstLine="987"/>
        <w:spacing w:after="0" w:line="287" w:lineRule="auto"/>
        <w:tabs>
          <w:tab w:leader="none" w:pos="1236"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acknowledges that Indemnitee has certain rights to indemnification, advancement of expenses and/or insurance provided by [•] and certain of its affiliates (collectively, the “</w:t>
      </w:r>
      <w:r>
        <w:rPr>
          <w:rFonts w:ascii="Arial" w:cs="Arial" w:eastAsia="Arial" w:hAnsi="Arial"/>
          <w:sz w:val="16"/>
          <w:szCs w:val="16"/>
          <w:u w:val="single" w:color="auto"/>
          <w:color w:val="auto"/>
        </w:rPr>
        <w:t>Fund Indemnitors</w:t>
      </w:r>
      <w:r>
        <w:rPr>
          <w:rFonts w:ascii="Arial" w:cs="Arial" w:eastAsia="Arial" w:hAnsi="Arial"/>
          <w:sz w:val="16"/>
          <w:szCs w:val="16"/>
          <w:color w:val="auto"/>
        </w:rPr>
        <w:t>”).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p>
    <w:p>
      <w:pPr>
        <w:spacing w:after="0" w:line="167" w:lineRule="exact"/>
        <w:rPr>
          <w:rFonts w:ascii="Arial" w:cs="Arial" w:eastAsia="Arial" w:hAnsi="Arial"/>
          <w:sz w:val="16"/>
          <w:szCs w:val="16"/>
          <w:color w:val="auto"/>
        </w:rPr>
      </w:pPr>
    </w:p>
    <w:p>
      <w:pPr>
        <w:ind w:firstLine="987"/>
        <w:spacing w:after="0" w:line="259" w:lineRule="auto"/>
        <w:tabs>
          <w:tab w:leader="none" w:pos="124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86" w:lineRule="exact"/>
        <w:rPr>
          <w:rFonts w:ascii="Arial" w:cs="Arial" w:eastAsia="Arial" w:hAnsi="Arial"/>
          <w:sz w:val="18"/>
          <w:szCs w:val="18"/>
          <w:color w:val="auto"/>
        </w:rPr>
      </w:pPr>
    </w:p>
    <w:p>
      <w:pPr>
        <w:ind w:right="280" w:firstLine="987"/>
        <w:spacing w:after="0" w:line="311" w:lineRule="auto"/>
        <w:tabs>
          <w:tab w:leader="none" w:pos="123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49"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Duration of Agreement</w:t>
      </w:r>
      <w:r>
        <w:rPr>
          <w:rFonts w:ascii="Arial" w:cs="Arial" w:eastAsia="Arial" w:hAnsi="Arial"/>
          <w:sz w:val="16"/>
          <w:szCs w:val="16"/>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42" w:name="page143"/>
    <w:bookmarkEnd w:id="142"/>
    <w:p>
      <w:pPr>
        <w:ind w:left="4"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left="4" w:right="160" w:hanging="4"/>
        <w:spacing w:after="0" w:line="255" w:lineRule="auto"/>
        <w:tabs>
          <w:tab w:leader="none" w:pos="24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ind w:left="4" w:right="60" w:firstLine="987"/>
        <w:spacing w:after="0" w:line="263" w:lineRule="auto"/>
        <w:tabs>
          <w:tab w:leader="none" w:pos="12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183" w:lineRule="exact"/>
        <w:rPr>
          <w:rFonts w:ascii="Arial" w:cs="Arial" w:eastAsia="Arial" w:hAnsi="Arial"/>
          <w:sz w:val="18"/>
          <w:szCs w:val="18"/>
          <w:color w:val="auto"/>
        </w:rPr>
      </w:pPr>
    </w:p>
    <w:p>
      <w:pPr>
        <w:jc w:val="both"/>
        <w:ind w:left="4" w:right="20" w:firstLine="987"/>
        <w:spacing w:after="0" w:line="259" w:lineRule="auto"/>
        <w:tabs>
          <w:tab w:leader="none" w:pos="125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87"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8"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143" w:name="page144"/>
    <w:bookmarkEnd w:id="143"/>
    <w:p>
      <w:pPr>
        <w:ind w:left="4" w:right="2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ind w:left="4" w:hanging="4"/>
        <w:spacing w:after="0" w:line="255" w:lineRule="auto"/>
        <w:tabs>
          <w:tab w:leader="none" w:pos="26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216" w:lineRule="exact"/>
        <w:rPr>
          <w:rFonts w:ascii="Arial" w:cs="Arial" w:eastAsia="Arial" w:hAnsi="Arial"/>
          <w:sz w:val="18"/>
          <w:szCs w:val="18"/>
          <w:color w:val="auto"/>
        </w:rPr>
      </w:pPr>
    </w:p>
    <w:p>
      <w:pPr>
        <w:ind w:left="1424" w:hanging="439"/>
        <w:spacing w:after="0"/>
        <w:tabs>
          <w:tab w:leader="none" w:pos="142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to Indemnitee, at such address as Indemnitee shall provide to the Company.</w:t>
      </w:r>
    </w:p>
    <w:p>
      <w:pPr>
        <w:spacing w:after="0" w:line="252" w:lineRule="exact"/>
        <w:rPr>
          <w:rFonts w:ascii="Arial" w:cs="Arial" w:eastAsia="Arial" w:hAnsi="Arial"/>
          <w:sz w:val="18"/>
          <w:szCs w:val="18"/>
          <w:color w:val="auto"/>
        </w:rPr>
      </w:pPr>
    </w:p>
    <w:p>
      <w:pPr>
        <w:ind w:left="1424" w:hanging="439"/>
        <w:spacing w:after="0"/>
        <w:tabs>
          <w:tab w:leader="none" w:pos="142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Tango Therapeutics</w:t>
      </w:r>
    </w:p>
    <w:p>
      <w:pPr>
        <w:spacing w:after="0" w:line="23" w:lineRule="exact"/>
        <w:rPr>
          <w:rFonts w:ascii="Arial" w:cs="Arial" w:eastAsia="Arial" w:hAnsi="Arial"/>
          <w:sz w:val="18"/>
          <w:szCs w:val="18"/>
          <w:color w:val="auto"/>
        </w:rPr>
      </w:pPr>
    </w:p>
    <w:p>
      <w:pPr>
        <w:ind w:left="1424" w:right="7020"/>
        <w:spacing w:after="0" w:line="277" w:lineRule="auto"/>
        <w:rPr>
          <w:rFonts w:ascii="Arial" w:cs="Arial" w:eastAsia="Arial" w:hAnsi="Arial"/>
          <w:sz w:val="18"/>
          <w:szCs w:val="18"/>
          <w:color w:val="auto"/>
        </w:rPr>
      </w:pPr>
      <w:r>
        <w:rPr>
          <w:rFonts w:ascii="Arial" w:cs="Arial" w:eastAsia="Arial" w:hAnsi="Arial"/>
          <w:sz w:val="17"/>
          <w:szCs w:val="17"/>
          <w:color w:val="auto"/>
        </w:rPr>
        <w:t>100 Binney Street, Suite 700 Cambridge, MA 02142 Attention: Chief Executive Officer</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64"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Internal Revenue Code Section 409A</w:t>
      </w:r>
      <w:r>
        <w:rPr>
          <w:rFonts w:ascii="Arial" w:cs="Arial" w:eastAsia="Arial" w:hAnsi="Arial"/>
          <w:sz w:val="17"/>
          <w:szCs w:val="17"/>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78"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Applicable Law and Consent to Jurisdiction</w:t>
      </w:r>
      <w:r>
        <w:rPr>
          <w:rFonts w:ascii="Arial" w:cs="Arial" w:eastAsia="Arial" w:hAnsi="Arial"/>
          <w:sz w:val="18"/>
          <w:szCs w:val="18"/>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4" w:right="519" w:bottom="1440" w:gutter="0" w:footer="0" w:header="0"/>
        </w:sectPr>
      </w:pPr>
    </w:p>
    <w:bookmarkStart w:id="144" w:name="page145"/>
    <w:bookmarkEnd w:id="14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Monetary Damages Insufficient/Specific Enforcement</w:t>
      </w:r>
      <w:r>
        <w:rPr>
          <w:rFonts w:ascii="Arial" w:cs="Arial" w:eastAsia="Arial" w:hAnsi="Arial"/>
          <w:sz w:val="17"/>
          <w:szCs w:val="17"/>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-130175</wp:posOffset>
            </wp:positionV>
            <wp:extent cx="25628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580"/>
          </w:cols>
          <w:pgMar w:left="880" w:top="274"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10.10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OFFICER INDEMNIFICATION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880" w:type="dxa"/>
            <w:vAlign w:val="bottom"/>
            <w:gridSpan w:val="8"/>
          </w:tcPr>
          <w:p>
            <w:pPr>
              <w:ind w:left="360"/>
              <w:spacing w:after="0"/>
              <w:rPr>
                <w:sz w:val="20"/>
                <w:szCs w:val="20"/>
                <w:color w:val="auto"/>
              </w:rPr>
            </w:pPr>
            <w:r>
              <w:rPr>
                <w:rFonts w:ascii="Arial" w:cs="Arial" w:eastAsia="Arial" w:hAnsi="Arial"/>
                <w:sz w:val="18"/>
                <w:szCs w:val="18"/>
                <w:color w:val="auto"/>
                <w:w w:val="93"/>
              </w:rPr>
              <w:t>This Indemnification Agreement (“Agreement”) is made as of</w:t>
            </w:r>
          </w:p>
        </w:tc>
        <w:tc>
          <w:tcPr>
            <w:tcW w:w="900" w:type="dxa"/>
            <w:vAlign w:val="bottom"/>
          </w:tcPr>
          <w:p>
            <w:pPr>
              <w:spacing w:after="0"/>
              <w:rPr>
                <w:sz w:val="17"/>
                <w:szCs w:val="17"/>
                <w:color w:val="auto"/>
              </w:rPr>
            </w:pPr>
          </w:p>
        </w:tc>
        <w:tc>
          <w:tcPr>
            <w:tcW w:w="5100" w:type="dxa"/>
            <w:vAlign w:val="bottom"/>
          </w:tcPr>
          <w:p>
            <w:pPr>
              <w:ind w:left="40"/>
              <w:spacing w:after="0"/>
              <w:rPr>
                <w:sz w:val="20"/>
                <w:szCs w:val="20"/>
                <w:color w:val="auto"/>
              </w:rPr>
            </w:pPr>
            <w:r>
              <w:rPr>
                <w:rFonts w:ascii="Arial" w:cs="Arial" w:eastAsia="Arial" w:hAnsi="Arial"/>
                <w:sz w:val="18"/>
                <w:szCs w:val="18"/>
                <w:color w:val="auto"/>
                <w:w w:val="89"/>
              </w:rPr>
              <w:t>by and between Tango Therapeutics, Inc., a Delaware corporation (the</w:t>
            </w: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w w:val="94"/>
              </w:rPr>
              <w:t>“Company”), and</w:t>
            </w:r>
          </w:p>
        </w:tc>
        <w:tc>
          <w:tcPr>
            <w:tcW w:w="900" w:type="dxa"/>
            <w:vAlign w:val="bottom"/>
          </w:tcPr>
          <w:p>
            <w:pPr>
              <w:spacing w:after="0"/>
              <w:rPr>
                <w:sz w:val="17"/>
                <w:szCs w:val="17"/>
                <w:color w:val="auto"/>
              </w:rPr>
            </w:pPr>
          </w:p>
        </w:tc>
        <w:tc>
          <w:tcPr>
            <w:tcW w:w="2760" w:type="dxa"/>
            <w:vAlign w:val="bottom"/>
            <w:gridSpan w:val="5"/>
          </w:tcPr>
          <w:p>
            <w:pPr>
              <w:ind w:left="60"/>
              <w:spacing w:after="0" w:line="196" w:lineRule="exact"/>
              <w:rPr>
                <w:sz w:val="20"/>
                <w:szCs w:val="20"/>
                <w:color w:val="auto"/>
              </w:rPr>
            </w:pPr>
            <w:r>
              <w:rPr>
                <w:rFonts w:ascii="Arial" w:cs="Arial" w:eastAsia="Arial" w:hAnsi="Arial"/>
                <w:sz w:val="18"/>
                <w:szCs w:val="18"/>
                <w:color w:val="auto"/>
              </w:rPr>
              <w:t>(“Indemnitee”).</w:t>
            </w:r>
          </w:p>
        </w:tc>
        <w:tc>
          <w:tcPr>
            <w:tcW w:w="900" w:type="dxa"/>
            <w:vAlign w:val="bottom"/>
          </w:tcPr>
          <w:p>
            <w:pPr>
              <w:spacing w:after="0"/>
              <w:rPr>
                <w:sz w:val="17"/>
                <w:szCs w:val="17"/>
                <w:color w:val="auto"/>
              </w:rPr>
            </w:pPr>
          </w:p>
        </w:tc>
        <w:tc>
          <w:tcPr>
            <w:tcW w:w="51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attract and retain the services of highly qualified individuals, such as Indemnitee, to serve the Company;</w:t>
      </w:r>
    </w:p>
    <w:p>
      <w:pPr>
        <w:spacing w:after="0" w:line="24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70"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WHEREAS, the Amended and Restated Certificate of Incorporation (as amended and in effect from time to time, the “</w:t>
      </w:r>
      <w:r>
        <w:rPr>
          <w:rFonts w:ascii="Arial" w:cs="Arial" w:eastAsia="Arial" w:hAnsi="Arial"/>
          <w:sz w:val="16"/>
          <w:szCs w:val="16"/>
          <w:u w:val="single" w:color="auto"/>
          <w:color w:val="auto"/>
        </w:rPr>
        <w:t>Charter</w:t>
      </w:r>
      <w:r>
        <w:rPr>
          <w:rFonts w:ascii="Arial" w:cs="Arial" w:eastAsia="Arial" w:hAnsi="Arial"/>
          <w:sz w:val="16"/>
          <w:szCs w:val="16"/>
          <w:color w:val="auto"/>
        </w:rPr>
        <w:t>”) and the Amended and Restated Bylaws (as amended and in effect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4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the increased difficulty in attracting and retaining highly qualified persons such as Indemnitee is detrimental to the best interests of the Company’s stockholders;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Indemnitee agrees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ectPr>
          <w:pgSz w:w="11900" w:h="16838" w:orient="portrait"/>
          <w:cols w:equalWidth="0" w:num="1">
            <w:col w:w="11020"/>
          </w:cols>
          <w:pgMar w:left="440" w:top="125" w:right="439" w:bottom="1440" w:gutter="0" w:footer="0" w:header="0"/>
        </w:sectPr>
      </w:pPr>
    </w:p>
    <w:bookmarkStart w:id="147" w:name="page148"/>
    <w:bookmarkEnd w:id="1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right="120" w:firstLine="987"/>
        <w:spacing w:after="0" w:line="259" w:lineRule="auto"/>
        <w:tabs>
          <w:tab w:leader="none" w:pos="123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and “Associate</w:t>
      </w:r>
      <w:r>
        <w:rPr>
          <w:rFonts w:ascii="Arial" w:cs="Arial" w:eastAsia="Arial" w:hAnsi="Arial"/>
          <w:sz w:val="18"/>
          <w:szCs w:val="18"/>
          <w:color w:val="auto"/>
        </w:rPr>
        <w:t>” shall have the respective meanings ascribed to such terms in Rule 12b-2 of the General Rules and Regulations under the Securities Exchange Act of 1934, as amended,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 Person shall be deemed the “Beneficial Owner” of, and shall be deemed to “Beneficially Own” and have “Beneficial Ownership”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securities:</w:t>
      </w:r>
    </w:p>
    <w:p>
      <w:pPr>
        <w:spacing w:after="0" w:line="211" w:lineRule="exact"/>
        <w:rPr>
          <w:sz w:val="20"/>
          <w:szCs w:val="20"/>
          <w:color w:val="auto"/>
        </w:rPr>
      </w:pPr>
    </w:p>
    <w:p>
      <w:pPr>
        <w:ind w:right="40" w:firstLine="987"/>
        <w:spacing w:after="0" w:line="277" w:lineRule="auto"/>
        <w:tabs>
          <w:tab w:leader="none" w:pos="120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70" w:lineRule="exact"/>
        <w:rPr>
          <w:rFonts w:ascii="Arial" w:cs="Arial" w:eastAsia="Arial" w:hAnsi="Arial"/>
          <w:sz w:val="18"/>
          <w:szCs w:val="18"/>
          <w:color w:val="auto"/>
        </w:rPr>
      </w:pPr>
    </w:p>
    <w:p>
      <w:pPr>
        <w:ind w:right="20" w:firstLine="987"/>
        <w:spacing w:after="0" w:line="254" w:lineRule="auto"/>
        <w:tabs>
          <w:tab w:leader="none" w:pos="125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194" w:lineRule="exact"/>
        <w:rPr>
          <w:rFonts w:ascii="Arial" w:cs="Arial" w:eastAsia="Arial" w:hAnsi="Arial"/>
          <w:sz w:val="18"/>
          <w:szCs w:val="18"/>
          <w:color w:val="auto"/>
        </w:rPr>
      </w:pPr>
    </w:p>
    <w:p>
      <w:pPr>
        <w:ind w:right="440" w:firstLine="987"/>
        <w:spacing w:after="0" w:line="259" w:lineRule="auto"/>
        <w:tabs>
          <w:tab w:leader="none" w:pos="130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186" w:lineRule="exact"/>
        <w:rPr>
          <w:rFonts w:ascii="Arial" w:cs="Arial" w:eastAsia="Arial" w:hAnsi="Arial"/>
          <w:sz w:val="18"/>
          <w:szCs w:val="18"/>
          <w:color w:val="auto"/>
        </w:rPr>
      </w:pPr>
    </w:p>
    <w:p>
      <w:pPr>
        <w:ind w:firstLine="987"/>
        <w:spacing w:after="0" w:line="257" w:lineRule="auto"/>
        <w:tabs>
          <w:tab w:leader="none" w:pos="12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8" w:name="page149"/>
    <w:bookmarkEnd w:id="14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87"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 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occur upon the earliest to occur after the date of this Agreement of any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events</w:t>
      </w:r>
      <w:r>
        <w:rPr>
          <w:rFonts w:ascii="Arial" w:cs="Arial" w:eastAsia="Arial" w:hAnsi="Arial"/>
          <w:sz w:val="18"/>
          <w:szCs w:val="18"/>
          <w:i w:val="1"/>
          <w:iCs w:val="1"/>
          <w:color w:val="auto"/>
        </w:rPr>
        <w:t>:</w:t>
      </w:r>
    </w:p>
    <w:p>
      <w:pPr>
        <w:spacing w:after="0" w:line="211" w:lineRule="exact"/>
        <w:rPr>
          <w:sz w:val="20"/>
          <w:szCs w:val="20"/>
          <w:color w:val="auto"/>
        </w:rPr>
      </w:pPr>
    </w:p>
    <w:p>
      <w:pPr>
        <w:ind w:right="120" w:firstLine="987"/>
        <w:spacing w:after="0" w:line="255" w:lineRule="auto"/>
        <w:tabs>
          <w:tab w:leader="none" w:pos="120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Acquisition of Stock by Third Party</w:t>
      </w:r>
      <w:r>
        <w:rPr>
          <w:rFonts w:ascii="Arial" w:cs="Arial" w:eastAsia="Arial" w:hAnsi="Arial"/>
          <w:sz w:val="18"/>
          <w:szCs w:val="18"/>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92" w:lineRule="exact"/>
        <w:rPr>
          <w:rFonts w:ascii="Arial" w:cs="Arial" w:eastAsia="Arial" w:hAnsi="Arial"/>
          <w:sz w:val="18"/>
          <w:szCs w:val="18"/>
          <w:color w:val="auto"/>
        </w:rPr>
      </w:pPr>
    </w:p>
    <w:p>
      <w:pPr>
        <w:ind w:right="140" w:firstLine="987"/>
        <w:spacing w:after="0" w:line="255" w:lineRule="auto"/>
        <w:tabs>
          <w:tab w:leader="none" w:pos="125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92" w:lineRule="exact"/>
        <w:rPr>
          <w:rFonts w:ascii="Arial" w:cs="Arial" w:eastAsia="Arial" w:hAnsi="Arial"/>
          <w:sz w:val="18"/>
          <w:szCs w:val="18"/>
          <w:color w:val="auto"/>
        </w:rPr>
      </w:pPr>
    </w:p>
    <w:p>
      <w:pPr>
        <w:ind w:firstLine="987"/>
        <w:spacing w:after="0" w:line="275" w:lineRule="auto"/>
        <w:tabs>
          <w:tab w:leader="none" w:pos="130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76" w:lineRule="exact"/>
        <w:rPr>
          <w:rFonts w:ascii="Arial" w:cs="Arial" w:eastAsia="Arial" w:hAnsi="Arial"/>
          <w:sz w:val="17"/>
          <w:szCs w:val="17"/>
          <w:color w:val="auto"/>
        </w:rPr>
      </w:pPr>
    </w:p>
    <w:p>
      <w:pPr>
        <w:ind w:firstLine="987"/>
        <w:spacing w:after="0" w:line="342" w:lineRule="auto"/>
        <w:tabs>
          <w:tab w:leader="none" w:pos="1296"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49" w:name="page150"/>
    <w:bookmarkEnd w:id="149"/>
    <w:p>
      <w:pPr>
        <w:ind w:left="-40" w:right="80" w:firstLine="987"/>
        <w:spacing w:after="0" w:line="263" w:lineRule="auto"/>
        <w:tabs>
          <w:tab w:leader="none" w:pos="120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on any similar schedule or form) promulgated under the Securities Exchange Act of 1934, as amended, whether or not the Company is then subject to such reporting requirement.</w:t>
      </w:r>
    </w:p>
    <w:p>
      <w:pPr>
        <w:spacing w:after="0" w:line="184" w:lineRule="exact"/>
        <w:rPr>
          <w:sz w:val="20"/>
          <w:szCs w:val="20"/>
          <w:color w:val="auto"/>
        </w:rPr>
      </w:pPr>
    </w:p>
    <w:p>
      <w:pPr>
        <w:ind w:left="-40" w:firstLine="987"/>
        <w:spacing w:after="0" w:line="342" w:lineRule="auto"/>
        <w:tabs>
          <w:tab w:leader="none" w:pos="120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23" w:lineRule="exact"/>
        <w:rPr>
          <w:rFonts w:ascii="Arial" w:cs="Arial" w:eastAsia="Arial" w:hAnsi="Arial"/>
          <w:sz w:val="16"/>
          <w:szCs w:val="16"/>
          <w:color w:val="auto"/>
        </w:rPr>
      </w:pPr>
    </w:p>
    <w:p>
      <w:pPr>
        <w:ind w:left="-40" w:right="40" w:firstLine="987"/>
        <w:spacing w:after="0" w:line="259" w:lineRule="auto"/>
        <w:tabs>
          <w:tab w:leader="none" w:pos="119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86" w:lineRule="exact"/>
        <w:rPr>
          <w:rFonts w:ascii="Arial" w:cs="Arial" w:eastAsia="Arial" w:hAnsi="Arial"/>
          <w:sz w:val="18"/>
          <w:szCs w:val="18"/>
          <w:color w:val="auto"/>
        </w:rPr>
      </w:pPr>
    </w:p>
    <w:p>
      <w:pPr>
        <w:jc w:val="both"/>
        <w:ind w:left="-40" w:right="360" w:firstLine="987"/>
        <w:spacing w:after="0" w:line="263" w:lineRule="auto"/>
        <w:tabs>
          <w:tab w:leader="none" w:pos="117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83" w:lineRule="exact"/>
        <w:rPr>
          <w:rFonts w:ascii="Arial" w:cs="Arial" w:eastAsia="Arial" w:hAnsi="Arial"/>
          <w:sz w:val="18"/>
          <w:szCs w:val="18"/>
          <w:color w:val="auto"/>
        </w:rPr>
      </w:pPr>
    </w:p>
    <w:p>
      <w:pPr>
        <w:ind w:left="-40" w:right="20" w:firstLine="987"/>
        <w:spacing w:after="0" w:line="275" w:lineRule="auto"/>
        <w:tabs>
          <w:tab w:leader="none" w:pos="120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76" w:lineRule="exact"/>
        <w:rPr>
          <w:rFonts w:ascii="Arial" w:cs="Arial" w:eastAsia="Arial" w:hAnsi="Arial"/>
          <w:sz w:val="17"/>
          <w:szCs w:val="17"/>
          <w:color w:val="auto"/>
        </w:rPr>
      </w:pPr>
    </w:p>
    <w:p>
      <w:pPr>
        <w:ind w:left="-40" w:firstLine="987"/>
        <w:spacing w:after="0" w:line="271" w:lineRule="auto"/>
        <w:tabs>
          <w:tab w:leader="none" w:pos="120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78" w:lineRule="exact"/>
        <w:rPr>
          <w:rFonts w:ascii="Arial" w:cs="Arial" w:eastAsia="Arial" w:hAnsi="Arial"/>
          <w:sz w:val="17"/>
          <w:szCs w:val="17"/>
          <w:color w:val="auto"/>
        </w:rPr>
      </w:pPr>
    </w:p>
    <w:p>
      <w:pPr>
        <w:jc w:val="both"/>
        <w:ind w:left="-40" w:right="60" w:firstLine="987"/>
        <w:spacing w:after="0" w:line="259" w:lineRule="auto"/>
        <w:tabs>
          <w:tab w:leader="none" w:pos="116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Securities Exchange Act of 1934, as amended.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80" w:top="274" w:right="479" w:bottom="1440" w:gutter="0" w:footer="0" w:header="0"/>
        </w:sectPr>
      </w:pPr>
    </w:p>
    <w:bookmarkStart w:id="150" w:name="page151"/>
    <w:bookmarkEnd w:id="150"/>
    <w:p>
      <w:pPr>
        <w:ind w:right="20" w:firstLine="987"/>
        <w:spacing w:after="0" w:line="269" w:lineRule="auto"/>
        <w:tabs>
          <w:tab w:leader="none" w:pos="1206" w:val="left"/>
        </w:tabs>
        <w:numPr>
          <w:ilvl w:val="0"/>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“Proceeding” shall not include any action, suit or arbitration, or part thereof, initiated by Indemnitee to enforce Indemnitee’s rights under this Agreement as provided for in Section 12(a) of this Agreement.</w:t>
      </w:r>
    </w:p>
    <w:p>
      <w:pPr>
        <w:spacing w:after="0" w:line="18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Indemnity in Third-Party Proceedings</w:t>
      </w:r>
      <w:r>
        <w:rPr>
          <w:rFonts w:ascii="Arial" w:cs="Arial" w:eastAsia="Arial" w:hAnsi="Arial"/>
          <w:sz w:val="16"/>
          <w:szCs w:val="16"/>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6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Indemnity in Proceedings by or in the Right of the Company</w:t>
      </w:r>
      <w:r>
        <w:rPr>
          <w:rFonts w:ascii="Arial" w:cs="Arial" w:eastAsia="Arial" w:hAnsi="Arial"/>
          <w:sz w:val="17"/>
          <w:szCs w:val="17"/>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7"/>
          <w:szCs w:val="17"/>
          <w:u w:val="single" w:color="auto"/>
          <w:color w:val="auto"/>
        </w:rPr>
        <w:t>Delaware Court</w:t>
      </w:r>
      <w:r>
        <w:rPr>
          <w:rFonts w:ascii="Arial" w:cs="Arial" w:eastAsia="Arial" w:hAnsi="Arial"/>
          <w:sz w:val="17"/>
          <w:szCs w:val="17"/>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51" w:name="page152"/>
    <w:bookmarkEnd w:id="151"/>
    <w:p>
      <w:pPr>
        <w:ind w:right="6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Reimbursement for Expenses of a Witness or in Response to a Subpoena</w:t>
      </w:r>
      <w:r>
        <w:rPr>
          <w:rFonts w:ascii="Arial" w:cs="Arial" w:eastAsia="Arial" w:hAnsi="Arial"/>
          <w:sz w:val="18"/>
          <w:szCs w:val="18"/>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to the contrary, the Company shall not be obligated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987"/>
        <w:spacing w:after="0" w:line="259" w:lineRule="auto"/>
        <w:tabs>
          <w:tab w:leader="none" w:pos="12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[i] apply to any personal or umbrella liability insurance maintained by Indemnitee, [or (ii) affect the rights of Indemnitee or the Fund Indemnitors as set forth in Section 13(c)];</w:t>
      </w:r>
    </w:p>
    <w:p>
      <w:pPr>
        <w:spacing w:after="0" w:line="186" w:lineRule="exact"/>
        <w:rPr>
          <w:rFonts w:ascii="Arial" w:cs="Arial" w:eastAsia="Arial" w:hAnsi="Arial"/>
          <w:sz w:val="18"/>
          <w:szCs w:val="18"/>
          <w:color w:val="auto"/>
        </w:rPr>
      </w:pPr>
    </w:p>
    <w:p>
      <w:pPr>
        <w:ind w:right="320" w:firstLine="987"/>
        <w:spacing w:after="0" w:line="311" w:lineRule="auto"/>
        <w:tabs>
          <w:tab w:leader="none" w:pos="124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2002 (“</w:t>
      </w:r>
      <w:r>
        <w:rPr>
          <w:rFonts w:ascii="Arial" w:cs="Arial" w:eastAsia="Arial" w:hAnsi="Arial"/>
          <w:sz w:val="16"/>
          <w:szCs w:val="16"/>
          <w:u w:val="single" w:color="auto"/>
          <w:color w:val="auto"/>
        </w:rPr>
        <w:t>SOX</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120" w:firstLine="987"/>
        <w:spacing w:after="0" w:line="259" w:lineRule="auto"/>
        <w:tabs>
          <w:tab w:leader="none" w:pos="12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186" w:lineRule="exact"/>
        <w:rPr>
          <w:rFonts w:ascii="Arial" w:cs="Arial" w:eastAsia="Arial" w:hAnsi="Arial"/>
          <w:sz w:val="18"/>
          <w:szCs w:val="18"/>
          <w:color w:val="auto"/>
        </w:rPr>
      </w:pPr>
    </w:p>
    <w:p>
      <w:pPr>
        <w:ind w:right="340" w:firstLine="987"/>
        <w:spacing w:after="0" w:line="308" w:lineRule="auto"/>
        <w:tabs>
          <w:tab w:leader="none" w:pos="124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2" w:name="page153"/>
    <w:bookmarkEnd w:id="152"/>
    <w:p>
      <w:pPr>
        <w:jc w:val="both"/>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part thereof and (ii) the Company provides the indemnification, in its sole discretion, pursuant to the powers vested in the Company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88" w:lineRule="exact"/>
        <w:rPr>
          <w:sz w:val="20"/>
          <w:szCs w:val="20"/>
          <w:color w:val="auto"/>
        </w:rPr>
      </w:pPr>
    </w:p>
    <w:p>
      <w:pPr>
        <w:ind w:right="20" w:firstLine="987"/>
        <w:spacing w:after="0" w:line="277" w:lineRule="auto"/>
        <w:tabs>
          <w:tab w:leader="none" w:pos="12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 provide any indemnification or advancement of expenses that is prohibited by applicable law (as such law exists at the time payment would otherwise be required pursuant to this Agreement).</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the Expenses incurred by Indemnitee in connection with any Proceeding, and such advancement shall be made within forty-five (45)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87"/>
        <w:spacing w:after="0" w:line="263" w:lineRule="auto"/>
        <w:tabs>
          <w:tab w:leader="none" w:pos="12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83" w:lineRule="exact"/>
        <w:rPr>
          <w:rFonts w:ascii="Arial" w:cs="Arial" w:eastAsia="Arial" w:hAnsi="Arial"/>
          <w:sz w:val="18"/>
          <w:szCs w:val="18"/>
          <w:color w:val="auto"/>
        </w:rPr>
      </w:pPr>
    </w:p>
    <w:p>
      <w:pPr>
        <w:ind w:right="80" w:firstLine="987"/>
        <w:spacing w:after="0" w:line="301" w:lineRule="auto"/>
        <w:tabs>
          <w:tab w:leader="none" w:pos="124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53" w:name="page154"/>
    <w:bookmarkEnd w:id="153"/>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77" w:lineRule="exact"/>
        <w:rPr>
          <w:sz w:val="20"/>
          <w:szCs w:val="20"/>
          <w:color w:val="auto"/>
        </w:rPr>
      </w:pPr>
    </w:p>
    <w:p>
      <w:pPr>
        <w:ind w:right="40" w:firstLine="987"/>
        <w:spacing w:after="0" w:line="277" w:lineRule="auto"/>
        <w:tabs>
          <w:tab w:leader="none" w:pos="12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event that the Company does not assume the defense in a Proceeding pursuant to paragraph (b) above, then the Company will be entitled to participate in the Proceeding at its own expense.</w:t>
      </w:r>
    </w:p>
    <w:p>
      <w:pPr>
        <w:spacing w:after="0" w:line="170" w:lineRule="exact"/>
        <w:rPr>
          <w:rFonts w:ascii="Arial" w:cs="Arial" w:eastAsia="Arial" w:hAnsi="Arial"/>
          <w:sz w:val="18"/>
          <w:szCs w:val="18"/>
          <w:color w:val="auto"/>
        </w:rPr>
      </w:pPr>
    </w:p>
    <w:p>
      <w:pPr>
        <w:ind w:right="60" w:firstLine="987"/>
        <w:spacing w:after="0" w:line="289" w:lineRule="auto"/>
        <w:tabs>
          <w:tab w:leader="none" w:pos="124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9" w:lineRule="auto"/>
        <w:tabs>
          <w:tab w:leader="none" w:pos="12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54" w:name="page155"/>
    <w:bookmarkEnd w:id="15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to Indemnitee shall be made within forty-five (45)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68" w:lineRule="exact"/>
        <w:rPr>
          <w:sz w:val="20"/>
          <w:szCs w:val="20"/>
          <w:color w:val="auto"/>
        </w:rPr>
      </w:pPr>
    </w:p>
    <w:p>
      <w:pPr>
        <w:ind w:right="20" w:firstLine="987"/>
        <w:spacing w:after="0" w:line="285" w:lineRule="auto"/>
        <w:tabs>
          <w:tab w:leader="none" w:pos="124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If the determination of entitlement to indemnification is to be made by Independent Counsel pursuant to Section 10(a), the Independent Counsel shall be selected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76" w:lineRule="exact"/>
        <w:rPr>
          <w:rFonts w:ascii="Arial" w:cs="Arial" w:eastAsia="Arial" w:hAnsi="Arial"/>
          <w:sz w:val="16"/>
          <w:szCs w:val="16"/>
          <w:color w:val="auto"/>
        </w:rPr>
      </w:pPr>
    </w:p>
    <w:p>
      <w:pPr>
        <w:jc w:val="both"/>
        <w:ind w:firstLine="987"/>
        <w:spacing w:after="0" w:line="279" w:lineRule="auto"/>
        <w:tabs>
          <w:tab w:leader="none" w:pos="123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55" w:name="page156"/>
    <w:bookmarkEnd w:id="15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sz w:val="20"/>
          <w:szCs w:val="20"/>
          <w:color w:val="auto"/>
        </w:rPr>
      </w:pPr>
    </w:p>
    <w:p>
      <w:pPr>
        <w:ind w:left="-20" w:right="80" w:firstLine="987"/>
        <w:spacing w:after="0" w:line="279" w:lineRule="auto"/>
        <w:tabs>
          <w:tab w:leader="none" w:pos="121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71" w:lineRule="exact"/>
        <w:rPr>
          <w:rFonts w:ascii="Arial" w:cs="Arial" w:eastAsia="Arial" w:hAnsi="Arial"/>
          <w:sz w:val="17"/>
          <w:szCs w:val="17"/>
          <w:color w:val="auto"/>
        </w:rPr>
      </w:pPr>
    </w:p>
    <w:p>
      <w:pPr>
        <w:ind w:left="-20" w:firstLine="987"/>
        <w:spacing w:after="0" w:line="257" w:lineRule="auto"/>
        <w:tabs>
          <w:tab w:leader="none" w:pos="122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guilty,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7" w:lineRule="exact"/>
        <w:rPr>
          <w:rFonts w:ascii="Arial" w:cs="Arial" w:eastAsia="Arial" w:hAnsi="Arial"/>
          <w:sz w:val="18"/>
          <w:szCs w:val="18"/>
          <w:color w:val="auto"/>
        </w:rPr>
      </w:pPr>
    </w:p>
    <w:p>
      <w:pPr>
        <w:ind w:left="-20" w:right="120" w:firstLine="987"/>
        <w:spacing w:after="0" w:line="269" w:lineRule="auto"/>
        <w:tabs>
          <w:tab w:leader="none" w:pos="121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sz w:val="20"/>
          <w:szCs w:val="20"/>
          <w:color w:val="auto"/>
        </w:rPr>
      </w:pPr>
    </w:p>
    <w:p>
      <w:pPr>
        <w:ind w:left="-20" w:right="200" w:firstLine="987"/>
        <w:spacing w:after="0" w:line="263" w:lineRule="auto"/>
        <w:tabs>
          <w:tab w:leader="none" w:pos="121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4" w:right="479" w:bottom="1440" w:gutter="0" w:footer="0" w:header="0"/>
        </w:sectPr>
      </w:pPr>
    </w:p>
    <w:bookmarkStart w:id="156" w:name="page157"/>
    <w:bookmarkEnd w:id="15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forty-five (45)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forty-five (45)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79" w:lineRule="exact"/>
        <w:rPr>
          <w:sz w:val="20"/>
          <w:szCs w:val="20"/>
          <w:color w:val="auto"/>
        </w:rPr>
      </w:pPr>
    </w:p>
    <w:p>
      <w:pPr>
        <w:ind w:right="20" w:firstLine="987"/>
        <w:spacing w:after="0" w:line="257" w:lineRule="auto"/>
        <w:tabs>
          <w:tab w:leader="none" w:pos="12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87" w:lineRule="exact"/>
        <w:rPr>
          <w:rFonts w:ascii="Arial" w:cs="Arial" w:eastAsia="Arial" w:hAnsi="Arial"/>
          <w:sz w:val="18"/>
          <w:szCs w:val="18"/>
          <w:color w:val="auto"/>
        </w:rPr>
      </w:pPr>
    </w:p>
    <w:p>
      <w:pPr>
        <w:ind w:right="60" w:firstLine="987"/>
        <w:spacing w:after="0" w:line="279" w:lineRule="auto"/>
        <w:tabs>
          <w:tab w:leader="none" w:pos="123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right="160" w:firstLine="987"/>
        <w:spacing w:after="0" w:line="263" w:lineRule="auto"/>
        <w:tabs>
          <w:tab w:leader="none" w:pos="12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ind w:right="20" w:firstLine="987"/>
        <w:spacing w:after="0" w:line="254" w:lineRule="auto"/>
        <w:tabs>
          <w:tab w:leader="none" w:pos="12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shall indemnify Indemnitee to the fullest extent permitted by law against any and all Enforcement Expenses and, if requested by Indemnitee, shall (within forty-five (45)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57" w:name="page158"/>
    <w:bookmarkEnd w:id="157"/>
    <w:p>
      <w:pPr>
        <w:ind w:right="820" w:firstLine="987"/>
        <w:spacing w:after="0" w:line="277" w:lineRule="auto"/>
        <w:tabs>
          <w:tab w:leader="none" w:pos="1216"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5" w:lineRule="exact"/>
        <w:rPr>
          <w:rFonts w:ascii="Arial" w:cs="Arial" w:eastAsia="Arial" w:hAnsi="Arial"/>
          <w:sz w:val="17"/>
          <w:szCs w:val="17"/>
          <w:color w:val="auto"/>
        </w:rPr>
      </w:pPr>
    </w:p>
    <w:p>
      <w:pPr>
        <w:ind w:firstLine="987"/>
        <w:spacing w:after="0" w:line="269" w:lineRule="auto"/>
        <w:tabs>
          <w:tab w:leader="none" w:pos="124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85" w:lineRule="exact"/>
        <w:rPr>
          <w:rFonts w:ascii="Arial" w:cs="Arial" w:eastAsia="Arial" w:hAnsi="Arial"/>
          <w:sz w:val="17"/>
          <w:szCs w:val="17"/>
          <w:color w:val="auto"/>
        </w:rPr>
      </w:pPr>
    </w:p>
    <w:p>
      <w:pPr>
        <w:ind w:right="160" w:firstLine="987"/>
        <w:spacing w:after="0" w:line="263" w:lineRule="auto"/>
        <w:tabs>
          <w:tab w:leader="none" w:pos="12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8" w:name="page159"/>
    <w:bookmarkEnd w:id="158"/>
    <w:p>
      <w:pPr>
        <w:jc w:val="both"/>
        <w:ind w:left="4" w:right="20" w:firstLine="987"/>
        <w:spacing w:after="0" w:line="263" w:lineRule="auto"/>
        <w:tabs>
          <w:tab w:leader="none" w:pos="125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84" w:lineRule="exact"/>
        <w:rPr>
          <w:sz w:val="20"/>
          <w:szCs w:val="20"/>
          <w:color w:val="auto"/>
        </w:rPr>
      </w:pPr>
    </w:p>
    <w:p>
      <w:pPr>
        <w:ind w:left="4" w:right="20" w:firstLine="440"/>
        <w:spacing w:after="0" w:line="25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Duration of Agreement</w:t>
      </w:r>
      <w:r>
        <w:rPr>
          <w:rFonts w:ascii="Arial" w:cs="Arial" w:eastAsia="Arial" w:hAnsi="Arial"/>
          <w:sz w:val="18"/>
          <w:szCs w:val="18"/>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96"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2" w:lineRule="exact"/>
        <w:rPr>
          <w:sz w:val="20"/>
          <w:szCs w:val="20"/>
          <w:color w:val="auto"/>
        </w:rPr>
      </w:pPr>
    </w:p>
    <w:p>
      <w:pPr>
        <w:ind w:left="4" w:right="160" w:hanging="4"/>
        <w:spacing w:after="0" w:line="255" w:lineRule="auto"/>
        <w:tabs>
          <w:tab w:leader="none" w:pos="24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ind w:left="4" w:right="60" w:firstLine="987"/>
        <w:spacing w:after="0" w:line="263" w:lineRule="auto"/>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w:t>
      </w:r>
    </w:p>
    <w:p>
      <w:pPr>
        <w:spacing w:after="0" w:line="183" w:lineRule="exact"/>
        <w:rPr>
          <w:rFonts w:ascii="Arial" w:cs="Arial" w:eastAsia="Arial" w:hAnsi="Arial"/>
          <w:sz w:val="18"/>
          <w:szCs w:val="18"/>
          <w:color w:val="auto"/>
        </w:rPr>
      </w:pPr>
    </w:p>
    <w:p>
      <w:pPr>
        <w:jc w:val="both"/>
        <w:ind w:left="4" w:right="20" w:firstLine="987"/>
        <w:spacing w:after="0" w:line="259" w:lineRule="auto"/>
        <w:tabs>
          <w:tab w:leader="none" w:pos="125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159" w:name="page160"/>
    <w:bookmarkEnd w:id="159"/>
    <w:p>
      <w:pPr>
        <w:ind w:left="4"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8"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95" w:lineRule="exact"/>
        <w:rPr>
          <w:sz w:val="20"/>
          <w:szCs w:val="20"/>
          <w:color w:val="auto"/>
        </w:rPr>
      </w:pPr>
    </w:p>
    <w:p>
      <w:pPr>
        <w:ind w:left="4" w:right="240" w:firstLine="440"/>
        <w:spacing w:after="0" w:line="291"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w:t>
      </w:r>
    </w:p>
    <w:p>
      <w:pPr>
        <w:ind w:left="4" w:right="20" w:hanging="4"/>
        <w:spacing w:after="0" w:line="255" w:lineRule="auto"/>
        <w:tabs>
          <w:tab w:leader="none" w:pos="26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216" w:lineRule="exact"/>
        <w:rPr>
          <w:rFonts w:ascii="Arial" w:cs="Arial" w:eastAsia="Arial" w:hAnsi="Arial"/>
          <w:sz w:val="18"/>
          <w:szCs w:val="18"/>
          <w:color w:val="auto"/>
        </w:rPr>
      </w:pPr>
    </w:p>
    <w:p>
      <w:pPr>
        <w:ind w:left="1424" w:hanging="439"/>
        <w:spacing w:after="0"/>
        <w:tabs>
          <w:tab w:leader="none" w:pos="142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to Indemnitee, at such address as Indemnitee shall provide to the Company.</w:t>
      </w:r>
    </w:p>
    <w:p>
      <w:pPr>
        <w:spacing w:after="0" w:line="252" w:lineRule="exact"/>
        <w:rPr>
          <w:rFonts w:ascii="Arial" w:cs="Arial" w:eastAsia="Arial" w:hAnsi="Arial"/>
          <w:sz w:val="18"/>
          <w:szCs w:val="18"/>
          <w:color w:val="auto"/>
        </w:rPr>
      </w:pPr>
    </w:p>
    <w:p>
      <w:pPr>
        <w:ind w:left="1424" w:hanging="439"/>
        <w:spacing w:after="0"/>
        <w:tabs>
          <w:tab w:leader="none" w:pos="142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Tango Therapeutics</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100 Binney Street, Suite 700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160" w:name="page161"/>
    <w:bookmarkEnd w:id="160"/>
    <w:p>
      <w:pPr>
        <w:ind w:right="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 </w:t>
      </w: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6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Internal Revenue Code Section 409A</w:t>
      </w:r>
      <w:r>
        <w:rPr>
          <w:rFonts w:ascii="Arial" w:cs="Arial" w:eastAsia="Arial" w:hAnsi="Arial"/>
          <w:sz w:val="17"/>
          <w:szCs w:val="17"/>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7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Applicable Law and Consent to Jurisdiction</w:t>
      </w:r>
      <w:r>
        <w:rPr>
          <w:rFonts w:ascii="Arial" w:cs="Arial" w:eastAsia="Arial" w:hAnsi="Arial"/>
          <w:sz w:val="17"/>
          <w:szCs w:val="17"/>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161" w:name="page162"/>
    <w:bookmarkEnd w:id="161"/>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Arial" w:cs="Arial" w:eastAsia="Arial" w:hAnsi="Arial"/>
          <w:sz w:val="17"/>
          <w:szCs w:val="17"/>
          <w:u w:val="single" w:color="auto"/>
          <w:color w:val="auto"/>
        </w:rPr>
        <w:t>Monetary Damages Insufficient/Specific Enforcement</w:t>
      </w:r>
      <w:r>
        <w:rPr>
          <w:rFonts w:ascii="Arial" w:cs="Arial" w:eastAsia="Arial" w:hAnsi="Arial"/>
          <w:sz w:val="17"/>
          <w:szCs w:val="17"/>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-130175</wp:posOffset>
            </wp:positionV>
            <wp:extent cx="2562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580"/>
          </w:cols>
          <w:pgMar w:left="880" w:top="274" w:right="439" w:bottom="1440" w:gutter="0" w:footer="0" w:header="0"/>
        </w:sectPr>
      </w:pPr>
    </w:p>
    <w:bookmarkStart w:id="163" w:name="page164"/>
    <w:bookmarkEnd w:id="163"/>
    <w:p>
      <w:pPr>
        <w:ind w:left="10044"/>
        <w:spacing w:after="0"/>
        <w:rPr>
          <w:sz w:val="20"/>
          <w:szCs w:val="20"/>
          <w:color w:val="auto"/>
        </w:rPr>
      </w:pPr>
      <w:r>
        <w:rPr>
          <w:rFonts w:ascii="Arial" w:cs="Arial" w:eastAsia="Arial" w:hAnsi="Arial"/>
          <w:sz w:val="16"/>
          <w:szCs w:val="16"/>
          <w:color w:val="auto"/>
        </w:rPr>
        <w:t>Exhibit 10.11</w:t>
      </w:r>
    </w:p>
    <w:p>
      <w:pPr>
        <w:spacing w:after="0" w:line="24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SENIOR EXECUTIVE CASH INCENTIVE BONUS PLAN</w:t>
      </w:r>
    </w:p>
    <w:p>
      <w:pPr>
        <w:spacing w:after="0" w:line="238" w:lineRule="exact"/>
        <w:rPr>
          <w:sz w:val="20"/>
          <w:szCs w:val="20"/>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17"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This Senior Executive Cash Incentive Bonus Plan (the “Incentive Plan”) is intended to provide an incentive for superior work and to motivate eligible executives of Tango Therapeutics, Inc.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335" w:lineRule="exact"/>
        <w:rPr>
          <w:sz w:val="20"/>
          <w:szCs w:val="20"/>
          <w:color w:val="auto"/>
        </w:rPr>
      </w:pPr>
    </w:p>
    <w:p>
      <w:pPr>
        <w:ind w:left="424" w:hanging="424"/>
        <w:spacing w:after="0"/>
        <w:tabs>
          <w:tab w:leader="none" w:pos="424"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Covered Executives</w:t>
      </w:r>
    </w:p>
    <w:p>
      <w:pPr>
        <w:spacing w:after="0" w:line="117"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From time to time, the Compensation Committee of the Board of Directors of the Company (the “Compensation Committee”) may select certain key executives (the “Covered Executives”) to be eligible to receive bonuses hereunder. Participation in this Plan does not change the “at will” nature of a Covered Executive’s employment with the Company.</w:t>
      </w:r>
    </w:p>
    <w:p>
      <w:pPr>
        <w:spacing w:after="0" w:line="332" w:lineRule="exact"/>
        <w:rPr>
          <w:sz w:val="20"/>
          <w:szCs w:val="20"/>
          <w:color w:val="auto"/>
        </w:rPr>
      </w:pPr>
    </w:p>
    <w:p>
      <w:pPr>
        <w:ind w:left="424" w:hanging="424"/>
        <w:spacing w:after="0"/>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Compensation Committee shall have the sole discretion and authority to administer and interpret the Incentive Plan.</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Bonus Determinations</w:t>
      </w:r>
    </w:p>
    <w:p>
      <w:pPr>
        <w:spacing w:after="0" w:line="117"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Corporate Performance Goals</w:t>
      </w:r>
      <w:r>
        <w:rPr>
          <w:rFonts w:ascii="Arial" w:cs="Arial" w:eastAsia="Arial" w:hAnsi="Arial"/>
          <w:sz w:val="16"/>
          <w:szCs w:val="16"/>
          <w:color w:val="auto"/>
        </w:rPr>
        <w:t>. A Covered Executive may receive a bonus payment under the Incentive Plan based upon the attainment of one or more performance objectives that are established by the Compensation Committee and relate to financial and operational metrics with respect to the Company or any of its subsidiaries (the “Corporate Performance Goals”), including: cash flow (including, but not limited to, operating cash flow and free cash flow); research and development, publication, clinical and/or regulatory milestones;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sales or market shares; operating income and/or net annual recurring revenue; or any other performance goal selected by the Compensation Committee,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w:t>
      </w:r>
    </w:p>
    <w:p>
      <w:pPr>
        <w:sectPr>
          <w:pgSz w:w="11900" w:h="16838" w:orient="portrait"/>
          <w:cols w:equalWidth="0" w:num="1">
            <w:col w:w="11024"/>
          </w:cols>
          <w:pgMar w:left="436" w:top="125" w:right="439" w:bottom="1440" w:gutter="0" w:footer="0" w:header="0"/>
        </w:sectPr>
      </w:pPr>
    </w:p>
    <w:bookmarkStart w:id="164" w:name="page165"/>
    <w:bookmarkEnd w:id="164"/>
    <w:p>
      <w:pPr>
        <w:ind w:right="220" w:firstLine="436"/>
        <w:spacing w:after="0" w:line="296" w:lineRule="auto"/>
        <w:tabs>
          <w:tab w:leader="none" w:pos="69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of Corporate Performance Goals</w:t>
      </w:r>
      <w:r>
        <w:rPr>
          <w:rFonts w:ascii="Arial" w:cs="Arial" w:eastAsia="Arial" w:hAnsi="Arial"/>
          <w:sz w:val="16"/>
          <w:szCs w:val="16"/>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that is consistently applied with respect to a Corporate Performance Goal in the relevant performance period.</w:t>
      </w:r>
    </w:p>
    <w:p>
      <w:pPr>
        <w:spacing w:after="0" w:line="161" w:lineRule="exact"/>
        <w:rPr>
          <w:rFonts w:ascii="Arial" w:cs="Arial" w:eastAsia="Arial" w:hAnsi="Arial"/>
          <w:sz w:val="16"/>
          <w:szCs w:val="16"/>
          <w:color w:val="auto"/>
        </w:rPr>
      </w:pPr>
    </w:p>
    <w:p>
      <w:pPr>
        <w:ind w:right="180" w:firstLine="436"/>
        <w:spacing w:after="0" w:line="277"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Target; Minimum; Maximum</w:t>
      </w:r>
      <w:r>
        <w:rPr>
          <w:rFonts w:ascii="Arial" w:cs="Arial" w:eastAsia="Arial" w:hAnsi="Arial"/>
          <w:sz w:val="18"/>
          <w:szCs w:val="18"/>
          <w:color w:val="auto"/>
        </w:rPr>
        <w:t>. Each Corporate Performance Goal shall have a “target” (100 percent attainment of the Corporate Performance Goal) and may also have a “minimum” hurdle and/or a “maximum” amount.</w:t>
      </w:r>
    </w:p>
    <w:p>
      <w:pPr>
        <w:spacing w:after="0" w:line="170" w:lineRule="exact"/>
        <w:rPr>
          <w:rFonts w:ascii="Arial" w:cs="Arial" w:eastAsia="Arial" w:hAnsi="Arial"/>
          <w:sz w:val="18"/>
          <w:szCs w:val="18"/>
          <w:color w:val="auto"/>
        </w:rPr>
      </w:pPr>
    </w:p>
    <w:p>
      <w:pPr>
        <w:ind w:firstLine="436"/>
        <w:spacing w:after="0" w:line="270" w:lineRule="auto"/>
        <w:tabs>
          <w:tab w:leader="none" w:pos="695"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Bonus Requirements; Individual Goals</w:t>
      </w:r>
      <w:r>
        <w:rPr>
          <w:rFonts w:ascii="Arial" w:cs="Arial" w:eastAsia="Arial" w:hAnsi="Arial"/>
          <w:sz w:val="17"/>
          <w:szCs w:val="17"/>
          <w:color w:val="auto"/>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180" w:lineRule="exact"/>
        <w:rPr>
          <w:rFonts w:ascii="Arial" w:cs="Arial" w:eastAsia="Arial" w:hAnsi="Arial"/>
          <w:sz w:val="17"/>
          <w:szCs w:val="17"/>
          <w:color w:val="auto"/>
        </w:rPr>
      </w:pPr>
    </w:p>
    <w:p>
      <w:pPr>
        <w:ind w:right="100" w:firstLine="436"/>
        <w:spacing w:after="0" w:line="259"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Individual Target Bonuses</w:t>
      </w:r>
      <w:r>
        <w:rPr>
          <w:rFonts w:ascii="Arial" w:cs="Arial" w:eastAsia="Arial" w:hAnsi="Arial"/>
          <w:sz w:val="18"/>
          <w:szCs w:val="18"/>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86" w:lineRule="exact"/>
        <w:rPr>
          <w:rFonts w:ascii="Arial" w:cs="Arial" w:eastAsia="Arial" w:hAnsi="Arial"/>
          <w:sz w:val="18"/>
          <w:szCs w:val="18"/>
          <w:color w:val="auto"/>
        </w:rPr>
      </w:pPr>
    </w:p>
    <w:p>
      <w:pPr>
        <w:jc w:val="both"/>
        <w:ind w:right="20" w:firstLine="436"/>
        <w:spacing w:after="0" w:line="259" w:lineRule="auto"/>
        <w:tabs>
          <w:tab w:leader="none" w:pos="66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Employment Requirement</w:t>
      </w:r>
      <w:r>
        <w:rPr>
          <w:rFonts w:ascii="Arial" w:cs="Arial" w:eastAsia="Arial" w:hAnsi="Arial"/>
          <w:sz w:val="18"/>
          <w:szCs w:val="18"/>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65" w:name="page166"/>
    <w:bookmarkEnd w:id="165"/>
    <w:p>
      <w:pPr>
        <w:ind w:left="424" w:hanging="424"/>
        <w:spacing w:after="0"/>
        <w:tabs>
          <w:tab w:leader="none" w:pos="42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Timing of Payment</w:t>
      </w:r>
    </w:p>
    <w:p>
      <w:pPr>
        <w:spacing w:after="0" w:line="117" w:lineRule="exact"/>
        <w:rPr>
          <w:rFonts w:ascii="Arial" w:cs="Arial" w:eastAsia="Arial" w:hAnsi="Arial"/>
          <w:sz w:val="18"/>
          <w:szCs w:val="18"/>
          <w:color w:val="auto"/>
        </w:rPr>
      </w:pPr>
    </w:p>
    <w:p>
      <w:pPr>
        <w:ind w:left="4" w:right="140" w:firstLine="436"/>
        <w:spacing w:after="0" w:line="301" w:lineRule="auto"/>
        <w:tabs>
          <w:tab w:leader="none" w:pos="68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57" w:lineRule="exact"/>
        <w:rPr>
          <w:rFonts w:ascii="Arial" w:cs="Arial" w:eastAsia="Arial" w:hAnsi="Arial"/>
          <w:sz w:val="16"/>
          <w:szCs w:val="16"/>
          <w:color w:val="auto"/>
        </w:rPr>
      </w:pPr>
    </w:p>
    <w:p>
      <w:pPr>
        <w:ind w:left="4" w:firstLine="436"/>
        <w:spacing w:after="0" w:line="279" w:lineRule="auto"/>
        <w:tabs>
          <w:tab w:leader="none" w:pos="69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spacing w:after="0" w:line="171" w:lineRule="exact"/>
        <w:rPr>
          <w:rFonts w:ascii="Arial" w:cs="Arial" w:eastAsia="Arial" w:hAnsi="Arial"/>
          <w:sz w:val="17"/>
          <w:szCs w:val="17"/>
          <w:color w:val="auto"/>
        </w:rPr>
      </w:pPr>
    </w:p>
    <w:p>
      <w:pPr>
        <w:ind w:left="684" w:hanging="244"/>
        <w:spacing w:after="0"/>
        <w:tabs>
          <w:tab w:leader="none" w:pos="68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For the avoidance of doubt, bonuses earned at any time in a fiscal year must be paid no later than 74 days after the last day of such fiscal year.</w:t>
      </w:r>
    </w:p>
    <w:p>
      <w:pPr>
        <w:spacing w:after="0" w:line="396" w:lineRule="exact"/>
        <w:rPr>
          <w:rFonts w:ascii="Arial" w:cs="Arial" w:eastAsia="Arial" w:hAnsi="Arial"/>
          <w:sz w:val="16"/>
          <w:szCs w:val="16"/>
          <w:color w:val="auto"/>
        </w:rPr>
      </w:pPr>
    </w:p>
    <w:p>
      <w:pPr>
        <w:ind w:left="424" w:hanging="424"/>
        <w:spacing w:after="0"/>
        <w:tabs>
          <w:tab w:leader="none" w:pos="42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Company reserves the right to amend or terminate the Incentive Plan at any time in its sole discretion.</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Company Recoupment Rights</w:t>
      </w:r>
    </w:p>
    <w:p>
      <w:pPr>
        <w:spacing w:after="0" w:line="117" w:lineRule="exact"/>
        <w:rPr>
          <w:sz w:val="20"/>
          <w:szCs w:val="20"/>
          <w:color w:val="auto"/>
        </w:rPr>
      </w:pPr>
    </w:p>
    <w:p>
      <w:pPr>
        <w:ind w:left="4" w:right="220" w:firstLine="440"/>
        <w:spacing w:after="0" w:line="311" w:lineRule="auto"/>
        <w:rPr>
          <w:sz w:val="20"/>
          <w:szCs w:val="20"/>
          <w:color w:val="auto"/>
        </w:rPr>
      </w:pPr>
      <w:r>
        <w:rPr>
          <w:rFonts w:ascii="Arial" w:cs="Arial" w:eastAsia="Arial" w:hAnsi="Arial"/>
          <w:sz w:val="16"/>
          <w:szCs w:val="16"/>
          <w:color w:val="auto"/>
        </w:rPr>
        <w:t>A Covered Executive’s rights with respect to any award granted pursuant to the Incentive Plan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Covered Executive, or (ii) applicable law.</w:t>
      </w:r>
    </w:p>
    <w:p>
      <w:pPr>
        <w:spacing w:after="0" w:line="149"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Adopted June 9, 2021, subject to the Closing (as defined in the Agreement and Plan of Merger, dated as of April 13, 2021, by and among the Company (formerly known as BCTG Acquisition Corp.), BCTG Merger Sub Inc., and Tango Therapeutics, Inc.)</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read the statements of Tango Therapeutics, Inc. (formerly known as BCTG Acquisition Corp.) under Item 4.01(a) of its Form 8-K dated August 13, 2021. We agree with the statements concerning our Firm under Item 4.01(a), in which we were informed of our dismissal on August 10, 2021. We are not in a position to agree or disagree with other statements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020"/>
          </w:cols>
          <w:pgMar w:left="440" w:top="121" w:right="4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TANGO</w:t>
      </w:r>
    </w:p>
    <w:p>
      <w:pPr>
        <w:spacing w:after="0" w:line="211"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i w:val="1"/>
          <w:iCs w:val="1"/>
          <w:color w:val="auto"/>
        </w:rPr>
        <w:t>Management’s discussion and analysis of our financial condition and results of operations should be read together with Tango’s unaudited condensed consolidated financial statements and related notes appearing elsewhere in this Form 8-K and with Tango’s audited consolidated financial statements and notes for the year ended December 31, 2020 included in the Company’s effective proxy statement/prospectus, on file with the SEC on July 16, 2021, and incorporated into this 8-K by reference. Some of the information contained in our management’s discussion and analysis or set forth elsewhere in this Form 8-K,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77"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i w:val="1"/>
          <w:iCs w:val="1"/>
          <w:color w:val="auto"/>
        </w:rPr>
        <w:t>Unless otherwise indicated, references in this Management’s Discussion and Analysis of Financial Condition and Results of Operations section to “Tango,” “we,” “us,” “our” and other similar terms refer to Old Tango (as defined below) and its subsidiary prior to the closing of the business combination with BCTG Acquisition Corp. and to Tango and its consolidated subsidiaries after giving effect to the Business Combination.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68"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Our lead program, TNG908, a protein arginine methyl transferase 5 (PRMT5) inhibitor that is synthetic lethal with MTAP deletion, is being developed as a treatment for cancers with MTAP deletions, which occur in 10% to 15% of all human cancers. In preclinical studies, TNG908 demonstrated 15-fold greater potency in cells with MTAP deletions than those without. We plan to file an Investigational New Drug (“IND”) application for TNG908 in the fourth quarter of 2021 and initiate a Phase 1/2 clinical trial in the first half of 2022. We are also developing a ubiquitin-specific protease 1 (USP1) inhibitor that is synthetic lethal with BRCA1 mutations, which are present in approximately 15% of ovarian cancer, 5% of breast cancers, and 1% of prostate cancers.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data demonstrated potent anti-tumor activity. We plan to file an IND in 2022 and expect this molecule to have both single agent activity in PARPi-naïve and PARPi-resistant BRCA1 mutant cancers and to synergize with PARP inhibitors. Our third program, an undisclosed synthetic lethal target (Target 3), reverses the immune evasion effect of serine-threonine kinase 11 (STK11) loss-of-function mutations, which are present in approximately 20% of non-small cell lung cancers. We plan to file an IND for this program in 2023.</w:t>
      </w:r>
    </w:p>
    <w:p>
      <w:pPr>
        <w:spacing w:after="0" w:line="19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On August 10, 2021, we completed a business combination transaction with BCTG Acquisition Corp. (“BCTG”) in which BCTG acquired 100% of our issued and outstanding equity securities in exchange for $550.0 million worth of consideration in the form of BCTG common stock (the “Business Combination”). See “BCTG Business Combination” below for additional information.</w:t>
      </w:r>
    </w:p>
    <w:p>
      <w:pPr>
        <w:spacing w:after="0" w:line="184"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Since our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(“Gilead”). Since inception we have raised an aggregate of approximately $166.9 million of gross proceeds from the sale of preferred shares, approximately $352.9 million in gross proceeds through the closing of the BCTG Business Combination and PIPE Investment transactions and another $202.1 million through our collaboration with Gilead.</w:t>
      </w:r>
    </w:p>
    <w:p>
      <w:pPr>
        <w:spacing w:after="0" w:line="19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Since inception, we have incurred significant operating losses. Our net losses were $16.6 million and $16.3 million for the six months ended June 30, 2021 and 2020, respectively. We had an accumulated deficit of $119.7 million and $103.1 million as of June 30, 2021 and December 31, 2020, respectively. We expect to continue to incur significant and increasing expenses and operating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68" w:name="page169"/>
    <w:bookmarkEnd w:id="168"/>
    <w:p>
      <w:pPr>
        <w:ind w:right="2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6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Response to COVID-19</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In response to the ongoing global COVID-19 pandemic, including any novel variants such as the “Delta variant,” we established a cross-functional task force and have implemented business continuity plans designed to address and mitigate the impact of the COVID-19 pandemic on our employees and our business. Our operations are considered an essential business and we have been allowed to continue operating under current governmental restrictions during this period. We have taken measures to secure our research and development activities, while work in laboratories and facilities has been organized to reduce risk of COVID-19 transmission.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contract research organizations (“CROs”), contract manufacturing organizations, and other third parties with whom we do business, as well as its impact on regulatory authorities and our key scientific and management personnel. While we are experiencing limited financial and operational impacts at this time, given the global economic slowdown, the overall disruption of global healthcare systems and the other risks and uncertainties associated with the pandemic, our business, financial condition and results of operations ultimately could be materially adversely affected. We continue to closely monitor the COVID-19 pandemic as we evolve our business continuity plans, clinical development plans and response strategy.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BCTG Business Combination</w:t>
      </w:r>
    </w:p>
    <w:p>
      <w:pPr>
        <w:spacing w:after="0" w:line="121"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color w:val="auto"/>
        </w:rPr>
        <w:t>On April 13, 2021, we executed a definitive merger agreement with BCTG and BCTG Merger Sub memorializing the terms of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our stockholders have a majority of the voting power of the combined company, we comprise all of the ongoing operations of the combined entity, we comprise a majority of the governing body of the combined company, and our senior management comprise all of the senior management of the combined company. As a result of the Business Combination, BCTG was renamed Tango Therapeutics, Inc.</w:t>
      </w:r>
    </w:p>
    <w:p>
      <w:pPr>
        <w:spacing w:after="0" w:line="181" w:lineRule="exact"/>
        <w:rPr>
          <w:sz w:val="20"/>
          <w:szCs w:val="20"/>
          <w:color w:val="auto"/>
        </w:rPr>
      </w:pPr>
    </w:p>
    <w:p>
      <w:pPr>
        <w:ind w:right="320" w:firstLine="440"/>
        <w:spacing w:after="0" w:line="257" w:lineRule="auto"/>
        <w:rPr>
          <w:sz w:val="20"/>
          <w:szCs w:val="20"/>
          <w:color w:val="auto"/>
        </w:rPr>
      </w:pPr>
      <w:r>
        <w:rPr>
          <w:rFonts w:ascii="Arial" w:cs="Arial" w:eastAsia="Arial" w:hAnsi="Arial"/>
          <w:sz w:val="18"/>
          <w:szCs w:val="18"/>
          <w:color w:val="auto"/>
        </w:rPr>
        <w:t>Tango received gross proceeds of $166.8 million upon the closing of the Business Combination. Tango continues to operate under the current Tango management team subsequent to the closing of the Business Combination. Upon the closing of the Business Combination, existing and new investors purchased an aggregate of 18.6 million shares of our common stock (the “PIPE Financing”) that resulted in gross proceeds of an additional $186.1 million upon the closing of the PIPE Financing. Total transaction costs and redemptions approximated $27.3 million, resulting in total net proceeds of $325.6 million.</w:t>
      </w:r>
    </w:p>
    <w:p>
      <w:pPr>
        <w:spacing w:after="0" w:line="18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Subject to the terms of the merger agreement, at the effective time of the Business Combination (the “Effective Time”), each share of our redeemable convertible preferred stock (the “Preferred Stock”) issued and outstanding immediately prior to the Effective Time was converted into a share of our common stock. At the Effective Time, each option to purchase our common stock shall become an option, respectively, to purchase shares of common stock of the surviving entity, subject to adjustment in accordance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69" w:name="page170"/>
    <w:bookmarkEnd w:id="169"/>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exchange ratio. Completion of the PIPE Financing and merger transaction were subject to approval of BCTG stockholders and the satisfaction or waiver of certain other customary closing conditions, all of which were satisfied or waivers prior to closing on August 10, 2021.</w:t>
      </w:r>
    </w:p>
    <w:p>
      <w:pPr>
        <w:spacing w:after="0" w:line="250" w:lineRule="exact"/>
        <w:rPr>
          <w:sz w:val="20"/>
          <w:szCs w:val="20"/>
          <w:color w:val="auto"/>
        </w:rPr>
      </w:pPr>
    </w:p>
    <w:p>
      <w:pPr>
        <w:jc w:val="center"/>
        <w:ind w:right="9500"/>
        <w:spacing w:after="0"/>
        <w:rPr>
          <w:sz w:val="20"/>
          <w:szCs w:val="20"/>
          <w:color w:val="auto"/>
        </w:rPr>
      </w:pPr>
      <w:r>
        <w:rPr>
          <w:rFonts w:ascii="Arial" w:cs="Arial" w:eastAsia="Arial" w:hAnsi="Arial"/>
          <w:sz w:val="16"/>
          <w:szCs w:val="16"/>
          <w:b w:val="1"/>
          <w:bCs w:val="1"/>
          <w:color w:val="auto"/>
        </w:rPr>
        <w:t>Financial Overview</w:t>
      </w:r>
    </w:p>
    <w:p>
      <w:pPr>
        <w:spacing w:after="0" w:line="144" w:lineRule="exact"/>
        <w:rPr>
          <w:sz w:val="20"/>
          <w:szCs w:val="20"/>
          <w:color w:val="auto"/>
        </w:rPr>
      </w:pPr>
    </w:p>
    <w:p>
      <w:pPr>
        <w:jc w:val="center"/>
        <w:ind w:right="948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17"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In October 2018, we entered into a collaboration agreement with Gilead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5" w:lineRule="exact"/>
        <w:rPr>
          <w:sz w:val="20"/>
          <w:szCs w:val="20"/>
          <w:color w:val="auto"/>
        </w:rPr>
      </w:pPr>
    </w:p>
    <w:p>
      <w:pPr>
        <w:ind w:right="400" w:firstLine="440"/>
        <w:spacing w:after="0" w:line="279" w:lineRule="auto"/>
        <w:rPr>
          <w:sz w:val="20"/>
          <w:szCs w:val="20"/>
          <w:color w:val="auto"/>
        </w:rPr>
      </w:pPr>
      <w:r>
        <w:rPr>
          <w:rFonts w:ascii="Arial" w:cs="Arial" w:eastAsia="Arial" w:hAnsi="Arial"/>
          <w:sz w:val="17"/>
          <w:szCs w:val="17"/>
          <w:color w:val="auto"/>
        </w:rPr>
        <w:t>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w:t>
      </w:r>
    </w:p>
    <w:p>
      <w:pPr>
        <w:spacing w:after="0" w:line="171"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In August 2020, the 2018 Gilead Agreement was expanded into a broader 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December 2020, Gilead elected to extend a program for an additional $12.0 million fee which was added to our estimate of the transaction price to total $187.0 million. Certain portions of the payment related to this research extension remained outstanding at June 30, 2021, however, we determined that achievement of the entire research extension fee was probable and that a significant reversal in the amount of cumulative revenue recognized would not occur.</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April 2021, Gilead licensed a program for a $11.0 million fee. The $11.0 million license fee was received in May 2021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To date, $37.8 million has been recognized as collaboration revenue related to the upfront and research extension payments from the agreement with Gilead. During the three and six months ended June 30, 2021, the Company recognized $7.2 million and $13.5 million, respectively, and during the three and six months ended June 30, 2020, the Company recognized $4.7 million and $9.1 million, respectively, of revenue associated with the Gilead Agreements based on performance completed during each period.</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Refer to Note 2 and Note 3 to our unaudited condensed consolidated financial statements and related notes appearing elsewhere in this Form 8-K and our audited consolidated financial statements and notes for the year ended December 31, 2020 included in the Company’s effective proxy statement/prospectus, on file with the SEC on July 16, 2021, for additional information regarding our revenue recognition accounting policy and our collaboration agreement with Gilead.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0" w:name="page171"/>
    <w:bookmarkEnd w:id="170"/>
    <w:p>
      <w:pPr>
        <w:ind w:left="4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960" w:right="420" w:hanging="532"/>
        <w:spacing w:after="0" w:line="27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960" w:right="300" w:hanging="532"/>
        <w:spacing w:after="0" w:line="27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as well as consultants that conduct our preclinical studies and development services;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23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TNG908 direct program expense</w:t>
            </w:r>
          </w:p>
        </w:tc>
        <w:tc>
          <w:tcPr>
            <w:tcW w:w="1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USP1 direct program expenses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3,489</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Discovery direct program expenses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11,368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expenses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Facilities and other related expenses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1,965</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4,224</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274" w:right="559" w:bottom="1440" w:gutter="0" w:footer="0" w:header="0"/>
        </w:sectPr>
      </w:pPr>
    </w:p>
    <w:bookmarkStart w:id="171" w:name="page172"/>
    <w:bookmarkEnd w:id="17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89" w:lineRule="exact"/>
        <w:rPr>
          <w:sz w:val="20"/>
          <w:szCs w:val="20"/>
          <w:color w:val="auto"/>
        </w:rPr>
      </w:pPr>
    </w:p>
    <w:p>
      <w:pPr>
        <w:ind w:left="960" w:right="460" w:hanging="532"/>
        <w:spacing w:after="0" w:line="277" w:lineRule="auto"/>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(“FDA”), European Medicines Agency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8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Interest income consists of income earned in connection with our investments in money market funds, U.S. Treasury bills and U.S. government agency bonds.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net consists of miscellaneous income and expense unrelated to our core operations.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Our benefit from (provision for) income tax consists of an estimate for U.S. federal and state income taxes based on enacted rates, as adjusted for allowable credits, deductions, uncertain tax positions, changes in deferred tax assets and liabilities and changes in tax law. We have recorded an insignificant amount of income tax provision or benefit in each of the three and six month periods ended June 30, 2021. There is no provision for income taxes for each of the three and six month periods ended June 30, 2020 because the Company has historically incurred net operating losses and maintains a full valuation allowance against its deferred tax assets.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7"/>
          </w:tcPr>
          <w:p>
            <w:pPr>
              <w:jc w:val="right"/>
              <w:ind w:right="201"/>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right"/>
              <w:ind w:right="221"/>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60" w:type="dxa"/>
            <w:vAlign w:val="bottom"/>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License revenue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(4,556)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(8,443)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net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Collaboration revenue was $7.2 million and $4.7 million for the three months ended June 30, 2021 and 2020, respectively, which was derived from the Gilead collaboration. The increase of $2.4 million is primarily due to incremental costs incurred under the Gilead Agreement during the three months ended June 30, 2021 as compared to the three months ended June 30, 2020 as well as an increase in the total transaction price allocated to the combined performance obligation under the Gilead Agreement during the second half of 2020, which has resulted in greater revenue recognized during the first half of 2021.</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Revenue</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Collaboration revenue was $11.0 million and $0.3 million for the three months ended June 30, 2021 and 2020, respectively, which was derived from the Gilead collaboration. The increase of $10.7 million is primarily due to the incremental revenue recognized during the three months ended June 30, 2021 from Gilead licensing a program for an $11.0 million fee as compared to residual 2019 Gilead Letter Agreement revenue of $0.3 million recognized during the three months ended June 30, 2020.</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Research and development expense was $19.1 million for the three months ended June 30, 2021 compared to $11.1 million for the three months ended June 30, 2020. The increase of $8.0 million was primarily due to a $6.3 million increase in external CRO expenses and lab supplies primarily relating to our lead product candidate, TNG908, and the advancement of our other drug discovery programs. Additionally, personnel-related costs increased $1.2 million primarily due to additional headcount to support our research and development activities as well as a $0.4 million increase in IT spend, consulting and professional fees.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General and administrative expense was $3.6 million for the three months ended June 30, 2021 compared to $2.4 million for the three months ended June 30, 2020. The increase of $1.3 million was primarily due to a $0.7 million increase in personnel-related costs due to additional headcount and a $0.6 million increase in consulting and professional fees.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0" w:right="559" w:bottom="1440" w:gutter="0" w:footer="0" w:header="0"/>
        </w:sectPr>
      </w:pPr>
    </w:p>
    <w:bookmarkStart w:id="173" w:name="page174"/>
    <w:bookmarkEnd w:id="17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Income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was $0.1 million for the three months ended June 30, 2021 compared to $0.1 million for the three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not significant for the three month periods primarily due to low interest rates in each period.</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Other expense, net was $0.1 million for the three months ended June 30, 2021 compared to other income, net of $0.1 million for the three months ended June 30, 2020. Other (expense) income was not significant for both the three months ended June 30, 2021 and 2020.</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Benefit from income taxes was less than $0.1 million for the three months ended June 30, 2021 compared to $0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2020. The increase of less than $0.1 million was primarily due to taxable deferred revenue partially offset by the utilization of federal and state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losses and federal and state tax credits.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7"/>
          </w:tcPr>
          <w:p>
            <w:pPr>
              <w:jc w:val="right"/>
              <w:ind w:right="221"/>
              <w:spacing w:after="0"/>
              <w:rPr>
                <w:sz w:val="20"/>
                <w:szCs w:val="20"/>
                <w:color w:val="auto"/>
              </w:rPr>
            </w:pPr>
            <w:r>
              <w:rPr>
                <w:rFonts w:ascii="Arial" w:cs="Arial" w:eastAsia="Arial" w:hAnsi="Arial"/>
                <w:sz w:val="14"/>
                <w:szCs w:val="14"/>
                <w:b w:val="1"/>
                <w:bCs w:val="1"/>
                <w:color w:val="auto"/>
                <w:w w:val="94"/>
              </w:rPr>
              <w:t>Six Months Ended June 30,</w:t>
            </w:r>
          </w:p>
        </w:tc>
        <w:tc>
          <w:tcPr>
            <w:tcW w:w="160" w:type="dxa"/>
            <w:vAlign w:val="bottom"/>
          </w:tcPr>
          <w:p>
            <w:pPr>
              <w:spacing w:after="0"/>
              <w:rPr>
                <w:sz w:val="14"/>
                <w:szCs w:val="14"/>
                <w:color w:val="auto"/>
              </w:rPr>
            </w:pPr>
          </w:p>
        </w:tc>
        <w:tc>
          <w:tcPr>
            <w:tcW w:w="700" w:type="dxa"/>
            <w:vAlign w:val="bottom"/>
            <w:gridSpan w:val="3"/>
            <w:vMerge w:val="restart"/>
          </w:tcPr>
          <w:p>
            <w:pPr>
              <w:jc w:val="right"/>
              <w:ind w:right="10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4"/>
          </w:tcPr>
          <w:p>
            <w:pPr>
              <w:jc w:val="right"/>
              <w:ind w:right="14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License revenue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w w:val="92"/>
              </w:rPr>
              <w:t>(16,637)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(16,507)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(16,546)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(16,306)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(16,599)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(16,306)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(16,614</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(16,305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Collaboration revenue was $13.5 million and $9.1 million for the six months ended June 30, 2021 and 2020, respectively, which was derived from the Gilead collaboration. The increase of $4.4 million is primarily due to incremental costs incurred under the Gilead Agreement during the six months ended June 30, 2021 as compared to the six months ended June 30, 2020 as well as an increase in the total transaction price allocated to the combined performance obligation under the Gilead Agreement during the second half of 2020, which has resulted in greater revenue recognized during the first half of 2021.</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Revenue</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Collaboration revenue was $11.0 million and $0.7 million for the six months ended June 30, 2021 and 2020, respectively, which was derived from the Gilead collaboration. The increase of $10.3 million is primarily due to the incremental revenue recognized during the six months ended June 30, 2021 from Gilead licensing a program for an $11.0 million fee as compared to residual 2019 Gilead Letter Agreement revenue of $0.7 million recognized during the six months ended June 30, 2020.</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74" w:name="page175"/>
    <w:bookmarkEnd w:id="17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Research and development expense was $34.1 million for the six months ended June 30, 2021 compared to $22.0 million for the six months ended June 30, 2020. The increase of $12.1 million was primarily due to a $9.1 million increase in external CRO expenses and lab supplies primarily relating to our lead product candidate, TNG908, and the advancement of our other drug discovery programs. Additionally, personnel-related costs increased $2.3 million primarily due to additional headcount to support our research and development activities as well as a $0.8 million increase in IT spend, consulting and professional fees.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General and administrative expense was $7.1 million for the six months ended June 30, 2021 compared to $4.3 million for the six months ended June 30, 2020. The increase of $2.8 million was primarily due to a $1.6 million increase in personnel-related costs due to additional headcount and a $0.9 million increase in consulting and professional fees.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was $0.2 million for the six months ended June 30, 2021 compared to $0.1 million for the six months ended June 30,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not significant for the six month periods primarily due to low interest rates in each period.</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Other expense, net was $0.1 million for the six months ended June 30, 2021 compared to other income, net of $0.1 million for the six months ended June 30, 2020. Other (expense) income was not significant for both the six months ended June 30, 2021 and 2020.</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Provision for income taxes was less than $0.1 million for the six months ended June 30, 2021 compared to $0 for the six months ended June 30, 2020. The increase of less than $0.1 million is primarily attributable to taxable deferred revenue partially offset by the utilization of federal and state net operating losses and federal and state tax credits.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preferred stock and from the proceeds received from our collaboration with Gilead. To date, we have raised an aggregate of approximately $166.9 million of gross proceeds from the sale of our preferred stock and another $202.1 million through our collaboration. As of June 30, 2021, we had cash and cash equivalents and marketable securities of $198.4 million.</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We believe that the gross proceeds of approximately $352.9 million from the Business Combination and the PIPE Financing, together with our existing cash, cash equivalents and marketable securities on hand as of June 30, 2021 of $198.4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8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upon the completion of the Business Combination, we expect to incur additional costs associated with operating as a public company. 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70" w:lineRule="exact"/>
        <w:rPr>
          <w:sz w:val="20"/>
          <w:szCs w:val="20"/>
          <w:color w:val="auto"/>
        </w:rPr>
      </w:pPr>
    </w:p>
    <w:p>
      <w:pPr>
        <w:ind w:left="960" w:hanging="532"/>
        <w:spacing w:after="0"/>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TNG908;</w:t>
      </w:r>
    </w:p>
    <w:p>
      <w:pPr>
        <w:spacing w:after="0" w:line="130" w:lineRule="exact"/>
        <w:rPr>
          <w:rFonts w:ascii="Arial" w:cs="Arial" w:eastAsia="Arial" w:hAnsi="Arial"/>
          <w:sz w:val="18"/>
          <w:szCs w:val="18"/>
          <w:color w:val="auto"/>
        </w:rPr>
      </w:pPr>
    </w:p>
    <w:p>
      <w:pPr>
        <w:ind w:left="5460" w:right="1740" w:hanging="5032"/>
        <w:spacing w:after="0" w:line="449" w:lineRule="auto"/>
        <w:tabs>
          <w:tab w:leader="none" w:pos="96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and future earlier-stage programs; 8</w:t>
      </w:r>
    </w:p>
    <w:p>
      <w:pPr>
        <w:sectPr>
          <w:pgSz w:w="11900" w:h="16838" w:orient="portrait"/>
          <w:cols w:equalWidth="0" w:num="1">
            <w:col w:w="11000"/>
          </w:cols>
          <w:pgMar w:left="440" w:top="274" w:right="459" w:bottom="1440" w:gutter="0" w:footer="0" w:header="0"/>
        </w:sectPr>
      </w:pPr>
    </w:p>
    <w:bookmarkStart w:id="175" w:name="page176"/>
    <w:bookmarkEnd w:id="175"/>
    <w:p>
      <w:pPr>
        <w:ind w:left="960" w:right="200" w:hanging="532"/>
        <w:spacing w:after="0" w:line="27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960" w:right="260" w:hanging="532"/>
        <w:spacing w:after="0" w:line="27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and license agreements;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EMA and other regulatory authorities;</w:t>
      </w:r>
    </w:p>
    <w:p>
      <w:pPr>
        <w:spacing w:after="0" w:line="142"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collaborations;</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TNG908 and any future product candidates for which we receive marketing approval;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each of the six month periods presented:</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gridSpan w:val="7"/>
          </w:tcPr>
          <w:p>
            <w:pPr>
              <w:jc w:val="right"/>
              <w:ind w:right="141"/>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Pr>
          <w:p>
            <w:pPr>
              <w:spacing w:after="0"/>
              <w:rPr>
                <w:sz w:val="14"/>
                <w:szCs w:val="14"/>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101"/>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(21,131)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(23,123)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(16,507)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458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Activities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Net cash used in operating activities was $21.1 million for the six months ended June 30, 2021 compared to net cash used in operating activities of $23.1 million for the six months ended June 30, 2020. Our net loss drove our net cash used in operating activities. The largest non-cash items reconciling included in our net loss were stock based compensation expense of $2.1 million for the six months ended June 30, 2021 and $0.8 million for the six months ended June 30, 2020. The decrease in net cash used in operations was primarily due to higher non-cash expenses, including stock-based compensation and depreciation.</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Net cash provided by investing activities was $14.0 million for the six months ended June 30, 2021 compared to net cash used in investing activities of $16.5 million for the six months ended June 30, 2020. The increase in cash provided by investing activities was primarily due to increased sales and maturities of marketable securities partially offset by purchases of marketable securities.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Net cash provided by financing activities was $29.7 million for the six months ended June 30, 2021 compared to net cash provided by financing activities of $29.9 million for the six months ended June 30, 2020. The net cash provided by financing activities in both periods related to net proceeds from the issuance of shares of redeemable convertible Series B preferred stock, which occurred in April 2020 and March 2021, respectively. The decrease in net proceeds provided by financing activities was primarily due to merger related transaction expenses incurred in 2021, partially offset by greater proceeds from the exercising of stock options.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2020 and the effects that such obligations are expected to have on our liquidity and cash flows in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28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1 –</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3 –</w:t>
            </w:r>
          </w:p>
        </w:tc>
        <w:tc>
          <w:tcPr>
            <w:tcW w:w="1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1 Year</w:t>
            </w:r>
          </w:p>
        </w:tc>
        <w:tc>
          <w:tcPr>
            <w:tcW w:w="2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3 Years</w:t>
            </w: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5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6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1,836</w:t>
            </w:r>
          </w:p>
        </w:tc>
        <w:tc>
          <w:tcPr>
            <w:tcW w:w="1060" w:type="dxa"/>
            <w:vAlign w:val="bottom"/>
            <w:gridSpan w:val="3"/>
            <w:shd w:val="clear" w:color="auto" w:fill="CCEEFF"/>
          </w:tcPr>
          <w:p>
            <w:pPr>
              <w:ind w:lef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3,839</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10,795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December 31, 2020. The table does not include the minimum payments due under our new operating lease for office and laboratory space at the 201 Brookline Avenue, Cambridge, Massachusetts location, as this lease is yet to commence as of December 31, 2020. Commitments pertaining to the 201 Brookline Avenue lease will be added to the table above, and also recognized as operating lease liabilities on our balance sheet once the new lease commences. The fixed annual rent payable under the lease is $5.1 million, increasing by 3% annually from the rent commencement date. We will also be required to pay the remaining security deposit balance of $1.7 million for the 201 Brookline Avenue lease on the delivery date notice, which is expected to occur in the second half of 2021.</w:t>
      </w:r>
    </w:p>
    <w:p>
      <w:pPr>
        <w:spacing w:after="0" w:line="178"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As of June 30, 2021, our remaining obligations associated with the operating lease for office and laboratory space at our 100 Binney Street, Cambridge, Massachusetts location totaled $9.9 million.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77" w:name="page178"/>
    <w:bookmarkEnd w:id="1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have been no material changes in our contractual obligations since December 31, 2020.</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License Agreement Obligations</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June 30, 2021 and December 31, 2020, we were unable to estimate the timing or likelihood of achieving these milestones or generating future product sales. See Note 8 to our audited consolidated financial statements and notes for the year ended December 31, 2020 included in the Company’s effective proxy statement/prospectus, on file with the SEC on July 16, 2021 and Note 7 to our unaudited condensed consolidated financial statements and related notes appearing elsewhere in this Form 8-K for a description of our license agreements.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5"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While our significant accounting policies are described in more detail in Note 2 to our audited consolidated financial statements and notes for the year ended December 31, 2020 included in the Company’s effective proxy statement/prospectus, on file with the SEC on July 16, 2021, we believe that the following accounting policies are those most critical to the judgments and estimates used in the preparation of our financial statements.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20" w:firstLine="440"/>
        <w:spacing w:after="0" w:line="277"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new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6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78" w:name="page179"/>
    <w:bookmarkEnd w:id="17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82"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4"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87"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optional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00" w:firstLine="440"/>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9" w:name="page180"/>
    <w:bookmarkEnd w:id="179"/>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Subsequent to the consummation of our Business Combination transaction, 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Our board of directors determines the fair value of each share of common stock underlying stock-based awards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8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Prior to the consummation of our Business Combination transaction, 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 As there is not a public market for our common stock prior to becoming publicly traded,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Our common stock valuations were prepared using either an option pricing method (“OPM”) or a hybrid method, both of which used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was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8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We believe our methodologies are reasonable based upon our internal peer company analyses and further supported by transactions involving our preferred stock. If different assumptions had been made, equity-based compensation expense, consolidated net loss and consolidated net loss per share could have been significantly different.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80" w:name="page181"/>
    <w:bookmarkEnd w:id="180"/>
    <w:p>
      <w:pPr>
        <w:ind w:left="4" w:right="2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sets forth, by grant date, the number of shares subject to options granted from October 18, 2019 through June 30, 2021, the exercise price per share of the options, the fair value per share on each grant date and the estimated per share fair value of the options:</w:t>
      </w:r>
    </w:p>
    <w:p>
      <w:pPr>
        <w:spacing w:after="0" w:line="13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Share</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Options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at Grant</w:t>
            </w:r>
          </w:p>
        </w:tc>
        <w:tc>
          <w:tcPr>
            <w:tcW w:w="16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58"/>
        </w:trPr>
        <w:tc>
          <w:tcPr>
            <w:tcW w:w="5080" w:type="dxa"/>
            <w:vAlign w:val="bottom"/>
            <w:gridSpan w:val="2"/>
            <w:vMerge w:val="continue"/>
          </w:tcPr>
          <w:p>
            <w:pPr>
              <w:spacing w:after="0"/>
              <w:rPr>
                <w:sz w:val="13"/>
                <w:szCs w:val="13"/>
                <w:color w:val="auto"/>
              </w:rPr>
            </w:pPr>
          </w:p>
        </w:tc>
        <w:tc>
          <w:tcPr>
            <w:tcW w:w="13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6"/>
              </w:rPr>
              <w:t>Granted</w:t>
            </w:r>
          </w:p>
        </w:tc>
        <w:tc>
          <w:tcPr>
            <w:tcW w:w="120" w:type="dxa"/>
            <w:vAlign w:val="bottom"/>
          </w:tcPr>
          <w:p>
            <w:pPr>
              <w:spacing w:after="0"/>
              <w:rPr>
                <w:sz w:val="13"/>
                <w:szCs w:val="13"/>
                <w:color w:val="auto"/>
              </w:rPr>
            </w:pPr>
          </w:p>
        </w:tc>
        <w:tc>
          <w:tcPr>
            <w:tcW w:w="10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97"/>
              </w:rPr>
              <w:t>Date</w:t>
            </w:r>
            <w:r>
              <w:rPr>
                <w:rFonts w:ascii="Arial" w:cs="Arial" w:eastAsia="Arial" w:hAnsi="Arial"/>
                <w:sz w:val="12"/>
                <w:szCs w:val="12"/>
                <w:b w:val="1"/>
                <w:bCs w:val="1"/>
                <w:color w:val="auto"/>
                <w:w w:val="97"/>
              </w:rPr>
              <w:t>(1)</w:t>
            </w:r>
          </w:p>
        </w:tc>
        <w:tc>
          <w:tcPr>
            <w:tcW w:w="7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October 18, 2019</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534,000</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0.52</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79"/>
              </w:rPr>
              <w:t>0.52</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October 22, 2019</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0.52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2,171,868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June 2, 2020</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1,251,000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1,697,500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December 9, 2020</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596,000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2021</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6,805,312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1.81</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March 18, 2021</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1,010,000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19, 2021</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424" w:right="220" w:hanging="424"/>
        <w:spacing w:after="0" w:line="287" w:lineRule="auto"/>
        <w:tabs>
          <w:tab w:leader="none" w:pos="42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exercise price per share of common stock and fair value of our common stock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spacing w:after="0" w:line="2" w:lineRule="exact"/>
        <w:rPr>
          <w:rFonts w:ascii="Arial" w:cs="Arial" w:eastAsia="Arial" w:hAnsi="Arial"/>
          <w:sz w:val="16"/>
          <w:szCs w:val="16"/>
          <w:color w:val="auto"/>
        </w:rPr>
      </w:pPr>
    </w:p>
    <w:p>
      <w:pPr>
        <w:ind w:left="424" w:right="160" w:hanging="424"/>
        <w:spacing w:after="0" w:line="250" w:lineRule="auto"/>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ind w:left="424" w:right="20" w:hanging="424"/>
        <w:spacing w:after="0" w:line="273" w:lineRule="auto"/>
        <w:tabs>
          <w:tab w:leader="none" w:pos="42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At the time of the option grants on January 28, 2021, our board of directors determined that the fair value of our common stock of $1.19 per share calculated in the third-party valuation as of December 14, 2020 described above reasonably reflected the per share fair value of our common stock as of the respective grant dates in that period. However, as described below, the fair value of common stock at the date of these grants was adjusted in connection with retrospective fair value assessments for accounting purposes.</w:t>
      </w:r>
    </w:p>
    <w:p>
      <w:pPr>
        <w:spacing w:after="0" w:line="176"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In preparing for the issuance of our financial statements for the year ended December 31, 2020, in March 2021, we performed a retrospective fair value assessment and concluded that the fair value of our common shares underlying stock options that we granted on January 28, 2021 was $1.81 per share for accounting purposes. We applied the fair value of our common shares from our retrospective fair value assessment to determine the fair value of these awards and calculate stock-based compensation expense for accounting purposes. This reassessed value was based, in part, upon a third-party valuation of our common shares prepared as of December 14, 2020, inclusive of a retrospective valuation prepared as of January 2021 reflecting the initial BCTG merger offer. The third-party valuation was prepared using an OPM, which used a market approach to determine our enterprise value.</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within the unaudited condensed consolidated financial statements and related notes appearing elsewhere in this Form 8-K and also in Note 2 to our audited consolidated financial statements and notes for the year ended December 31, 2020 included in the Company’s effective proxy statement/prospectus, on file with the SEC on July 16, 2021.</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81" w:name="page182"/>
    <w:bookmarkEnd w:id="181"/>
    <w:p>
      <w:pPr>
        <w:ind w:left="44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Rate Risk</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We had cash and cash equivalents and marketable securities of $198.4 million and $190.2 million as of June 30,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4" w:right="200" w:firstLine="440"/>
        <w:spacing w:after="0" w:line="293" w:lineRule="auto"/>
        <w:rPr>
          <w:sz w:val="20"/>
          <w:szCs w:val="20"/>
          <w:color w:val="auto"/>
        </w:rPr>
      </w:pPr>
      <w:r>
        <w:rPr>
          <w:rFonts w:ascii="Arial" w:cs="Arial" w:eastAsia="Arial" w:hAnsi="Arial"/>
          <w:sz w:val="16"/>
          <w:szCs w:val="16"/>
          <w:color w:val="auto"/>
        </w:rPr>
        <w:t>We are an “emerging growth company,” or EGC, under the Jumpstart Our Business Startups Act of 2012, or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EGC, we may take advantage of certain exemptions and reduced reporting requirements under the JOBS Act. Subject to certain conditions, as an EGC:</w:t>
      </w:r>
    </w:p>
    <w:p>
      <w:pPr>
        <w:spacing w:after="0" w:line="70" w:lineRule="exact"/>
        <w:rPr>
          <w:sz w:val="20"/>
          <w:szCs w:val="20"/>
          <w:color w:val="auto"/>
        </w:rPr>
      </w:pPr>
    </w:p>
    <w:p>
      <w:pPr>
        <w:ind w:left="964" w:right="300" w:hanging="532"/>
        <w:spacing w:after="0" w:line="27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we may not require nonbinding advisory votes on executive compensation or stockholder approval of any golden parachute payments.</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We will remain an EGC until the earliest of (i) the last day of the fiscal year following the fifth anniversary of the completion of the BCTG IPO,</w:t>
      </w:r>
    </w:p>
    <w:p>
      <w:pPr>
        <w:spacing w:after="0" w:line="35" w:lineRule="exact"/>
        <w:rPr>
          <w:sz w:val="20"/>
          <w:szCs w:val="20"/>
          <w:color w:val="auto"/>
        </w:rPr>
      </w:pPr>
    </w:p>
    <w:p>
      <w:pPr>
        <w:ind w:left="4" w:right="20" w:hanging="4"/>
        <w:spacing w:after="0" w:line="255" w:lineRule="auto"/>
        <w:tabs>
          <w:tab w:leader="none" w:pos="26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 (iii) the date on which we have issued more than $1.0 billion in non-convertible debt during the previous rolling three-year period, or (iv) the date on which we are deemed to be a large accelerated filer under the Securities Exchange Act of 1934, as amended, or the Exchange Act.</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Exhibit 99.2</w:t>
            </w:r>
          </w:p>
        </w:tc>
      </w:tr>
      <w:tr>
        <w:trPr>
          <w:trHeight w:val="432"/>
        </w:trPr>
        <w:tc>
          <w:tcPr>
            <w:tcW w:w="8860" w:type="dxa"/>
            <w:vAlign w:val="bottom"/>
          </w:tcPr>
          <w:p>
            <w:pPr>
              <w:jc w:val="center"/>
              <w:ind w:left="2070"/>
              <w:spacing w:after="0"/>
              <w:rPr>
                <w:sz w:val="20"/>
                <w:szCs w:val="20"/>
                <w:color w:val="auto"/>
              </w:rPr>
            </w:pPr>
            <w:r>
              <w:rPr>
                <w:rFonts w:ascii="Arial" w:cs="Arial" w:eastAsia="Arial" w:hAnsi="Arial"/>
                <w:sz w:val="18"/>
                <w:szCs w:val="18"/>
                <w:b w:val="1"/>
                <w:bCs w:val="1"/>
                <w:color w:val="auto"/>
              </w:rPr>
              <w:t>TANGO THERAPEUTICS,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860" w:type="dxa"/>
            <w:vAlign w:val="bottom"/>
          </w:tcPr>
          <w:p>
            <w:pPr>
              <w:jc w:val="center"/>
              <w:ind w:left="20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8860" w:type="dxa"/>
            <w:vAlign w:val="bottom"/>
          </w:tcPr>
          <w:p>
            <w:pPr>
              <w:jc w:val="center"/>
              <w:ind w:left="2070"/>
              <w:spacing w:after="0"/>
              <w:rPr>
                <w:sz w:val="20"/>
                <w:szCs w:val="20"/>
                <w:color w:val="auto"/>
              </w:rPr>
            </w:pPr>
            <w:r>
              <w:rPr>
                <w:rFonts w:ascii="Arial" w:cs="Arial" w:eastAsia="Arial" w:hAnsi="Arial"/>
                <w:sz w:val="18"/>
                <w:szCs w:val="18"/>
                <w:b w:val="1"/>
                <w:bCs w:val="1"/>
                <w:color w:val="auto"/>
                <w:w w:val="88"/>
              </w:rPr>
              <w:t>(In thousands, except share amounts)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8860" w:type="dxa"/>
            <w:vAlign w:val="bottom"/>
          </w:tcPr>
          <w:p>
            <w:pPr>
              <w:jc w:val="center"/>
              <w:ind w:left="205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6"/>
        </w:trPr>
        <w:tc>
          <w:tcPr>
            <w:tcW w:w="8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r>
        <w:trPr>
          <w:trHeight w:val="403"/>
        </w:trPr>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28,381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147,452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161,939</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1,707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r>
      <w:tr>
        <w:trPr>
          <w:trHeight w:val="27"/>
        </w:trPr>
        <w:tc>
          <w:tcPr>
            <w:tcW w:w="8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202,061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193,632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4,397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3,823</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2,279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2,279</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30"/>
        </w:trPr>
        <w:tc>
          <w:tcPr>
            <w:tcW w:w="88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217,240</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207,252</w:t>
            </w:r>
          </w:p>
        </w:tc>
        <w:tc>
          <w:tcPr>
            <w:tcW w:w="120" w:type="dxa"/>
            <w:vAlign w:val="bottom"/>
          </w:tcPr>
          <w:p>
            <w:pPr>
              <w:spacing w:after="0"/>
              <w:rPr>
                <w:sz w:val="20"/>
                <w:szCs w:val="20"/>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6,434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6,140</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24,500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31,977</w:t>
            </w:r>
          </w:p>
        </w:tc>
      </w:tr>
      <w:tr>
        <w:trPr>
          <w:trHeight w:val="27"/>
        </w:trPr>
        <w:tc>
          <w:tcPr>
            <w:tcW w:w="8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37,223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40,917</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6,384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6,925</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118,742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120,805</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7"/>
        </w:trPr>
        <w:tc>
          <w:tcPr>
            <w:tcW w:w="8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162,349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168,652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60" w:type="dxa"/>
            <w:vAlign w:val="bottom"/>
          </w:tcPr>
          <w:p>
            <w:pPr>
              <w:ind w:left="360"/>
              <w:spacing w:after="0" w:line="201" w:lineRule="exact"/>
              <w:rPr>
                <w:sz w:val="20"/>
                <w:szCs w:val="20"/>
                <w:color w:val="auto"/>
              </w:rPr>
            </w:pPr>
            <w:r>
              <w:rPr>
                <w:rFonts w:ascii="Arial" w:cs="Arial" w:eastAsia="Arial" w:hAnsi="Arial"/>
                <w:sz w:val="18"/>
                <w:szCs w:val="18"/>
                <w:color w:val="auto"/>
                <w:w w:val="96"/>
              </w:rPr>
              <w:t>Series A redeemable convertible preferred stock, $0.001 par value, 55,700,000 shares authorized, issued,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860" w:type="dxa"/>
            <w:vAlign w:val="bottom"/>
          </w:tcPr>
          <w:p>
            <w:pPr>
              <w:ind w:left="540"/>
              <w:spacing w:after="0"/>
              <w:rPr>
                <w:sz w:val="20"/>
                <w:szCs w:val="20"/>
                <w:color w:val="auto"/>
              </w:rPr>
            </w:pPr>
            <w:r>
              <w:rPr>
                <w:rFonts w:ascii="Arial" w:cs="Arial" w:eastAsia="Arial" w:hAnsi="Arial"/>
                <w:sz w:val="18"/>
                <w:szCs w:val="18"/>
                <w:color w:val="auto"/>
                <w:w w:val="91"/>
              </w:rPr>
              <w:t>outstanding at June 30, 2021 and December 31, 2020, respectively; liquidation preferences of $55,700 at June 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860" w:type="dxa"/>
            <w:vAlign w:val="bottom"/>
          </w:tcPr>
          <w:p>
            <w:pPr>
              <w:ind w:left="540"/>
              <w:spacing w:after="0"/>
              <w:rPr>
                <w:sz w:val="20"/>
                <w:szCs w:val="20"/>
                <w:color w:val="auto"/>
              </w:rPr>
            </w:pPr>
            <w:r>
              <w:rPr>
                <w:rFonts w:ascii="Arial" w:cs="Arial" w:eastAsia="Arial" w:hAnsi="Arial"/>
                <w:sz w:val="18"/>
                <w:szCs w:val="18"/>
                <w:color w:val="auto"/>
              </w:rPr>
              <w:t>2021 and December 31, 2020,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55,700</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55,700</w:t>
            </w:r>
          </w:p>
        </w:tc>
      </w:tr>
      <w:tr>
        <w:trPr>
          <w:trHeight w:val="202"/>
        </w:trPr>
        <w:tc>
          <w:tcPr>
            <w:tcW w:w="8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B redeemable convertible preferred stock, $0.001 par value, 45,372,050 shares authorized at June 30, 2021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and December 31, 2020, respectively; 45,372,050 and 22,686,025 shares issued and outstanding at June 30, 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and December 31, 2020, respectively; liquidation preferences of $60,000 and $30,000 at June 30, 2021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2020, 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59,751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29,761</w:t>
            </w:r>
          </w:p>
        </w:tc>
      </w:tr>
      <w:tr>
        <w:trPr>
          <w:trHeight w:val="202"/>
        </w:trPr>
        <w:tc>
          <w:tcPr>
            <w:tcW w:w="8860" w:type="dxa"/>
            <w:vAlign w:val="bottom"/>
          </w:tcPr>
          <w:p>
            <w:pPr>
              <w:ind w:left="360"/>
              <w:spacing w:after="0" w:line="201" w:lineRule="exact"/>
              <w:rPr>
                <w:sz w:val="20"/>
                <w:szCs w:val="20"/>
                <w:color w:val="auto"/>
              </w:rPr>
            </w:pPr>
            <w:r>
              <w:rPr>
                <w:rFonts w:ascii="Arial" w:cs="Arial" w:eastAsia="Arial" w:hAnsi="Arial"/>
                <w:sz w:val="18"/>
                <w:szCs w:val="18"/>
                <w:color w:val="auto"/>
                <w:w w:val="94"/>
              </w:rPr>
              <w:t>Series B-1 redeemable convertible preferred stock, $0.001 par value, 27,152,255 shares authorized, issued,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860" w:type="dxa"/>
            <w:vAlign w:val="bottom"/>
          </w:tcPr>
          <w:p>
            <w:pPr>
              <w:ind w:left="540"/>
              <w:spacing w:after="0"/>
              <w:rPr>
                <w:sz w:val="20"/>
                <w:szCs w:val="20"/>
                <w:color w:val="auto"/>
              </w:rPr>
            </w:pPr>
            <w:r>
              <w:rPr>
                <w:rFonts w:ascii="Arial" w:cs="Arial" w:eastAsia="Arial" w:hAnsi="Arial"/>
                <w:sz w:val="18"/>
                <w:szCs w:val="18"/>
                <w:color w:val="auto"/>
                <w:w w:val="91"/>
              </w:rPr>
              <w:t>outstanding at June 30, 2021 and December 31, 2020, respectively; liquidation preferences of $51,182 at June 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860" w:type="dxa"/>
            <w:vAlign w:val="bottom"/>
          </w:tcPr>
          <w:p>
            <w:pPr>
              <w:ind w:left="540"/>
              <w:spacing w:after="0"/>
              <w:rPr>
                <w:sz w:val="20"/>
                <w:szCs w:val="20"/>
                <w:color w:val="auto"/>
              </w:rPr>
            </w:pPr>
            <w:r>
              <w:rPr>
                <w:rFonts w:ascii="Arial" w:cs="Arial" w:eastAsia="Arial" w:hAnsi="Arial"/>
                <w:sz w:val="18"/>
                <w:szCs w:val="18"/>
                <w:color w:val="auto"/>
              </w:rPr>
              <w:t>2021 and December 31, 2020,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51,083</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51,083</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60" w:type="dxa"/>
            <w:vAlign w:val="bottom"/>
          </w:tcPr>
          <w:p>
            <w:pPr>
              <w:spacing w:after="0" w:line="201" w:lineRule="exact"/>
              <w:rPr>
                <w:sz w:val="20"/>
                <w:szCs w:val="20"/>
                <w:color w:val="auto"/>
              </w:rPr>
            </w:pPr>
            <w:r>
              <w:rPr>
                <w:rFonts w:ascii="Arial" w:cs="Arial" w:eastAsia="Arial" w:hAnsi="Arial"/>
                <w:sz w:val="18"/>
                <w:szCs w:val="18"/>
                <w:color w:val="auto"/>
                <w:w w:val="92"/>
              </w:rPr>
              <w:t>Common stock, $0.001 par value; 166,000,000 shares authorized at June 30, 2021 and December 31, 2020; 14,817,103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60" w:type="dxa"/>
            <w:vAlign w:val="bottom"/>
          </w:tcPr>
          <w:p>
            <w:pPr>
              <w:ind w:left="180"/>
              <w:spacing w:after="0"/>
              <w:rPr>
                <w:sz w:val="20"/>
                <w:szCs w:val="20"/>
                <w:color w:val="auto"/>
              </w:rPr>
            </w:pPr>
            <w:r>
              <w:rPr>
                <w:rFonts w:ascii="Arial" w:cs="Arial" w:eastAsia="Arial" w:hAnsi="Arial"/>
                <w:sz w:val="18"/>
                <w:szCs w:val="18"/>
                <w:color w:val="auto"/>
              </w:rPr>
              <w:t>and 13,301,649 shares issued and outstanding as of June 30, 2021 and December 31, 2020,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5,127</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(119,700)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(103,101)</w:t>
            </w:r>
          </w:p>
        </w:tc>
      </w:tr>
      <w:tr>
        <w:trPr>
          <w:trHeight w:val="230"/>
        </w:trPr>
        <w:tc>
          <w:tcPr>
            <w:tcW w:w="88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(111,643)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(97,944)</w:t>
            </w:r>
          </w:p>
        </w:tc>
        <w:tc>
          <w:tcPr>
            <w:tcW w:w="120" w:type="dxa"/>
            <w:vAlign w:val="bottom"/>
          </w:tcPr>
          <w:p>
            <w:pPr>
              <w:spacing w:after="0"/>
              <w:rPr>
                <w:sz w:val="20"/>
                <w:szCs w:val="20"/>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217,240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207,252</w:t>
            </w:r>
          </w:p>
        </w:tc>
      </w:tr>
      <w:tr>
        <w:trPr>
          <w:trHeight w:val="20"/>
        </w:trPr>
        <w:tc>
          <w:tcPr>
            <w:tcW w:w="8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121" w:right="439" w:bottom="1440" w:gutter="0" w:footer="0" w:header="0"/>
        </w:sectPr>
      </w:pPr>
    </w:p>
    <w:bookmarkStart w:id="183" w:name="page184"/>
    <w:bookmarkEnd w:id="18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8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License revenue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9,775</w:t>
            </w:r>
          </w:p>
        </w:tc>
      </w:tr>
      <w:tr>
        <w:trPr>
          <w:trHeight w:val="331"/>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21,951</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7,097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4,331</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26,282</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(16,507)</w:t>
            </w:r>
          </w:p>
        </w:tc>
        <w:tc>
          <w:tcPr>
            <w:tcW w:w="12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r>
      <w:tr>
        <w:trPr>
          <w:trHeight w:val="230"/>
        </w:trPr>
        <w:tc>
          <w:tcPr>
            <w:tcW w:w="58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(16,306)</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(16,306)</w:t>
            </w:r>
          </w:p>
        </w:tc>
      </w:tr>
      <w:tr>
        <w:trPr>
          <w:trHeight w:val="20"/>
        </w:trPr>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582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common shares outstanding – basic and diluted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14,485,746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11,193,065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14,214,543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10,913,053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(8,392)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(16,306)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(16,305)</w:t>
            </w:r>
          </w:p>
        </w:tc>
      </w:tr>
      <w:tr>
        <w:trPr>
          <w:trHeight w:val="20"/>
        </w:trPr>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440" w:top="270" w:right="43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AND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Redeemable Convertible Preferred Stock</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15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Series A</w:t>
            </w:r>
          </w:p>
        </w:tc>
        <w:tc>
          <w:tcPr>
            <w:tcW w:w="14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3"/>
                <w:szCs w:val="13"/>
                <w:color w:val="auto"/>
              </w:rPr>
            </w:pPr>
          </w:p>
        </w:tc>
        <w:tc>
          <w:tcPr>
            <w:tcW w:w="152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Series B-1</w:t>
            </w:r>
          </w:p>
        </w:tc>
        <w:tc>
          <w:tcPr>
            <w:tcW w:w="1380" w:type="dxa"/>
            <w:vAlign w:val="bottom"/>
            <w:gridSpan w:val="5"/>
            <w:vMerge w:val="restart"/>
          </w:tcPr>
          <w:p>
            <w:pPr>
              <w:jc w:val="right"/>
              <w:ind w:right="13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6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38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60" w:type="dxa"/>
            <w:vAlign w:val="bottom"/>
            <w:gridSpan w:val="3"/>
            <w:vMerge w:val="continue"/>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1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96"/>
              </w:rPr>
              <w:t>December 31,</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2020</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55,700,000</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3"/>
              </w:rPr>
              <w:t>$ 55,700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92"/>
              </w:rPr>
              <w:t>22,686,025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$ 29,761</w:t>
            </w:r>
          </w:p>
        </w:tc>
        <w:tc>
          <w:tcPr>
            <w:tcW w:w="86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27,152,255</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$ 51,083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13,301,649</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(103,101)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(97,944)</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Issuance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Series B</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convertible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preferred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stock, net of</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5"/>
              </w:rPr>
              <w:t>issuance costs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of less than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$0.1 million</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60"/>
              <w:spacing w:after="0"/>
              <w:rPr>
                <w:sz w:val="20"/>
                <w:szCs w:val="20"/>
                <w:color w:val="auto"/>
              </w:rPr>
            </w:pPr>
            <w:r>
              <w:rPr>
                <w:rFonts w:ascii="Arial" w:cs="Arial" w:eastAsia="Arial" w:hAnsi="Arial"/>
                <w:sz w:val="16"/>
                <w:szCs w:val="16"/>
                <w:color w:val="auto"/>
                <w:w w:val="92"/>
              </w:rPr>
              <w:t>22,686,025</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29,990</w:t>
            </w: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w w:val="95"/>
              </w:rPr>
              <w:t>Exercise of stock</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895,093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Vesting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awards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Stock based</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2"/>
              </w:rPr>
              <w:t>comprehensive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income</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(12,106)</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(12,106)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2021</w:t>
            </w:r>
          </w:p>
        </w:tc>
        <w:tc>
          <w:tcPr>
            <w:tcW w:w="780" w:type="dxa"/>
            <w:vAlign w:val="bottom"/>
          </w:tcPr>
          <w:p>
            <w:pPr>
              <w:ind w:left="40"/>
              <w:spacing w:after="0"/>
              <w:rPr>
                <w:sz w:val="20"/>
                <w:szCs w:val="20"/>
                <w:color w:val="auto"/>
              </w:rPr>
            </w:pPr>
            <w:r>
              <w:rPr>
                <w:rFonts w:ascii="Arial" w:cs="Arial" w:eastAsia="Arial" w:hAnsi="Arial"/>
                <w:sz w:val="16"/>
                <w:szCs w:val="16"/>
                <w:color w:val="auto"/>
                <w:w w:val="89"/>
              </w:rPr>
              <w:t>55,700,000</w:t>
            </w:r>
          </w:p>
        </w:tc>
        <w:tc>
          <w:tcPr>
            <w:tcW w:w="740" w:type="dxa"/>
            <w:vAlign w:val="bottom"/>
            <w:gridSpan w:val="3"/>
          </w:tcPr>
          <w:p>
            <w:pPr>
              <w:jc w:val="center"/>
              <w:spacing w:after="0"/>
              <w:rPr>
                <w:sz w:val="20"/>
                <w:szCs w:val="20"/>
                <w:color w:val="auto"/>
              </w:rPr>
            </w:pPr>
            <w:r>
              <w:rPr>
                <w:rFonts w:ascii="Arial" w:cs="Arial" w:eastAsia="Arial" w:hAnsi="Arial"/>
                <w:sz w:val="16"/>
                <w:szCs w:val="16"/>
                <w:color w:val="auto"/>
                <w:w w:val="93"/>
              </w:rPr>
              <w:t>$ 55,700</w:t>
            </w:r>
          </w:p>
        </w:tc>
        <w:tc>
          <w:tcPr>
            <w:tcW w:w="820" w:type="dxa"/>
            <w:vAlign w:val="bottom"/>
            <w:gridSpan w:val="2"/>
          </w:tcPr>
          <w:p>
            <w:pPr>
              <w:ind w:left="60"/>
              <w:spacing w:after="0"/>
              <w:rPr>
                <w:sz w:val="20"/>
                <w:szCs w:val="20"/>
                <w:color w:val="auto"/>
              </w:rPr>
            </w:pPr>
            <w:r>
              <w:rPr>
                <w:rFonts w:ascii="Arial" w:cs="Arial" w:eastAsia="Arial" w:hAnsi="Arial"/>
                <w:sz w:val="16"/>
                <w:szCs w:val="16"/>
                <w:color w:val="auto"/>
                <w:w w:val="92"/>
              </w:rPr>
              <w:t>45,372,050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6"/>
              </w:rPr>
              <w:t>$ 59,751</w:t>
            </w:r>
          </w:p>
        </w:tc>
        <w:tc>
          <w:tcPr>
            <w:tcW w:w="86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27,152,255</w:t>
            </w:r>
          </w:p>
        </w:tc>
        <w:tc>
          <w:tcPr>
            <w:tcW w:w="760" w:type="dxa"/>
            <w:vAlign w:val="bottom"/>
            <w:gridSpan w:val="3"/>
          </w:tcPr>
          <w:p>
            <w:pPr>
              <w:jc w:val="center"/>
              <w:spacing w:after="0"/>
              <w:rPr>
                <w:sz w:val="20"/>
                <w:szCs w:val="20"/>
                <w:color w:val="auto"/>
              </w:rPr>
            </w:pPr>
            <w:r>
              <w:rPr>
                <w:rFonts w:ascii="Arial" w:cs="Arial" w:eastAsia="Arial" w:hAnsi="Arial"/>
                <w:sz w:val="16"/>
                <w:szCs w:val="16"/>
                <w:color w:val="auto"/>
                <w:w w:val="89"/>
              </w:rPr>
              <w:t>$ 51,083</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14,196,742</w:t>
            </w: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6,518</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(115,207)</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(108,643)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w w:val="95"/>
              </w:rPr>
              <w:t>Exercise of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620,361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Vesting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awards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Stock based</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2"/>
              </w:rPr>
              <w:t>comprehensive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loss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5"/>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(4,493)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160"/>
              <w:spacing w:after="0"/>
              <w:rPr>
                <w:sz w:val="20"/>
                <w:szCs w:val="20"/>
                <w:color w:val="auto"/>
              </w:rPr>
            </w:pPr>
            <w:r>
              <w:rPr>
                <w:rFonts w:ascii="Arial" w:cs="Arial" w:eastAsia="Arial" w:hAnsi="Arial"/>
                <w:sz w:val="16"/>
                <w:szCs w:val="16"/>
                <w:b w:val="1"/>
                <w:bCs w:val="1"/>
                <w:color w:val="auto"/>
                <w:w w:val="96"/>
              </w:rPr>
              <w:t>June 30, 2021</w:t>
            </w:r>
          </w:p>
        </w:tc>
        <w:tc>
          <w:tcPr>
            <w:tcW w:w="780" w:type="dxa"/>
            <w:vAlign w:val="bottom"/>
          </w:tcPr>
          <w:p>
            <w:pPr>
              <w:ind w:left="40"/>
              <w:spacing w:after="0"/>
              <w:rPr>
                <w:sz w:val="20"/>
                <w:szCs w:val="20"/>
                <w:color w:val="auto"/>
              </w:rPr>
            </w:pPr>
            <w:r>
              <w:rPr>
                <w:rFonts w:ascii="Arial" w:cs="Arial" w:eastAsia="Arial" w:hAnsi="Arial"/>
                <w:sz w:val="16"/>
                <w:szCs w:val="16"/>
                <w:color w:val="auto"/>
                <w:w w:val="89"/>
              </w:rPr>
              <w:t>55,700,000</w:t>
            </w:r>
          </w:p>
        </w:tc>
        <w:tc>
          <w:tcPr>
            <w:tcW w:w="740" w:type="dxa"/>
            <w:vAlign w:val="bottom"/>
            <w:gridSpan w:val="3"/>
          </w:tcPr>
          <w:p>
            <w:pPr>
              <w:jc w:val="center"/>
              <w:spacing w:after="0"/>
              <w:rPr>
                <w:sz w:val="20"/>
                <w:szCs w:val="20"/>
                <w:color w:val="auto"/>
              </w:rPr>
            </w:pPr>
            <w:r>
              <w:rPr>
                <w:rFonts w:ascii="Arial" w:cs="Arial" w:eastAsia="Arial" w:hAnsi="Arial"/>
                <w:sz w:val="16"/>
                <w:szCs w:val="16"/>
                <w:color w:val="auto"/>
                <w:w w:val="93"/>
              </w:rPr>
              <w:t>$ 55,700</w:t>
            </w:r>
          </w:p>
        </w:tc>
        <w:tc>
          <w:tcPr>
            <w:tcW w:w="820" w:type="dxa"/>
            <w:vAlign w:val="bottom"/>
            <w:gridSpan w:val="2"/>
          </w:tcPr>
          <w:p>
            <w:pPr>
              <w:ind w:left="60"/>
              <w:spacing w:after="0"/>
              <w:rPr>
                <w:sz w:val="20"/>
                <w:szCs w:val="20"/>
                <w:color w:val="auto"/>
              </w:rPr>
            </w:pPr>
            <w:r>
              <w:rPr>
                <w:rFonts w:ascii="Arial" w:cs="Arial" w:eastAsia="Arial" w:hAnsi="Arial"/>
                <w:sz w:val="16"/>
                <w:szCs w:val="16"/>
                <w:color w:val="auto"/>
                <w:w w:val="92"/>
              </w:rPr>
              <w:t>45,372,050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6"/>
              </w:rPr>
              <w:t>$ 59,751</w:t>
            </w:r>
          </w:p>
        </w:tc>
        <w:tc>
          <w:tcPr>
            <w:tcW w:w="86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27,152,255</w:t>
            </w:r>
          </w:p>
        </w:tc>
        <w:tc>
          <w:tcPr>
            <w:tcW w:w="760" w:type="dxa"/>
            <w:vAlign w:val="bottom"/>
            <w:gridSpan w:val="3"/>
          </w:tcPr>
          <w:p>
            <w:pPr>
              <w:jc w:val="center"/>
              <w:spacing w:after="0"/>
              <w:rPr>
                <w:sz w:val="20"/>
                <w:szCs w:val="20"/>
                <w:color w:val="auto"/>
              </w:rPr>
            </w:pPr>
            <w:r>
              <w:rPr>
                <w:rFonts w:ascii="Arial" w:cs="Arial" w:eastAsia="Arial" w:hAnsi="Arial"/>
                <w:sz w:val="16"/>
                <w:szCs w:val="16"/>
                <w:color w:val="auto"/>
                <w:w w:val="89"/>
              </w:rPr>
              <w:t>$ 51,083</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14,817,103</w:t>
            </w: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8,040</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(119,700)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(111,643)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0"/>
          </w:cols>
          <w:pgMar w:left="440" w:top="270" w:right="4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3160" w:type="dxa"/>
            <w:vAlign w:val="bottom"/>
            <w:gridSpan w:val="10"/>
          </w:tcPr>
          <w:p>
            <w:pPr>
              <w:ind w:left="240"/>
              <w:spacing w:after="0"/>
              <w:rPr>
                <w:sz w:val="20"/>
                <w:szCs w:val="20"/>
                <w:color w:val="auto"/>
              </w:rPr>
            </w:pPr>
            <w:r>
              <w:rPr>
                <w:rFonts w:ascii="Arial" w:cs="Arial" w:eastAsia="Arial" w:hAnsi="Arial"/>
                <w:sz w:val="14"/>
                <w:szCs w:val="14"/>
                <w:b w:val="1"/>
                <w:bCs w:val="1"/>
                <w:color w:val="auto"/>
              </w:rPr>
              <w:t>Redeemable Convertible Preferred Stock</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2420" w:type="dxa"/>
            <w:vAlign w:val="bottom"/>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60" w:type="dxa"/>
            <w:vAlign w:val="bottom"/>
            <w:tcBorders>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Series B</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7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5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2"/>
                <w:szCs w:val="12"/>
                <w:color w:val="auto"/>
              </w:rPr>
            </w:pPr>
          </w:p>
        </w:tc>
        <w:tc>
          <w:tcPr>
            <w:tcW w:w="8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7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7"/>
              </w:rPr>
              <w:t>55,700,000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$ 55,700</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13,334,856</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78"/>
              </w:rPr>
              <w:t>13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Arial" w:cs="Arial" w:eastAsia="Arial" w:hAnsi="Arial"/>
                <w:sz w:val="16"/>
                <w:szCs w:val="16"/>
                <w:color w:val="auto"/>
                <w:w w:val="99"/>
              </w:rPr>
              <w:t>Repurchase of restricted common</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60"/>
              <w:spacing w:after="0"/>
              <w:rPr>
                <w:sz w:val="20"/>
                <w:szCs w:val="20"/>
                <w:color w:val="auto"/>
              </w:rPr>
            </w:pPr>
            <w:r>
              <w:rPr>
                <w:rFonts w:ascii="Arial" w:cs="Arial" w:eastAsia="Arial" w:hAnsi="Arial"/>
                <w:sz w:val="16"/>
                <w:szCs w:val="16"/>
                <w:color w:val="auto"/>
              </w:rPr>
              <w:t>stock awards</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(75,000)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w w:val="96"/>
              </w:rPr>
              <w:t>Vesting of restricted common stock</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awards</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w w:val="93"/>
              </w:rPr>
              <w:t>Stock based compensation expense</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(7,914)</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(7,914)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March 31, 2020</w:t>
            </w:r>
          </w:p>
        </w:tc>
        <w:tc>
          <w:tcPr>
            <w:tcW w:w="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55,700,000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6"/>
                <w:szCs w:val="16"/>
                <w:color w:val="auto"/>
                <w:w w:val="89"/>
              </w:rPr>
              <w:t>$ 55,700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13,259,856</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6"/>
                <w:szCs w:val="16"/>
                <w:color w:val="auto"/>
                <w:w w:val="78"/>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(59,043)</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(55,283)</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w w:val="96"/>
              </w:rPr>
              <w:t>Issuance of Series B-1 redeemable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4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60"/>
              <w:spacing w:after="0"/>
              <w:rPr>
                <w:sz w:val="20"/>
                <w:szCs w:val="20"/>
                <w:color w:val="auto"/>
              </w:rPr>
            </w:pPr>
            <w:r>
              <w:rPr>
                <w:rFonts w:ascii="Arial" w:cs="Arial" w:eastAsia="Arial" w:hAnsi="Arial"/>
                <w:sz w:val="16"/>
                <w:szCs w:val="16"/>
                <w:color w:val="auto"/>
              </w:rPr>
              <w:t>convertible preferred stock, net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60"/>
              <w:spacing w:after="0"/>
              <w:rPr>
                <w:sz w:val="20"/>
                <w:szCs w:val="20"/>
                <w:color w:val="auto"/>
              </w:rPr>
            </w:pPr>
            <w:r>
              <w:rPr>
                <w:rFonts w:ascii="Arial" w:cs="Arial" w:eastAsia="Arial" w:hAnsi="Arial"/>
                <w:sz w:val="16"/>
                <w:szCs w:val="16"/>
                <w:color w:val="auto"/>
              </w:rPr>
              <w:t>of issuance costs of less than</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60"/>
              <w:spacing w:after="0"/>
              <w:rPr>
                <w:sz w:val="20"/>
                <w:szCs w:val="20"/>
                <w:color w:val="auto"/>
              </w:rPr>
            </w:pPr>
            <w:r>
              <w:rPr>
                <w:rFonts w:ascii="Arial" w:cs="Arial" w:eastAsia="Arial" w:hAnsi="Arial"/>
                <w:sz w:val="16"/>
                <w:szCs w:val="16"/>
                <w:color w:val="auto"/>
              </w:rPr>
              <w:t>$0.2 million</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22,686,025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color w:val="auto"/>
              </w:rPr>
              <w:t>29,761</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19,687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20" w:type="dxa"/>
            <w:vAlign w:val="bottom"/>
          </w:tcPr>
          <w:p>
            <w:pPr>
              <w:spacing w:after="0"/>
              <w:rPr>
                <w:sz w:val="20"/>
                <w:szCs w:val="20"/>
                <w:color w:val="auto"/>
              </w:rPr>
            </w:pPr>
            <w:r>
              <w:rPr>
                <w:rFonts w:ascii="Arial" w:cs="Arial" w:eastAsia="Arial" w:hAnsi="Arial"/>
                <w:sz w:val="16"/>
                <w:szCs w:val="16"/>
                <w:color w:val="auto"/>
                <w:w w:val="96"/>
              </w:rPr>
              <w:t>Vesting of restricted common stock</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60"/>
              <w:spacing w:after="0"/>
              <w:rPr>
                <w:sz w:val="20"/>
                <w:szCs w:val="20"/>
                <w:color w:val="auto"/>
              </w:rPr>
            </w:pPr>
            <w:r>
              <w:rPr>
                <w:rFonts w:ascii="Arial" w:cs="Arial" w:eastAsia="Arial" w:hAnsi="Arial"/>
                <w:sz w:val="16"/>
                <w:szCs w:val="16"/>
                <w:color w:val="auto"/>
              </w:rPr>
              <w:t>awards</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w w:val="93"/>
              </w:rPr>
              <w:t>Stock based compensation expense</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(8,392)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(8,392)</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Balance at June 30, 2020</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20" w:type="dxa"/>
            <w:vAlign w:val="bottom"/>
            <w:vMerge w:val="continue"/>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6"/>
                <w:szCs w:val="16"/>
                <w:color w:val="auto"/>
                <w:w w:val="87"/>
              </w:rPr>
              <w:t>55,700,000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color w:val="auto"/>
                <w:w w:val="89"/>
              </w:rPr>
              <w:t>$ 55,700</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22,686,025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20"/>
              <w:spacing w:after="0"/>
              <w:rPr>
                <w:sz w:val="20"/>
                <w:szCs w:val="20"/>
                <w:color w:val="auto"/>
              </w:rPr>
            </w:pPr>
            <w:r>
              <w:rPr>
                <w:rFonts w:ascii="Arial" w:cs="Arial" w:eastAsia="Arial" w:hAnsi="Arial"/>
                <w:sz w:val="16"/>
                <w:szCs w:val="16"/>
                <w:color w:val="auto"/>
              </w:rPr>
              <w:t>29,761</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13,279,543</w:t>
            </w: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w w:val="78"/>
              </w:rPr>
              <w:t>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4,141</w:t>
            </w:r>
          </w:p>
        </w:tc>
        <w:tc>
          <w:tcPr>
            <w:tcW w:w="1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(67,435)</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(63,270)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0"/>
          </w:cols>
          <w:pgMar w:left="440" w:top="253" w:right="439"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(16,599)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(16,306)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operating lease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2,146</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(9,539)</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(23,123)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100,471</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16,327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(86,117)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(32,316)</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13,987</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Proceeds from issuance of preferred stock, net of issuance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29,990</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29,850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Payment of merger with BCTG and PIPE financing transaction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29,859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22,521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25,168</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53,181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15,397</w:t>
            </w:r>
          </w:p>
        </w:tc>
        <w:tc>
          <w:tcPr>
            <w:tcW w:w="0" w:type="dxa"/>
            <w:vAlign w:val="bottom"/>
          </w:tcPr>
          <w:p>
            <w:pPr>
              <w:spacing w:after="0"/>
              <w:rPr>
                <w:sz w:val="1"/>
                <w:szCs w:val="1"/>
                <w:color w:val="auto"/>
              </w:rPr>
            </w:pPr>
          </w:p>
        </w:tc>
      </w:tr>
      <w:tr>
        <w:trPr>
          <w:trHeight w:val="115"/>
        </w:trPr>
        <w:tc>
          <w:tcPr>
            <w:tcW w:w="8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Cash paid for leases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Merger with BCTG and PIPE financing deferred offering costs included in accounts payable and accrued expenses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20"/>
          </w:cols>
          <w:pgMar w:left="440" w:top="270" w:right="439" w:bottom="1440" w:gutter="0" w:footer="0" w:header="0"/>
        </w:sectPr>
      </w:pPr>
    </w:p>
    <w:bookmarkStart w:id="187" w:name="page188"/>
    <w:bookmarkEnd w:id="18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ind w:left="424" w:hanging="424"/>
        <w:spacing w:after="0"/>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new drugs in defined patient populations with high unmet medical need.</w:t>
      </w:r>
    </w:p>
    <w:p>
      <w:pPr>
        <w:spacing w:after="0" w:line="170"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79"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Since inception, the Company has generated recurring net losses, including net losses of $4.5 million and $16.6 million for the three and six months ended June 30, 2021, respectively, and net losses of $8.4 million and $16.3 million for the three and six months ended June 30, 2020, respectively. The Company had an accumulated deficit of $119.7 million as of June 30, 2021. Since inception and through the issuance date of these unaudited condensed consolidated financial statements, the Company has raised an aggregate of approximately $166.9 million of gross proceeds from the sale of preferred shares, approximately $352.9 million in gross proceeds through the closing of the BCTG Business Combination and PIPE Investment transactions and another $202.1 million through our collaboration with Gilead.</w:t>
      </w:r>
    </w:p>
    <w:p>
      <w:pPr>
        <w:spacing w:after="0" w:line="178"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The Company expects operating losses and negative cash flows from operations to continue for the foreseeable future as it continues to develop, manufacture and commercialize its products. As of June 30, 2021, and with the additional gross proceeds of approximately $352.9 million received on August 10, 2021 from the consummation of the BCTG Business Combination and PIPE Investment transactions, the Company expected that its cash, cash equivalents and marketable securities will be sufficient to fund its operating expenses and capital expenditure requirements for at least 12 months from the issuance date of the unaudited condensed consolidated financial statements. The future viability of the Company beyond that point may be dependent on its ability to raise additional capital to finance its operations.</w:t>
      </w:r>
    </w:p>
    <w:p>
      <w:pPr>
        <w:spacing w:after="0" w:line="178"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296"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accounting principles generally accepted in the United States of America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04"/>
          </w:cols>
          <w:pgMar w:left="436" w:top="270" w:right="459" w:bottom="1440" w:gutter="0" w:footer="0" w:header="0"/>
        </w:sectPr>
      </w:pPr>
    </w:p>
    <w:bookmarkStart w:id="188" w:name="page189"/>
    <w:bookmarkEnd w:id="188"/>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received gross proceeds of $166.8 million upon the closing of the Business Combination. Tango continues to operate under the current Tango management team. Subsequent to the closing of the Business Combination, an 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w:t>
      </w:r>
    </w:p>
    <w:p>
      <w:pPr>
        <w:spacing w:after="0" w:line="18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Subject to the terms of the merger agreement, upon the closing of the Business Combination (the “Effective Time”), each share of the Company’s redeemable convertible preferred stock (the “Preferred Stock”) issued and 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including any novel variants such as the “Delta variant,”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18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 specific related event or circumstance that would require it to revise its estimates reflected in these condensed consolidated financial statements. The extent to which the COVID-19 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157" w:lineRule="exact"/>
        <w:rPr>
          <w:sz w:val="20"/>
          <w:szCs w:val="20"/>
          <w:color w:val="auto"/>
        </w:rPr>
      </w:pPr>
    </w:p>
    <w:p>
      <w:pPr>
        <w:ind w:right="240" w:firstLine="440"/>
        <w:spacing w:after="0" w:line="273" w:lineRule="auto"/>
        <w:rPr>
          <w:sz w:val="20"/>
          <w:szCs w:val="20"/>
          <w:color w:val="auto"/>
        </w:rPr>
      </w:pPr>
      <w:r>
        <w:rPr>
          <w:rFonts w:ascii="Arial" w:cs="Arial" w:eastAsia="Arial" w:hAnsi="Arial"/>
          <w:sz w:val="17"/>
          <w:szCs w:val="17"/>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2021 and 2020 are not necessarily indicative of the results for the year ending December 31, 2021, any other interim periods, or any future year or period. The unaudited condensed consolidated financial statements for the three and six months ended June 30, 2021 and 2020 have been prepared on the same basis as and should be read in conjunction with the audited consolidated financial statements and notes for the year ended December 31, 2020 included in the Company’s effective proxy statement/prospectus, on file with the SEC on July 16, 2021.</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80"/>
          </w:cols>
          <w:pgMar w:left="440" w:top="274" w:right="479" w:bottom="1440" w:gutter="0" w:footer="0" w:header="0"/>
        </w:sectPr>
      </w:pPr>
    </w:p>
    <w:bookmarkStart w:id="189" w:name="page190"/>
    <w:bookmarkEnd w:id="189"/>
    <w:p>
      <w:pPr>
        <w:ind w:left="424" w:hanging="424"/>
        <w:spacing w:after="0"/>
        <w:tabs>
          <w:tab w:leader="none" w:pos="42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of Significant Accounting Policies</w:t>
      </w:r>
    </w:p>
    <w:p>
      <w:pPr>
        <w:spacing w:after="0" w:line="12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 xml:space="preserve">Other than policies noted below, there have been no significant changes from the significant accounting policies disclosed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the audited consolidated financial statements and notes for the year ended December 31, 2020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proxy statement/prospectus, on file with the SEC on July 16, 2021.</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was permitted The Company adopted this standard as of January 1, 2021 on a prospective basis. The adoption did not have a material impact on the Company’s condensed consolidated financial statements.</w:t>
      </w:r>
    </w:p>
    <w:p>
      <w:pPr>
        <w:spacing w:after="0" w:line="192"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 Contracts in Entity’s Own Equity (Subtopic 815 — 40)</w:t>
      </w:r>
      <w:r>
        <w:rPr>
          <w:rFonts w:ascii="Arial" w:cs="Arial" w:eastAsia="Arial" w:hAnsi="Arial"/>
          <w:sz w:val="17"/>
          <w:szCs w:val="17"/>
          <w:color w:val="auto"/>
        </w:rPr>
        <w:t>. The amendments in this update affect entities that issue convertible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(“EPS”) computation. Early adoption is permitted, but no earlier than fiscal years beginning after December 15, 2020, including interim periods within those fiscal years. The Company elected to early adopt this guidance on January 1, 2021.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w:t>
      </w:r>
    </w:p>
    <w:p>
      <w:pPr>
        <w:spacing w:after="0" w:line="293"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328" w:lineRule="exact"/>
        <w:rPr>
          <w:sz w:val="20"/>
          <w:szCs w:val="20"/>
          <w:color w:val="auto"/>
        </w:rPr>
      </w:pPr>
    </w:p>
    <w:p>
      <w:pPr>
        <w:ind w:left="444" w:right="8540" w:hanging="444"/>
        <w:spacing w:after="0" w:line="425" w:lineRule="auto"/>
        <w:tabs>
          <w:tab w:leader="none" w:pos="436"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2018 Gilead Agreement</w:t>
      </w:r>
    </w:p>
    <w:p>
      <w:pPr>
        <w:ind w:left="4" w:right="60" w:firstLine="440"/>
        <w:spacing w:after="0" w:line="259"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8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04"/>
          </w:cols>
          <w:pgMar w:left="436" w:top="270" w:right="459" w:bottom="1440" w:gutter="0" w:footer="0" w:header="0"/>
        </w:sectPr>
      </w:pPr>
    </w:p>
    <w:bookmarkStart w:id="190" w:name="page191"/>
    <w:bookmarkEnd w:id="190"/>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17"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71" w:lineRule="exact"/>
        <w:rPr>
          <w:sz w:val="20"/>
          <w:szCs w:val="20"/>
          <w:color w:val="auto"/>
        </w:rPr>
      </w:pPr>
    </w:p>
    <w:p>
      <w:pPr>
        <w:ind w:left="960" w:right="20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75"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9"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Company is eligible to receive up to $410.0 million per program in license, research extension, and clinical, regulatory, and commercial milestones.</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7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95"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In April 2021, Gilead licensed a program for a $11.0 million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total transaction price allocated to the combined performance obligation under the Gilead Agreement was $187.0 million at June 30, 2021. The total transaction price was comprised of the $50.0 million upfront payment pursuant to the 2018 Gilead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440" w:top="274" w:right="459" w:bottom="1440" w:gutter="0" w:footer="0" w:header="0"/>
        </w:sectPr>
      </w:pPr>
    </w:p>
    <w:bookmarkStart w:id="191" w:name="page192"/>
    <w:bookmarkEnd w:id="191"/>
    <w:p>
      <w:pPr>
        <w:ind w:left="4"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the $125.0 million upfront payment pursuant to the Gilead Agreement, and the $12.0 million pursuant to the research extension fee in December 2020. During the three and six months ended June 30, 2021, the Company recognized $7.2 million and $13.5 million, respectively, and during the three and six months ended June 30, 2020, the Company recognized $4.7 million and $9.1 million, respectively, of revenue associated with the Gilead Agreements based on performance completed during each period. During the three and six months ended June 30, 2021, the Company recognized revenue of $11.0 million, associated with the payments received in the second quarter of 2021 pursuant to the April 2021 program license. During the three and six months ended June 30, 2020, the Company recognized revenue of $0.3 million and $0.7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8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2021 and December 31, 2020, the Company had short-term deferred revenue of $24.5 million and $32.0 million, respectively, and long-term deferred revenue of $118.7 million and $120.8 million, respectively, related to the Gilead collaboration. The remaining long-term revenue is expected to be recognized proportionally to the completed obligations over an expected remaining contractual term of approximately 6.1 years.</w:t>
      </w:r>
    </w:p>
    <w:p>
      <w:pPr>
        <w:spacing w:after="0" w:line="178"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 As of June 30, 2021, $4.0 million of the total research extension fee amount of $12.0 million had been received, $2.0 million had been recorded as accounts receivable and the remaining $6.0 million was determined to be conditional upon the satisfaction of additional research obligations, and thus a contract asset. The contract asset balance is presented net of the deferred revenue contract liability.</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70"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Fair Market Value Measurements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0"/>
              </w:rPr>
              <w:t>as of June 30, 2021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color w:val="auto"/>
              </w:rPr>
              <w:t>$ 30,440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bills</w:t>
            </w:r>
          </w:p>
        </w:tc>
        <w:tc>
          <w:tcPr>
            <w:tcW w:w="28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bills</w:t>
            </w:r>
          </w:p>
        </w:tc>
        <w:tc>
          <w:tcPr>
            <w:tcW w:w="28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126,953</w:t>
            </w:r>
          </w:p>
        </w:tc>
        <w:tc>
          <w:tcPr>
            <w:tcW w:w="7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2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20,499</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$ 30,440</w:t>
            </w:r>
          </w:p>
        </w:tc>
        <w:tc>
          <w:tcPr>
            <w:tcW w:w="80" w:type="dxa"/>
            <w:vAlign w:val="bottom"/>
            <w:tcBorders>
              <w:lef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$ 147,452</w:t>
            </w:r>
          </w:p>
        </w:tc>
        <w:tc>
          <w:tcPr>
            <w:tcW w:w="7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6"/>
              </w:rPr>
              <w:t>Fair Market Value Measurements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Level 1</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88"/>
              </w:rPr>
              <w:t>Level 2</w:t>
            </w: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$ 12,698</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bills</w:t>
            </w:r>
          </w:p>
        </w:tc>
        <w:tc>
          <w:tcPr>
            <w:tcW w:w="28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bills</w:t>
            </w:r>
          </w:p>
        </w:tc>
        <w:tc>
          <w:tcPr>
            <w:tcW w:w="28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131,939</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U.S. government agency bonds</w:t>
            </w:r>
          </w:p>
        </w:tc>
        <w:tc>
          <w:tcPr>
            <w:tcW w:w="2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8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$ 12,698</w:t>
            </w:r>
          </w:p>
        </w:tc>
        <w:tc>
          <w:tcPr>
            <w:tcW w:w="8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$ 169,114</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181,812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60" w:type="dxa"/>
            <w:vAlign w:val="bottom"/>
            <w:gridSpan w:val="3"/>
          </w:tcPr>
          <w:p>
            <w:pPr>
              <w:jc w:val="right"/>
              <w:ind w:right="1980"/>
              <w:spacing w:after="0"/>
              <w:rPr>
                <w:sz w:val="20"/>
                <w:szCs w:val="20"/>
                <w:color w:val="auto"/>
              </w:rPr>
            </w:pPr>
            <w:r>
              <w:rPr>
                <w:rFonts w:ascii="Arial" w:cs="Arial" w:eastAsia="Arial" w:hAnsi="Arial"/>
                <w:sz w:val="18"/>
                <w:szCs w:val="18"/>
                <w:color w:val="auto"/>
              </w:rPr>
              <w:t>F-10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4"/>
          </w:cols>
          <w:pgMar w:left="436" w:top="274" w:right="519" w:bottom="1440" w:gutter="0" w:footer="0" w:header="0"/>
        </w:sectPr>
      </w:pPr>
    </w:p>
    <w:bookmarkStart w:id="192" w:name="page193"/>
    <w:bookmarkEnd w:id="19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were no transfers between fair value levels during the six months ended June 30, 2021.</w:t>
      </w:r>
    </w:p>
    <w:p>
      <w:pPr>
        <w:spacing w:after="0" w:line="370" w:lineRule="exact"/>
        <w:rPr>
          <w:sz w:val="20"/>
          <w:szCs w:val="20"/>
          <w:color w:val="auto"/>
        </w:rPr>
      </w:pPr>
    </w:p>
    <w:p>
      <w:pPr>
        <w:ind w:left="424" w:hanging="424"/>
        <w:spacing w:after="0"/>
        <w:tabs>
          <w:tab w:leader="none" w:pos="42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91"/>
              </w:rPr>
              <w:t>Fair Value Measurements as of June 30, 2021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6"/>
              </w:rPr>
              <w:t>Amortized</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Gross</w:t>
            </w: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Gains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Loss</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9"/>
          </w:tcPr>
          <w:p>
            <w:pPr>
              <w:jc w:val="center"/>
              <w:ind w:right="5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$ 126,954</w:t>
            </w:r>
          </w:p>
        </w:tc>
        <w:tc>
          <w:tcPr>
            <w:tcW w:w="580" w:type="dxa"/>
            <w:vAlign w:val="bottom"/>
            <w:gridSpan w:val="3"/>
          </w:tcPr>
          <w:p>
            <w:pPr>
              <w:ind w:left="46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$ 126,953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20,496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$ 147,450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$ 147,452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6"/>
          </w:tcPr>
          <w:p>
            <w:pPr>
              <w:jc w:val="center"/>
              <w:spacing w:after="0"/>
              <w:rPr>
                <w:sz w:val="20"/>
                <w:szCs w:val="20"/>
                <w:color w:val="auto"/>
              </w:rPr>
            </w:pPr>
            <w:r>
              <w:rPr>
                <w:rFonts w:ascii="Arial" w:cs="Arial" w:eastAsia="Arial" w:hAnsi="Arial"/>
                <w:sz w:val="14"/>
                <w:szCs w:val="14"/>
                <w:b w:val="1"/>
                <w:bCs w:val="1"/>
                <w:color w:val="auto"/>
                <w:w w:val="91"/>
              </w:rPr>
              <w:t>Fair Value Measurements as of December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w w:val="95"/>
              </w:rPr>
              <w:t>Gross</w:t>
            </w: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7"/>
              </w:rPr>
              <w:t>Loss</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9"/>
          </w:tcPr>
          <w:p>
            <w:pPr>
              <w:jc w:val="center"/>
              <w:ind w:right="6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$ 131,927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3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$ 131,939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$ 161,922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$ 161,939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The Company holds investment grade marketable securities, and none were considered to be in an unrealized loss position as of June 30, 2021 and December 31, 2020. As a result, the Company did not record any reserves for credit losses related to its marketable debt securities during the periods then ended. Marketable securities include $0.1 million in accrued interest at June 30, 2021 and December 31, 2020.</w:t>
      </w:r>
    </w:p>
    <w:p>
      <w:pPr>
        <w:spacing w:after="0" w:line="310" w:lineRule="exact"/>
        <w:rPr>
          <w:sz w:val="20"/>
          <w:szCs w:val="20"/>
          <w:color w:val="auto"/>
        </w:rPr>
      </w:pPr>
    </w:p>
    <w:p>
      <w:pPr>
        <w:ind w:left="444" w:right="7400" w:hanging="444"/>
        <w:spacing w:after="0" w:line="378" w:lineRule="auto"/>
        <w:tabs>
          <w:tab w:leader="none" w:pos="436"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Balance Sheet Information </w:t>
      </w:r>
      <w:r>
        <w:rPr>
          <w:rFonts w:ascii="Arial" w:cs="Arial" w:eastAsia="Arial" w:hAnsi="Arial"/>
          <w:sz w:val="18"/>
          <w:szCs w:val="18"/>
          <w:b w:val="1"/>
          <w:bCs w:val="1"/>
          <w:i w:val="1"/>
          <w:iCs w:val="1"/>
          <w:color w:val="auto"/>
        </w:rPr>
        <w:t>Property and Equipment</w:t>
      </w: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as of June 30, 2021 and December 31, 2020 consists of the following:</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8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gridSpan w:val="4"/>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$ 5,337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Computer equipment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(1,684)</w:t>
            </w:r>
          </w:p>
        </w:tc>
      </w:tr>
      <w:tr>
        <w:trPr>
          <w:trHeight w:val="27"/>
        </w:trPr>
        <w:tc>
          <w:tcPr>
            <w:tcW w:w="6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$ 4,397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w:t>
            </w:r>
          </w:p>
        </w:tc>
      </w:tr>
      <w:tr>
        <w:trPr>
          <w:trHeight w:val="20"/>
        </w:trPr>
        <w:tc>
          <w:tcPr>
            <w:tcW w:w="6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Depreciation expense was $0.2 million for each of the three months ended June 30, 2021 and 2020 and $0.4 million and $0.3 million for the six months ended June 30, 2021 and 2020, respectively.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4"/>
          </w:cols>
          <w:pgMar w:left="436" w:top="274" w:right="459" w:bottom="1440" w:gutter="0" w:footer="0" w:header="0"/>
        </w:sectPr>
      </w:pPr>
    </w:p>
    <w:bookmarkStart w:id="193" w:name="page194"/>
    <w:bookmarkEnd w:id="193"/>
    <w:p>
      <w:pPr>
        <w:ind w:left="44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Accrued Expenses and Other Current Liabilities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Accrued expenses and other current liabilities as of June 30, 2021 and December 31, 2020 include the following:</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460" w:type="dxa"/>
            <w:vAlign w:val="bottom"/>
          </w:tcPr>
          <w:p>
            <w:pPr>
              <w:spacing w:after="0"/>
              <w:rPr>
                <w:sz w:val="14"/>
                <w:szCs w:val="14"/>
                <w:color w:val="auto"/>
              </w:rPr>
            </w:pPr>
          </w:p>
        </w:tc>
        <w:tc>
          <w:tcPr>
            <w:tcW w:w="5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40" w:type="dxa"/>
            <w:vAlign w:val="bottom"/>
            <w:tcBorders>
              <w:top w:val="single" w:sz="8" w:color="auto"/>
              <w:bottom w:val="single" w:sz="8" w:color="auto"/>
            </w:tcBorders>
            <w:gridSpan w:val="5"/>
          </w:tcPr>
          <w:p>
            <w:pPr>
              <w:jc w:val="right"/>
              <w:ind w:right="414"/>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CCEEFF"/>
            </w:tcBorders>
          </w:tcPr>
          <w:p>
            <w:pPr>
              <w:spacing w:after="0"/>
              <w:rPr>
                <w:sz w:val="12"/>
                <w:szCs w:val="12"/>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6"/>
              </w:rPr>
              <w:t>$ 2,046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3,691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2,695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$ 6,434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4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As of both June 30, 2021 and June 30, 2020, the Company maintained a restricted cash balance of $2.3 million, all of which was related to security deposits associated with the Company’s facility leases. The cash will remain restricted in accordance with the lease agreements absent the event of a lease termination of modification. The reconciliation of cash and cash equivalents and restricted cash to amounts presented in the condensed consolidated statements of cash flows are as follows:</w:t>
      </w:r>
    </w:p>
    <w:p>
      <w:pPr>
        <w:spacing w:after="0" w:line="19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6660" w:type="dxa"/>
            <w:vAlign w:val="bottom"/>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4"/>
          </w:tcPr>
          <w:p>
            <w:pPr>
              <w:jc w:val="right"/>
              <w:ind w:right="328"/>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$ 50,902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$ 13,118</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Restricted cash</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2,279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2,279</w:t>
            </w:r>
          </w:p>
        </w:tc>
      </w:tr>
      <w:tr>
        <w:trPr>
          <w:trHeight w:val="27"/>
        </w:trPr>
        <w:tc>
          <w:tcPr>
            <w:tcW w:w="6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$ 53,181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$ 15,397</w:t>
            </w:r>
          </w:p>
        </w:tc>
      </w:tr>
      <w:tr>
        <w:trPr>
          <w:trHeight w:val="20"/>
        </w:trPr>
        <w:tc>
          <w:tcPr>
            <w:tcW w:w="6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44" w:right="7920" w:hanging="444"/>
        <w:spacing w:after="0" w:line="453" w:lineRule="auto"/>
        <w:tabs>
          <w:tab w:leader="none" w:pos="436" w:val="left"/>
        </w:tabs>
        <w:numPr>
          <w:ilvl w:val="0"/>
          <w:numId w:val="2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Research Collaboration Agreement</w:t>
      </w:r>
    </w:p>
    <w:p>
      <w:pPr>
        <w:spacing w:after="0" w:line="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mutually agreed to terminate the HitGen Agreement in March 2021. No milestones were achieved or paid upon the termination of the agreement.</w:t>
      </w:r>
    </w:p>
    <w:p>
      <w:pPr>
        <w:spacing w:after="0" w:line="284"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4" w:right="140" w:firstLine="440"/>
        <w:spacing w:after="0" w:line="254" w:lineRule="auto"/>
        <w:rPr>
          <w:sz w:val="20"/>
          <w:szCs w:val="20"/>
          <w:color w:val="auto"/>
        </w:rPr>
      </w:pPr>
      <w:r>
        <w:rPr>
          <w:rFonts w:ascii="Arial" w:cs="Arial" w:eastAsia="Arial" w:hAnsi="Arial"/>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303"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4" w:right="580" w:firstLine="440"/>
        <w:spacing w:after="0" w:line="308"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as of June 30, 2021, and no material legal proceedings are currently pending or threatened.</w:t>
      </w:r>
    </w:p>
    <w:p>
      <w:pPr>
        <w:spacing w:after="0" w:line="291" w:lineRule="exact"/>
        <w:rPr>
          <w:sz w:val="20"/>
          <w:szCs w:val="20"/>
          <w:color w:val="auto"/>
        </w:rPr>
      </w:pPr>
    </w:p>
    <w:p>
      <w:pPr>
        <w:ind w:left="424" w:hanging="424"/>
        <w:spacing w:after="0"/>
        <w:tabs>
          <w:tab w:leader="none" w:pos="42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jc w:val="both"/>
        <w:ind w:left="4" w:right="120" w:firstLine="440"/>
        <w:spacing w:after="0" w:line="311" w:lineRule="auto"/>
        <w:rPr>
          <w:sz w:val="20"/>
          <w:szCs w:val="20"/>
          <w:color w:val="auto"/>
        </w:rPr>
      </w:pPr>
      <w:r>
        <w:rPr>
          <w:rFonts w:ascii="Arial" w:cs="Arial" w:eastAsia="Arial" w:hAnsi="Arial"/>
          <w:sz w:val="16"/>
          <w:szCs w:val="16"/>
          <w:color w:val="auto"/>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84"/>
          </w:cols>
          <w:pgMar w:left="436" w:top="274" w:right="479" w:bottom="1440" w:gutter="0" w:footer="0" w:header="0"/>
        </w:sectPr>
      </w:pPr>
    </w:p>
    <w:bookmarkStart w:id="194" w:name="page195"/>
    <w:bookmarkEnd w:id="194"/>
    <w:p>
      <w:pPr>
        <w:ind w:right="2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initial closing of the Series A stock purchase agreement, the Company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 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w:t>
      </w:r>
    </w:p>
    <w:p>
      <w:pPr>
        <w:spacing w:after="0" w:line="165"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22,686,025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16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In August 2020, the Company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16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As of June 30, 2021 and December 31, 2020, redeemable convertible preferred stock consisted of the following (in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Carrying</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Issuable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and</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Upon</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Authorized</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Series B</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45,372,050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45,372,050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59,751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45,372,050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27,152,255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51,083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59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128,224,305</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128,224,305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166,534</w:t>
            </w: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$ 136,882</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128,224,305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9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7"/>
              </w:rPr>
              <w:t>Carrying</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Issuable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and</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Upon</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Authorized</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Series B</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45,372,050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22,686,025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29,761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27,152,255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51,083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51,182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59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128,224,305</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105,538,280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136,544</w:t>
            </w: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$ 136,882</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105,538,280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 value of all preferred stock is $0.001 per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20"/>
          </w:cols>
          <w:pgMar w:left="440" w:top="274" w:right="439" w:bottom="1440" w:gutter="0" w:footer="0" w:header="0"/>
        </w:sectPr>
      </w:pPr>
    </w:p>
    <w:bookmarkStart w:id="195" w:name="page196"/>
    <w:bookmarkEnd w:id="195"/>
    <w:p>
      <w:pPr>
        <w:ind w:left="4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 Tranche Right Feature</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w:t>
      </w:r>
    </w:p>
    <w:p>
      <w:pPr>
        <w:spacing w:after="0" w:line="124" w:lineRule="exact"/>
        <w:rPr>
          <w:sz w:val="20"/>
          <w:szCs w:val="20"/>
          <w:color w:val="auto"/>
        </w:rPr>
      </w:pPr>
    </w:p>
    <w:p>
      <w:pPr>
        <w:jc w:val="both"/>
        <w:ind w:right="340" w:firstLine="440"/>
        <w:spacing w:after="0" w:line="286" w:lineRule="auto"/>
        <w:rPr>
          <w:sz w:val="20"/>
          <w:szCs w:val="20"/>
          <w:color w:val="auto"/>
        </w:rPr>
      </w:pPr>
      <w:r>
        <w:rPr>
          <w:rFonts w:ascii="Arial" w:cs="Arial" w:eastAsia="Arial" w:hAnsi="Arial"/>
          <w:sz w:val="17"/>
          <w:szCs w:val="17"/>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17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19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00"/>
          </w:cols>
          <w:pgMar w:left="440" w:top="274" w:right="459" w:bottom="1440" w:gutter="0" w:footer="0" w:header="0"/>
        </w:sectPr>
      </w:pPr>
    </w:p>
    <w:bookmarkStart w:id="196" w:name="page197"/>
    <w:bookmarkEnd w:id="196"/>
    <w:p>
      <w:pPr>
        <w:ind w:left="424" w:hanging="424"/>
        <w:spacing w:after="0"/>
        <w:tabs>
          <w:tab w:leader="none" w:pos="42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Stock-Based Compensation</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Company has a stock-based compensation plan under which stock options, restricted stock awards (“RSAs”), unrestricted stock awards, restricted stock units, or any combination of the forgoing may be granted to eligible employees, officers, directors, consultants, or other key persons who provide services to the Company. The Company recorded stock-based compensation expense in the following expense categories in its accompanying condensed consolidated statements of operations:</w:t>
      </w:r>
    </w:p>
    <w:p>
      <w:pPr>
        <w:spacing w:after="0" w:line="205"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88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summarizes the stock option activity of the Company’s 2017 Plan for the six months ended June 30, 2021:</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Weighted</w:t>
            </w:r>
          </w:p>
        </w:tc>
        <w:tc>
          <w:tcPr>
            <w:tcW w:w="1340" w:type="dxa"/>
            <w:vAlign w:val="bottom"/>
          </w:tcPr>
          <w:p>
            <w:pPr>
              <w:jc w:val="center"/>
              <w:ind w:left="81"/>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tcPr>
          <w:p>
            <w:pPr>
              <w:jc w:val="center"/>
              <w:ind w:left="101"/>
              <w:spacing w:after="0"/>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61"/>
              <w:spacing w:after="0" w:line="142" w:lineRule="exact"/>
              <w:rPr>
                <w:sz w:val="20"/>
                <w:szCs w:val="20"/>
                <w:color w:val="auto"/>
              </w:rPr>
            </w:pPr>
            <w:r>
              <w:rPr>
                <w:rFonts w:ascii="Arial" w:cs="Arial" w:eastAsia="Arial" w:hAnsi="Arial"/>
                <w:sz w:val="14"/>
                <w:szCs w:val="14"/>
                <w:b w:val="1"/>
                <w:bCs w:val="1"/>
                <w:color w:val="auto"/>
                <w:w w:val="93"/>
              </w:rPr>
              <w:t>(in years)</w:t>
            </w: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11,952,362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0.64</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6,625,511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8,625,312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(1,515,454)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(158,924)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June 30, 2021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18,903,296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8.90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44,555,609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Options exercisable as of June 30, 2021</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3,864,800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0.58</w:t>
            </w:r>
          </w:p>
        </w:tc>
        <w:tc>
          <w:tcPr>
            <w:tcW w:w="1340" w:type="dxa"/>
            <w:vAlign w:val="bottom"/>
          </w:tcPr>
          <w:p>
            <w:pPr>
              <w:jc w:val="right"/>
              <w:ind w:right="121"/>
              <w:spacing w:after="0"/>
              <w:rPr>
                <w:sz w:val="20"/>
                <w:szCs w:val="20"/>
                <w:color w:val="auto"/>
              </w:rPr>
            </w:pPr>
            <w:r>
              <w:rPr>
                <w:rFonts w:ascii="Arial" w:cs="Arial" w:eastAsia="Arial" w:hAnsi="Arial"/>
                <w:sz w:val="18"/>
                <w:szCs w:val="18"/>
                <w:color w:val="auto"/>
              </w:rPr>
              <w:t>7.87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10,973,189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As of June 30, 2021, total unrecognized compensation expense related to stock options was $13.7 million, which the Company expects to recognize over a remaining weighted-average period of 3.1 years.</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During the six months ended June 30, 2021, 739,618 RSAs vested. Stock-based compensation expense attributable to RSAs during the six months ended June 30, 2021 totaled $0.3 million.</w:t>
      </w:r>
    </w:p>
    <w:p>
      <w:pPr>
        <w:spacing w:after="0" w:line="315"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840" w:type="dxa"/>
            <w:vAlign w:val="bottom"/>
            <w:tcBorders>
              <w:top w:val="single" w:sz="8" w:color="auto"/>
              <w:bottom w:val="single" w:sz="8" w:color="auto"/>
            </w:tcBorders>
            <w:gridSpan w:val="7"/>
          </w:tcPr>
          <w:p>
            <w:pPr>
              <w:jc w:val="right"/>
              <w:ind w:right="5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(16,599)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(16,306)</w:t>
            </w:r>
          </w:p>
        </w:tc>
      </w:tr>
      <w:tr>
        <w:trPr>
          <w:trHeight w:val="202"/>
        </w:trPr>
        <w:tc>
          <w:tcPr>
            <w:tcW w:w="4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loss attributable to common stockholders – basic</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diluted</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(8,392)</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(16,599)</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(16,306)</w:t>
            </w: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Weighted-average common stock outstanding – basic</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diluted</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14,485,746</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11,193,065</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14,214,543</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10,913,053</w:t>
            </w:r>
          </w:p>
        </w:tc>
      </w:tr>
      <w:tr>
        <w:trPr>
          <w:trHeight w:val="209"/>
        </w:trPr>
        <w:tc>
          <w:tcPr>
            <w:tcW w:w="4600" w:type="dxa"/>
            <w:vAlign w:val="bottom"/>
          </w:tcPr>
          <w:p>
            <w:pPr>
              <w:ind w:left="360"/>
              <w:spacing w:after="0"/>
              <w:rPr>
                <w:sz w:val="20"/>
                <w:szCs w:val="20"/>
                <w:color w:val="auto"/>
              </w:rPr>
            </w:pPr>
            <w:r>
              <w:rPr>
                <w:rFonts w:ascii="Arial" w:cs="Arial" w:eastAsia="Arial" w:hAnsi="Arial"/>
                <w:sz w:val="18"/>
                <w:szCs w:val="18"/>
                <w:color w:val="auto"/>
                <w:w w:val="95"/>
              </w:rPr>
              <w:t>Net loss per share attributable to common stockholders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tcPr>
          <w:p>
            <w:pPr>
              <w:ind w:left="540"/>
              <w:spacing w:after="0"/>
              <w:rPr>
                <w:sz w:val="20"/>
                <w:szCs w:val="20"/>
                <w:color w:val="auto"/>
              </w:rPr>
            </w:pPr>
            <w:r>
              <w:rPr>
                <w:rFonts w:ascii="Arial" w:cs="Arial" w:eastAsia="Arial" w:hAnsi="Arial"/>
                <w:sz w:val="18"/>
                <w:szCs w:val="18"/>
                <w:color w:val="auto"/>
              </w:rPr>
              <w:t>– basic and diluted</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371"/>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auto"/>
            </w:tcBorders>
            <w:gridSpan w:val="2"/>
          </w:tcPr>
          <w:p>
            <w:pPr>
              <w:jc w:val="right"/>
              <w:ind w:right="436"/>
              <w:spacing w:after="0"/>
              <w:rPr>
                <w:sz w:val="20"/>
                <w:szCs w:val="20"/>
                <w:color w:val="auto"/>
              </w:rPr>
            </w:pPr>
            <w:r>
              <w:rPr>
                <w:rFonts w:ascii="Arial" w:cs="Arial" w:eastAsia="Arial" w:hAnsi="Arial"/>
                <w:sz w:val="18"/>
                <w:szCs w:val="18"/>
                <w:color w:val="auto"/>
                <w:w w:val="97"/>
              </w:rPr>
              <w:t>F-15</w:t>
            </w: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4"/>
          </w:cols>
          <w:pgMar w:left="436" w:top="270" w:right="459" w:bottom="1440" w:gutter="0" w:footer="0" w:header="0"/>
        </w:sectPr>
      </w:pPr>
    </w:p>
    <w:bookmarkStart w:id="197" w:name="page198"/>
    <w:bookmarkEnd w:id="197"/>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1"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2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128,224,305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78,386,025</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18,903,296</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11,475,430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1,764,036</w:t>
            </w: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147,143,851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91,625,491</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424" w:hanging="424"/>
        <w:spacing w:after="0"/>
        <w:tabs>
          <w:tab w:leader="none" w:pos="424"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Company’s effective income tax rate was (0.3)% and 0.0% for the three months ended June 30, 2021 and 2020, respectively, and was (0.3)% and 0.0% for the six months ended June 30, 2021 and 2020, respectively. The benefit from income taxes was $21 thousand and $0 for the three months ended June 30, 2021 and 2020, respectively, and the provision for income taxes was $53 thousand and $0 for the six months ended June 30, 2021 and 2020, respectively. The change in the benefit from and provision for income taxes for the three and six months ended June 30, 2021, respectively, compared to the three and six months ended June 30, 2020 was primarily due to taxable deferred revenue partially offset by the utilization of federal and state net operating losses and federal and state tax credits.</w:t>
      </w:r>
    </w:p>
    <w:p>
      <w:pPr>
        <w:spacing w:after="0" w:line="192"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effective income tax rate for the three and six months ended June 30, 2021 and 2020 differed from the federal statutory rate primarily due to the valuation allowance maintained against the Company’s deferred tax assets.</w:t>
      </w:r>
    </w:p>
    <w:p>
      <w:pPr>
        <w:spacing w:after="0" w:line="315" w:lineRule="exact"/>
        <w:rPr>
          <w:sz w:val="20"/>
          <w:szCs w:val="20"/>
          <w:color w:val="auto"/>
        </w:rPr>
      </w:pPr>
    </w:p>
    <w:p>
      <w:pPr>
        <w:ind w:left="424" w:hanging="424"/>
        <w:spacing w:after="0"/>
        <w:tabs>
          <w:tab w:leader="none" w:pos="42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w:t>
      </w:r>
    </w:p>
    <w:p>
      <w:pPr>
        <w:spacing w:after="0" w:line="182"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Tango received gross proceeds of $166.8 million upon the closing of the Business Combination. Tango continues to operate under the current Tango management team. Subsequent to the closing of the Business Combination, an 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w:t>
      </w:r>
    </w:p>
    <w:p>
      <w:pPr>
        <w:spacing w:after="0" w:line="187"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Subject to the terms of the merger agreement, upon the closing of the Business Combination (the “Effective Time”), each share of the Company’s redeemable convertible preferred stock (the “Preferred Stock”) issued and 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w:t>
      </w:r>
    </w:p>
    <w:p>
      <w:pPr>
        <w:spacing w:after="0" w:line="192" w:lineRule="exact"/>
        <w:rPr>
          <w:sz w:val="20"/>
          <w:szCs w:val="20"/>
          <w:color w:val="auto"/>
        </w:rPr>
      </w:pPr>
    </w:p>
    <w:p>
      <w:pPr>
        <w:jc w:val="both"/>
        <w:ind w:left="4" w:right="320" w:firstLine="440"/>
        <w:spacing w:after="0" w:line="263"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June 30, 2021 through August 13, 2021, the date the unaudited condensed consolidated financial statements were available for issuance, and determined that all material transactions have been recorded and disclosed.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984"/>
          </w:cols>
          <w:pgMar w:left="436" w:top="274" w:right="47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99.3</w:t>
            </w:r>
          </w:p>
        </w:tc>
        <w:tc>
          <w:tcPr>
            <w:tcW w:w="0" w:type="dxa"/>
            <w:vAlign w:val="bottom"/>
          </w:tcPr>
          <w:p>
            <w:pPr>
              <w:spacing w:after="0"/>
              <w:rPr>
                <w:sz w:val="1"/>
                <w:szCs w:val="1"/>
                <w:color w:val="auto"/>
              </w:rPr>
            </w:pPr>
          </w:p>
        </w:tc>
      </w:tr>
      <w:tr>
        <w:trPr>
          <w:trHeight w:val="414"/>
        </w:trPr>
        <w:tc>
          <w:tcPr>
            <w:tcW w:w="8600" w:type="dxa"/>
            <w:vAlign w:val="bottom"/>
          </w:tcPr>
          <w:p>
            <w:pPr>
              <w:ind w:left="4320"/>
              <w:spacing w:after="0"/>
              <w:rPr>
                <w:sz w:val="20"/>
                <w:szCs w:val="20"/>
                <w:color w:val="auto"/>
              </w:rPr>
            </w:pPr>
            <w:r>
              <w:rPr>
                <w:rFonts w:ascii="Arial" w:cs="Arial" w:eastAsia="Arial" w:hAnsi="Arial"/>
                <w:sz w:val="18"/>
                <w:szCs w:val="18"/>
                <w:b w:val="1"/>
                <w:bCs w:val="1"/>
                <w:color w:val="auto"/>
              </w:rPr>
              <w:t>BCTG ACQUISITION CORP.</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0" w:type="dxa"/>
            <w:vAlign w:val="bottom"/>
          </w:tcPr>
          <w:p>
            <w:pPr>
              <w:ind w:left="3360"/>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60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582,938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166,815,023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166,815,235</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167,549,316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168,312,816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26,279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292,811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Franchise tax payable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114,354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5,836,250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6,191,458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5,950,604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15,635,785 and 15,736,221 shares subject to possible redemption at $10.00 per share as of June 30,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156,357,850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157,362,210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Preferred stock, $0.0001 par value; 1,000,000 shares authorized; none issued and outstanding as of June 30, 2021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00" w:type="dxa"/>
            <w:vAlign w:val="bottom"/>
          </w:tcPr>
          <w:p>
            <w:pPr>
              <w:spacing w:after="0" w:line="201" w:lineRule="exact"/>
              <w:rPr>
                <w:sz w:val="20"/>
                <w:szCs w:val="20"/>
                <w:color w:val="auto"/>
              </w:rPr>
            </w:pPr>
            <w:r>
              <w:rPr>
                <w:rFonts w:ascii="Arial" w:cs="Arial" w:eastAsia="Arial" w:hAnsi="Arial"/>
                <w:sz w:val="18"/>
                <w:szCs w:val="18"/>
                <w:color w:val="auto"/>
                <w:w w:val="97"/>
              </w:rPr>
              <w:t>Common stock, $0.0001 par value; 30,000,000 shares authorized; 5,741,465 and 5,641,029 shares issued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w w:val="91"/>
              </w:rPr>
              <w:t>outstanding (excluding 15,635,785 and 15,736,221 shares subject to possible redemption) as of June 30, 2021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6,126,835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5,122,484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(1,127,401)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5,000,002</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167,549,316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168,312,816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020"/>
          </w:cols>
          <w:pgMar w:left="440" w:top="121" w:right="439" w:bottom="1440" w:gutter="0" w:footer="0" w:header="0"/>
        </w:sectPr>
      </w:pPr>
    </w:p>
    <w:bookmarkStart w:id="199" w:name="page200"/>
    <w:bookmarkEnd w:id="19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BCTG ACQUISITION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For The</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restart"/>
          </w:tcPr>
          <w:p>
            <w:pPr>
              <w:jc w:val="center"/>
              <w:ind w:right="321"/>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May 21,</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321"/>
              <w:spacing w:after="0" w:line="149" w:lineRule="exact"/>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321"/>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102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34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20" w:type="dxa"/>
            <w:vAlign w:val="bottom"/>
            <w:gridSpan w:val="2"/>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321"/>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02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27,322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51,486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(770,235)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(1,036,130)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(764,601)</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(1,003,830)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(764,601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(1,004,355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8"/>
              </w:rPr>
              <w:t>16,675,000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0"/>
              </w:rPr>
              <w:t>16,675,000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Public Shares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Founder Shares (1)(2)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9"/>
              </w:rPr>
              <w:t>4,702,250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4,702,250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3,625,000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20" w:hanging="424"/>
        <w:spacing w:after="0" w:line="271" w:lineRule="auto"/>
        <w:tabs>
          <w:tab w:leader="none" w:pos="424" w:val="left"/>
        </w:tabs>
        <w:numPr>
          <w:ilvl w:val="0"/>
          <w:numId w:val="241"/>
        </w:numPr>
        <w:rPr>
          <w:rFonts w:ascii="Arial" w:cs="Arial" w:eastAsia="Arial" w:hAnsi="Arial"/>
          <w:sz w:val="17"/>
          <w:szCs w:val="17"/>
          <w:i w:val="1"/>
          <w:iCs w:val="1"/>
          <w:color w:val="auto"/>
        </w:rPr>
      </w:pPr>
      <w:r>
        <w:rPr>
          <w:rFonts w:ascii="Arial" w:cs="Arial" w:eastAsia="Arial" w:hAnsi="Arial"/>
          <w:sz w:val="17"/>
          <w:szCs w:val="17"/>
          <w:i w:val="1"/>
          <w:iCs w:val="1"/>
          <w:color w:val="auto"/>
        </w:rPr>
        <w:t>For the period from May 21, 2020 (inception) through June 30, 2020, this number excluded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ind w:left="424" w:right="100" w:hanging="424"/>
        <w:spacing w:after="0" w:line="323" w:lineRule="auto"/>
        <w:tabs>
          <w:tab w:leader="none" w:pos="424" w:val="left"/>
        </w:tabs>
        <w:numPr>
          <w:ilvl w:val="0"/>
          <w:numId w:val="241"/>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024"/>
          </w:cols>
          <w:pgMar w:left="436" w:top="270" w:right="439" w:bottom="1440" w:gutter="0" w:footer="0" w:header="0"/>
        </w:sectPr>
      </w:pPr>
    </w:p>
    <w:bookmarkStart w:id="200" w:name="page201"/>
    <w:bookmarkEnd w:id="20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BCTG ACQUISITION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3940" w:type="dxa"/>
            <w:vAlign w:val="bottom"/>
            <w:tcBorders>
              <w:bottom w:val="single" w:sz="8" w:color="auto"/>
            </w:tcBorders>
            <w:gridSpan w:val="15"/>
          </w:tcPr>
          <w:p>
            <w:pPr>
              <w:ind w:left="760"/>
              <w:spacing w:after="0"/>
              <w:rPr>
                <w:sz w:val="20"/>
                <w:szCs w:val="20"/>
                <w:color w:val="auto"/>
              </w:rPr>
            </w:pPr>
            <w:r>
              <w:rPr>
                <w:rFonts w:ascii="Arial" w:cs="Arial" w:eastAsia="Arial" w:hAnsi="Arial"/>
                <w:sz w:val="14"/>
                <w:szCs w:val="14"/>
                <w:b w:val="1"/>
                <w:bCs w:val="1"/>
                <w:color w:val="auto"/>
                <w:w w:val="93"/>
              </w:rPr>
              <w:t>For the Three and Six Months Ended June 30, 2021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54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0"/>
                <w:szCs w:val="10"/>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72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5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5,641,029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564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5,122,484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(123,046)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$ 5,000,002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23,976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239,758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239,760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(239,754)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(239,754)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5,665,005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79"/>
              </w:rPr>
              <w:t>566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5,362,242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(362,800)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5,000,008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764,593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764,601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(764,601)</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(764,601)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 (unaudited)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5,741,465</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574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6,126,835</w:t>
            </w:r>
          </w:p>
        </w:tc>
        <w:tc>
          <w:tcPr>
            <w:tcW w:w="12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 (1,127,401)</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$ 5,000,008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40" w:type="dxa"/>
            <w:vAlign w:val="bottom"/>
          </w:tcPr>
          <w:p>
            <w:pPr>
              <w:spacing w:after="0"/>
              <w:rPr>
                <w:sz w:val="24"/>
                <w:szCs w:val="24"/>
                <w:color w:val="auto"/>
              </w:rPr>
            </w:pPr>
          </w:p>
        </w:tc>
        <w:tc>
          <w:tcPr>
            <w:tcW w:w="4780" w:type="dxa"/>
            <w:vAlign w:val="bottom"/>
            <w:gridSpan w:val="17"/>
          </w:tcPr>
          <w:p>
            <w:pPr>
              <w:ind w:left="200"/>
              <w:spacing w:after="0"/>
              <w:rPr>
                <w:sz w:val="20"/>
                <w:szCs w:val="20"/>
                <w:color w:val="auto"/>
              </w:rPr>
            </w:pPr>
            <w:r>
              <w:rPr>
                <w:rFonts w:ascii="Arial" w:cs="Arial" w:eastAsia="Arial" w:hAnsi="Arial"/>
                <w:sz w:val="14"/>
                <w:szCs w:val="14"/>
                <w:b w:val="1"/>
                <w:bCs w:val="1"/>
                <w:color w:val="auto"/>
              </w:rPr>
              <w:t>For The Period From May 21, 2020 (inception) through June 30, 2020</w:t>
            </w: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540" w:type="dxa"/>
            <w:vAlign w:val="bottom"/>
            <w:tcBorders>
              <w:top w:val="single" w:sz="8" w:color="auto"/>
            </w:tcBorders>
            <w:gridSpan w:val="6"/>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Additional</w:t>
            </w: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5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21, 2020 (inception)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Issuance of common stock to Sponsor (1)(2)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3,593,750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Balance - June 30, 2020 (unaudited)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3,593,750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60" w:hanging="424"/>
        <w:spacing w:after="0" w:line="255" w:lineRule="auto"/>
        <w:tabs>
          <w:tab w:leader="none" w:pos="424" w:val="left"/>
        </w:tabs>
        <w:numPr>
          <w:ilvl w:val="0"/>
          <w:numId w:val="242"/>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spacing w:after="0" w:line="2" w:lineRule="exact"/>
        <w:rPr>
          <w:rFonts w:ascii="Arial" w:cs="Arial" w:eastAsia="Arial" w:hAnsi="Arial"/>
          <w:sz w:val="18"/>
          <w:szCs w:val="18"/>
          <w:i w:val="1"/>
          <w:iCs w:val="1"/>
          <w:color w:val="auto"/>
        </w:rPr>
      </w:pPr>
    </w:p>
    <w:p>
      <w:pPr>
        <w:ind w:left="424" w:right="100" w:hanging="424"/>
        <w:spacing w:after="0" w:line="323" w:lineRule="auto"/>
        <w:tabs>
          <w:tab w:leader="none" w:pos="424" w:val="left"/>
        </w:tabs>
        <w:numPr>
          <w:ilvl w:val="0"/>
          <w:numId w:val="242"/>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024"/>
          </w:cols>
          <w:pgMar w:left="436" w:top="270" w:right="439"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BCTG ACQUISITION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For The</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 the Six</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May</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Months</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06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loss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(1,004,355)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244,163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(763,660)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Interest released from Trust Account</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Proceeds from note payable to related party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25,025</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(731,147)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1,314,085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582,938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Deferred offering costs included in note payable - related party</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offering costs included in accrued expenses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Change in value of common stock subject to possible redemption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(1,004,361)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020"/>
          </w:cols>
          <w:pgMar w:left="440" w:top="270" w:right="4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BCTG ACQUISITION CORP.</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BCTG Acquisition Corp. (“BCTG” or the “Company”) was incorporated as a Delaware corporation on May 21, 2020. The Company was formed for the purpose of effecting a merger, capital stock exchange, asset acquisition, stock purchase, reorganization or other similar business combination (a “Business Combination”) with one or more operating businesses or entities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and the negotiation of the transactions related to the Proposed Business Combination (as defined below). The Company is an “emerging growth company,” as defined in Section 2(a) of the Securities Act of 1933, as amended (the “Securities Act”), as modified by the Jumpstart our Business Startups Act of 2012 (the “JOBS Act”).</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The Merger Agreement provides for the merger of Merger Sub with and into Tango, with Tango continuing as the surviving entity. Tango is a biotechnology company committed to discovering and delivering the next generation of precision cancer medicines. See “The Proposed Business Combination” described below.</w:t>
      </w:r>
    </w:p>
    <w:p>
      <w:pPr>
        <w:spacing w:after="0" w:line="188"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All Company activity for the period from May 21, 2020 (inception) through June 30, 2021 has been related to the Company’s formation and initial public offering (“Initial Public Offering”) described below, and since the Initial Public Offering, the search for a prospective initial Business Combination and the negotiation of the transactions related to the Proposed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of 1940 (“Investment Company Act”) and which invest solely in U.S. Treasuries, until the earlier of: (i) the completion of a Business Combination and (ii) the distribution of the Trust Account as described below.</w:t>
      </w:r>
    </w:p>
    <w:p>
      <w:pPr>
        <w:spacing w:after="0" w:line="19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Pursuant to stock exchange listing rules, the Company’s initial Business Combination must be with one or more operating businesses or assets with a fair market value equal to at least 80% of the net assets held in the Trust Account (excluding the amount of any deferred underwriting discount held in trust and taxes payable on the income earned on the Trust Account) at the time the Company signs a definitive agreement in connection with its initial Business</w:t>
      </w:r>
    </w:p>
    <w:p>
      <w:pPr>
        <w:sectPr>
          <w:pgSz w:w="11900" w:h="16838" w:orient="portrait"/>
          <w:cols w:equalWidth="0" w:num="1">
            <w:col w:w="11000"/>
          </w:cols>
          <w:pgMar w:left="440" w:top="270" w:right="459" w:bottom="1440" w:gutter="0" w:footer="0" w:header="0"/>
        </w:sectPr>
      </w:pPr>
    </w:p>
    <w:bookmarkStart w:id="203" w:name="page204"/>
    <w:bookmarkEnd w:id="203"/>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Combination. The terms of the Merger Agreement satisfy this requirement.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5).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the Initial Public Offering (the “Initial Stockholders”) have agreed to vote their Founder Shares (as defined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spacing w:after="0" w:line="1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ectPr>
          <w:pgSz w:w="11900" w:h="16838" w:orient="portrait"/>
          <w:cols w:equalWidth="0" w:num="1">
            <w:col w:w="11000"/>
          </w:cols>
          <w:pgMar w:left="440" w:top="274" w:right="459" w:bottom="1440" w:gutter="0" w:footer="0" w:header="0"/>
        </w:sectPr>
      </w:pPr>
    </w:p>
    <w:bookmarkStart w:id="204" w:name="page205"/>
    <w:bookmarkEnd w:id="204"/>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However, the Company’s insiders may not be able to satisfy their indemnification obligations. Moreover, the Company’s insiders will not be liable to the Public Stockholders and instead will only have liability to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w:t>
      </w:r>
    </w:p>
    <w:p>
      <w:pPr>
        <w:sectPr>
          <w:pgSz w:w="11900" w:h="16838" w:orient="portrait"/>
          <w:cols w:equalWidth="0" w:num="1">
            <w:col w:w="11000"/>
          </w:cols>
          <w:pgMar w:left="440" w:top="274" w:right="459" w:bottom="1440" w:gutter="0" w:footer="0" w:header="0"/>
        </w:sectPr>
      </w:pPr>
    </w:p>
    <w:bookmarkStart w:id="205" w:name="page206"/>
    <w:bookmarkEnd w:id="205"/>
    <w:p>
      <w:pPr>
        <w:ind w:left="4"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w:t>
      </w:r>
    </w:p>
    <w:p>
      <w:pPr>
        <w:spacing w:after="0" w:line="179" w:lineRule="exact"/>
        <w:rPr>
          <w:sz w:val="20"/>
          <w:szCs w:val="20"/>
          <w:color w:val="auto"/>
        </w:rPr>
      </w:pPr>
    </w:p>
    <w:p>
      <w:pPr>
        <w:ind w:left="4" w:right="620"/>
        <w:spacing w:after="0" w:line="291" w:lineRule="auto"/>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(i) stockholder approval; (ii) no Material Adverse Effect (as defined in the Merger Agreement) with respect to Tango since the date of the Merger Agreement;</w:t>
      </w:r>
    </w:p>
    <w:p>
      <w:pPr>
        <w:jc w:val="both"/>
        <w:ind w:left="4" w:right="160" w:hanging="4"/>
        <w:spacing w:after="0" w:line="295" w:lineRule="auto"/>
        <w:tabs>
          <w:tab w:leader="none" w:pos="31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 (viii) BCTG and certain Tango stockholders having entered into an amended and restated registration rights agreement.</w:t>
      </w:r>
    </w:p>
    <w:p>
      <w:pPr>
        <w:spacing w:after="0" w:line="161"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At the time of the execution of the Merger Agreement, BCTG entered into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187"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On April 20, 2021, the Company filed with the SEC a Registration Statement on Form S-4, which includes a proxy statement/prospectus, which was declared effective by the SEC on July 16, 2021. The Company filed a definitive proxy statement and final prospectus to hold a special meeting of the holders of BCTG common stock on August 9, 2021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92"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Merger Agreement may be terminated by BCTG or Tango under certain circumstances, including (i) by mutual written consent of BCTG and Tango; (ii) 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87"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Merger Agreement, Subscription Agreements and other support agreements have been filed as exhibits to and described in the Company’s Current Report on Form 8-K filed with the SEC on April 14, 2021.</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As of June 30, 2021, the Company had $0.6 million of cash in its operating account and approximately $0.4 million of working capital, not taken into account tax obligations of approximately $36,000 that may be paid using investment income earned from Trust Account.</w:t>
      </w:r>
    </w:p>
    <w:p>
      <w:pPr>
        <w:spacing w:after="0" w:line="170"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Through June 30, 2021, the Company’s liquidity needs were satisfied through a payment of $25,000 from the Company’s Sponsor in exchange for the issuance of the Founder Shares (as defined in Note 4), the loan under the certain promissory notes from the Company to the Sponsor of approximately $127,000 to the Company to cover for offering costs in connection with the Initial Public Offering, and net proceeds from the consummation of the Private</w:t>
      </w:r>
    </w:p>
    <w:p>
      <w:pPr>
        <w:sectPr>
          <w:pgSz w:w="11900" w:h="16838" w:orient="portrait"/>
          <w:cols w:equalWidth="0" w:num="1">
            <w:col w:w="11004"/>
          </w:cols>
          <w:pgMar w:left="436" w:top="274" w:right="459" w:bottom="1440" w:gutter="0" w:footer="0" w:header="0"/>
        </w:sectPr>
      </w:pPr>
    </w:p>
    <w:bookmarkStart w:id="206" w:name="page207"/>
    <w:bookmarkEnd w:id="206"/>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Placement not held in the Trust Account. The Company fully repaid the promissory notes on September 10, 2020. In addition, in order to finance transaction costs in connection with a Business Combination, the Company’s officers, directors and initial stockholders may, but are not obligated to, provide the Company Working Capital Loans (see Note 4). However, in the Merger Agreement, the Company has covenanted not to enter into any such arrangements. Accordingly, as of June 30, 2021 and December 31, 2020, there were no amounts outstanding under any Working Capital Loans.</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through December 31, 2021 or for any future interim periods.</w:t>
      </w:r>
    </w:p>
    <w:p>
      <w:pPr>
        <w:spacing w:after="0" w:line="17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significant intercompany accounts and transactions are eliminated.</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accompanying unaudited consolidated condensed financial statements should be read in conjunction with the audited financial statements and notes thereto included in the Company’s Annual Report on Form 10-K filed with the SEC on March 31,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ectPr>
          <w:pgSz w:w="11900" w:h="16838" w:orient="portrait"/>
          <w:cols w:equalWidth="0" w:num="1">
            <w:col w:w="10940"/>
          </w:cols>
          <w:pgMar w:left="440" w:top="274" w:right="51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Concentration of Credit Risk</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Corporation coverage limit of $250,000. As of June 30, 2021 and December 31, 2020, the Company has not experienced losses on these accounts and management believes the Company is not exposed to significant risks on such accounts.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held outside of the Trust account as of June 30, 2021 and December 31,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interest earned on investments held in the Trust Account in the accompanying unaudited condensed statement of operations. The estimated fair values of investments held in the Trust Account are determined using available market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unaudited condensed consolidated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Such estimates may be subject to change as more current information becomes available and, accordingly, the actual results could differ significantly from those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77" w:lineRule="exact"/>
        <w:rPr>
          <w:sz w:val="20"/>
          <w:szCs w:val="20"/>
          <w:color w:val="auto"/>
        </w:rPr>
      </w:pPr>
    </w:p>
    <w:p>
      <w:pPr>
        <w:ind w:left="960" w:hanging="424"/>
        <w:spacing w:after="0"/>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960" w:right="140" w:hanging="424"/>
        <w:spacing w:after="0" w:line="342" w:lineRule="auto"/>
        <w:tabs>
          <w:tab w:leader="none" w:pos="9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ectPr>
          <w:pgSz w:w="11900" w:h="16838" w:orient="portrait"/>
          <w:cols w:equalWidth="0" w:num="1">
            <w:col w:w="10980"/>
          </w:cols>
          <w:pgMar w:left="440" w:top="274" w:right="479" w:bottom="1440" w:gutter="0" w:footer="0" w:header="0"/>
        </w:sectPr>
      </w:pPr>
    </w:p>
    <w:bookmarkStart w:id="208" w:name="page209"/>
    <w:bookmarkEnd w:id="208"/>
    <w:p>
      <w:pPr>
        <w:ind w:left="960" w:right="120" w:hanging="424"/>
        <w:spacing w:after="0" w:line="263" w:lineRule="auto"/>
        <w:tabs>
          <w:tab w:leader="none" w:pos="9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and that were charged to Stockholders’ equity upon the completion of the Initial Public Offering.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June 30, 2021 and December 31, 2020, 15,635,785 and 15,736,221 shares of common stock subject to possible redemption are presented as temporary equity, outside of the stockholders’ equity section of the Company’s balance sheet,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condensed consolidated statements of operations include a presentation of net income (loss) per share for Public Shares subject to possible redemption in a manner similar to the two-class method of net income (loss) per common stock. Net income (loss) per common stock, basic and diluted, for Public Shares is calculated by dividing the interest income earned on the Trust Account, less interest available to be withdrawn for the payment of taxes, by the weighted average number of Public Shares outstanding for the periods. Net income (loss) per common stock, basic and diluted, for Founder Shares is calculated by dividing the net income (loss), adjusted for income attributable to Public Shares, by the weighted average number of Founder Shares outstanding for the periods. Founder Shares include the Founder Shares as these common stocks do not have any redemption features and do not participate in the income earned on the Trust Account.</w:t>
      </w:r>
    </w:p>
    <w:p>
      <w:pPr>
        <w:sectPr>
          <w:pgSz w:w="11900" w:h="16838" w:orient="portrait"/>
          <w:cols w:equalWidth="0" w:num="1">
            <w:col w:w="11000"/>
          </w:cols>
          <w:pgMar w:left="440" w:top="274" w:right="459" w:bottom="1440" w:gutter="0" w:footer="0" w:header="0"/>
        </w:sectPr>
      </w:pPr>
    </w:p>
    <w:bookmarkStart w:id="209" w:name="page210"/>
    <w:bookmarkEnd w:id="209"/>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June 30,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net income (loss) per share of common stock:</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For the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Public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Numerator: Income allocable to Public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investments held in Trust Account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Less: Company’s portion available to be withdrawn to pay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Denominator: Weighted average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Public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16,675,000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16,675,000</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Basic and diluted net income (loss) per share,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8"/>
              </w:rPr>
              <w:t>Numerator: Net income (loss) minus net income allocable to Founder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(764,601)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(1,004,355)</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color w:val="auto"/>
              </w:rPr>
              <w:t>Net income allocable to Public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(764,601)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(1,004,355)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Denominator: weighted average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4,702,250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4,702,250</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 (Subtopic 470-20) and Derivatives and Hedging-Contracts in Entity’s Own Equity (Subtopic 815-40): Accounting for Convertible Instruments and Contracts in an Entity’s Own Equity</w:t>
      </w:r>
      <w:r>
        <w:rPr>
          <w:rFonts w:ascii="Arial" w:cs="Arial" w:eastAsia="Arial" w:hAnsi="Arial"/>
          <w:sz w:val="17"/>
          <w:szCs w:val="17"/>
          <w:color w:val="auto"/>
        </w:rPr>
        <w:t>, which simplifies accounting for convertible instruments by removing major</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financial statements and related disclosures.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ectPr>
          <w:pgSz w:w="11900" w:h="16838" w:orient="portrait"/>
          <w:cols w:equalWidth="0" w:num="1">
            <w:col w:w="11000"/>
          </w:cols>
          <w:pgMar w:left="440" w:top="274"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4 -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June 4, 2020, the Company issued 3,593,750 shares of common stock to the Sponsor (the “Founder Shares”) for an aggregate purchase price of</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May 21, 2020 and June 10, 2020, the Company’s sponsor agreed to loan us up to $25,025 and $274,975, respectively, for an aggregate amount of $300,000 to be used for the payment of costs related to the Initial Public Offering pursuant to certain promissory notes. These promissory notes were non-interest bearing, unsecured and due upon the date we consummate the Initial Public Offering. We borrowed approximately $127,000 under these promissory notes and repaid them in full on September 10, 2020.</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However, in the Merger Agreement, we have covenanted not to enter into any such arrangements. Accordingly, to date, the Company had no borrowings under the Working Capital Loans.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Commencing on September 2, 2020, the Company agreed to pay an affiliate of the Sponsor a total of $10,000 per month for office space and certain office and secretarial services. Upon completion of the initial Business Combination or the Company’s liquidation, the Company will cease paying these monthly fees. The Company incurred $30,000 and $60,000 of such expenses during the three and six months ended June 30, 2021, respectively, included as administrative expenses - related party on the accompanying condensed statement of operations. As of June 30, 2021, no amounts were payable related to this agreement.</w:t>
      </w:r>
    </w:p>
    <w:p>
      <w:pPr>
        <w:sectPr>
          <w:pgSz w:w="11900" w:h="16838" w:orient="portrait"/>
          <w:cols w:equalWidth="0" w:num="1">
            <w:col w:w="11000"/>
          </w:cols>
          <w:pgMar w:left="440" w:top="270" w:right="4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Purchase Commitment</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its efforts with respect to an initial Business Combination, the specific impact is not readily determinable as of the date of these financial statements. The financial statement does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 As of June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are no shares of preferred stock issued or outstanding.</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-The Company is authorized to issue 30,000,000 shares of common stock, par value of $0.0001 per share. On September 2, 2020,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declared a dividend of 0.16 shares for each outstanding share of common stock (an aggregate of 575,000 shares). All shares and associated amounts have been retroactively restated to reflect the share dividend. As of June 30, 2021 and December 31, 2020, there were 21,377,250 shares of common stock outstanding, including 15,635,785 shares and 15,736,221 shares of common stock, respectively, subject to possible redemption that were classified outside of permanent equity in the accompanying unaudited condensed consolidated balance sheets.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recurring basis and indicates the fair value hierarchy of the valuation techniques that the Company utilized to determine such fair value.</w:t>
      </w:r>
    </w:p>
    <w:p>
      <w:pPr>
        <w:sectPr>
          <w:pgSz w:w="11900" w:h="16838" w:orient="portrait"/>
          <w:cols w:equalWidth="0" w:num="1">
            <w:col w:w="10960"/>
          </w:cols>
          <w:pgMar w:left="440" w:top="274" w:right="499" w:bottom="1440" w:gutter="0" w:footer="0" w:header="0"/>
        </w:sectPr>
      </w:pPr>
    </w:p>
    <w:bookmarkStart w:id="212" w:name="page213"/>
    <w:bookmarkEnd w:id="2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30, 2021</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Quoted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Prices in</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Active</w:t>
            </w:r>
          </w:p>
        </w:tc>
        <w:tc>
          <w:tcPr>
            <w:tcW w:w="1300" w:type="dxa"/>
            <w:vAlign w:val="bottom"/>
            <w:gridSpan w:val="5"/>
          </w:tcPr>
          <w:p>
            <w:pPr>
              <w:jc w:val="center"/>
              <w:ind w:left="44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4"/>
          </w:tcPr>
          <w:p>
            <w:pPr>
              <w:jc w:val="center"/>
              <w:ind w:left="4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86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Markets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1)</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Money Market Funds</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8"/>
              </w:rPr>
              <w:t>$ 166,815,023</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Quoted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Prices in</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Active</w:t>
            </w:r>
          </w:p>
        </w:tc>
        <w:tc>
          <w:tcPr>
            <w:tcW w:w="56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4"/>
          </w:tcPr>
          <w:p>
            <w:pPr>
              <w:jc w:val="center"/>
              <w:ind w:left="4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86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Markets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(Level 1)</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 Treasury Securities maturing March 4, 2021(1)</w:t>
            </w:r>
          </w:p>
        </w:tc>
        <w:tc>
          <w:tcPr>
            <w:tcW w:w="84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8"/>
              </w:rPr>
              <w:t>$ 166,811,648</w:t>
            </w:r>
          </w:p>
        </w:tc>
        <w:tc>
          <w:tcPr>
            <w:tcW w:w="5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approximately $4,000 of investments held in cash within the Trust Account.</w:t>
      </w:r>
    </w:p>
    <w:p>
      <w:pPr>
        <w:spacing w:after="0" w:line="225"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Transfers to/from Levels 1, 2, and 3 are recognized at the beginning of the reporting period. There were no transfers between levels of the hierarchy for the six months ended June 30, 2021. Level 1 instruments include investments U.S. Treasury securities with an original maturity of 185 days or less.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jc w:val="both"/>
        <w:ind w:left="4" w:right="160"/>
        <w:spacing w:after="0" w:line="286" w:lineRule="auto"/>
        <w:rPr>
          <w:sz w:val="20"/>
          <w:szCs w:val="20"/>
          <w:color w:val="auto"/>
        </w:rPr>
      </w:pPr>
      <w:r>
        <w:rPr>
          <w:rFonts w:ascii="Arial" w:cs="Arial" w:eastAsia="Arial" w:hAnsi="Arial"/>
          <w:sz w:val="17"/>
          <w:szCs w:val="17"/>
          <w:color w:val="auto"/>
        </w:rPr>
        <w:t>The Company evaluated subsequent events and transactions that occurred up to the date unaudited condensed consolidated financial statements were issued. Based upon this review, the Company determined that, except as disclosed in Note 1, there have been no events that have occurred that would require adjustments to the disclosures in the unaudited condensed consolidated financial statements.</w:t>
      </w:r>
    </w:p>
    <w:p>
      <w:pPr>
        <w:sectPr>
          <w:pgSz w:w="11900" w:h="16838" w:orient="portrait"/>
          <w:cols w:equalWidth="0" w:num="1">
            <w:col w:w="10904"/>
          </w:cols>
          <w:pgMar w:left="436" w:top="270" w:right="55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i w:val="1"/>
          <w:iCs w:val="1"/>
          <w:color w:val="auto"/>
        </w:rPr>
        <w:t>Capitalized terms used but not defined in this Exhibit 99.2 shall have the meanings ascribed to them in the Current Report on Form 8-K (the “Form 8-K”) filed with the Securities and Exchange Commission (the “SEC”) on August 13, 2021 and, if not defined in the Form 8-K, included in the Company’s effective proxy statement/prospectus (the “Proxy Statement”), on file with the SEC and incorporated by reference on July 16, 2021. Any references to the Proxy Statement within the Unaudited Pro Forma Condensed Combined Financial Information refers to the proxy statement on file with the SEC on July 16, 2021, and incorporated herein by reference.</w:t>
      </w:r>
    </w:p>
    <w:p>
      <w:pPr>
        <w:spacing w:after="0" w:line="176"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The following unaudited pro forma condensed combined balance sheet of the Combined Entity as of June 30, 2021 and the unaudited pro forma condensed combined statements of operations of the Combined Entity for the six months ended June 30, 2021 and for the year ended December 31, 2020 present the combination of the financial information of BCTG and Tango after giving effect to the Business Combination, PIPE Investment and related adjustments described in the accompanying notes. BCTG and Tango are collectively referred to herein as the “Companies”, and the Companies, subsequent to the Business Combination and PIPE Investment, are referred to herein as the “Combined Entity.”</w:t>
      </w:r>
    </w:p>
    <w:p>
      <w:pPr>
        <w:spacing w:after="0" w:line="161"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The unaudited pro forma condensed combined statements of operations for the six months ended June 30, 2021 and for the year ended December 31, 2020 give pro forma effect to the Business Combination and PIPE Investment transactions as if they had occurred on January 1, 2020. The unaudited pro forma condensed combined balance sheet as of June 30, 2021 gives pro forma effect to the Business Combination and PIPE Investment transactions as if they were completed on June 30, 2021.</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unaudited pro forma condensed combined financial information is based on and should be read in conjunction with:</w:t>
      </w:r>
    </w:p>
    <w:p>
      <w:pPr>
        <w:spacing w:after="0" w:line="131" w:lineRule="exact"/>
        <w:rPr>
          <w:sz w:val="20"/>
          <w:szCs w:val="20"/>
          <w:color w:val="auto"/>
        </w:rPr>
      </w:pPr>
    </w:p>
    <w:p>
      <w:pPr>
        <w:ind w:left="960" w:hanging="424"/>
        <w:spacing w:after="0"/>
        <w:tabs>
          <w:tab w:leader="none" w:pos="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w:t>
      </w:r>
    </w:p>
    <w:p>
      <w:pPr>
        <w:spacing w:after="0" w:line="130" w:lineRule="exact"/>
        <w:rPr>
          <w:rFonts w:ascii="Arial" w:cs="Arial" w:eastAsia="Arial" w:hAnsi="Arial"/>
          <w:sz w:val="18"/>
          <w:szCs w:val="18"/>
          <w:color w:val="auto"/>
        </w:rPr>
      </w:pPr>
    </w:p>
    <w:p>
      <w:pPr>
        <w:ind w:left="960" w:right="220" w:hanging="424"/>
        <w:spacing w:after="0" w:line="311" w:lineRule="auto"/>
        <w:tabs>
          <w:tab w:leader="none" w:pos="9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unaudited historical condensed consolidated financial statements of BCTG as of and for the six months ended June 30, 2021, and the related notes thereto, incorporated by reference in this Form 8-K, and the audited historical financial statements for the period from May 21, 2020 (inception) through December 31, 2020, and the related notes thereto, included elsewhere in the Proxy Statement;</w:t>
      </w:r>
    </w:p>
    <w:p>
      <w:pPr>
        <w:spacing w:after="0" w:line="54" w:lineRule="exact"/>
        <w:rPr>
          <w:rFonts w:ascii="Arial" w:cs="Arial" w:eastAsia="Arial" w:hAnsi="Arial"/>
          <w:sz w:val="16"/>
          <w:szCs w:val="16"/>
          <w:color w:val="auto"/>
        </w:rPr>
      </w:pPr>
    </w:p>
    <w:p>
      <w:pPr>
        <w:ind w:left="960" w:right="260" w:hanging="424"/>
        <w:spacing w:after="0" w:line="263" w:lineRule="auto"/>
        <w:tabs>
          <w:tab w:leader="none" w:pos="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unaudited historical condensed consolidated financial statements of Tango as of and for the six months ended June 30, 2021, and the related notes thereto, included in this Form 8-K, and the audited historical consolidated financial statements for the year ended December 31, 2020, and the related notes thereto, included elsewhere in the Proxy Statement; and</w:t>
      </w:r>
    </w:p>
    <w:p>
      <w:pPr>
        <w:spacing w:after="0" w:line="89" w:lineRule="exact"/>
        <w:rPr>
          <w:rFonts w:ascii="Arial" w:cs="Arial" w:eastAsia="Arial" w:hAnsi="Arial"/>
          <w:sz w:val="18"/>
          <w:szCs w:val="18"/>
          <w:color w:val="auto"/>
        </w:rPr>
      </w:pPr>
    </w:p>
    <w:p>
      <w:pPr>
        <w:ind w:left="960" w:right="160" w:hanging="424"/>
        <w:spacing w:after="0" w:line="259" w:lineRule="auto"/>
        <w:tabs>
          <w:tab w:leader="none" w:pos="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disclosures contained in the sections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of BCTG</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 of Tango</w:t>
      </w:r>
      <w:r>
        <w:rPr>
          <w:rFonts w:ascii="Arial" w:cs="Arial" w:eastAsia="Arial" w:hAnsi="Arial"/>
          <w:sz w:val="18"/>
          <w:szCs w:val="18"/>
          <w:color w:val="auto"/>
        </w:rPr>
        <w:t>” and other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relating to BCTG and Tango included in the Proxy Statement for the annual periods, and as included in this Form 8-K or incorporated by reference in this Form 8-K for the interim periods.</w:t>
      </w:r>
    </w:p>
    <w:p>
      <w:pPr>
        <w:spacing w:after="0" w:line="187" w:lineRule="exact"/>
        <w:rPr>
          <w:sz w:val="20"/>
          <w:szCs w:val="20"/>
          <w:color w:val="auto"/>
        </w:rPr>
      </w:pPr>
    </w:p>
    <w:p>
      <w:pPr>
        <w:ind w:right="160" w:firstLine="440"/>
        <w:spacing w:after="0" w:line="269" w:lineRule="auto"/>
        <w:rPr>
          <w:sz w:val="20"/>
          <w:szCs w:val="20"/>
          <w:color w:val="auto"/>
        </w:rPr>
      </w:pPr>
      <w:r>
        <w:rPr>
          <w:rFonts w:ascii="Arial" w:cs="Arial" w:eastAsia="Arial" w:hAnsi="Arial"/>
          <w:sz w:val="17"/>
          <w:szCs w:val="17"/>
          <w:color w:val="auto"/>
        </w:rPr>
        <w:t>The unaudited pro forma condensed combined financial information has been presented for illustrative purposes only and does not necessarily reflect what the Combined Entity’s financial condition or results of operations would have been had the Business Combination and PIPE Investment transactions occurred on the dates indicated. Further, the unaudited pro forma condensed combined financial information also may not be useful in predicting the future financial condition and results of operations of the Combined Entity. The actual financial position and results of operations may differ significantly from the pro forma amounts reflected herein due to a variety of factors. The unaudited transaction accounting adjustments represent management’s estimates based on information available as of the date of this unaudited pro forma condensed combined financial information and are subject to change as additional information becomes available and analyses are performed. The Combined Entity believes that its assumptions and methodologies provide a reasonable basis for presenting all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8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Pursuant to the Merger Agreement dated April 13, 2021 between BCTG and Tango, the Business Combination was consummated on August 10, 2021. Upon the closing of the Business Combination, Merger Sub merged with and into Tango, with Tango as the surviving company in the Merger. Upon the closing of the Business Combination, BCTG changed its name to “Tango Therapeutics, Inc.”. The Business Combination was accounted for as a reverse recapitalization, in which Tango issued stock for the net assets of BCTG, accompanied by a recapitalization. The net assets of BCTG are stated at historical cost, with no goodwill or other intangible assets recorded upon closing. Historical operations of the Combined Entity will be those of Tango.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14" w:name="page215"/>
    <w:bookmarkEnd w:id="214"/>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consideration paid to Tango Equity holders upon the closing of the Merger was 55,000,000 shares of New Tango common stock. Subsequent to the closing of the Business Combination, BCTG consummated the private placement of 18,610,000 shares of common stock at $10.00 per share, for aggregate gross proceeds of $186.1 million, under the PIPE Investment.</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unaudited pro forma condensed combined information contained herein incorporates the results of BCTG’s public stockholders having elected to redeem their Public Shares for cash upon the approval of the Business Combination.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PIPE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Tango</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BCTG</w:t>
            </w:r>
          </w:p>
        </w:tc>
        <w:tc>
          <w:tcPr>
            <w:tcW w:w="8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Transaction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Historical</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3(a)</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378,525</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147,452</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147,452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202,061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529,835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4,397</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 held in trust account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166,815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(166,815)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3(b)</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217,240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167,549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543,525</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Arial" w:cs="Arial" w:eastAsia="Arial" w:hAnsi="Arial"/>
                <w:sz w:val="18"/>
                <w:szCs w:val="18"/>
                <w:b w:val="1"/>
                <w:bCs w:val="1"/>
                <w:color w:val="auto"/>
              </w:rPr>
              <w:t>Liabilities, Redeemable Convertible Preferred Stock and</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Stockholders’ Deficit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37,223</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(5,836)</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118,742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118,742</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162,349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(Series A, B, and B-1)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166,534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(166,534)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Common stock subject to redemption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(156,358)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3(a)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307,891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179,075</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501,132</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(119,700)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(119,700)</w:t>
            </w:r>
          </w:p>
        </w:tc>
        <w:tc>
          <w:tcPr>
            <w:tcW w:w="0" w:type="dxa"/>
            <w:vAlign w:val="bottom"/>
          </w:tcPr>
          <w:p>
            <w:pPr>
              <w:spacing w:after="0"/>
              <w:rPr>
                <w:sz w:val="1"/>
                <w:szCs w:val="1"/>
                <w:color w:val="auto"/>
              </w:rPr>
            </w:pPr>
          </w:p>
        </w:tc>
      </w:tr>
      <w:tr>
        <w:trPr>
          <w:trHeight w:val="230"/>
        </w:trPr>
        <w:tc>
          <w:tcPr>
            <w:tcW w:w="514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(111,643)</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309,010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179,077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381,444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3"/>
              </w:rPr>
              <w:t>Total liabilities, redeemable convertible preferred stock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stockholders’ equity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217,240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167,549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543,525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notes</w:t>
      </w:r>
    </w:p>
    <w:p>
      <w:pPr>
        <w:spacing w:after="0" w:line="131" w:lineRule="exact"/>
        <w:rPr>
          <w:sz w:val="20"/>
          <w:szCs w:val="20"/>
          <w:color w:val="auto"/>
        </w:rPr>
      </w:pPr>
    </w:p>
    <w:p>
      <w:pPr>
        <w:ind w:left="960" w:hanging="532"/>
        <w:spacing w:after="0"/>
        <w:tabs>
          <w:tab w:leader="none" w:pos="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Tango as of June 30, 2021.</w:t>
      </w:r>
    </w:p>
    <w:p>
      <w:pPr>
        <w:spacing w:after="0" w:line="130"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BCTG as of June 30, 2021, incorporated by reference into this Form 8-K.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Transaction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4"/>
              </w:rPr>
              <w:t>Pro Forma</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0"/>
              </w:rPr>
              <w:t>Tango</w:t>
            </w: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BCTG</w:t>
            </w:r>
          </w:p>
        </w:tc>
        <w:tc>
          <w:tcPr>
            <w:tcW w:w="12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Accounting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Historical</w:t>
            </w: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96"/>
              </w:rPr>
              <w:t>Combined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34,079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34,079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rPr>
              <w:t>7,097</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7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4(a)</w:t>
            </w: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8,073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 – related party</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Franchise tax expense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7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4(a)</w:t>
            </w: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42,212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4(b)</w:t>
            </w: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net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0"/>
              </w:rPr>
              <w:t>4(d)</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w w:val="99"/>
              </w:rPr>
              <w:t>Net loss attributable to common stockholders – basic and diluted</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8"/>
              </w:rPr>
              <w:t>14,214,543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16,675,000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(1.17)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or Founder Shares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4,702,250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Basic and diluted net loss per share, Founder Shares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6"/>
              </w:rPr>
              <w:t>86,435,024</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3"/>
              </w:rPr>
              <w:t>4(c)</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Arial" w:cs="Arial" w:eastAsia="Arial" w:hAnsi="Arial"/>
                <w:sz w:val="18"/>
                <w:szCs w:val="18"/>
                <w:color w:val="auto"/>
                <w:w w:val="95"/>
              </w:rPr>
              <w:t>Weighted average common shares outstanding – basic and 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(0.20)</w:t>
            </w:r>
          </w:p>
        </w:tc>
        <w:tc>
          <w:tcPr>
            <w:tcW w:w="440" w:type="dxa"/>
            <w:vAlign w:val="bottom"/>
          </w:tcPr>
          <w:p>
            <w:pPr>
              <w:ind w:left="120"/>
              <w:spacing w:after="0"/>
              <w:rPr>
                <w:sz w:val="20"/>
                <w:szCs w:val="20"/>
                <w:color w:val="auto"/>
              </w:rPr>
            </w:pPr>
            <w:r>
              <w:rPr>
                <w:rFonts w:ascii="Arial" w:cs="Arial" w:eastAsia="Arial" w:hAnsi="Arial"/>
                <w:sz w:val="18"/>
                <w:szCs w:val="18"/>
                <w:b w:val="1"/>
                <w:bCs w:val="1"/>
                <w:color w:val="auto"/>
                <w:w w:val="93"/>
              </w:rPr>
              <w:t>4(c)</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notes</w:t>
      </w:r>
    </w:p>
    <w:p>
      <w:pPr>
        <w:spacing w:after="0" w:line="131" w:lineRule="exact"/>
        <w:rPr>
          <w:sz w:val="20"/>
          <w:szCs w:val="20"/>
          <w:color w:val="auto"/>
        </w:rPr>
      </w:pPr>
    </w:p>
    <w:p>
      <w:pPr>
        <w:ind w:left="960" w:right="300" w:hanging="532"/>
        <w:spacing w:after="0" w:line="277" w:lineRule="auto"/>
        <w:tabs>
          <w:tab w:leader="none" w:pos="9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statement of operations and comprehensive loss of Tango for the six months ended June 30, 2021.</w:t>
      </w:r>
    </w:p>
    <w:p>
      <w:pPr>
        <w:spacing w:after="0" w:line="75" w:lineRule="exact"/>
        <w:rPr>
          <w:rFonts w:ascii="Arial" w:cs="Arial" w:eastAsia="Arial" w:hAnsi="Arial"/>
          <w:sz w:val="18"/>
          <w:szCs w:val="18"/>
          <w:color w:val="auto"/>
        </w:rPr>
      </w:pPr>
    </w:p>
    <w:p>
      <w:pPr>
        <w:ind w:left="960" w:right="940" w:hanging="532"/>
        <w:spacing w:after="0" w:line="277" w:lineRule="auto"/>
        <w:tabs>
          <w:tab w:leader="none" w:pos="9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statement of operations of BCTG for the six months ended June 30, 2021, incorporated by reference into this Form 8-K.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Transaction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Pro Forma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Tango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BCTG</w:t>
            </w:r>
          </w:p>
        </w:tc>
        <w:tc>
          <w:tcPr>
            <w:tcW w:w="1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1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Combined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7,656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4(a)</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10,006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 – related party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Franchise tax expense</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4(a)</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60,037</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(52,381)</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8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4(b)</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4(b)</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79"/>
              </w:rPr>
              <w:t>228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228</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common stockholders – basic and diluted</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(51,972)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87"/>
              </w:rPr>
              <w:t>$ (123)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5"/>
              </w:rPr>
              <w:t>$(58)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(52,153)</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4"/>
              </w:rPr>
              <w:t>11,461,011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16,675,000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Weighted average shares outstanding, or Founder Shares</w:t>
            </w:r>
          </w:p>
        </w:tc>
        <w:tc>
          <w:tcPr>
            <w:tcW w:w="1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4,212,127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Founder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86,435,024</w:t>
            </w:r>
          </w:p>
        </w:tc>
        <w:tc>
          <w:tcPr>
            <w:tcW w:w="520" w:type="dxa"/>
            <w:vAlign w:val="bottom"/>
          </w:tcPr>
          <w:p>
            <w:pPr>
              <w:ind w:left="160"/>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common shares outstanding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notes</w:t>
      </w:r>
    </w:p>
    <w:p>
      <w:pPr>
        <w:spacing w:after="0" w:line="131" w:lineRule="exact"/>
        <w:rPr>
          <w:sz w:val="20"/>
          <w:szCs w:val="20"/>
          <w:color w:val="auto"/>
        </w:rPr>
      </w:pPr>
    </w:p>
    <w:p>
      <w:pPr>
        <w:ind w:left="960" w:right="100" w:hanging="532"/>
        <w:spacing w:after="0" w:line="277" w:lineRule="auto"/>
        <w:tabs>
          <w:tab w:leader="none" w:pos="9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Derived from the audited consolidated statement of operations and comprehensive loss of Tango for the year ended December 31, 2020 as filed in the Proxy Statement.</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BCTG for the period from inception through December 31, 2020 as filed in the Proxy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218" w:name="page219"/>
    <w:bookmarkEnd w:id="218"/>
    <w:p>
      <w:pPr>
        <w:ind w:left="15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1 — Description of the Merger</w:t>
      </w:r>
    </w:p>
    <w:p>
      <w:pPr>
        <w:spacing w:after="0" w:line="121"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On August 10, 2021, Combined Entity consummated the previously executed Business Combination pursuant to the Merger Agreement dated April 13, 2021 between BCTG and Tango. Upon the closing of the Business Combination, Merger Sub merged with and into Tango, with Tango as the surviving company in the Merger. Upon the closing of the Business Combination, BCTG changed its name to “Tango Therapeutics, Inc.”</w:t>
      </w:r>
    </w:p>
    <w:p>
      <w:pPr>
        <w:spacing w:after="0" w:line="149"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Pursuant to the terms and conditions of the Merger Agreement, the aggregate consideration paid to Tango Equity holders upon the closing of the Merger was 55,000,000 shares of New Tango common stock. Subsequent to the closing of the Business Combination, BCTG consummated the private placement of 18,610,000 shares of New Tango common stock at $10.00 per share, for aggregate gross proceeds of $186.1 million, under the PIPE Investment.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following represents the aggregate merger consideration paid to Tango Equity holders upon the consummation of the Business Combination:</w:t>
      </w:r>
    </w:p>
    <w:p>
      <w:pPr>
        <w:spacing w:after="0" w:line="25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Purchase</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Shares Issued</w:t>
            </w:r>
          </w:p>
        </w:tc>
        <w:tc>
          <w:tcPr>
            <w:tcW w:w="0" w:type="dxa"/>
            <w:vAlign w:val="bottom"/>
          </w:tcPr>
          <w:p>
            <w:pPr>
              <w:spacing w:after="0"/>
              <w:rPr>
                <w:sz w:val="1"/>
                <w:szCs w:val="1"/>
                <w:color w:val="auto"/>
              </w:rPr>
            </w:pPr>
          </w:p>
        </w:tc>
      </w:tr>
      <w:tr>
        <w:trPr>
          <w:trHeight w:val="171"/>
        </w:trPr>
        <w:tc>
          <w:tcPr>
            <w:tcW w:w="6460" w:type="dxa"/>
            <w:vAlign w:val="bottom"/>
          </w:tcPr>
          <w:p>
            <w:pPr>
              <w:ind w:left="16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consideration to Tango</w:t>
            </w:r>
            <w:r>
              <w:rPr>
                <w:rFonts w:ascii="Arial" w:cs="Arial" w:eastAsia="Arial" w:hAnsi="Arial"/>
                <w:sz w:val="15"/>
                <w:szCs w:val="15"/>
                <w:color w:val="auto"/>
              </w:rPr>
              <w:t>(a)(b)</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$550,000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55,000,000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value of common stock issued to Tango included in the consideration is reflected at $10.00 per share as defined in the Merger Agreement.</w:t>
      </w:r>
    </w:p>
    <w:p>
      <w:pPr>
        <w:spacing w:after="0" w:line="46" w:lineRule="exact"/>
        <w:rPr>
          <w:rFonts w:ascii="Arial" w:cs="Arial" w:eastAsia="Arial" w:hAnsi="Arial"/>
          <w:sz w:val="16"/>
          <w:szCs w:val="16"/>
          <w:color w:val="auto"/>
        </w:rPr>
      </w:pPr>
    </w:p>
    <w:p>
      <w:pPr>
        <w:jc w:val="both"/>
        <w:ind w:left="424" w:right="420" w:hanging="424"/>
        <w:spacing w:after="0" w:line="277" w:lineRule="auto"/>
        <w:tabs>
          <w:tab w:leader="none" w:pos="42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total 55,000,0000 consideration shares to be issued for all outstanding Tango common and preferred stock includes underlying unvested and/or unexercised stock options of 6,406,197 and excludes unissued options of 1,191,103. These amounts are based on Tango’s outstanding shares as of June 30, 2021 and the exchange ratio of 0.340 at the Effective Time of the Business Combination</w:t>
      </w:r>
      <w:r>
        <w:rPr>
          <w:rFonts w:ascii="Arial" w:cs="Arial" w:eastAsia="Arial" w:hAnsi="Arial"/>
          <w:sz w:val="17"/>
          <w:szCs w:val="17"/>
          <w:i w:val="1"/>
          <w:iCs w:val="1"/>
          <w:color w:val="auto"/>
        </w:rPr>
        <w:t>.</w:t>
      </w:r>
    </w:p>
    <w:p>
      <w:pPr>
        <w:spacing w:after="0" w:line="173"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As of the Effective Time of the Business Combination, the conversion ratio was 0.340. The closing conversion ratio was calculated in accordance with the methodology and procedures set forth in the Merger Agreement, and was announced by BCTG through the Current Report on Form 8-K filing with the SEC four business days prior to the special meeting of its stockholders.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summarizes the unaudited pro forma common stock outstanding immediately after giving effect to the consummation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 Combination and PIPE Investment transactions:</w:t>
      </w:r>
    </w:p>
    <w:p>
      <w:pPr>
        <w:spacing w:after="0" w:line="22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Common Stock Outstanding</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Shares</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15,635,785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Less redemption of BCTG redeemable shares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(1,106,814)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4,702,250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Total BCTG</w:t>
            </w: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19,231,221</w:t>
            </w:r>
          </w:p>
        </w:tc>
        <w:tc>
          <w:tcPr>
            <w:tcW w:w="300" w:type="dxa"/>
            <w:vAlign w:val="bottom"/>
            <w:vMerge w:val="continue"/>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Tango(A)</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48,593,803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PIPE Shares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18,610,000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Shares Outstanding (excluding certain Tango shares)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86,435,024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Tango-Remaining Consideration Shares(A)</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6,406,197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Shares (including certain Tango shares)</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92,841,221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line="257"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Total consideration issued to Tango was $550.0 million or 55,000,000 shares ($10 per share price). The total shares issued included Tango common and preferred stock plus shares underlying unvested stock options. Accordingly, the consideration shares outstanding at the closing of the Business Combination was adjusted to exclude the portion of consideration shares that remained unvested and/or unexercised at the closing of the Business Combination. The Tango-Remaining Consideration Shares reflect a conversion ratio of 0.340. Tango shares are presented as of June 30, 2021.</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2 — Basis of Presentation</w:t>
      </w:r>
    </w:p>
    <w:p>
      <w:pPr>
        <w:spacing w:after="0" w:line="121"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The unaudited pro forma condensed combined financial information was prepared in accordance with Article 11 of SEC Regulation S-X as amended by the final rule, Release No. 33-10786 “Amendments to Financial Disclosures about Acquired and Disposed Businesses.” The historical financial information of BCTG and Tango has been adjusted to give effect to the transaction accounting adjustments of the Business Combination and the PIPE Investment and certain other adjustments to provide relevant information necessary for an understanding of the combined company upon consummation of the transactions described herein.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219" w:name="page220"/>
    <w:bookmarkEnd w:id="219"/>
    <w:p>
      <w:pPr>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Business Combination will be accounted for as a reverse recapitalization because Tango has been determined to be the accounting acquirer under Financial Accounting Standards Board’s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determination is primarily based on the evaluation of the following facts and circumstances:</w:t>
      </w:r>
    </w:p>
    <w:p>
      <w:pPr>
        <w:spacing w:after="0" w:line="89" w:lineRule="exact"/>
        <w:rPr>
          <w:sz w:val="20"/>
          <w:szCs w:val="20"/>
          <w:color w:val="auto"/>
        </w:rPr>
      </w:pPr>
    </w:p>
    <w:p>
      <w:pPr>
        <w:ind w:left="964" w:hanging="532"/>
        <w:spacing w:after="0"/>
        <w:tabs>
          <w:tab w:leader="none" w:pos="9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pre-combination equity holders of Tango will hold the majority of voting rights in the Combined Entity;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pre-combination equity holders of Tango will have the right to appoint the majority of the directors on the Combined Entity Board;</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Senior management of Tango will comprise the senior management of the Combined Entity;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Operations of Tango will comprise the ongoing operations of the Combined Entity.</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Under the reverse recapitalization accounting model, the Business Combination will be treated as Tango issuing stock for the net assets of BCTG, with no goodwill or intangible assets recorded.</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reflects all BCTG’s public stockholders that exercised redemption rights with respect to their public shares. A total of 1,106,814 shares were redeemed for an aggregate redemption value of approximately $11.1 million. The resulting redemption scenario still provided BCTG with cash at closing of the Business Combination of greater than the minimum requirement of $300.0 million pursuant to the Merger Agreement.</w:t>
      </w:r>
    </w:p>
    <w:p>
      <w:pPr>
        <w:spacing w:after="0" w:line="18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Combined Entity expects to enter into new equity awards with its employees after the consummation of the Business Combination. The terms of these new equity awards have not been finalized and remain subject to change. Accordingly, no effect has been given in the unaudited pro forma condensed combined financial information for the new awards.</w:t>
      </w:r>
    </w:p>
    <w:p>
      <w:pPr>
        <w:spacing w:after="0" w:line="18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transaction accounting adjustments as any change in the deferred tax balance would be offset by an increase in the valuation allowance given Tango incurred significant losses during the historical period presented.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Note 3 — Transaction Accounting Adjustments to the Unaudited Pro Forma Condensed Combined Balance Sheet as of June 30, 2021</w:t>
      </w:r>
    </w:p>
    <w:p>
      <w:pPr>
        <w:spacing w:after="0" w:line="133"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balance sheet as of June 30, 2021 are as follows: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964" w:right="240" w:hanging="532"/>
        <w:spacing w:after="0" w:line="277" w:lineRule="auto"/>
        <w:tabs>
          <w:tab w:leader="none" w:pos="964" w:val="left"/>
        </w:tabs>
        <w:numPr>
          <w:ilvl w:val="0"/>
          <w:numId w:val="254"/>
        </w:numPr>
        <w:rPr>
          <w:rFonts w:ascii="Arial" w:cs="Arial" w:eastAsia="Arial" w:hAnsi="Arial"/>
          <w:sz w:val="18"/>
          <w:szCs w:val="18"/>
          <w:i w:val="1"/>
          <w:iCs w:val="1"/>
          <w:color w:val="auto"/>
        </w:rPr>
      </w:pPr>
      <w:r>
        <w:rPr>
          <w:rFonts w:ascii="Arial" w:cs="Arial" w:eastAsia="Arial" w:hAnsi="Arial"/>
          <w:sz w:val="18"/>
          <w:szCs w:val="18"/>
          <w:color w:val="auto"/>
        </w:rPr>
        <w:t>Represents the impact of the Business Combination on the cash balance of the Combined Entity. The table below represents the sources and uses of funds as it relates to the Business Combination:</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6080" w:type="dxa"/>
            <w:vAlign w:val="bottom"/>
            <w:vMerge w:val="restart"/>
          </w:tcPr>
          <w:p>
            <w:pPr>
              <w:spacing w:after="0"/>
              <w:rPr>
                <w:sz w:val="14"/>
                <w:szCs w:val="14"/>
                <w:color w:val="auto"/>
              </w:rPr>
            </w:pP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Note</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60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BCTG cash held in Trust Account</w:t>
            </w:r>
          </w:p>
        </w:tc>
        <w:tc>
          <w:tcPr>
            <w:tcW w:w="3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$166,815</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Payment to redeeming BCTG Stockholders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6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Excess cash to balance sheet from Business Combination</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$147,963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 BCTG Sponsor</w:t>
            </w:r>
          </w:p>
        </w:tc>
        <w:tc>
          <w:tcPr>
            <w:tcW w:w="6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PIPE – Tango Stockholders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PIPE Investors</w:t>
            </w:r>
          </w:p>
        </w:tc>
        <w:tc>
          <w:tcPr>
            <w:tcW w:w="6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118,598</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Payment of PIPE Investment transaction costs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Excess cash to balance sheet from PIPE transaction</w:t>
            </w:r>
          </w:p>
        </w:tc>
        <w:tc>
          <w:tcPr>
            <w:tcW w:w="3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179,077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excess cash to balance sheet from Business Combination and PIPE Investment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327,040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right="58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Represents the amount of the restricted investments and cash held in the trust account upon consummation of the Business Combination at Closing.</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220" w:name="page221"/>
    <w:bookmarkEnd w:id="220"/>
    <w:p>
      <w:pPr>
        <w:ind w:left="424" w:right="220" w:hanging="424"/>
        <w:spacing w:after="0" w:line="258"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Represents payment of the redemption value for the 1,106,814 shares of restricted investments that were redeemed by BCTG shareholders from the trust account prior to the consummation of the Business Combination.</w:t>
      </w:r>
    </w:p>
    <w:p>
      <w:pPr>
        <w:spacing w:after="0" w:line="1" w:lineRule="exact"/>
        <w:rPr>
          <w:rFonts w:ascii="Arial" w:cs="Arial" w:eastAsia="Arial" w:hAnsi="Arial"/>
          <w:sz w:val="18"/>
          <w:szCs w:val="18"/>
          <w:color w:val="auto"/>
        </w:rPr>
      </w:pPr>
    </w:p>
    <w:p>
      <w:pPr>
        <w:ind w:left="424" w:right="460" w:hanging="424"/>
        <w:spacing w:after="0" w:line="250"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Represents payment of the estimated Business Combination transaction costs of $9.2 million. The unaudited pro forma condensed combined balance sheet reflects these costs as a reduction of cash, with a corresponding decrease in additional paid-in capital. As of June 30, 2021, $2.0 million in transaction costs have been incurred, of which $0.6 million remains unpaid.</w:t>
      </w:r>
    </w:p>
    <w:p>
      <w:pPr>
        <w:spacing w:after="0" w:line="1" w:lineRule="exact"/>
        <w:rPr>
          <w:rFonts w:ascii="Arial" w:cs="Arial" w:eastAsia="Arial" w:hAnsi="Arial"/>
          <w:sz w:val="18"/>
          <w:szCs w:val="18"/>
          <w:color w:val="auto"/>
        </w:rPr>
      </w:pPr>
    </w:p>
    <w:p>
      <w:pPr>
        <w:ind w:left="424" w:right="420" w:hanging="424"/>
        <w:spacing w:after="0" w:line="250"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Represents the issuance, from the PIPE Investment, to certain investors of 18,610,000 shares of Combined Entity common stock at a price of $10.00 per share.</w:t>
      </w:r>
    </w:p>
    <w:p>
      <w:pPr>
        <w:ind w:left="424" w:hanging="424"/>
        <w:spacing w:after="0" w:line="260"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Represents payment of the estimated PIPE Investment transaction costs of $7.0 million. As of June 30, 2021, no PIPE Investment transaction costs have been incurred or paid.</w:t>
      </w:r>
    </w:p>
    <w:p>
      <w:pPr>
        <w:spacing w:after="0" w:line="90"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56"/>
        </w:numPr>
        <w:rPr>
          <w:rFonts w:ascii="Arial" w:cs="Arial" w:eastAsia="Arial" w:hAnsi="Arial"/>
          <w:sz w:val="18"/>
          <w:szCs w:val="18"/>
          <w:i w:val="1"/>
          <w:iCs w:val="1"/>
          <w:color w:val="auto"/>
        </w:rPr>
      </w:pPr>
      <w:r>
        <w:rPr>
          <w:rFonts w:ascii="Arial" w:cs="Arial" w:eastAsia="Arial" w:hAnsi="Arial"/>
          <w:sz w:val="18"/>
          <w:szCs w:val="18"/>
          <w:color w:val="auto"/>
        </w:rPr>
        <w:t>Represents release of the restricted investments and cash held in the BCTG trust account upon consummation of the Business Combination (See Note 3(a)(1)).</w:t>
      </w:r>
    </w:p>
    <w:p>
      <w:pPr>
        <w:spacing w:after="0" w:line="75" w:lineRule="exact"/>
        <w:rPr>
          <w:rFonts w:ascii="Arial" w:cs="Arial" w:eastAsia="Arial" w:hAnsi="Arial"/>
          <w:sz w:val="18"/>
          <w:szCs w:val="18"/>
          <w:i w:val="1"/>
          <w:iCs w:val="1"/>
          <w:color w:val="auto"/>
        </w:rPr>
      </w:pPr>
    </w:p>
    <w:p>
      <w:pPr>
        <w:jc w:val="both"/>
        <w:ind w:left="964" w:right="460" w:hanging="532"/>
        <w:spacing w:after="0" w:line="263" w:lineRule="auto"/>
        <w:tabs>
          <w:tab w:leader="none" w:pos="964" w:val="left"/>
        </w:tabs>
        <w:numPr>
          <w:ilvl w:val="1"/>
          <w:numId w:val="256"/>
        </w:numPr>
        <w:rPr>
          <w:rFonts w:ascii="Arial" w:cs="Arial" w:eastAsia="Arial" w:hAnsi="Arial"/>
          <w:sz w:val="18"/>
          <w:szCs w:val="18"/>
          <w:i w:val="1"/>
          <w:iCs w:val="1"/>
          <w:color w:val="auto"/>
        </w:rPr>
      </w:pPr>
      <w:r>
        <w:rPr>
          <w:rFonts w:ascii="Arial" w:cs="Arial" w:eastAsia="Arial" w:hAnsi="Arial"/>
          <w:sz w:val="18"/>
          <w:szCs w:val="18"/>
          <w:color w:val="auto"/>
        </w:rPr>
        <w:t>To reclass less than $0.1 million of historical BCTG franchise tax payable and accrued income tax to the accrued expenses and other current liabilities account of the Combined Entity. Also reflective of the $0.6 million decrease of accrued transaction expenses with a corresponding decrease to additional paid in capital.</w:t>
      </w:r>
    </w:p>
    <w:p>
      <w:pPr>
        <w:spacing w:after="0" w:line="89" w:lineRule="exact"/>
        <w:rPr>
          <w:rFonts w:ascii="Arial" w:cs="Arial" w:eastAsia="Arial" w:hAnsi="Arial"/>
          <w:sz w:val="18"/>
          <w:szCs w:val="18"/>
          <w:i w:val="1"/>
          <w:iCs w:val="1"/>
          <w:color w:val="auto"/>
        </w:rPr>
      </w:pPr>
    </w:p>
    <w:p>
      <w:pPr>
        <w:ind w:left="964" w:right="140" w:hanging="532"/>
        <w:spacing w:after="0" w:line="308" w:lineRule="auto"/>
        <w:tabs>
          <w:tab w:leader="none" w:pos="964" w:val="left"/>
        </w:tabs>
        <w:numPr>
          <w:ilvl w:val="1"/>
          <w:numId w:val="256"/>
        </w:numPr>
        <w:rPr>
          <w:rFonts w:ascii="Arial" w:cs="Arial" w:eastAsia="Arial" w:hAnsi="Arial"/>
          <w:sz w:val="17"/>
          <w:szCs w:val="17"/>
          <w:i w:val="1"/>
          <w:iCs w:val="1"/>
          <w:color w:val="auto"/>
        </w:rPr>
      </w:pPr>
      <w:r>
        <w:rPr>
          <w:rFonts w:ascii="Arial" w:cs="Arial" w:eastAsia="Arial" w:hAnsi="Arial"/>
          <w:sz w:val="17"/>
          <w:szCs w:val="17"/>
          <w:color w:val="auto"/>
        </w:rPr>
        <w:t>The following table represents the impact of the Business Combination and PIPE Investment on the number of shares of BCTG Common Stock and represents the total stockholders’ deficit after giving effect to all redemptions by BCTG stockholders:</w:t>
      </w:r>
    </w:p>
    <w:p>
      <w:pPr>
        <w:spacing w:after="0" w:line="152"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5960" w:type="dxa"/>
            <w:vAlign w:val="bottom"/>
            <w:vMerge w:val="restart"/>
          </w:tcPr>
          <w:p>
            <w:pPr>
              <w:spacing w:after="0"/>
              <w:rPr>
                <w:sz w:val="12"/>
                <w:szCs w:val="12"/>
                <w:color w:val="auto"/>
              </w:rPr>
            </w:pPr>
          </w:p>
        </w:tc>
        <w:tc>
          <w:tcPr>
            <w:tcW w:w="7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Note</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596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Adjustment</w:t>
            </w:r>
          </w:p>
        </w:tc>
        <w:tc>
          <w:tcPr>
            <w:tcW w:w="0" w:type="dxa"/>
            <w:vAlign w:val="bottom"/>
          </w:tcPr>
          <w:p>
            <w:pPr>
              <w:spacing w:after="0"/>
              <w:rPr>
                <w:sz w:val="1"/>
                <w:szCs w:val="1"/>
                <w:color w:val="auto"/>
              </w:rPr>
            </w:pPr>
          </w:p>
        </w:tc>
      </w:tr>
      <w:tr>
        <w:trPr>
          <w:trHeight w:val="20"/>
        </w:trPr>
        <w:tc>
          <w:tcPr>
            <w:tcW w:w="6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Reclassification of historical redeemable stock of BCTG to common stock</w:t>
            </w:r>
          </w:p>
        </w:tc>
        <w:tc>
          <w:tcPr>
            <w:tcW w:w="3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gridSpan w:val="2"/>
            <w:vMerge w:val="continue"/>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w:t>
            </w: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$ 156,356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Payment to redeeming BCTG Stockholders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02"/>
        </w:trPr>
        <w:tc>
          <w:tcPr>
            <w:tcW w:w="6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Par value of consideration shares issued for all outstanding Tango common and</w:t>
            </w:r>
          </w:p>
        </w:tc>
        <w:tc>
          <w:tcPr>
            <w:tcW w:w="3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Elimination of historical redeemable convertible preferred stock of Tango</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740" w:type="dxa"/>
            <w:vAlign w:val="bottom"/>
          </w:tcPr>
          <w:p>
            <w:pPr>
              <w:jc w:val="right"/>
              <w:spacing w:after="0"/>
              <w:rPr>
                <w:sz w:val="20"/>
                <w:szCs w:val="20"/>
                <w:color w:val="auto"/>
              </w:rPr>
            </w:pPr>
            <w:r>
              <w:rPr>
                <w:rFonts w:ascii="Arial" w:cs="Arial" w:eastAsia="Arial" w:hAnsi="Arial"/>
                <w:sz w:val="18"/>
                <w:szCs w:val="18"/>
                <w:color w:val="auto"/>
              </w:rPr>
              <w:t>166,549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historical accumulated deficit of BCTG</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Elimination of historical deferred IPO costs of BCTG</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Pro Forma additional paid-in capital adjustment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$ 307,891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180" w:hanging="424"/>
        <w:spacing w:after="0" w:line="287" w:lineRule="auto"/>
        <w:tabs>
          <w:tab w:leader="none" w:pos="42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reflect the recapitalization of BCTG through the contribution of all historically outstanding common stock subject to redemption of BCTG to Tango and the issuance of 15,712,245 shares of Tango common stock to BCTG shareholders. The unaudited pro forma condensed combined balance sheet reflects the adjustment as a reclassification to additional paid in capital and the difference to common stock.</w:t>
      </w:r>
    </w:p>
    <w:p>
      <w:pPr>
        <w:spacing w:after="0" w:line="2" w:lineRule="exact"/>
        <w:rPr>
          <w:rFonts w:ascii="Arial" w:cs="Arial" w:eastAsia="Arial" w:hAnsi="Arial"/>
          <w:sz w:val="16"/>
          <w:szCs w:val="16"/>
          <w:color w:val="auto"/>
        </w:rPr>
      </w:pPr>
    </w:p>
    <w:p>
      <w:pPr>
        <w:ind w:left="424" w:right="40" w:hanging="424"/>
        <w:spacing w:after="0" w:line="250"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Represents payment of the redemption value for the 1,106,814 shares of restricted investments that were redeemed by preferred shareholders from the trust account prior to the consummation of the Business Combination.</w:t>
      </w:r>
    </w:p>
    <w:p>
      <w:pPr>
        <w:ind w:left="424" w:right="100" w:hanging="424"/>
        <w:spacing w:after="0" w:line="250"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reflect the $0.001 par value impact on additional paid in capital pursuant to the 55,000,0000 consideration shares issued for all outstanding Tango common and preferred stock and includes underlying unvested and/or unexercised stock options of 6,406,197 and excludes unissued options of 1,191,103. These amounts are based on Tango’s outstanding shares as of June 30, 2021 and the expected exchange ratio of 0.340 at the Effective Time of the Business Combination.</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reflect the automatic conversion of all outstanding shares of Tango redeemable convertible preferred stock immediately prior to the Effective Time of the Business Combination. The adjustment reflects the derecognition of the carrying value of the Tango redeemable convertible preferred stock of $166.5 million. The unaudited pro forma condensed combined balance sheet reflects the adjustment as a reclassification to additional paid in capital and the difference to common stock.</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reflect the elimination of the accumulated deficit of BCTG.</w:t>
      </w:r>
    </w:p>
    <w:p>
      <w:pPr>
        <w:spacing w:after="0" w:line="9" w:lineRule="exact"/>
        <w:rPr>
          <w:rFonts w:ascii="Arial" w:cs="Arial" w:eastAsia="Arial" w:hAnsi="Arial"/>
          <w:sz w:val="18"/>
          <w:szCs w:val="18"/>
          <w:color w:val="auto"/>
        </w:rPr>
      </w:pPr>
    </w:p>
    <w:p>
      <w:pPr>
        <w:ind w:left="424" w:right="400" w:hanging="424"/>
        <w:spacing w:after="0" w:line="265" w:lineRule="auto"/>
        <w:tabs>
          <w:tab w:leader="none" w:pos="4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Represents the settlement of $5.8 million of deferred underwriting commissions incurred during BCTG’s IPO that are contractually due upon completion of the Business Combination as Business Combination transaction costs are shown gross within note (7) below.</w:t>
      </w:r>
    </w:p>
    <w:p>
      <w:pPr>
        <w:ind w:left="424" w:right="460" w:hanging="424"/>
        <w:spacing w:after="0" w:line="255"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Represents payment of the estimated Business Combination transaction costs of $9.2 million. The unaudited pro forma condensed combined balance sheet reflects these costs as a reduction of cash, with a corresponding decrease in additional paid-in capital. As of June 30, 2021, $0.6 million in transaction costs have been incurred and remain unpaid.</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21" w:name="page222"/>
    <w:bookmarkEnd w:id="221"/>
    <w:p>
      <w:pPr>
        <w:ind w:left="4"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4 — Transaction Accounting Adjustments to the Unaudited Pro Forma Condensed Combined Statement of Operations for the Six Months Ended June 30, 2021</w:t>
      </w:r>
    </w:p>
    <w:p>
      <w:pPr>
        <w:spacing w:after="0" w:line="58"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statement of operations for the six months ended June 30, 2021 are as follows: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964" w:hanging="532"/>
        <w:spacing w:after="0"/>
        <w:tabs>
          <w:tab w:leader="none" w:pos="964" w:val="left"/>
        </w:tabs>
        <w:numPr>
          <w:ilvl w:val="0"/>
          <w:numId w:val="258"/>
        </w:numPr>
        <w:rPr>
          <w:rFonts w:ascii="Arial" w:cs="Arial" w:eastAsia="Arial" w:hAnsi="Arial"/>
          <w:sz w:val="18"/>
          <w:szCs w:val="18"/>
          <w:i w:val="1"/>
          <w:iCs w:val="1"/>
          <w:color w:val="auto"/>
        </w:rPr>
      </w:pPr>
      <w:r>
        <w:rPr>
          <w:rFonts w:ascii="Arial" w:cs="Arial" w:eastAsia="Arial" w:hAnsi="Arial"/>
          <w:sz w:val="18"/>
          <w:szCs w:val="18"/>
          <w:color w:val="auto"/>
        </w:rPr>
        <w:t>To reclass historical BCTG franchise tax expense to general and administrative expenses of the Combined Entity.</w:t>
      </w:r>
    </w:p>
    <w:p>
      <w:pPr>
        <w:spacing w:after="0" w:line="130" w:lineRule="exact"/>
        <w:rPr>
          <w:rFonts w:ascii="Arial" w:cs="Arial" w:eastAsia="Arial" w:hAnsi="Arial"/>
          <w:sz w:val="18"/>
          <w:szCs w:val="18"/>
          <w:i w:val="1"/>
          <w:iCs w:val="1"/>
          <w:color w:val="auto"/>
        </w:rPr>
      </w:pPr>
    </w:p>
    <w:p>
      <w:pPr>
        <w:ind w:left="964" w:hanging="532"/>
        <w:spacing w:after="0"/>
        <w:tabs>
          <w:tab w:leader="none" w:pos="964" w:val="left"/>
        </w:tabs>
        <w:numPr>
          <w:ilvl w:val="0"/>
          <w:numId w:val="258"/>
        </w:numPr>
        <w:rPr>
          <w:rFonts w:ascii="Arial" w:cs="Arial" w:eastAsia="Arial" w:hAnsi="Arial"/>
          <w:sz w:val="18"/>
          <w:szCs w:val="18"/>
          <w:i w:val="1"/>
          <w:iCs w:val="1"/>
          <w:color w:val="auto"/>
        </w:rPr>
      </w:pPr>
      <w:r>
        <w:rPr>
          <w:rFonts w:ascii="Arial" w:cs="Arial" w:eastAsia="Arial" w:hAnsi="Arial"/>
          <w:sz w:val="18"/>
          <w:szCs w:val="18"/>
          <w:color w:val="auto"/>
        </w:rPr>
        <w:t>To eliminate interest earned on the Trust Account which will be released upon closing of the Business Combination.</w:t>
      </w:r>
    </w:p>
    <w:p>
      <w:pPr>
        <w:spacing w:after="0" w:line="130" w:lineRule="exact"/>
        <w:rPr>
          <w:rFonts w:ascii="Arial" w:cs="Arial" w:eastAsia="Arial" w:hAnsi="Arial"/>
          <w:sz w:val="18"/>
          <w:szCs w:val="18"/>
          <w:i w:val="1"/>
          <w:iCs w:val="1"/>
          <w:color w:val="auto"/>
        </w:rPr>
      </w:pPr>
    </w:p>
    <w:p>
      <w:pPr>
        <w:ind w:left="964" w:hanging="532"/>
        <w:spacing w:after="0"/>
        <w:tabs>
          <w:tab w:leader="none" w:pos="964" w:val="left"/>
        </w:tabs>
        <w:numPr>
          <w:ilvl w:val="0"/>
          <w:numId w:val="258"/>
        </w:numPr>
        <w:rPr>
          <w:rFonts w:ascii="Arial" w:cs="Arial" w:eastAsia="Arial" w:hAnsi="Arial"/>
          <w:sz w:val="17"/>
          <w:szCs w:val="17"/>
          <w:i w:val="1"/>
          <w:iCs w:val="1"/>
          <w:color w:val="auto"/>
        </w:rPr>
      </w:pPr>
      <w:r>
        <w:rPr>
          <w:rFonts w:ascii="Arial" w:cs="Arial" w:eastAsia="Arial" w:hAnsi="Arial"/>
          <w:sz w:val="17"/>
          <w:szCs w:val="17"/>
          <w:color w:val="auto"/>
        </w:rPr>
        <w:t>Presentation of the pro forma basic and diluted net loss per share amounts. See Note 6 – Net Loss Per Share for additional details.</w:t>
      </w:r>
    </w:p>
    <w:p>
      <w:pPr>
        <w:spacing w:after="0" w:line="142" w:lineRule="exact"/>
        <w:rPr>
          <w:rFonts w:ascii="Arial" w:cs="Arial" w:eastAsia="Arial" w:hAnsi="Arial"/>
          <w:sz w:val="17"/>
          <w:szCs w:val="17"/>
          <w:i w:val="1"/>
          <w:iCs w:val="1"/>
          <w:color w:val="auto"/>
        </w:rPr>
      </w:pPr>
    </w:p>
    <w:p>
      <w:pPr>
        <w:ind w:left="964" w:right="20" w:hanging="532"/>
        <w:spacing w:after="0" w:line="263" w:lineRule="auto"/>
        <w:tabs>
          <w:tab w:leader="none" w:pos="964" w:val="left"/>
        </w:tabs>
        <w:numPr>
          <w:ilvl w:val="0"/>
          <w:numId w:val="258"/>
        </w:numPr>
        <w:rPr>
          <w:rFonts w:ascii="Arial" w:cs="Arial" w:eastAsia="Arial" w:hAnsi="Arial"/>
          <w:sz w:val="18"/>
          <w:szCs w:val="18"/>
          <w:i w:val="1"/>
          <w:iCs w:val="1"/>
          <w:color w:val="auto"/>
        </w:rPr>
      </w:pPr>
      <w:r>
        <w:rPr>
          <w:rFonts w:ascii="Arial" w:cs="Arial" w:eastAsia="Arial" w:hAnsi="Arial"/>
          <w:sz w:val="18"/>
          <w:szCs w:val="18"/>
          <w:color w:val="auto"/>
        </w:rPr>
        <w:t>The Combined Company is expected to be a tax-paying entity in 2021 due to taxable deferred revenue from the Gilead collaboration that is partially offset by the utilization of federal and state net operating losses and federal and state tax credits. However, the Company has historically been loss-making.</w:t>
      </w:r>
    </w:p>
    <w:p>
      <w:pPr>
        <w:spacing w:after="0" w:line="288" w:lineRule="exact"/>
        <w:rPr>
          <w:sz w:val="20"/>
          <w:szCs w:val="20"/>
          <w:color w:val="auto"/>
        </w:rPr>
      </w:pPr>
    </w:p>
    <w:p>
      <w:pPr>
        <w:ind w:left="4" w:right="540"/>
        <w:spacing w:after="0" w:line="282" w:lineRule="auto"/>
        <w:rPr>
          <w:sz w:val="20"/>
          <w:szCs w:val="20"/>
          <w:color w:val="auto"/>
        </w:rPr>
      </w:pPr>
      <w:r>
        <w:rPr>
          <w:rFonts w:ascii="Arial" w:cs="Arial" w:eastAsia="Arial" w:hAnsi="Arial"/>
          <w:sz w:val="18"/>
          <w:szCs w:val="18"/>
          <w:b w:val="1"/>
          <w:bCs w:val="1"/>
          <w:color w:val="auto"/>
        </w:rPr>
        <w:t>Note 5 — Transaction Accounting Adjustments to the Unaudited Pro Forma Condensed Combined Statement of Operations for the Year Ended December 31, 2020</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transaction accounting adjustments included in the unaudited pro forma condensed combined statement of operations for the year ended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31, 2020 are as follows:</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Pro Forma transaction accounting adjustments</w:t>
      </w:r>
    </w:p>
    <w:p>
      <w:pPr>
        <w:spacing w:after="0" w:line="131" w:lineRule="exact"/>
        <w:rPr>
          <w:sz w:val="20"/>
          <w:szCs w:val="20"/>
          <w:color w:val="auto"/>
        </w:rPr>
      </w:pPr>
    </w:p>
    <w:p>
      <w:pPr>
        <w:ind w:left="964" w:hanging="532"/>
        <w:spacing w:after="0"/>
        <w:tabs>
          <w:tab w:leader="none" w:pos="96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reclass historical BCTG franchise tax expense to general and administrative expenses of the Combined Entity.</w:t>
      </w:r>
    </w:p>
    <w:p>
      <w:pPr>
        <w:spacing w:after="0" w:line="130"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eliminate interest income, and the related income tax expense from interest income, earned on the Trust Account which will be released upon closing of the Business Combination.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Presentation of the pro forma basic and diluted net loss per share amounts. See Note 6 – Net Loss Per Share for additional details.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 — Net Loss Per Share</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Net loss per share was calculated using the historical weighted average shares outstanding, and the issuance of additional shares in connection with the Business Combination and PIPE Investment,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Investment have been outstanding for the entire period presented.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unaudited pro forma condensed combined financial information has been prepared for the six months ended June 30, 2021:</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6"/>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44" w:lineRule="exact"/>
        <w:rPr>
          <w:sz w:val="20"/>
          <w:szCs w:val="20"/>
          <w:color w:val="auto"/>
        </w:rPr>
      </w:pPr>
    </w:p>
    <w:tbl>
      <w:tblPr>
        <w:tblLayout w:type="fixed"/>
        <w:tblInd w:w="1764"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 forma 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(17,635)</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86,435,024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Pro Forma weighted average shares calculation – basic and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15,635,785</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BCTG Stockholder redemptions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(1,106,814)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4,702,250</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19,231,221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Tango</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48,593,803</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PIPE Shares</w:t>
            </w: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18,610,000</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 basic and diluted</w:t>
            </w:r>
            <w:r>
              <w:rPr>
                <w:rFonts w:ascii="Arial" w:cs="Arial" w:eastAsia="Arial" w:hAnsi="Arial"/>
                <w:sz w:val="15"/>
                <w:szCs w:val="15"/>
                <w:color w:val="auto"/>
              </w:rPr>
              <w:t>(2)</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86,435,024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424" w:right="120" w:hanging="424"/>
        <w:spacing w:after="0" w:line="254"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Excludes 6,406,197 Tango consideration shares that will be issued upon the occurrence of future events (i.e., exercise of stock options). Includes 93,107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has been adjusted to exclude the portion of consideration shares that will be unvested and/or unexercised at the closing of the Business Combination and are therefore not included in the calculation of weighted average shares outstanding as the impact is anti-dilutive.</w:t>
      </w:r>
    </w:p>
    <w:p>
      <w:pPr>
        <w:sectPr>
          <w:pgSz w:w="11900" w:h="16838" w:orient="portrait"/>
          <w:cols w:equalWidth="0" w:num="1">
            <w:col w:w="11024"/>
          </w:cols>
          <w:pgMar w:left="436" w:top="270" w:right="439" w:bottom="1440" w:gutter="0" w:footer="0" w:header="0"/>
        </w:sectPr>
      </w:pPr>
    </w:p>
    <w:p>
      <w:pPr>
        <w:spacing w:after="0" w:line="127"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24"/>
          </w:cols>
          <w:pgMar w:left="436" w:top="270" w:right="439" w:bottom="1440" w:gutter="0" w:footer="0" w:header="0"/>
          <w:type w:val="continuous"/>
        </w:sectPr>
      </w:pPr>
    </w:p>
    <w:bookmarkStart w:id="222" w:name="page223"/>
    <w:bookmarkEnd w:id="222"/>
    <w:p>
      <w:pPr>
        <w:jc w:val="both"/>
        <w:ind w:left="424" w:right="180" w:hanging="424"/>
        <w:spacing w:after="0" w:line="311" w:lineRule="auto"/>
        <w:tabs>
          <w:tab w:leader="none" w:pos="424" w:val="left"/>
        </w:tabs>
        <w:numPr>
          <w:ilvl w:val="0"/>
          <w:numId w:val="2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6,406,197 Tango consideration shares for unvested and/or unexercised stock options.</w:t>
      </w:r>
    </w:p>
    <w:p>
      <w:pPr>
        <w:spacing w:after="0" w:line="149"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Net loss per share was calculated using the historical weighted average shares outstanding, and the issuance of additional shares in connection with the Business Combination and PIPE Investment,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Investment have been outstanding for the entire period presented.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unaudited pro forma condensed combined financial information has been prepared for the year ended December 31, 2020:</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6"/>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44" w:lineRule="exact"/>
        <w:rPr>
          <w:sz w:val="20"/>
          <w:szCs w:val="20"/>
          <w:color w:val="auto"/>
        </w:rPr>
      </w:pPr>
    </w:p>
    <w:tbl>
      <w:tblPr>
        <w:tblLayout w:type="fixed"/>
        <w:tblInd w:w="1764"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 forma 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(52,153)</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86,435,024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Pro Forma weighted average shares calculation – basic and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15,635,785</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BCTG Stockholder redemptions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(1,106,814)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4,702,250</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19,231,221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Tango</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48,593,803</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PIPE Shares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18,610,000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 basic and diluted</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86,435,024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right="120" w:hanging="424"/>
        <w:spacing w:after="0" w:line="252" w:lineRule="auto"/>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Excludes 6,405,747 Tango consideration shares that will be issued upon the occurrence of future events (i.e., exercise of stock options). Includes 256,793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has been adjusted to exclude the portion of consideration shares that will be unvested and/or unexercised at the closing of the Business Combination and are therefore not included in the calculation of weighted average shares outstanding as the impact is anti-dilutive.</w:t>
      </w:r>
    </w:p>
    <w:p>
      <w:pPr>
        <w:spacing w:after="0" w:line="5" w:lineRule="exact"/>
        <w:rPr>
          <w:rFonts w:ascii="Arial" w:cs="Arial" w:eastAsia="Arial" w:hAnsi="Arial"/>
          <w:sz w:val="18"/>
          <w:szCs w:val="18"/>
          <w:color w:val="auto"/>
        </w:rPr>
      </w:pPr>
    </w:p>
    <w:p>
      <w:pPr>
        <w:jc w:val="both"/>
        <w:ind w:left="424" w:right="180" w:hanging="424"/>
        <w:spacing w:after="0" w:line="302" w:lineRule="auto"/>
        <w:tabs>
          <w:tab w:leader="none" w:pos="42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6,405,747 Tango consideration shares for unvested and/or unexercised stock options.</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1)"/>
      <w:numFmt w:val="decimal"/>
      <w:start w:val="1"/>
    </w:lvl>
  </w:abstractNum>
  <w:abstractNum w:abstractNumId="8">
    <w:nsid w:val="E3E47A8"/>
    <w:multiLevelType w:val="hybridMultilevel"/>
    <w:lvl w:ilvl="0">
      <w:lvlJc w:val="left"/>
      <w:lvlText w:val="(%1)"/>
      <w:numFmt w:val="lowerLetter"/>
      <w:start w:val="1"/>
    </w:lvl>
  </w:abstractNum>
  <w:abstractNum w:abstractNumId="9">
    <w:nsid w:val="2E48F044"/>
    <w:multiLevelType w:val="hybridMultilevel"/>
    <w:lvl w:ilvl="0">
      <w:lvlJc w:val="left"/>
      <w:lvlText w:val="(%1)"/>
      <w:numFmt w:val="lowerLetter"/>
      <w:start w:val="2"/>
    </w:lvl>
  </w:abstractNum>
  <w:abstractNum w:abstractNumId="10">
    <w:nsid w:val="49D0FEAC"/>
    <w:multiLevelType w:val="hybridMultilevel"/>
    <w:lvl w:ilvl="0">
      <w:lvlJc w:val="left"/>
      <w:lvlText w:val="(%1)"/>
      <w:numFmt w:val="decimal"/>
      <w:start w:val="1"/>
    </w:lvl>
  </w:abstractNum>
  <w:abstractNum w:abstractNumId="11">
    <w:nsid w:val="4BEE5A5B"/>
    <w:multiLevelType w:val="hybridMultilevel"/>
    <w:lvl w:ilvl="0">
      <w:lvlJc w:val="left"/>
      <w:lvlText w:val="(%1)"/>
      <w:numFmt w:val="decimal"/>
      <w:start w:val="2"/>
    </w:lvl>
  </w:abstractNum>
  <w:abstractNum w:abstractNumId="12">
    <w:nsid w:val="5551B9F3"/>
    <w:multiLevelType w:val="hybridMultilevel"/>
    <w:lvl w:ilvl="0">
      <w:lvlJc w:val="left"/>
      <w:lvlText w:val="(%1)"/>
      <w:numFmt w:val="decimal"/>
      <w:start w:val="3"/>
    </w:lvl>
  </w:abstractNum>
  <w:abstractNum w:abstractNumId="13">
    <w:nsid w:val="24F6AB8E"/>
    <w:multiLevelType w:val="hybridMultilevel"/>
    <w:lvl w:ilvl="0">
      <w:lvlJc w:val="left"/>
      <w:lvlText w:val="(%1)"/>
      <w:numFmt w:val="decimal"/>
      <w:start w:val="4"/>
    </w:lvl>
  </w:abstractNum>
  <w:abstractNum w:abstractNumId="14">
    <w:nsid w:val="634C574C"/>
    <w:multiLevelType w:val="hybridMultilevel"/>
    <w:lvl w:ilvl="0">
      <w:lvlJc w:val="left"/>
      <w:lvlText w:val="(%1)"/>
      <w:numFmt w:val="decimal"/>
      <w:start w:val="5"/>
    </w:lvl>
  </w:abstractNum>
  <w:abstractNum w:abstractNumId="15">
    <w:nsid w:val="24E99DD7"/>
    <w:multiLevelType w:val="hybridMultilevel"/>
    <w:lvl w:ilvl="0">
      <w:lvlJc w:val="left"/>
      <w:lvlText w:val="(%1)"/>
      <w:numFmt w:val="decimal"/>
      <w:start w:val="6"/>
    </w:lvl>
  </w:abstractNum>
  <w:abstractNum w:abstractNumId="16">
    <w:nsid w:val="2A31B62D"/>
    <w:multiLevelType w:val="hybridMultilevel"/>
    <w:lvl w:ilvl="0">
      <w:lvlJc w:val="left"/>
      <w:lvlText w:val="(%1)"/>
      <w:numFmt w:val="decimal"/>
      <w:start w:val="7"/>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
      <w:numFmt w:val="bullet"/>
      <w:start w:val="1"/>
    </w:lvl>
  </w:abstractNum>
  <w:abstractNum w:abstractNumId="20">
    <w:nsid w:val="69E7F3E5"/>
    <w:multiLevelType w:val="hybridMultilevel"/>
    <w:lvl w:ilvl="0">
      <w:lvlJc w:val="left"/>
      <w:lvlText w:val="(%1)"/>
      <w:numFmt w:val="upperLetter"/>
      <w:start w:val="1"/>
    </w:lvl>
  </w:abstractNum>
  <w:abstractNum w:abstractNumId="21">
    <w:nsid w:val="2A6DE806"/>
    <w:multiLevelType w:val="hybridMultilevel"/>
    <w:lvl w:ilvl="0">
      <w:lvlJc w:val="left"/>
      <w:lvlText w:val="(%1)"/>
      <w:numFmt w:val="lowerLetter"/>
      <w:start w:val="3"/>
    </w:lvl>
  </w:abstractNum>
  <w:abstractNum w:abstractNumId="22">
    <w:nsid w:val="1816F8C4"/>
    <w:multiLevelType w:val="hybridMultilevel"/>
    <w:lvl w:ilvl="0">
      <w:lvlJc w:val="left"/>
      <w:lvlText w:val="%1."/>
      <w:numFmt w:val="decimal"/>
      <w:start w:val="2"/>
    </w:lvl>
  </w:abstractNum>
  <w:abstractNum w:abstractNumId="23">
    <w:nsid w:val="37DF2233"/>
    <w:multiLevelType w:val="hybridMultilevel"/>
    <w:lvl w:ilvl="0">
      <w:lvlJc w:val="left"/>
      <w:lvlText w:val="(%1)"/>
      <w:numFmt w:val="decimal"/>
      <w:start w:val="1"/>
    </w:lvl>
  </w:abstractNum>
  <w:abstractNum w:abstractNumId="24">
    <w:nsid w:val="7AB49DAF"/>
    <w:multiLevelType w:val="hybridMultilevel"/>
    <w:lvl w:ilvl="0">
      <w:lvlJc w:val="left"/>
      <w:lvlText w:val="(%1)"/>
      <w:numFmt w:val="lowerRoman"/>
      <w:start w:val="2"/>
    </w:lvl>
  </w:abstractNum>
  <w:abstractNum w:abstractNumId="25">
    <w:nsid w:val="759F82CD"/>
    <w:multiLevelType w:val="hybridMultilevel"/>
    <w:lvl w:ilvl="0">
      <w:lvlJc w:val="left"/>
      <w:lvlText w:val="(%1)"/>
      <w:numFmt w:val="lowerLetter"/>
      <w:start w:val="1"/>
    </w:lvl>
  </w:abstractNum>
  <w:abstractNum w:abstractNumId="26">
    <w:nsid w:val="61E74EA3"/>
    <w:multiLevelType w:val="hybridMultilevel"/>
    <w:lvl w:ilvl="0">
      <w:lvlJc w:val="left"/>
      <w:lvlText w:val="(%1)"/>
      <w:numFmt w:val="lowerLetter"/>
      <w:start w:val="2"/>
    </w:lvl>
  </w:abstractNum>
  <w:abstractNum w:abstractNumId="27">
    <w:nsid w:val="597B4D84"/>
    <w:multiLevelType w:val="hybridMultilevel"/>
    <w:lvl w:ilvl="0">
      <w:lvlJc w:val="left"/>
      <w:lvlText w:val="(%1)"/>
      <w:numFmt w:val="lowerLetter"/>
      <w:start w:val="25"/>
    </w:lvl>
  </w:abstractNum>
  <w:abstractNum w:abstractNumId="28">
    <w:nsid w:val="F819E7F"/>
    <w:multiLevelType w:val="hybridMultilevel"/>
    <w:lvl w:ilvl="0">
      <w:lvlJc w:val="left"/>
      <w:lvlText w:val="(%1)"/>
      <w:numFmt w:val="decimal"/>
      <w:start w:val="12"/>
    </w:lvl>
  </w:abstractNum>
  <w:abstractNum w:abstractNumId="29">
    <w:nsid w:val="57C7D42D"/>
    <w:multiLevelType w:val="hybridMultilevel"/>
    <w:lvl w:ilvl="0">
      <w:lvlJc w:val="left"/>
      <w:lvlText w:val="%1."/>
      <w:numFmt w:val="decimal"/>
      <w:start w:val="4"/>
    </w:lvl>
  </w:abstractNum>
  <w:abstractNum w:abstractNumId="30">
    <w:nsid w:val="312167AD"/>
    <w:multiLevelType w:val="hybridMultilevel"/>
    <w:lvl w:ilvl="0">
      <w:lvlJc w:val="left"/>
      <w:lvlText w:val="%1."/>
      <w:numFmt w:val="decimal"/>
      <w:start w:val="5"/>
    </w:lvl>
  </w:abstractNum>
  <w:abstractNum w:abstractNumId="31">
    <w:nsid w:val="631B64D4"/>
    <w:multiLevelType w:val="hybridMultilevel"/>
    <w:lvl w:ilvl="0">
      <w:lvlJc w:val="left"/>
      <w:lvlText w:val="%1"/>
      <w:numFmt w:val="decimal"/>
      <w:start w:val="100"/>
    </w:lvl>
  </w:abstractNum>
  <w:abstractNum w:abstractNumId="32">
    <w:nsid w:val="78B5E776"/>
    <w:multiLevelType w:val="hybridMultilevel"/>
    <w:lvl w:ilvl="0">
      <w:lvlJc w:val="left"/>
      <w:lvlText w:val="1"/>
      <w:numFmt w:val="bullet"/>
      <w:start w:val="1"/>
    </w:lvl>
  </w:abstractNum>
  <w:abstractNum w:abstractNumId="33">
    <w:nsid w:val="75486E47"/>
    <w:multiLevelType w:val="hybridMultilevel"/>
    <w:lvl w:ilvl="0">
      <w:lvlJc w:val="left"/>
      <w:lvlText w:val="(%1)"/>
      <w:numFmt w:val="lowerRoman"/>
      <w:start w:val="2"/>
    </w:lvl>
  </w:abstractNum>
  <w:abstractNum w:abstractNumId="34">
    <w:nsid w:val="6E534CDE"/>
    <w:multiLevelType w:val="hybridMultilevel"/>
    <w:lvl w:ilvl="0">
      <w:lvlJc w:val="left"/>
      <w:lvlText w:val="(%1)"/>
      <w:numFmt w:val="lowerLetter"/>
      <w:start w:val="1"/>
    </w:lvl>
  </w:abstractNum>
  <w:abstractNum w:abstractNumId="35">
    <w:nsid w:val="1A0DDE32"/>
    <w:multiLevelType w:val="hybridMultilevel"/>
    <w:lvl w:ilvl="0">
      <w:lvlJc w:val="left"/>
      <w:lvlText w:val="(%1)"/>
      <w:numFmt w:val="lowerLetter"/>
      <w:start w:val="2"/>
    </w:lvl>
    <w:lvl w:ilvl="1">
      <w:lvlJc w:val="left"/>
      <w:lvlText w:val="(%2)"/>
      <w:numFmt w:val="lowerRoman"/>
      <w:start w:val="1"/>
    </w:lvl>
  </w:abstractNum>
  <w:abstractNum w:abstractNumId="36">
    <w:nsid w:val="65968C1C"/>
    <w:multiLevelType w:val="hybridMultilevel"/>
    <w:lvl w:ilvl="0">
      <w:lvlJc w:val="left"/>
      <w:lvlText w:val="%1"/>
      <w:numFmt w:val="lowerLetter"/>
      <w:start w:val="1"/>
    </w:lvl>
    <w:lvl w:ilvl="1">
      <w:lvlJc w:val="left"/>
      <w:lvlText w:val="(%2)"/>
      <w:numFmt w:val="lowerLetter"/>
      <w:start w:val="3"/>
    </w:lvl>
  </w:abstractNum>
  <w:abstractNum w:abstractNumId="37">
    <w:nsid w:val="46263DEC"/>
    <w:multiLevelType w:val="hybridMultilevel"/>
    <w:lvl w:ilvl="0">
      <w:lvlJc w:val="left"/>
      <w:lvlText w:val="(%1)"/>
      <w:numFmt w:val="lowerLetter"/>
      <w:start w:val="35"/>
    </w:lvl>
    <w:lvl w:ilvl="1">
      <w:lvlJc w:val="left"/>
      <w:lvlText w:val="%2"/>
      <w:numFmt w:val="lowerLetter"/>
      <w:start w:val="1"/>
    </w:lvl>
  </w:abstractNum>
  <w:abstractNum w:abstractNumId="38">
    <w:nsid w:val="260D8C4A"/>
    <w:multiLevelType w:val="hybridMultilevel"/>
    <w:lvl w:ilvl="0">
      <w:lvlJc w:val="left"/>
      <w:lvlText w:val="%1"/>
      <w:numFmt w:val="lowerLetter"/>
      <w:start w:val="1"/>
    </w:lvl>
    <w:lvl w:ilvl="1">
      <w:lvlJc w:val="left"/>
      <w:lvlText w:val="(%2)"/>
      <w:numFmt w:val="lowerLetter"/>
      <w:start w:val="4"/>
    </w:lvl>
  </w:abstractNum>
  <w:abstractNum w:abstractNumId="39">
    <w:nsid w:val="73D4D3C4"/>
    <w:multiLevelType w:val="hybridMultilevel"/>
    <w:lvl w:ilvl="0">
      <w:lvlJc w:val="left"/>
      <w:lvlText w:val="(%1)"/>
      <w:numFmt w:val="lowerLetter"/>
      <w:start w:val="22"/>
    </w:lvl>
    <w:lvl w:ilvl="1">
      <w:lvlJc w:val="left"/>
      <w:lvlText w:val="%2"/>
      <w:numFmt w:val="lowerLetter"/>
      <w:start w:val="1"/>
    </w:lvl>
  </w:abstractNum>
  <w:abstractNum w:abstractNumId="40">
    <w:nsid w:val="746F2E30"/>
    <w:multiLevelType w:val="hybridMultilevel"/>
    <w:lvl w:ilvl="0">
      <w:lvlJc w:val="left"/>
      <w:lvlText w:val="(%1)"/>
      <w:numFmt w:val="lowerLetter"/>
      <w:start w:val="1"/>
    </w:lvl>
  </w:abstractNum>
  <w:abstractNum w:abstractNumId="41">
    <w:nsid w:val="6FDE8AF6"/>
    <w:multiLevelType w:val="hybridMultilevel"/>
    <w:lvl w:ilvl="0">
      <w:lvlJc w:val="left"/>
      <w:lvlText w:val="(%1)"/>
      <w:numFmt w:val="lowerLetter"/>
      <w:start w:val="2"/>
    </w:lvl>
  </w:abstractNum>
  <w:abstractNum w:abstractNumId="42">
    <w:nsid w:val="3FC32E20"/>
    <w:multiLevelType w:val="hybridMultilevel"/>
    <w:lvl w:ilvl="0">
      <w:lvlJc w:val="left"/>
      <w:lvlText w:val="(%1)"/>
      <w:numFmt w:val="lowerLetter"/>
      <w:start w:val="35"/>
    </w:lvl>
    <w:lvl w:ilvl="1">
      <w:lvlJc w:val="left"/>
      <w:lvlText w:val="(%2)"/>
      <w:numFmt w:val="lowerLetter"/>
      <w:start w:val="4"/>
    </w:lvl>
  </w:abstractNum>
  <w:abstractNum w:abstractNumId="43">
    <w:nsid w:val="49C0E823"/>
    <w:multiLevelType w:val="hybridMultilevel"/>
    <w:lvl w:ilvl="0">
      <w:lvlJc w:val="left"/>
      <w:lvlText w:val="(%1)"/>
      <w:numFmt w:val="lowerLetter"/>
      <w:start w:val="1"/>
    </w:lvl>
  </w:abstractNum>
  <w:abstractNum w:abstractNumId="44">
    <w:nsid w:val="14D53685"/>
    <w:multiLevelType w:val="hybridMultilevel"/>
    <w:lvl w:ilvl="0">
      <w:lvlJc w:val="left"/>
      <w:lvlText w:val="(%1)"/>
      <w:numFmt w:val="lowerLetter"/>
      <w:start w:val="2"/>
    </w:lvl>
    <w:lvl w:ilvl="1">
      <w:lvlJc w:val="left"/>
      <w:lvlText w:val="(%2)"/>
      <w:numFmt w:val="lowerRoman"/>
      <w:start w:val="1"/>
    </w:lvl>
  </w:abstractNum>
  <w:abstractNum w:abstractNumId="45">
    <w:nsid w:val="230F856C"/>
    <w:multiLevelType w:val="hybridMultilevel"/>
    <w:lvl w:ilvl="0">
      <w:lvlJc w:val="left"/>
      <w:lvlText w:val="(%1)"/>
      <w:numFmt w:val="lowerRoman"/>
      <w:start w:val="3"/>
    </w:lvl>
  </w:abstractNum>
  <w:abstractNum w:abstractNumId="46">
    <w:nsid w:val="6EAA85FB"/>
    <w:multiLevelType w:val="hybridMultilevel"/>
    <w:lvl w:ilvl="0">
      <w:lvlJc w:val="left"/>
      <w:lvlText w:val="(%1)"/>
      <w:numFmt w:val="lowerLetter"/>
      <w:start w:val="6"/>
    </w:lvl>
  </w:abstractNum>
  <w:abstractNum w:abstractNumId="47">
    <w:nsid w:val="3F06ECB2"/>
    <w:multiLevelType w:val="hybridMultilevel"/>
    <w:lvl w:ilvl="0">
      <w:lvlJc w:val="left"/>
      <w:lvlText w:val="(%1)"/>
      <w:numFmt w:val="lowerLetter"/>
      <w:start w:val="1"/>
    </w:lvl>
  </w:abstractNum>
  <w:abstractNum w:abstractNumId="48">
    <w:nsid w:val="3B594807"/>
    <w:multiLevelType w:val="hybridMultilevel"/>
    <w:lvl w:ilvl="0">
      <w:lvlJc w:val="left"/>
      <w:lvlText w:val="(%1)"/>
      <w:numFmt w:val="lowerLetter"/>
      <w:start w:val="35"/>
    </w:lvl>
    <w:lvl w:ilvl="1">
      <w:lvlJc w:val="left"/>
      <w:lvlText w:val="(%2)"/>
      <w:numFmt w:val="lowerLetter"/>
      <w:start w:val="3"/>
    </w:lvl>
  </w:abstractNum>
  <w:abstractNum w:abstractNumId="49">
    <w:nsid w:val="6CAA2304"/>
    <w:multiLevelType w:val="hybridMultilevel"/>
    <w:lvl w:ilvl="0">
      <w:lvlJc w:val="left"/>
      <w:lvlText w:val="%1"/>
      <w:numFmt w:val="lowerLetter"/>
      <w:start w:val="1"/>
    </w:lvl>
    <w:lvl w:ilvl="1">
      <w:lvlJc w:val="left"/>
      <w:lvlText w:val="(%2)"/>
      <w:numFmt w:val="lowerLetter"/>
      <w:start w:val="1"/>
    </w:lvl>
  </w:abstractNum>
  <w:abstractNum w:abstractNumId="50">
    <w:nsid w:val="3F7C2FF4"/>
    <w:multiLevelType w:val="hybridMultilevel"/>
    <w:lvl w:ilvl="0">
      <w:lvlJc w:val="left"/>
      <w:lvlText w:val="(%1)"/>
      <w:numFmt w:val="lowerLetter"/>
      <w:start w:val="35"/>
    </w:lvl>
    <w:lvl w:ilvl="1">
      <w:lvlJc w:val="left"/>
      <w:lvlText w:val="(%2)"/>
      <w:numFmt w:val="lowerLetter"/>
      <w:start w:val="3"/>
    </w:lvl>
  </w:abstractNum>
  <w:abstractNum w:abstractNumId="51">
    <w:nsid w:val="25413BEC"/>
    <w:multiLevelType w:val="hybridMultilevel"/>
    <w:lvl w:ilvl="0">
      <w:lvlJc w:val="left"/>
      <w:lvlText w:val="(%1)"/>
      <w:numFmt w:val="lowerLetter"/>
      <w:start w:val="4"/>
    </w:lvl>
  </w:abstractNum>
  <w:abstractNum w:abstractNumId="52">
    <w:nsid w:val="17180B0B"/>
    <w:multiLevelType w:val="hybridMultilevel"/>
    <w:lvl w:ilvl="0">
      <w:lvlJc w:val="left"/>
      <w:lvlText w:val="(%1)"/>
      <w:numFmt w:val="lowerLetter"/>
      <w:start w:val="1"/>
    </w:lvl>
  </w:abstractNum>
  <w:abstractNum w:abstractNumId="53">
    <w:nsid w:val="579328B9"/>
    <w:multiLevelType w:val="hybridMultilevel"/>
    <w:lvl w:ilvl="0">
      <w:lvlJc w:val="left"/>
      <w:lvlText w:val="(%1)"/>
      <w:numFmt w:val="lowerLetter"/>
      <w:start w:val="4"/>
    </w:lvl>
  </w:abstractNum>
  <w:abstractNum w:abstractNumId="54">
    <w:nsid w:val="5D205E20"/>
    <w:multiLevelType w:val="hybridMultilevel"/>
    <w:lvl w:ilvl="0">
      <w:lvlJc w:val="left"/>
      <w:lvlText w:val="(%1)"/>
      <w:numFmt w:val="lowerLetter"/>
      <w:start w:val="1"/>
    </w:lvl>
  </w:abstractNum>
  <w:abstractNum w:abstractNumId="55">
    <w:nsid w:val="11CCA8BA"/>
    <w:multiLevelType w:val="hybridMultilevel"/>
    <w:lvl w:ilvl="0">
      <w:lvlJc w:val="left"/>
      <w:lvlText w:val="(%1)"/>
      <w:numFmt w:val="lowerLetter"/>
      <w:start w:val="2"/>
    </w:lvl>
  </w:abstractNum>
  <w:abstractNum w:abstractNumId="56">
    <w:nsid w:val="4D32AB86"/>
    <w:multiLevelType w:val="hybridMultilevel"/>
    <w:lvl w:ilvl="0">
      <w:lvlJc w:val="left"/>
      <w:lvlText w:val="(%1)"/>
      <w:numFmt w:val="lowerLetter"/>
      <w:start w:val="1"/>
    </w:lvl>
  </w:abstractNum>
  <w:abstractNum w:abstractNumId="57">
    <w:nsid w:val="3F07ACC3"/>
    <w:multiLevelType w:val="hybridMultilevel"/>
    <w:lvl w:ilvl="0">
      <w:lvlJc w:val="left"/>
      <w:lvlText w:val="(%1)"/>
      <w:numFmt w:val="lowerLetter"/>
      <w:start w:val="1"/>
    </w:lvl>
  </w:abstractNum>
  <w:abstractNum w:abstractNumId="58">
    <w:nsid w:val="6B47F63E"/>
    <w:multiLevelType w:val="hybridMultilevel"/>
    <w:lvl w:ilvl="0">
      <w:lvlJc w:val="left"/>
      <w:lvlText w:val="(%1)"/>
      <w:numFmt w:val="lowerLetter"/>
      <w:start w:val="1"/>
    </w:lvl>
    <w:lvl w:ilvl="1">
      <w:lvlJc w:val="left"/>
      <w:lvlText w:val="(%2)"/>
      <w:numFmt w:val="lowerRoman"/>
      <w:start w:val="1"/>
    </w:lvl>
  </w:abstractNum>
  <w:abstractNum w:abstractNumId="59">
    <w:nsid w:val="5CB44A05"/>
    <w:multiLevelType w:val="hybridMultilevel"/>
    <w:lvl w:ilvl="0">
      <w:lvlJc w:val="left"/>
      <w:lvlText w:val="(%1)"/>
      <w:numFmt w:val="lowerLetter"/>
      <w:start w:val="1"/>
    </w:lvl>
  </w:abstractNum>
  <w:abstractNum w:abstractNumId="60">
    <w:nsid w:val="16CF80F1"/>
    <w:multiLevelType w:val="hybridMultilevel"/>
    <w:lvl w:ilvl="0">
      <w:lvlJc w:val="left"/>
      <w:lvlText w:val="(%1)"/>
      <w:numFmt w:val="lowerLetter"/>
      <w:start w:val="2"/>
    </w:lvl>
  </w:abstractNum>
  <w:abstractNum w:abstractNumId="61">
    <w:nsid w:val="1C695DEC"/>
    <w:multiLevelType w:val="hybridMultilevel"/>
    <w:lvl w:ilvl="0">
      <w:lvlJc w:val="left"/>
      <w:lvlText w:val="(%1)"/>
      <w:numFmt w:val="lowerLetter"/>
      <w:start w:val="7"/>
    </w:lvl>
  </w:abstractNum>
  <w:abstractNum w:abstractNumId="62">
    <w:nsid w:val="3FCFAED9"/>
    <w:multiLevelType w:val="hybridMultilevel"/>
    <w:lvl w:ilvl="0">
      <w:lvlJc w:val="left"/>
      <w:lvlText w:val="%1."/>
      <w:numFmt w:val="decimal"/>
      <w:start w:val="1"/>
    </w:lvl>
  </w:abstractNum>
  <w:abstractNum w:abstractNumId="63">
    <w:nsid w:val="F856867"/>
    <w:multiLevelType w:val="hybridMultilevel"/>
    <w:lvl w:ilvl="0">
      <w:lvlJc w:val="left"/>
      <w:lvlText w:val="("/>
      <w:numFmt w:val="bullet"/>
      <w:start w:val="1"/>
    </w:lvl>
  </w:abstractNum>
  <w:abstractNum w:abstractNumId="64">
    <w:nsid w:val="11B1CC33"/>
    <w:multiLevelType w:val="hybridMultilevel"/>
    <w:lvl w:ilvl="0">
      <w:lvlJc w:val="left"/>
      <w:lvlText w:val="("/>
      <w:numFmt w:val="bullet"/>
      <w:start w:val="1"/>
    </w:lvl>
  </w:abstractNum>
  <w:abstractNum w:abstractNumId="65">
    <w:nsid w:val="2E22FBB7"/>
    <w:multiLevelType w:val="hybridMultilevel"/>
    <w:lvl w:ilvl="0">
      <w:lvlJc w:val="left"/>
      <w:lvlText w:val="("/>
      <w:numFmt w:val="bullet"/>
      <w:start w:val="1"/>
    </w:lvl>
  </w:abstractNum>
  <w:abstractNum w:abstractNumId="66">
    <w:nsid w:val="29934699"/>
    <w:multiLevelType w:val="hybridMultilevel"/>
    <w:lvl w:ilvl="0">
      <w:lvlJc w:val="left"/>
      <w:lvlText w:val="("/>
      <w:numFmt w:val="bullet"/>
      <w:start w:val="1"/>
    </w:lvl>
  </w:abstractNum>
  <w:abstractNum w:abstractNumId="67">
    <w:nsid w:val="77485850"/>
    <w:multiLevelType w:val="hybridMultilevel"/>
    <w:lvl w:ilvl="0">
      <w:lvlJc w:val="left"/>
      <w:lvlText w:val="*"/>
      <w:numFmt w:val="bullet"/>
      <w:start w:val="1"/>
    </w:lvl>
    <w:lvl w:ilvl="1">
      <w:lvlJc w:val="left"/>
      <w:lvlText w:val="("/>
      <w:numFmt w:val="bullet"/>
      <w:start w:val="1"/>
    </w:lvl>
  </w:abstractNum>
  <w:abstractNum w:abstractNumId="68">
    <w:nsid w:val="744939A3"/>
    <w:multiLevelType w:val="hybridMultilevel"/>
    <w:lvl w:ilvl="0">
      <w:lvlJc w:val="left"/>
      <w:lvlText w:val="%1."/>
      <w:numFmt w:val="decimal"/>
      <w:start w:val="2"/>
    </w:lvl>
    <w:lvl w:ilvl="1">
      <w:lvlJc w:val="left"/>
      <w:lvlText w:val="(%2)"/>
      <w:numFmt w:val="lowerLetter"/>
      <w:start w:val="1"/>
    </w:lvl>
  </w:abstractNum>
  <w:abstractNum w:abstractNumId="69">
    <w:nsid w:val="4FA0D2E3"/>
    <w:multiLevelType w:val="hybridMultilevel"/>
    <w:lvl w:ilvl="0">
      <w:lvlJc w:val="left"/>
      <w:lvlText w:val="(%1)"/>
      <w:numFmt w:val="lowerLetter"/>
      <w:start w:val="2"/>
    </w:lvl>
  </w:abstractNum>
  <w:abstractNum w:abstractNumId="70">
    <w:nsid w:val="6B1D2C14"/>
    <w:multiLevelType w:val="hybridMultilevel"/>
    <w:lvl w:ilvl="0">
      <w:lvlJc w:val="left"/>
      <w:lvlText w:val="%1"/>
      <w:numFmt w:val="decimal"/>
      <w:start w:val="1"/>
    </w:lvl>
    <w:lvl w:ilvl="1">
      <w:lvlJc w:val="left"/>
      <w:lvlText w:val="(%2)"/>
      <w:numFmt w:val="lowerLetter"/>
      <w:start w:val="3"/>
    </w:lvl>
  </w:abstractNum>
  <w:abstractNum w:abstractNumId="71">
    <w:nsid w:val="68B867D3"/>
    <w:multiLevelType w:val="hybridMultilevel"/>
    <w:lvl w:ilvl="0">
      <w:lvlJc w:val="left"/>
      <w:lvlText w:val="%1."/>
      <w:numFmt w:val="decimal"/>
      <w:start w:val="3"/>
    </w:lvl>
    <w:lvl w:ilvl="1">
      <w:lvlJc w:val="left"/>
      <w:lvlText w:val="(%2)"/>
      <w:numFmt w:val="lowerLetter"/>
      <w:start w:val="1"/>
    </w:lvl>
  </w:abstractNum>
  <w:abstractNum w:abstractNumId="72">
    <w:nsid w:val="3F7F5DD9"/>
    <w:multiLevelType w:val="hybridMultilevel"/>
    <w:lvl w:ilvl="0">
      <w:lvlJc w:val="left"/>
      <w:lvlText w:val="%1."/>
      <w:numFmt w:val="decimal"/>
      <w:start w:val="4"/>
    </w:lvl>
  </w:abstractNum>
  <w:abstractNum w:abstractNumId="73">
    <w:nsid w:val="2AE05A34"/>
    <w:multiLevelType w:val="hybridMultilevel"/>
    <w:lvl w:ilvl="0">
      <w:lvlJc w:val="left"/>
      <w:lvlText w:val="%1."/>
      <w:numFmt w:val="decimal"/>
      <w:start w:val="9"/>
    </w:lvl>
  </w:abstractNum>
  <w:abstractNum w:abstractNumId="74">
    <w:nsid w:val="32794FF7"/>
    <w:multiLevelType w:val="hybridMultilevel"/>
    <w:lvl w:ilvl="0">
      <w:lvlJc w:val="left"/>
      <w:lvlText w:val="%1."/>
      <w:numFmt w:val="decimal"/>
      <w:start w:val="11"/>
    </w:lvl>
  </w:abstractNum>
  <w:abstractNum w:abstractNumId="75">
    <w:nsid w:val="5454945E"/>
    <w:multiLevelType w:val="hybridMultilevel"/>
    <w:lvl w:ilvl="0">
      <w:lvlJc w:val="left"/>
      <w:lvlText w:val="%1."/>
      <w:numFmt w:val="decimal"/>
      <w:start w:val="1"/>
    </w:lvl>
  </w:abstractNum>
  <w:abstractNum w:abstractNumId="76">
    <w:nsid w:val="4DEFDFA0"/>
    <w:multiLevelType w:val="hybridMultilevel"/>
    <w:lvl w:ilvl="0">
      <w:lvlJc w:val="left"/>
      <w:lvlText w:val="("/>
      <w:numFmt w:val="bullet"/>
      <w:start w:val="1"/>
    </w:lvl>
  </w:abstractNum>
  <w:abstractNum w:abstractNumId="77">
    <w:nsid w:val="2123D5F2"/>
    <w:multiLevelType w:val="hybridMultilevel"/>
    <w:lvl w:ilvl="0">
      <w:lvlJc w:val="left"/>
      <w:lvlText w:val="("/>
      <w:numFmt w:val="bullet"/>
      <w:start w:val="1"/>
    </w:lvl>
  </w:abstractNum>
  <w:abstractNum w:abstractNumId="78">
    <w:nsid w:val="135B8110"/>
    <w:multiLevelType w:val="hybridMultilevel"/>
    <w:lvl w:ilvl="0">
      <w:lvlJc w:val="left"/>
      <w:lvlText w:val="("/>
      <w:numFmt w:val="bullet"/>
      <w:start w:val="1"/>
    </w:lvl>
  </w:abstractNum>
  <w:abstractNum w:abstractNumId="79">
    <w:nsid w:val="94927A8"/>
    <w:multiLevelType w:val="hybridMultilevel"/>
    <w:lvl w:ilvl="0">
      <w:lvlJc w:val="left"/>
      <w:lvlText w:val="%1."/>
      <w:numFmt w:val="decimal"/>
      <w:start w:val="2"/>
    </w:lvl>
    <w:lvl w:ilvl="1">
      <w:lvlJc w:val="left"/>
      <w:lvlText w:val="(%2)"/>
      <w:numFmt w:val="lowerLetter"/>
      <w:start w:val="1"/>
    </w:lvl>
  </w:abstractNum>
  <w:abstractNum w:abstractNumId="80">
    <w:nsid w:val="DCDF8F6"/>
    <w:multiLevelType w:val="hybridMultilevel"/>
    <w:lvl w:ilvl="0">
      <w:lvlJc w:val="left"/>
      <w:lvlText w:val="(%1)"/>
      <w:numFmt w:val="lowerLetter"/>
      <w:start w:val="2"/>
    </w:lvl>
  </w:abstractNum>
  <w:abstractNum w:abstractNumId="81">
    <w:nsid w:val="52D7B105"/>
    <w:multiLevelType w:val="hybridMultilevel"/>
    <w:lvl w:ilvl="0">
      <w:lvlJc w:val="left"/>
      <w:lvlText w:val="%1"/>
      <w:numFmt w:val="decimal"/>
      <w:start w:val="1"/>
    </w:lvl>
    <w:lvl w:ilvl="1">
      <w:lvlJc w:val="left"/>
      <w:lvlText w:val="(%2)"/>
      <w:numFmt w:val="lowerLetter"/>
      <w:start w:val="3"/>
    </w:lvl>
  </w:abstractNum>
  <w:abstractNum w:abstractNumId="82">
    <w:nsid w:val="2E8A6394"/>
    <w:multiLevelType w:val="hybridMultilevel"/>
    <w:lvl w:ilvl="0">
      <w:lvlJc w:val="left"/>
      <w:lvlText w:val="%1."/>
      <w:numFmt w:val="decimal"/>
      <w:start w:val="3"/>
    </w:lvl>
    <w:lvl w:ilvl="1">
      <w:lvlJc w:val="left"/>
      <w:lvlText w:val="(%2)"/>
      <w:numFmt w:val="lowerLetter"/>
      <w:start w:val="1"/>
    </w:lvl>
  </w:abstractNum>
  <w:abstractNum w:abstractNumId="83">
    <w:nsid w:val="24E60401"/>
    <w:multiLevelType w:val="hybridMultilevel"/>
    <w:lvl w:ilvl="0">
      <w:lvlJc w:val="left"/>
      <w:lvlText w:val="%1."/>
      <w:numFmt w:val="decimal"/>
      <w:start w:val="7"/>
    </w:lvl>
  </w:abstractNum>
  <w:abstractNum w:abstractNumId="84">
    <w:nsid w:val="2A6AD9BE"/>
    <w:multiLevelType w:val="hybridMultilevel"/>
    <w:lvl w:ilvl="0">
      <w:lvlJc w:val="left"/>
      <w:lvlText w:val="%1."/>
      <w:numFmt w:val="decimal"/>
      <w:start w:val="9"/>
    </w:lvl>
  </w:abstractNum>
  <w:abstractNum w:abstractNumId="85">
    <w:nsid w:val="BAAC1B4"/>
    <w:multiLevelType w:val="hybridMultilevel"/>
    <w:lvl w:ilvl="0">
      <w:lvlJc w:val="left"/>
      <w:lvlText w:val="%1."/>
      <w:numFmt w:val="decimal"/>
      <w:start w:val="1"/>
    </w:lvl>
  </w:abstractNum>
  <w:abstractNum w:abstractNumId="86">
    <w:nsid w:val="36B2ACBC"/>
    <w:multiLevelType w:val="hybridMultilevel"/>
    <w:lvl w:ilvl="0">
      <w:lvlJc w:val="left"/>
      <w:lvlText w:val="("/>
      <w:numFmt w:val="bullet"/>
      <w:start w:val="1"/>
    </w:lvl>
  </w:abstractNum>
  <w:abstractNum w:abstractNumId="87">
    <w:nsid w:val="779D8544"/>
    <w:multiLevelType w:val="hybridMultilevel"/>
    <w:lvl w:ilvl="0">
      <w:lvlJc w:val="left"/>
      <w:lvlText w:val="("/>
      <w:numFmt w:val="bullet"/>
      <w:start w:val="1"/>
    </w:lvl>
  </w:abstractNum>
  <w:abstractNum w:abstractNumId="88">
    <w:nsid w:val="4AB26E78"/>
    <w:multiLevelType w:val="hybridMultilevel"/>
    <w:lvl w:ilvl="0">
      <w:lvlJc w:val="left"/>
      <w:lvlText w:val="("/>
      <w:numFmt w:val="bullet"/>
      <w:start w:val="1"/>
    </w:lvl>
  </w:abstractNum>
  <w:abstractNum w:abstractNumId="89">
    <w:nsid w:val="21FAA2FA"/>
    <w:multiLevelType w:val="hybridMultilevel"/>
    <w:lvl w:ilvl="0">
      <w:lvlJc w:val="left"/>
      <w:lvlText w:val="%1."/>
      <w:numFmt w:val="decimal"/>
      <w:start w:val="2"/>
    </w:lvl>
    <w:lvl w:ilvl="1">
      <w:lvlJc w:val="left"/>
      <w:lvlText w:val="(%2)"/>
      <w:numFmt w:val="lowerLetter"/>
      <w:start w:val="1"/>
    </w:lvl>
  </w:abstractNum>
  <w:abstractNum w:abstractNumId="90">
    <w:nsid w:val="5451CF49"/>
    <w:multiLevelType w:val="hybridMultilevel"/>
    <w:lvl w:ilvl="0">
      <w:lvlJc w:val="left"/>
      <w:lvlText w:val="(%1)"/>
      <w:numFmt w:val="lowerLetter"/>
      <w:start w:val="2"/>
    </w:lvl>
  </w:abstractNum>
  <w:abstractNum w:abstractNumId="91">
    <w:nsid w:val="6181EF69"/>
    <w:multiLevelType w:val="hybridMultilevel"/>
    <w:lvl w:ilvl="0">
      <w:lvlJc w:val="left"/>
      <w:lvlText w:val="%1"/>
      <w:numFmt w:val="decimal"/>
      <w:start w:val="1"/>
    </w:lvl>
    <w:lvl w:ilvl="1">
      <w:lvlJc w:val="left"/>
      <w:lvlText w:val="(%2)"/>
      <w:numFmt w:val="lowerLetter"/>
      <w:start w:val="3"/>
    </w:lvl>
  </w:abstractNum>
  <w:abstractNum w:abstractNumId="92">
    <w:nsid w:val="3E6400E6"/>
    <w:multiLevelType w:val="hybridMultilevel"/>
    <w:lvl w:ilvl="0">
      <w:lvlJc w:val="left"/>
      <w:lvlText w:val="%1."/>
      <w:numFmt w:val="decimal"/>
      <w:start w:val="3"/>
    </w:lvl>
    <w:lvl w:ilvl="1">
      <w:lvlJc w:val="left"/>
      <w:lvlText w:val="(%2)"/>
      <w:numFmt w:val="lowerLetter"/>
      <w:start w:val="1"/>
    </w:lvl>
  </w:abstractNum>
  <w:abstractNum w:abstractNumId="93">
    <w:nsid w:val="14217E23"/>
    <w:multiLevelType w:val="hybridMultilevel"/>
    <w:lvl w:ilvl="0">
      <w:lvlJc w:val="left"/>
      <w:lvlText w:val="%1."/>
      <w:numFmt w:val="decimal"/>
      <w:start w:val="4"/>
    </w:lvl>
  </w:abstractNum>
  <w:abstractNum w:abstractNumId="94">
    <w:nsid w:val="710757D0"/>
    <w:multiLevelType w:val="hybridMultilevel"/>
    <w:lvl w:ilvl="0">
      <w:lvlJc w:val="left"/>
      <w:lvlText w:val="%1."/>
      <w:numFmt w:val="decimal"/>
      <w:start w:val="10"/>
    </w:lvl>
  </w:abstractNum>
  <w:abstractNum w:abstractNumId="95">
    <w:nsid w:val="5015CD1A"/>
    <w:multiLevelType w:val="hybridMultilevel"/>
    <w:lvl w:ilvl="0">
      <w:lvlJc w:val="left"/>
      <w:lvlText w:val="%1."/>
      <w:numFmt w:val="decimal"/>
      <w:start w:val="1"/>
    </w:lvl>
  </w:abstractNum>
  <w:abstractNum w:abstractNumId="96">
    <w:nsid w:val="424479DA"/>
    <w:multiLevelType w:val="hybridMultilevel"/>
    <w:lvl w:ilvl="0">
      <w:lvlJc w:val="left"/>
      <w:lvlText w:val="("/>
      <w:numFmt w:val="bullet"/>
      <w:start w:val="1"/>
    </w:lvl>
  </w:abstractNum>
  <w:abstractNum w:abstractNumId="97">
    <w:nsid w:val="1A9A9E69"/>
    <w:multiLevelType w:val="hybridMultilevel"/>
    <w:lvl w:ilvl="0">
      <w:lvlJc w:val="left"/>
      <w:lvlText w:val="("/>
      <w:numFmt w:val="bullet"/>
      <w:start w:val="1"/>
    </w:lvl>
  </w:abstractNum>
  <w:abstractNum w:abstractNumId="98">
    <w:nsid w:val="475E256A"/>
    <w:multiLevelType w:val="hybridMultilevel"/>
    <w:lvl w:ilvl="0">
      <w:lvlJc w:val="left"/>
      <w:lvlText w:val="("/>
      <w:numFmt w:val="bullet"/>
      <w:start w:val="1"/>
    </w:lvl>
  </w:abstractNum>
  <w:abstractNum w:abstractNumId="99">
    <w:nsid w:val="368DB37E"/>
    <w:multiLevelType w:val="hybridMultilevel"/>
    <w:lvl w:ilvl="0">
      <w:lvlJc w:val="left"/>
      <w:lvlText w:val="%1."/>
      <w:numFmt w:val="decimal"/>
      <w:start w:val="3"/>
    </w:lvl>
  </w:abstractNum>
  <w:abstractNum w:abstractNumId="100">
    <w:nsid w:val="6A3B714C"/>
    <w:multiLevelType w:val="hybridMultilevel"/>
    <w:lvl w:ilvl="0">
      <w:lvlJc w:val="left"/>
      <w:lvlText w:val="%1."/>
      <w:numFmt w:val="decimal"/>
      <w:start w:val="4"/>
    </w:lvl>
  </w:abstractNum>
  <w:abstractNum w:abstractNumId="101">
    <w:nsid w:val="327B517E"/>
    <w:multiLevelType w:val="hybridMultilevel"/>
    <w:lvl w:ilvl="0">
      <w:lvlJc w:val="left"/>
      <w:lvlText w:val="%1."/>
      <w:numFmt w:val="decimal"/>
      <w:start w:val="10"/>
    </w:lvl>
  </w:abstractNum>
  <w:abstractNum w:abstractNumId="102">
    <w:nsid w:val="1F461B51"/>
    <w:multiLevelType w:val="hybridMultilevel"/>
    <w:lvl w:ilvl="0">
      <w:lvlJc w:val="left"/>
      <w:lvlText w:val="%1."/>
      <w:numFmt w:val="decimal"/>
      <w:start w:val="1"/>
    </w:lvl>
  </w:abstractNum>
  <w:abstractNum w:abstractNumId="103">
    <w:nsid w:val="29BACF25"/>
    <w:multiLevelType w:val="hybridMultilevel"/>
    <w:lvl w:ilvl="0">
      <w:lvlJc w:val="left"/>
      <w:lvlText w:val="("/>
      <w:numFmt w:val="bullet"/>
      <w:start w:val="1"/>
    </w:lvl>
  </w:abstractNum>
  <w:abstractNum w:abstractNumId="104">
    <w:nsid w:val="5D5BABB3"/>
    <w:multiLevelType w:val="hybridMultilevel"/>
    <w:lvl w:ilvl="0">
      <w:lvlJc w:val="left"/>
      <w:lvlText w:val="("/>
      <w:numFmt w:val="bullet"/>
      <w:start w:val="1"/>
    </w:lvl>
  </w:abstractNum>
  <w:abstractNum w:abstractNumId="105">
    <w:nsid w:val="51BF6B48"/>
    <w:multiLevelType w:val="hybridMultilevel"/>
    <w:lvl w:ilvl="0">
      <w:lvlJc w:val="left"/>
      <w:lvlText w:val="("/>
      <w:numFmt w:val="bullet"/>
      <w:start w:val="1"/>
    </w:lvl>
  </w:abstractNum>
  <w:abstractNum w:abstractNumId="106">
    <w:nsid w:val="7E0F6384"/>
    <w:multiLevelType w:val="hybridMultilevel"/>
    <w:lvl w:ilvl="0">
      <w:lvlJc w:val="left"/>
      <w:lvlText w:val="%1."/>
      <w:numFmt w:val="decimal"/>
      <w:start w:val="3"/>
    </w:lvl>
  </w:abstractNum>
  <w:abstractNum w:abstractNumId="107">
    <w:nsid w:val="2B4B8B53"/>
    <w:multiLevelType w:val="hybridMultilevel"/>
    <w:lvl w:ilvl="0">
      <w:lvlJc w:val="left"/>
      <w:lvlText w:val="%1."/>
      <w:numFmt w:val="decimal"/>
      <w:start w:val="4"/>
    </w:lvl>
  </w:abstractNum>
  <w:abstractNum w:abstractNumId="108">
    <w:nsid w:val="72E3413A"/>
    <w:multiLevelType w:val="hybridMultilevel"/>
    <w:lvl w:ilvl="0">
      <w:lvlJc w:val="left"/>
      <w:lvlText w:val="%1."/>
      <w:numFmt w:val="decimal"/>
      <w:start w:val="11"/>
    </w:lvl>
  </w:abstractNum>
  <w:abstractNum w:abstractNumId="109">
    <w:nsid w:val="116AE494"/>
    <w:multiLevelType w:val="hybridMultilevel"/>
    <w:lvl w:ilvl="0">
      <w:lvlJc w:val="left"/>
      <w:lvlText w:val="%1."/>
      <w:numFmt w:val="decimal"/>
      <w:start w:val="1"/>
    </w:lvl>
    <w:lvl w:ilvl="1">
      <w:lvlJc w:val="left"/>
      <w:lvlText w:val="(%2)"/>
      <w:numFmt w:val="lowerLetter"/>
      <w:start w:val="1"/>
    </w:lvl>
  </w:abstractNum>
  <w:abstractNum w:abstractNumId="110">
    <w:nsid w:val="3494B2FB"/>
    <w:multiLevelType w:val="hybridMultilevel"/>
    <w:lvl w:ilvl="0">
      <w:lvlJc w:val="left"/>
      <w:lvlText w:val="1"/>
      <w:numFmt w:val="bullet"/>
      <w:start w:val="1"/>
    </w:lvl>
  </w:abstractNum>
  <w:abstractNum w:abstractNumId="111">
    <w:nsid w:val="B13A31"/>
    <w:multiLevelType w:val="hybridMultilevel"/>
    <w:lvl w:ilvl="0">
      <w:lvlJc w:val="left"/>
      <w:lvlText w:val="2"/>
      <w:numFmt w:val="bullet"/>
      <w:start w:val="1"/>
    </w:lvl>
  </w:abstractNum>
  <w:abstractNum w:abstractNumId="112">
    <w:nsid w:val="64429599"/>
    <w:multiLevelType w:val="hybridMultilevel"/>
    <w:lvl w:ilvl="0">
      <w:lvlJc w:val="left"/>
      <w:lvlText w:val="%1."/>
      <w:numFmt w:val="decimal"/>
      <w:start w:val="3"/>
    </w:lvl>
  </w:abstractNum>
  <w:abstractNum w:abstractNumId="113">
    <w:nsid w:val="631F1690"/>
    <w:multiLevelType w:val="hybridMultilevel"/>
    <w:lvl w:ilvl="0">
      <w:lvlJc w:val="left"/>
      <w:lvlText w:val="("/>
      <w:numFmt w:val="bullet"/>
      <w:start w:val="1"/>
    </w:lvl>
  </w:abstractNum>
  <w:abstractNum w:abstractNumId="114">
    <w:nsid w:val="25973E32"/>
    <w:multiLevelType w:val="hybridMultilevel"/>
    <w:lvl w:ilvl="0">
      <w:lvlJc w:val="left"/>
      <w:lvlText w:val="("/>
      <w:numFmt w:val="bullet"/>
      <w:start w:val="1"/>
    </w:lvl>
  </w:abstractNum>
  <w:abstractNum w:abstractNumId="115">
    <w:nsid w:val="EAD6F57"/>
    <w:multiLevelType w:val="hybridMultilevel"/>
    <w:lvl w:ilvl="0">
      <w:lvlJc w:val="left"/>
      <w:lvlText w:val="("/>
      <w:numFmt w:val="bullet"/>
      <w:start w:val="1"/>
    </w:lvl>
  </w:abstractNum>
  <w:abstractNum w:abstractNumId="116">
    <w:nsid w:val="6EC9D844"/>
    <w:multiLevelType w:val="hybridMultilevel"/>
    <w:lvl w:ilvl="0">
      <w:lvlJc w:val="left"/>
      <w:lvlText w:val="%1."/>
      <w:numFmt w:val="decimal"/>
      <w:start w:val="4"/>
    </w:lvl>
  </w:abstractNum>
  <w:abstractNum w:abstractNumId="117">
    <w:nsid w:val="5C49EAEE"/>
    <w:multiLevelType w:val="hybridMultilevel"/>
    <w:lvl w:ilvl="0">
      <w:lvlJc w:val="left"/>
      <w:lvlText w:val="3"/>
      <w:numFmt w:val="bullet"/>
      <w:start w:val="1"/>
    </w:lvl>
  </w:abstractNum>
  <w:abstractNum w:abstractNumId="118">
    <w:nsid w:val="64AF49B"/>
    <w:multiLevelType w:val="hybridMultilevel"/>
    <w:lvl w:ilvl="0">
      <w:lvlJc w:val="left"/>
      <w:lvlText w:val="4"/>
      <w:numFmt w:val="bullet"/>
      <w:start w:val="1"/>
    </w:lvl>
  </w:abstractNum>
  <w:abstractNum w:abstractNumId="119">
    <w:nsid w:val="397C46BC"/>
    <w:multiLevelType w:val="hybridMultilevel"/>
    <w:lvl w:ilvl="0">
      <w:lvlJc w:val="left"/>
      <w:lvlText w:val="5"/>
      <w:numFmt w:val="bullet"/>
      <w:start w:val="1"/>
    </w:lvl>
  </w:abstractNum>
  <w:abstractNum w:abstractNumId="120">
    <w:nsid w:val="7E448DE9"/>
    <w:multiLevelType w:val="hybridMultilevel"/>
    <w:lvl w:ilvl="0">
      <w:lvlJc w:val="left"/>
      <w:lvlText w:val="%1."/>
      <w:numFmt w:val="decimal"/>
      <w:start w:val="8"/>
    </w:lvl>
  </w:abstractNum>
  <w:abstractNum w:abstractNumId="121">
    <w:nsid w:val="5A9CC3E5"/>
    <w:multiLevelType w:val="hybridMultilevel"/>
    <w:lvl w:ilvl="0">
      <w:lvlJc w:val="left"/>
      <w:lvlText w:val="%1."/>
      <w:numFmt w:val="decimal"/>
      <w:start w:val="12"/>
    </w:lvl>
  </w:abstractNum>
  <w:abstractNum w:abstractNumId="122">
    <w:nsid w:val="1AFE3625"/>
    <w:multiLevelType w:val="hybridMultilevel"/>
    <w:lvl w:ilvl="0">
      <w:lvlJc w:val="left"/>
      <w:lvlText w:val="%1."/>
      <w:numFmt w:val="decimal"/>
      <w:start w:val="1"/>
    </w:lvl>
  </w:abstractNum>
  <w:abstractNum w:abstractNumId="123">
    <w:nsid w:val="3CA88ECF"/>
    <w:multiLevelType w:val="hybridMultilevel"/>
    <w:lvl w:ilvl="0">
      <w:lvlJc w:val="left"/>
      <w:lvlText w:val="%1."/>
      <w:numFmt w:val="decimal"/>
      <w:start w:val="2"/>
    </w:lvl>
  </w:abstractNum>
  <w:abstractNum w:abstractNumId="124">
    <w:nsid w:val="6EBE420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25">
    <w:nsid w:val="C058DF5"/>
    <w:multiLevelType w:val="hybridMultilevel"/>
    <w:lvl w:ilvl="0">
      <w:lvlJc w:val="left"/>
      <w:lvlText w:val="(%1)"/>
      <w:numFmt w:val="lowerLetter"/>
      <w:start w:val="3"/>
    </w:lvl>
    <w:lvl w:ilvl="1">
      <w:lvlJc w:val="left"/>
      <w:lvlText w:val="%2."/>
      <w:numFmt w:val="decimal"/>
      <w:start w:val="4"/>
    </w:lvl>
    <w:lvl w:ilvl="2">
      <w:lvlJc w:val="left"/>
      <w:lvlText w:val="(%3)"/>
      <w:numFmt w:val="lowerLetter"/>
      <w:start w:val="3"/>
    </w:lvl>
  </w:abstractNum>
  <w:abstractNum w:abstractNumId="126">
    <w:nsid w:val="CBE5BE9"/>
    <w:multiLevelType w:val="hybridMultilevel"/>
    <w:lvl w:ilvl="0">
      <w:lvlJc w:val="left"/>
      <w:lvlText w:val="%1."/>
      <w:numFmt w:val="decimal"/>
      <w:start w:val="6"/>
    </w:lvl>
  </w:abstractNum>
  <w:abstractNum w:abstractNumId="127">
    <w:nsid w:val="3102BBE2"/>
    <w:multiLevelType w:val="hybridMultilevel"/>
    <w:lvl w:ilvl="0">
      <w:lvlJc w:val="left"/>
      <w:lvlText w:val="%1."/>
      <w:numFmt w:val="decimal"/>
      <w:start w:val="9"/>
    </w:lvl>
  </w:abstractNum>
  <w:abstractNum w:abstractNumId="128">
    <w:nsid w:val="26A02C5E"/>
    <w:multiLevelType w:val="hybridMultilevel"/>
    <w:lvl w:ilvl="0">
      <w:lvlJc w:val="left"/>
      <w:lvlText w:val="%1."/>
      <w:numFmt w:val="decimal"/>
      <w:start w:val="12"/>
    </w:lvl>
  </w:abstractNum>
  <w:abstractNum w:abstractNumId="129">
    <w:nsid w:val="541C8153"/>
    <w:multiLevelType w:val="hybridMultilevel"/>
    <w:lvl w:ilvl="0">
      <w:lvlJc w:val="left"/>
      <w:lvlText w:val="%1."/>
      <w:numFmt w:val="decimal"/>
      <w:start w:val="13"/>
    </w:lvl>
  </w:abstractNum>
  <w:abstractNum w:abstractNumId="130">
    <w:nsid w:val="67906F60"/>
    <w:multiLevelType w:val="hybridMultilevel"/>
    <w:lvl w:ilvl="0">
      <w:lvlJc w:val="left"/>
      <w:lvlText w:val="%1."/>
      <w:numFmt w:val="decimal"/>
      <w:start w:val="17"/>
    </w:lvl>
  </w:abstractNum>
  <w:abstractNum w:abstractNumId="131">
    <w:nsid w:val="10DB9DAA"/>
    <w:multiLevelType w:val="hybridMultilevel"/>
    <w:lvl w:ilvl="0">
      <w:lvlJc w:val="left"/>
      <w:lvlText w:val="%1."/>
      <w:numFmt w:val="decimal"/>
      <w:start w:val="22"/>
    </w:lvl>
  </w:abstractNum>
  <w:abstractNum w:abstractNumId="132">
    <w:nsid w:val="697D2D2"/>
    <w:multiLevelType w:val="hybridMultilevel"/>
    <w:lvl w:ilvl="0">
      <w:lvlJc w:val="left"/>
      <w:lvlText w:val="%1."/>
      <w:numFmt w:val="decimal"/>
      <w:start w:val="1"/>
    </w:lvl>
    <w:lvl w:ilvl="1">
      <w:lvlJc w:val="left"/>
      <w:lvlText w:val="(%2)"/>
      <w:numFmt w:val="lowerLetter"/>
      <w:start w:val="1"/>
    </w:lvl>
  </w:abstractNum>
  <w:abstractNum w:abstractNumId="133">
    <w:nsid w:val="6D68AB2"/>
    <w:multiLevelType w:val="hybridMultilevel"/>
    <w:lvl w:ilvl="0">
      <w:lvlJc w:val="left"/>
      <w:lvlText w:val="1"/>
      <w:numFmt w:val="bullet"/>
      <w:start w:val="1"/>
    </w:lvl>
  </w:abstractNum>
  <w:abstractNum w:abstractNumId="134">
    <w:nsid w:val="3A966CD0"/>
    <w:multiLevelType w:val="hybridMultilevel"/>
    <w:lvl w:ilvl="0">
      <w:lvlJc w:val="left"/>
      <w:lvlText w:val="2"/>
      <w:numFmt w:val="bullet"/>
      <w:start w:val="1"/>
    </w:lvl>
  </w:abstractNum>
  <w:abstractNum w:abstractNumId="135">
    <w:nsid w:val="63F37E85"/>
    <w:multiLevelType w:val="hybridMultilevel"/>
    <w:lvl w:ilvl="0">
      <w:lvlJc w:val="left"/>
      <w:lvlText w:val="%1"/>
      <w:numFmt w:val="decimal"/>
      <w:start w:val="1"/>
    </w:lvl>
    <w:lvl w:ilvl="1">
      <w:lvlJc w:val="left"/>
      <w:lvlText w:val="(%2)"/>
      <w:numFmt w:val="lowerLetter"/>
      <w:start w:val="3"/>
    </w:lvl>
  </w:abstractNum>
  <w:abstractNum w:abstractNumId="136">
    <w:nsid w:val="5895F5FA"/>
    <w:multiLevelType w:val="hybridMultilevel"/>
    <w:lvl w:ilvl="0">
      <w:lvlJc w:val="left"/>
      <w:lvlText w:val="%1."/>
      <w:numFmt w:val="decimal"/>
      <w:start w:val="2"/>
    </w:lvl>
    <w:lvl w:ilvl="1">
      <w:lvlJc w:val="left"/>
      <w:lvlText w:val="%2"/>
      <w:numFmt w:val="lowerLetter"/>
      <w:start w:val="1"/>
    </w:lvl>
  </w:abstractNum>
  <w:abstractNum w:abstractNumId="137">
    <w:nsid w:val="38A5D054"/>
    <w:multiLevelType w:val="hybridMultilevel"/>
    <w:lvl w:ilvl="0">
      <w:lvlJc w:val="left"/>
      <w:lvlText w:val="(%1)"/>
      <w:numFmt w:val="lowerLetter"/>
      <w:start w:val="3"/>
    </w:lvl>
  </w:abstractNum>
  <w:abstractNum w:abstractNumId="138">
    <w:nsid w:val="F3F09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9">
    <w:nsid w:val="4B793735"/>
    <w:multiLevelType w:val="hybridMultilevel"/>
    <w:lvl w:ilvl="0">
      <w:lvlJc w:val="left"/>
      <w:lvlText w:val="5"/>
      <w:numFmt w:val="bullet"/>
      <w:start w:val="1"/>
    </w:lvl>
  </w:abstractNum>
  <w:abstractNum w:abstractNumId="140">
    <w:nsid w:val="4A10B4E8"/>
    <w:multiLevelType w:val="hybridMultilevel"/>
    <w:lvl w:ilvl="0">
      <w:lvlJc w:val="left"/>
      <w:lvlText w:val="6"/>
      <w:numFmt w:val="bullet"/>
      <w:start w:val="1"/>
    </w:lvl>
  </w:abstractNum>
  <w:abstractNum w:abstractNumId="141">
    <w:nsid w:val="43D3BCD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42">
    <w:nsid w:val="4C2A7166"/>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43">
    <w:nsid w:val="2E534A82"/>
    <w:multiLevelType w:val="hybridMultilevel"/>
    <w:lvl w:ilvl="0">
      <w:lvlJc w:val="left"/>
      <w:lvlText w:val="%1"/>
      <w:numFmt w:val="decimal"/>
      <w:start w:val="11"/>
    </w:lvl>
  </w:abstractNum>
  <w:abstractNum w:abstractNumId="144">
    <w:nsid w:val="26F2D364"/>
    <w:multiLevelType w:val="hybridMultilevel"/>
    <w:lvl w:ilvl="0">
      <w:lvlJc w:val="left"/>
      <w:lvlText w:val="(%1)"/>
      <w:numFmt w:val="lowerRoman"/>
      <w:start w:val="3"/>
    </w:lvl>
  </w:abstractNum>
  <w:abstractNum w:abstractNumId="145">
    <w:nsid w:val="71C1AF98"/>
    <w:multiLevelType w:val="hybridMultilevel"/>
    <w:lvl w:ilvl="0">
      <w:lvlJc w:val="left"/>
      <w:lvlText w:val="(%1)"/>
      <w:numFmt w:val="lowerRoman"/>
      <w:start w:val="1"/>
    </w:lvl>
  </w:abstractNum>
  <w:abstractNum w:abstractNumId="146">
    <w:nsid w:val="3D00B9D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47">
    <w:nsid w:val="15BCABA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8">
    <w:nsid w:val="4E0B9A87"/>
    <w:multiLevelType w:val="hybridMultilevel"/>
    <w:lvl w:ilvl="0">
      <w:lvlJc w:val="left"/>
      <w:lvlText w:val="%1"/>
      <w:numFmt w:val="decimal"/>
      <w:start w:val="1"/>
    </w:lvl>
    <w:lvl w:ilvl="1">
      <w:lvlJc w:val="left"/>
      <w:lvlText w:val="(%2)"/>
      <w:numFmt w:val="lowerLetter"/>
      <w:start w:val="3"/>
    </w:lvl>
  </w:abstractNum>
  <w:abstractNum w:abstractNumId="149">
    <w:nsid w:val="434BAE75"/>
    <w:multiLevelType w:val="hybridMultilevel"/>
    <w:lvl w:ilvl="0">
      <w:lvlJc w:val="left"/>
      <w:lvlText w:val="%1."/>
      <w:numFmt w:val="decimal"/>
      <w:start w:val="5"/>
    </w:lvl>
    <w:lvl w:ilvl="1">
      <w:lvlJc w:val="left"/>
      <w:lvlText w:val="(%2)"/>
      <w:numFmt w:val="lowerLetter"/>
      <w:start w:val="1"/>
    </w:lvl>
  </w:abstractNum>
  <w:abstractNum w:abstractNumId="150">
    <w:nsid w:val="4F38F265"/>
    <w:multiLevelType w:val="hybridMultilevel"/>
    <w:lvl w:ilvl="0">
      <w:lvlJc w:val="left"/>
      <w:lvlText w:val="%1"/>
      <w:numFmt w:val="decimal"/>
      <w:start w:val="15"/>
    </w:lvl>
  </w:abstractNum>
  <w:abstractNum w:abstractNumId="151">
    <w:nsid w:val="4C502870"/>
    <w:multiLevelType w:val="hybridMultilevel"/>
    <w:lvl w:ilvl="0">
      <w:lvlJc w:val="left"/>
      <w:lvlText w:val="(%1)"/>
      <w:numFmt w:val="lowerLetter"/>
      <w:start w:val="2"/>
    </w:lvl>
  </w:abstractNum>
  <w:abstractNum w:abstractNumId="152">
    <w:nsid w:val="1DE8725A"/>
    <w:multiLevelType w:val="hybridMultilevel"/>
    <w:lvl w:ilvl="0">
      <w:lvlJc w:val="left"/>
      <w:lvlText w:val="%1"/>
      <w:numFmt w:val="decimal"/>
      <w:start w:val="17"/>
    </w:lvl>
  </w:abstractNum>
  <w:abstractNum w:abstractNumId="153">
    <w:nsid w:val="6A37288A"/>
    <w:multiLevelType w:val="hybridMultilevel"/>
    <w:lvl w:ilvl="0">
      <w:lvlJc w:val="left"/>
      <w:lvlText w:val="%1."/>
      <w:numFmt w:val="decimal"/>
      <w:start w:val="6"/>
    </w:lvl>
    <w:lvl w:ilvl="1">
      <w:lvlJc w:val="left"/>
      <w:lvlText w:val="(%2)"/>
      <w:numFmt w:val="lowerLetter"/>
      <w:start w:val="1"/>
    </w:lvl>
  </w:abstractNum>
  <w:abstractNum w:abstractNumId="154">
    <w:nsid w:val="8F8B73F"/>
    <w:multiLevelType w:val="hybridMultilevel"/>
    <w:lvl w:ilvl="0">
      <w:lvlJc w:val="left"/>
      <w:lvlText w:val="(%1)"/>
      <w:numFmt w:val="upperLetter"/>
      <w:start w:val="2"/>
    </w:lvl>
  </w:abstractNum>
  <w:abstractNum w:abstractNumId="155">
    <w:nsid w:val="CA6B462"/>
    <w:multiLevelType w:val="hybridMultilevel"/>
    <w:lvl w:ilvl="0">
      <w:lvlJc w:val="left"/>
      <w:lvlText w:val="%1"/>
      <w:numFmt w:val="decimal"/>
      <w:start w:val="18"/>
    </w:lvl>
  </w:abstractNum>
  <w:abstractNum w:abstractNumId="156">
    <w:nsid w:val="763CB680"/>
    <w:multiLevelType w:val="hybridMultilevel"/>
    <w:lvl w:ilvl="0">
      <w:lvlJc w:val="left"/>
      <w:lvlText w:val="(%1)"/>
      <w:numFmt w:val="lowerRoman"/>
      <w:start w:val="2"/>
    </w:lvl>
  </w:abstractNum>
  <w:abstractNum w:abstractNumId="157">
    <w:nsid w:val="15B71329"/>
    <w:multiLevelType w:val="hybridMultilevel"/>
    <w:lvl w:ilvl="0">
      <w:lvlJc w:val="left"/>
      <w:lvlText w:val="%1"/>
      <w:numFmt w:val="decimal"/>
      <w:start w:val="23"/>
    </w:lvl>
  </w:abstractNum>
  <w:abstractNum w:abstractNumId="158">
    <w:nsid w:val="3DA97044"/>
    <w:multiLevelType w:val="hybridMultilevel"/>
    <w:lvl w:ilvl="0">
      <w:lvlJc w:val="left"/>
      <w:lvlText w:val="(%1)"/>
      <w:numFmt w:val="lowerLetter"/>
      <w:start w:val="2"/>
    </w:lvl>
    <w:lvl w:ilvl="1">
      <w:lvlJc w:val="left"/>
      <w:lvlText w:val="(%2)"/>
      <w:numFmt w:val="lowerRoman"/>
      <w:start w:val="1"/>
    </w:lvl>
  </w:abstractNum>
  <w:abstractNum w:abstractNumId="159">
    <w:nsid w:val="1CDCE2DE"/>
    <w:multiLevelType w:val="hybridMultilevel"/>
    <w:lvl w:ilvl="0">
      <w:lvlJc w:val="left"/>
      <w:lvlText w:val="%1"/>
      <w:numFmt w:val="decimal"/>
      <w:start w:val="26"/>
    </w:lvl>
  </w:abstractNum>
  <w:abstractNum w:abstractNumId="160">
    <w:nsid w:val="69D394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61">
    <w:nsid w:val="2539DFA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2">
    <w:nsid w:val="2DB8808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63">
    <w:nsid w:val="706B674E"/>
    <w:multiLevelType w:val="hybridMultilevel"/>
    <w:lvl w:ilvl="0">
      <w:lvlJc w:val="left"/>
      <w:lvlText w:val="%1"/>
      <w:numFmt w:val="decimal"/>
      <w:start w:val="1"/>
    </w:lvl>
    <w:lvl w:ilvl="1">
      <w:lvlJc w:val="left"/>
      <w:lvlText w:val="(%2)"/>
      <w:numFmt w:val="lowerLetter"/>
      <w:start w:val="4"/>
    </w:lvl>
  </w:abstractNum>
  <w:abstractNum w:abstractNumId="164">
    <w:nsid w:val="2C106A57"/>
    <w:multiLevelType w:val="hybridMultilevel"/>
    <w:lvl w:ilvl="0">
      <w:lvlJc w:val="left"/>
      <w:lvlText w:val="%1."/>
      <w:numFmt w:val="decimal"/>
      <w:start w:val="8"/>
    </w:lvl>
    <w:lvl w:ilvl="1">
      <w:lvlJc w:val="left"/>
      <w:lvlText w:val="(%2)"/>
      <w:numFmt w:val="lowerLetter"/>
      <w:start w:val="1"/>
    </w:lvl>
  </w:abstractNum>
  <w:abstractNum w:abstractNumId="165">
    <w:nsid w:val="684EED59"/>
    <w:multiLevelType w:val="hybridMultilevel"/>
    <w:lvl w:ilvl="0">
      <w:lvlJc w:val="left"/>
      <w:lvlText w:val="%1"/>
      <w:numFmt w:val="decimal"/>
      <w:start w:val="1"/>
    </w:lvl>
    <w:lvl w:ilvl="1">
      <w:lvlJc w:val="left"/>
      <w:lvlText w:val="(%2)"/>
      <w:numFmt w:val="lowerLetter"/>
      <w:start w:val="3"/>
    </w:lvl>
  </w:abstractNum>
  <w:abstractNum w:abstractNumId="166">
    <w:nsid w:val="545EE5D3"/>
    <w:multiLevelType w:val="hybridMultilevel"/>
    <w:lvl w:ilvl="0">
      <w:lvlJc w:val="left"/>
      <w:lvlText w:val="%1."/>
      <w:numFmt w:val="decimal"/>
      <w:start w:val="9"/>
    </w:lvl>
    <w:lvl w:ilvl="1">
      <w:lvlJc w:val="left"/>
      <w:lvlText w:val="%2"/>
      <w:numFmt w:val="lowerLetter"/>
      <w:start w:val="1"/>
    </w:lvl>
  </w:abstractNum>
  <w:abstractNum w:abstractNumId="167">
    <w:nsid w:val="4A66051"/>
    <w:multiLevelType w:val="hybridMultilevel"/>
    <w:lvl w:ilvl="0">
      <w:lvlJc w:val="left"/>
      <w:lvlText w:val="%1."/>
      <w:numFmt w:val="decimal"/>
      <w:start w:val="13"/>
    </w:lvl>
  </w:abstractNum>
  <w:abstractNum w:abstractNumId="168">
    <w:nsid w:val="20F4BDAD"/>
    <w:multiLevelType w:val="hybridMultilevel"/>
    <w:lvl w:ilvl="0">
      <w:lvlJc w:val="left"/>
      <w:lvlText w:val="%1."/>
      <w:numFmt w:val="decimal"/>
      <w:start w:val="18"/>
    </w:lvl>
  </w:abstractNum>
  <w:abstractNum w:abstractNumId="169">
    <w:nsid w:val="639DEFAC"/>
    <w:multiLevelType w:val="hybridMultilevel"/>
    <w:lvl w:ilvl="0">
      <w:lvlJc w:val="left"/>
      <w:lvlText w:val="(%1)"/>
      <w:numFmt w:val="lowerLetter"/>
      <w:start w:val="1"/>
    </w:lvl>
  </w:abstractNum>
  <w:abstractNum w:abstractNumId="170">
    <w:nsid w:val="501F9786"/>
    <w:multiLevelType w:val="hybridMultilevel"/>
    <w:lvl w:ilvl="0">
      <w:lvlJc w:val="left"/>
      <w:lvlText w:val="(%1)"/>
      <w:numFmt w:val="lowerRoman"/>
      <w:start w:val="1"/>
    </w:lvl>
  </w:abstractNum>
  <w:abstractNum w:abstractNumId="171">
    <w:nsid w:val="6B057295"/>
    <w:multiLevelType w:val="hybridMultilevel"/>
    <w:lvl w:ilvl="0">
      <w:lvlJc w:val="left"/>
      <w:lvlText w:val="(%1)"/>
      <w:numFmt w:val="lowerRoman"/>
      <w:start w:val="4"/>
    </w:lvl>
  </w:abstractNum>
  <w:abstractNum w:abstractNumId="172">
    <w:nsid w:val="2771AC80"/>
    <w:multiLevelType w:val="hybridMultilevel"/>
    <w:lvl w:ilvl="0">
      <w:lvlJc w:val="left"/>
      <w:lvlText w:val="(%1)"/>
      <w:numFmt w:val="lowerRoman"/>
      <w:start w:val="1"/>
    </w:lvl>
  </w:abstractNum>
  <w:abstractNum w:abstractNumId="173">
    <w:nsid w:val="1C4A08EC"/>
    <w:multiLevelType w:val="hybridMultilevel"/>
    <w:lvl w:ilvl="0">
      <w:lvlJc w:val="left"/>
      <w:lvlText w:val="(%1)"/>
      <w:numFmt w:val="lowerRoman"/>
      <w:start w:val="4"/>
    </w:lvl>
  </w:abstractNum>
  <w:abstractNum w:abstractNumId="174">
    <w:nsid w:val="1958BD17"/>
    <w:multiLevelType w:val="hybridMultilevel"/>
    <w:lvl w:ilvl="0">
      <w:lvlJc w:val="left"/>
      <w:lvlText w:val="(%1)"/>
      <w:numFmt w:val="lowerLetter"/>
      <w:start w:val="4"/>
    </w:lvl>
  </w:abstractNum>
  <w:abstractNum w:abstractNumId="175">
    <w:nsid w:val="4E647FE4"/>
    <w:multiLevelType w:val="hybridMultilevel"/>
    <w:lvl w:ilvl="0">
      <w:lvlJc w:val="left"/>
      <w:lvlText w:val="(%1)"/>
      <w:numFmt w:val="lowerLetter"/>
      <w:start w:val="9"/>
    </w:lvl>
  </w:abstractNum>
  <w:abstractNum w:abstractNumId="176">
    <w:nsid w:val="E0BB885"/>
    <w:multiLevelType w:val="hybridMultilevel"/>
    <w:lvl w:ilvl="0">
      <w:lvlJc w:val="left"/>
      <w:lvlText w:val="(%1)"/>
      <w:numFmt w:val="lowerLetter"/>
      <w:start w:val="1"/>
    </w:lvl>
  </w:abstractNum>
  <w:abstractNum w:abstractNumId="177">
    <w:nsid w:val="565976F1"/>
    <w:multiLevelType w:val="hybridMultilevel"/>
    <w:lvl w:ilvl="0">
      <w:lvlJc w:val="left"/>
      <w:lvlText w:val="%1"/>
      <w:numFmt w:val="lowerLetter"/>
      <w:start w:val="1"/>
    </w:lvl>
    <w:lvl w:ilvl="1">
      <w:lvlJc w:val="left"/>
      <w:lvlText w:val="(%2)"/>
      <w:numFmt w:val="lowerLetter"/>
      <w:start w:val="3"/>
    </w:lvl>
  </w:abstractNum>
  <w:abstractNum w:abstractNumId="178">
    <w:nsid w:val="64212B8C"/>
    <w:multiLevelType w:val="hybridMultilevel"/>
    <w:lvl w:ilvl="0">
      <w:lvlJc w:val="left"/>
      <w:lvlText w:val="(%1)"/>
      <w:numFmt w:val="lowerLetter"/>
      <w:start w:val="35"/>
    </w:lvl>
    <w:lvl w:ilvl="1">
      <w:lvlJc w:val="left"/>
      <w:lvlText w:val="(%2)"/>
      <w:numFmt w:val="lowerLetter"/>
      <w:start w:val="4"/>
    </w:lvl>
  </w:abstractNum>
  <w:abstractNum w:abstractNumId="179">
    <w:nsid w:val="5C17530C"/>
    <w:multiLevelType w:val="hybridMultilevel"/>
    <w:lvl w:ilvl="0">
      <w:lvlJc w:val="left"/>
      <w:lvlText w:val="(%1)"/>
      <w:numFmt w:val="lowerLetter"/>
      <w:start w:val="1"/>
    </w:lvl>
  </w:abstractNum>
  <w:abstractNum w:abstractNumId="180">
    <w:nsid w:val="19A52566"/>
    <w:multiLevelType w:val="hybridMultilevel"/>
    <w:lvl w:ilvl="0">
      <w:lvlJc w:val="left"/>
      <w:lvlText w:val="%1"/>
      <w:numFmt w:val="upperLetter"/>
      <w:start w:val="1"/>
    </w:lvl>
    <w:lvl w:ilvl="1">
      <w:lvlJc w:val="left"/>
      <w:lvlText w:val="(%2)"/>
      <w:numFmt w:val="lowerLetter"/>
      <w:start w:val="2"/>
    </w:lvl>
  </w:abstractNum>
  <w:abstractNum w:abstractNumId="181">
    <w:nsid w:val="335A1DF1"/>
    <w:multiLevelType w:val="hybridMultilevel"/>
    <w:lvl w:ilvl="0">
      <w:lvlJc w:val="left"/>
      <w:lvlText w:val="(%1)"/>
      <w:numFmt w:val="upperLetter"/>
      <w:start w:val="2"/>
    </w:lvl>
    <w:lvl w:ilvl="1">
      <w:lvlJc w:val="left"/>
      <w:lvlText w:val="(%2)"/>
      <w:numFmt w:val="lowerLetter"/>
      <w:start w:val="3"/>
    </w:lvl>
  </w:abstractNum>
  <w:abstractNum w:abstractNumId="182">
    <w:nsid w:val="28677B7C"/>
    <w:multiLevelType w:val="hybridMultilevel"/>
    <w:lvl w:ilvl="0">
      <w:lvlJc w:val="left"/>
      <w:lvlText w:val="(%1)"/>
      <w:numFmt w:val="lowerLetter"/>
      <w:start w:val="1"/>
    </w:lvl>
  </w:abstractNum>
  <w:abstractNum w:abstractNumId="183">
    <w:nsid w:val="378D97C0"/>
    <w:multiLevelType w:val="hybridMultilevel"/>
    <w:lvl w:ilvl="0">
      <w:lvlJc w:val="left"/>
      <w:lvlText w:val="%1"/>
      <w:numFmt w:val="lowerLetter"/>
      <w:start w:val="1"/>
    </w:lvl>
    <w:lvl w:ilvl="1">
      <w:lvlJc w:val="left"/>
      <w:lvlText w:val="(%2)"/>
      <w:numFmt w:val="lowerLetter"/>
      <w:start w:val="2"/>
    </w:lvl>
  </w:abstractNum>
  <w:abstractNum w:abstractNumId="184">
    <w:nsid w:val="1D91467C"/>
    <w:multiLevelType w:val="hybridMultilevel"/>
    <w:lvl w:ilvl="0">
      <w:lvlJc w:val="left"/>
      <w:lvlText w:val="(%1)"/>
      <w:numFmt w:val="lowerLetter"/>
      <w:start w:val="9"/>
    </w:lvl>
    <w:lvl w:ilvl="1">
      <w:lvlJc w:val="left"/>
      <w:lvlText w:val="%2"/>
      <w:numFmt w:val="lowerLetter"/>
      <w:start w:val="1"/>
    </w:lvl>
  </w:abstractNum>
  <w:abstractNum w:abstractNumId="185">
    <w:nsid w:val="316032BB"/>
    <w:multiLevelType w:val="hybridMultilevel"/>
    <w:lvl w:ilvl="0">
      <w:lvlJc w:val="left"/>
      <w:lvlText w:val="(%1)"/>
      <w:numFmt w:val="lowerLetter"/>
      <w:start w:val="3"/>
    </w:lvl>
  </w:abstractNum>
  <w:abstractNum w:abstractNumId="186">
    <w:nsid w:val="44344C22"/>
    <w:multiLevelType w:val="hybridMultilevel"/>
    <w:lvl w:ilvl="0">
      <w:lvlJc w:val="left"/>
      <w:lvlText w:val="(%1)"/>
      <w:numFmt w:val="lowerLetter"/>
      <w:start w:val="1"/>
    </w:lvl>
  </w:abstractNum>
  <w:abstractNum w:abstractNumId="187">
    <w:nsid w:val="13CDFCFC"/>
    <w:multiLevelType w:val="hybridMultilevel"/>
    <w:lvl w:ilvl="0">
      <w:lvlJc w:val="left"/>
      <w:lvlText w:val="(%1)"/>
      <w:numFmt w:val="lowerLetter"/>
      <w:start w:val="1"/>
    </w:lvl>
  </w:abstractNum>
  <w:abstractNum w:abstractNumId="188">
    <w:nsid w:val="471745E4"/>
    <w:multiLevelType w:val="hybridMultilevel"/>
    <w:lvl w:ilvl="0">
      <w:lvlJc w:val="left"/>
      <w:lvlText w:val="(%1)"/>
      <w:numFmt w:val="lowerLetter"/>
      <w:start w:val="6"/>
    </w:lvl>
  </w:abstractNum>
  <w:abstractNum w:abstractNumId="189">
    <w:nsid w:val="1DDBC66"/>
    <w:multiLevelType w:val="hybridMultilevel"/>
    <w:lvl w:ilvl="0">
      <w:lvlJc w:val="left"/>
      <w:lvlText w:val="(%1)"/>
      <w:numFmt w:val="lowerLetter"/>
      <w:start w:val="1"/>
    </w:lvl>
  </w:abstractNum>
  <w:abstractNum w:abstractNumId="190">
    <w:nsid w:val="30AADFDA"/>
    <w:multiLevelType w:val="hybridMultilevel"/>
    <w:lvl w:ilvl="0">
      <w:lvlJc w:val="left"/>
      <w:lvlText w:val="(%1)"/>
      <w:numFmt w:val="lowerLetter"/>
      <w:start w:val="3"/>
    </w:lvl>
  </w:abstractNum>
  <w:abstractNum w:abstractNumId="191">
    <w:nsid w:val="30EADA61"/>
    <w:multiLevelType w:val="hybridMultilevel"/>
    <w:lvl w:ilvl="0">
      <w:lvlJc w:val="left"/>
      <w:lvlText w:val="(%1)"/>
      <w:numFmt w:val="lowerLetter"/>
      <w:start w:val="3"/>
    </w:lvl>
  </w:abstractNum>
  <w:abstractNum w:abstractNumId="192">
    <w:nsid w:val="27179C0B"/>
    <w:multiLevelType w:val="hybridMultilevel"/>
    <w:lvl w:ilvl="0">
      <w:lvlJc w:val="left"/>
      <w:lvlText w:val="(%1)"/>
      <w:numFmt w:val="lowerLetter"/>
      <w:start w:val="1"/>
    </w:lvl>
  </w:abstractNum>
  <w:abstractNum w:abstractNumId="193">
    <w:nsid w:val="5E636063"/>
    <w:multiLevelType w:val="hybridMultilevel"/>
    <w:lvl w:ilvl="0">
      <w:lvlJc w:val="left"/>
      <w:lvlText w:val="(%1)"/>
      <w:numFmt w:val="lowerLetter"/>
      <w:start w:val="35"/>
    </w:lvl>
    <w:lvl w:ilvl="1">
      <w:lvlJc w:val="left"/>
      <w:lvlText w:val="(%2)"/>
      <w:numFmt w:val="lowerLetter"/>
      <w:start w:val="1"/>
    </w:lvl>
  </w:abstractNum>
  <w:abstractNum w:abstractNumId="194">
    <w:nsid w:val="215641AF"/>
    <w:multiLevelType w:val="hybridMultilevel"/>
    <w:lvl w:ilvl="0">
      <w:lvlJc w:val="left"/>
      <w:lvlText w:val="(%1)"/>
      <w:numFmt w:val="lowerLetter"/>
      <w:start w:val="1"/>
    </w:lvl>
  </w:abstractNum>
  <w:abstractNum w:abstractNumId="195">
    <w:nsid w:val="53280662"/>
    <w:multiLevelType w:val="hybridMultilevel"/>
    <w:lvl w:ilvl="0">
      <w:lvlJc w:val="left"/>
      <w:lvlText w:val="(%1)"/>
      <w:numFmt w:val="lowerRoman"/>
      <w:start w:val="1"/>
    </w:lvl>
  </w:abstractNum>
  <w:abstractNum w:abstractNumId="196">
    <w:nsid w:val="46B24DBC"/>
    <w:multiLevelType w:val="hybridMultilevel"/>
    <w:lvl w:ilvl="0">
      <w:lvlJc w:val="left"/>
      <w:lvlText w:val="(%1)"/>
      <w:numFmt w:val="lowerRoman"/>
      <w:start w:val="1"/>
    </w:lvl>
  </w:abstractNum>
  <w:abstractNum w:abstractNumId="197">
    <w:nsid w:val="75B52783"/>
    <w:multiLevelType w:val="hybridMultilevel"/>
    <w:lvl w:ilvl="0">
      <w:lvlJc w:val="left"/>
      <w:lvlText w:val="(%1)"/>
      <w:numFmt w:val="lowerRoman"/>
      <w:start w:val="5"/>
    </w:lvl>
  </w:abstractNum>
  <w:abstractNum w:abstractNumId="198">
    <w:nsid w:val="57CE66B4"/>
    <w:multiLevelType w:val="hybridMultilevel"/>
    <w:lvl w:ilvl="0">
      <w:lvlJc w:val="left"/>
      <w:lvlText w:val="(%1)"/>
      <w:numFmt w:val="lowerLetter"/>
      <w:start w:val="4"/>
    </w:lvl>
  </w:abstractNum>
  <w:abstractNum w:abstractNumId="199">
    <w:nsid w:val="67A70B69"/>
    <w:multiLevelType w:val="hybridMultilevel"/>
    <w:lvl w:ilvl="0">
      <w:lvlJc w:val="left"/>
      <w:lvlText w:val="(%1)"/>
      <w:numFmt w:val="lowerLetter"/>
      <w:start w:val="10"/>
    </w:lvl>
  </w:abstractNum>
  <w:abstractNum w:abstractNumId="200">
    <w:nsid w:val="5953172F"/>
    <w:multiLevelType w:val="hybridMultilevel"/>
    <w:lvl w:ilvl="0">
      <w:lvlJc w:val="left"/>
      <w:lvlText w:val="(%1)"/>
      <w:numFmt w:val="lowerLetter"/>
      <w:start w:val="1"/>
    </w:lvl>
  </w:abstractNum>
  <w:abstractNum w:abstractNumId="201">
    <w:nsid w:val="27EDFE3A"/>
    <w:multiLevelType w:val="hybridMultilevel"/>
    <w:lvl w:ilvl="0">
      <w:lvlJc w:val="left"/>
      <w:lvlText w:val="(%1)"/>
      <w:numFmt w:val="lowerLetter"/>
      <w:start w:val="5"/>
    </w:lvl>
  </w:abstractNum>
  <w:abstractNum w:abstractNumId="202">
    <w:nsid w:val="52AC7DFF"/>
    <w:multiLevelType w:val="hybridMultilevel"/>
    <w:lvl w:ilvl="0">
      <w:lvlJc w:val="left"/>
      <w:lvlText w:val="(%1)"/>
      <w:numFmt w:val="lowerLetter"/>
      <w:start w:val="1"/>
    </w:lvl>
  </w:abstractNum>
  <w:abstractNum w:abstractNumId="203">
    <w:nsid w:val="C4C3AF"/>
    <w:multiLevelType w:val="hybridMultilevel"/>
    <w:lvl w:ilvl="0">
      <w:lvlJc w:val="left"/>
      <w:lvlText w:val="(%1)"/>
      <w:numFmt w:val="lowerLetter"/>
      <w:start w:val="3"/>
    </w:lvl>
  </w:abstractNum>
  <w:abstractNum w:abstractNumId="204">
    <w:nsid w:val="44380727"/>
    <w:multiLevelType w:val="hybridMultilevel"/>
    <w:lvl w:ilvl="0">
      <w:lvlJc w:val="left"/>
      <w:lvlText w:val="(%1)"/>
      <w:numFmt w:val="lowerLetter"/>
      <w:start w:val="1"/>
    </w:lvl>
  </w:abstractNum>
  <w:abstractNum w:abstractNumId="205">
    <w:nsid w:val="6C053B16"/>
    <w:multiLevelType w:val="hybridMultilevel"/>
    <w:lvl w:ilvl="0">
      <w:lvlJc w:val="left"/>
      <w:lvlText w:val="(%1)"/>
      <w:numFmt w:val="lowerLetter"/>
      <w:start w:val="2"/>
    </w:lvl>
  </w:abstractNum>
  <w:abstractNum w:abstractNumId="206">
    <w:nsid w:val="4F294393"/>
    <w:multiLevelType w:val="hybridMultilevel"/>
    <w:lvl w:ilvl="0">
      <w:lvlJc w:val="left"/>
      <w:lvlText w:val="(%1)"/>
      <w:numFmt w:val="lowerLetter"/>
      <w:start w:val="1"/>
    </w:lvl>
  </w:abstractNum>
  <w:abstractNum w:abstractNumId="207">
    <w:nsid w:val="5243BFAC"/>
    <w:multiLevelType w:val="hybridMultilevel"/>
    <w:lvl w:ilvl="0">
      <w:lvlJc w:val="left"/>
      <w:lvlText w:val="(%1)"/>
      <w:numFmt w:val="lowerLetter"/>
      <w:start w:val="1"/>
    </w:lvl>
  </w:abstractNum>
  <w:abstractNum w:abstractNumId="208">
    <w:nsid w:val="425EB207"/>
    <w:multiLevelType w:val="hybridMultilevel"/>
    <w:lvl w:ilvl="0">
      <w:lvlJc w:val="left"/>
      <w:lvlText w:val="(%1)"/>
      <w:numFmt w:val="lowerLetter"/>
      <w:start w:val="2"/>
    </w:lvl>
  </w:abstractNum>
  <w:abstractNum w:abstractNumId="209">
    <w:nsid w:val="334A6F1F"/>
    <w:multiLevelType w:val="hybridMultilevel"/>
    <w:lvl w:ilvl="0">
      <w:lvlJc w:val="left"/>
      <w:lvlText w:val="(%1)"/>
      <w:numFmt w:val="lowerLetter"/>
      <w:start w:val="6"/>
    </w:lvl>
  </w:abstractNum>
  <w:abstractNum w:abstractNumId="210">
    <w:nsid w:val="2E5B12B8"/>
    <w:multiLevelType w:val="hybridMultilevel"/>
    <w:lvl w:ilvl="0">
      <w:lvlJc w:val="left"/>
      <w:lvlText w:val="(%1)"/>
      <w:numFmt w:val="lowerLetter"/>
      <w:start w:val="1"/>
    </w:lvl>
  </w:abstractNum>
  <w:abstractNum w:abstractNumId="211">
    <w:nsid w:val="5C03D76D"/>
    <w:multiLevelType w:val="hybridMultilevel"/>
    <w:lvl w:ilvl="0">
      <w:lvlJc w:val="left"/>
      <w:lvlText w:val="(%1)"/>
      <w:numFmt w:val="lowerLetter"/>
      <w:start w:val="4"/>
    </w:lvl>
  </w:abstractNum>
  <w:abstractNum w:abstractNumId="212">
    <w:nsid w:val="66A48D11"/>
    <w:multiLevelType w:val="hybridMultilevel"/>
    <w:lvl w:ilvl="0">
      <w:lvlJc w:val="left"/>
      <w:lvlText w:val="(%1)"/>
      <w:numFmt w:val="lowerLetter"/>
      <w:start w:val="3"/>
    </w:lvl>
  </w:abstractNum>
  <w:abstractNum w:abstractNumId="213">
    <w:nsid w:val="56C28E34"/>
    <w:multiLevelType w:val="hybridMultilevel"/>
    <w:lvl w:ilvl="0">
      <w:lvlJc w:val="left"/>
      <w:lvlText w:val="(%1)"/>
      <w:numFmt w:val="lowerLetter"/>
      <w:start w:val="1"/>
    </w:lvl>
  </w:abstractNum>
  <w:abstractNum w:abstractNumId="214">
    <w:nsid w:val="13916F2D"/>
    <w:multiLevelType w:val="hybridMultilevel"/>
    <w:lvl w:ilvl="0">
      <w:lvlJc w:val="left"/>
      <w:lvlText w:val="(%1)"/>
      <w:numFmt w:val="lowerLetter"/>
      <w:start w:val="35"/>
    </w:lvl>
    <w:lvl w:ilvl="1">
      <w:lvlJc w:val="left"/>
      <w:lvlText w:val="(%2)"/>
      <w:numFmt w:val="lowerLetter"/>
      <w:start w:val="1"/>
    </w:lvl>
  </w:abstractNum>
  <w:abstractNum w:abstractNumId="215">
    <w:nsid w:val="435D38D"/>
    <w:multiLevelType w:val="hybridMultilevel"/>
    <w:lvl w:ilvl="0">
      <w:lvlJc w:val="left"/>
      <w:lvlText w:val="%1."/>
      <w:numFmt w:val="decimal"/>
      <w:start w:val="1"/>
    </w:lvl>
  </w:abstractNum>
  <w:abstractNum w:abstractNumId="216">
    <w:nsid w:val="822C0EF"/>
    <w:multiLevelType w:val="hybridMultilevel"/>
    <w:lvl w:ilvl="0">
      <w:lvlJc w:val="left"/>
      <w:lvlText w:val="%1."/>
      <w:numFmt w:val="decimal"/>
      <w:start w:val="2"/>
    </w:lvl>
  </w:abstractNum>
  <w:abstractNum w:abstractNumId="217">
    <w:nsid w:val="57C5BB4F"/>
    <w:multiLevelType w:val="hybridMultilevel"/>
    <w:lvl w:ilvl="0">
      <w:lvlJc w:val="left"/>
      <w:lvlText w:val="%1."/>
      <w:numFmt w:val="decimal"/>
      <w:start w:val="3"/>
    </w:lvl>
    <w:lvl w:ilvl="1">
      <w:lvlJc w:val="left"/>
      <w:lvlText w:val="(%2)"/>
      <w:numFmt w:val="lowerLetter"/>
      <w:start w:val="1"/>
    </w:lvl>
  </w:abstractNum>
  <w:abstractNum w:abstractNumId="218">
    <w:nsid w:val="1803D089"/>
    <w:multiLevelType w:val="hybridMultilevel"/>
    <w:lvl w:ilvl="0">
      <w:lvlJc w:val="left"/>
      <w:lvlText w:val="(%1)"/>
      <w:numFmt w:val="lowerLetter"/>
      <w:start w:val="2"/>
    </w:lvl>
  </w:abstractNum>
  <w:abstractNum w:abstractNumId="219">
    <w:nsid w:val="4F3A06D4"/>
    <w:multiLevelType w:val="hybridMultilevel"/>
    <w:lvl w:ilvl="0">
      <w:lvlJc w:val="left"/>
      <w:lvlText w:val="%1."/>
      <w:numFmt w:val="decimal"/>
      <w:start w:val="5"/>
    </w:lvl>
    <w:lvl w:ilvl="1">
      <w:lvlJc w:val="left"/>
      <w:lvlText w:val="(%2)"/>
      <w:numFmt w:val="lowerLetter"/>
      <w:start w:val="1"/>
    </w:lvl>
  </w:abstractNum>
  <w:abstractNum w:abstractNumId="220">
    <w:nsid w:val="59A377B6"/>
    <w:multiLevelType w:val="hybridMultilevel"/>
    <w:lvl w:ilvl="0">
      <w:lvlJc w:val="left"/>
      <w:lvlText w:val="•"/>
      <w:numFmt w:val="bullet"/>
      <w:start w:val="1"/>
    </w:lvl>
  </w:abstractNum>
  <w:abstractNum w:abstractNumId="221">
    <w:nsid w:val="48AEB063"/>
    <w:multiLevelType w:val="hybridMultilevel"/>
    <w:lvl w:ilvl="0">
      <w:lvlJc w:val="left"/>
      <w:lvlText w:val="•"/>
      <w:numFmt w:val="bullet"/>
      <w:start w:val="1"/>
    </w:lvl>
  </w:abstractNum>
  <w:abstractNum w:abstractNumId="222">
    <w:nsid w:val="24E135"/>
    <w:multiLevelType w:val="hybridMultilevel"/>
    <w:lvl w:ilvl="0">
      <w:lvlJc w:val="left"/>
      <w:lvlText w:val="•"/>
      <w:numFmt w:val="bullet"/>
      <w:start w:val="1"/>
    </w:lvl>
  </w:abstractNum>
  <w:abstractNum w:abstractNumId="223">
    <w:nsid w:val="BB13C1"/>
    <w:multiLevelType w:val="hybridMultilevel"/>
    <w:lvl w:ilvl="0">
      <w:lvlJc w:val="left"/>
      <w:lvlText w:val="•"/>
      <w:numFmt w:val="bullet"/>
      <w:start w:val="1"/>
    </w:lvl>
  </w:abstractNum>
  <w:abstractNum w:abstractNumId="224">
    <w:nsid w:val="271210C7"/>
    <w:multiLevelType w:val="hybridMultilevel"/>
    <w:lvl w:ilvl="0">
      <w:lvlJc w:val="left"/>
      <w:lvlText w:val="(%1)"/>
      <w:numFmt w:val="decimal"/>
      <w:start w:val="1"/>
    </w:lvl>
  </w:abstractNum>
  <w:abstractNum w:abstractNumId="225">
    <w:nsid w:val="217B22E4"/>
    <w:multiLevelType w:val="hybridMultilevel"/>
    <w:lvl w:ilvl="0">
      <w:lvlJc w:val="left"/>
      <w:lvlText w:val="•"/>
      <w:numFmt w:val="bullet"/>
      <w:start w:val="1"/>
    </w:lvl>
  </w:abstractNum>
  <w:abstractNum w:abstractNumId="226">
    <w:nsid w:val="53E31A24"/>
    <w:multiLevelType w:val="hybridMultilevel"/>
    <w:lvl w:ilvl="0">
      <w:lvlJc w:val="left"/>
      <w:lvlText w:val="(%1)"/>
      <w:numFmt w:val="lowerRoman"/>
      <w:start w:val="2"/>
    </w:lvl>
  </w:abstractNum>
  <w:abstractNum w:abstractNumId="227">
    <w:nsid w:val="6DC45E83"/>
    <w:multiLevelType w:val="hybridMultilevel"/>
    <w:lvl w:ilvl="0">
      <w:lvlJc w:val="left"/>
      <w:lvlText w:val="%1."/>
      <w:numFmt w:val="decimal"/>
      <w:start w:val="1"/>
    </w:lvl>
  </w:abstractNum>
  <w:abstractNum w:abstractNumId="228">
    <w:nsid w:val="17304A67"/>
    <w:multiLevelType w:val="hybridMultilevel"/>
    <w:lvl w:ilvl="0">
      <w:lvlJc w:val="left"/>
      <w:lvlText w:val="%1."/>
      <w:numFmt w:val="decimal"/>
      <w:start w:val="2"/>
    </w:lvl>
  </w:abstractNum>
  <w:abstractNum w:abstractNumId="229">
    <w:nsid w:val="2BB180D8"/>
    <w:multiLevelType w:val="hybridMultilevel"/>
    <w:lvl w:ilvl="0">
      <w:lvlJc w:val="left"/>
      <w:lvlText w:val="%1."/>
      <w:numFmt w:val="decimal"/>
      <w:start w:val="3"/>
    </w:lvl>
  </w:abstractNum>
  <w:abstractNum w:abstractNumId="230">
    <w:nsid w:val="556B69ED"/>
    <w:multiLevelType w:val="hybridMultilevel"/>
    <w:lvl w:ilvl="0">
      <w:lvlJc w:val="left"/>
      <w:lvlText w:val="•"/>
      <w:numFmt w:val="bullet"/>
      <w:start w:val="1"/>
    </w:lvl>
  </w:abstractNum>
  <w:abstractNum w:abstractNumId="231">
    <w:nsid w:val="70836196"/>
    <w:multiLevelType w:val="hybridMultilevel"/>
    <w:lvl w:ilvl="0">
      <w:lvlJc w:val="left"/>
      <w:lvlText w:val="%1."/>
      <w:numFmt w:val="decimal"/>
      <w:start w:val="4"/>
    </w:lvl>
  </w:abstractNum>
  <w:abstractNum w:abstractNumId="232">
    <w:nsid w:val="539F7F12"/>
    <w:multiLevelType w:val="hybridMultilevel"/>
    <w:lvl w:ilvl="0">
      <w:lvlJc w:val="left"/>
      <w:lvlText w:val="%1."/>
      <w:numFmt w:val="decimal"/>
      <w:start w:val="5"/>
    </w:lvl>
  </w:abstractNum>
  <w:abstractNum w:abstractNumId="233">
    <w:nsid w:val="2817E7EC"/>
    <w:multiLevelType w:val="hybridMultilevel"/>
    <w:lvl w:ilvl="0">
      <w:lvlJc w:val="left"/>
      <w:lvlText w:val="%1."/>
      <w:numFmt w:val="decimal"/>
      <w:start w:val="6"/>
    </w:lvl>
  </w:abstractNum>
  <w:abstractNum w:abstractNumId="234">
    <w:nsid w:val="71482545"/>
    <w:multiLevelType w:val="hybridMultilevel"/>
    <w:lvl w:ilvl="0">
      <w:lvlJc w:val="left"/>
      <w:lvlText w:val="%1."/>
      <w:numFmt w:val="decimal"/>
      <w:start w:val="7"/>
    </w:lvl>
  </w:abstractNum>
  <w:abstractNum w:abstractNumId="235">
    <w:nsid w:val="17D78639"/>
    <w:multiLevelType w:val="hybridMultilevel"/>
    <w:lvl w:ilvl="0">
      <w:lvlJc w:val="left"/>
      <w:lvlText w:val="%1."/>
      <w:numFmt w:val="decimal"/>
      <w:start w:val="8"/>
    </w:lvl>
  </w:abstractNum>
  <w:abstractNum w:abstractNumId="236">
    <w:nsid w:val="141D2302"/>
    <w:multiLevelType w:val="hybridMultilevel"/>
    <w:lvl w:ilvl="0">
      <w:lvlJc w:val="left"/>
      <w:lvlText w:val="%1."/>
      <w:numFmt w:val="decimal"/>
      <w:start w:val="9"/>
    </w:lvl>
  </w:abstractNum>
  <w:abstractNum w:abstractNumId="237">
    <w:nsid w:val="407168D8"/>
    <w:multiLevelType w:val="hybridMultilevel"/>
    <w:lvl w:ilvl="0">
      <w:lvlJc w:val="left"/>
      <w:lvlText w:val="%1."/>
      <w:numFmt w:val="decimal"/>
      <w:start w:val="10"/>
    </w:lvl>
  </w:abstractNum>
  <w:abstractNum w:abstractNumId="238">
    <w:nsid w:val="6A1B45E5"/>
    <w:multiLevelType w:val="hybridMultilevel"/>
    <w:lvl w:ilvl="0">
      <w:lvlJc w:val="left"/>
      <w:lvlText w:val="%1."/>
      <w:numFmt w:val="decimal"/>
      <w:start w:val="11"/>
    </w:lvl>
  </w:abstractNum>
  <w:abstractNum w:abstractNumId="239">
    <w:nsid w:val="567BD50A"/>
    <w:multiLevelType w:val="hybridMultilevel"/>
    <w:lvl w:ilvl="0">
      <w:lvlJc w:val="left"/>
      <w:lvlText w:val="%1."/>
      <w:numFmt w:val="decimal"/>
      <w:start w:val="12"/>
    </w:lvl>
  </w:abstractNum>
  <w:abstractNum w:abstractNumId="240">
    <w:nsid w:val="73BBD7F8"/>
    <w:multiLevelType w:val="hybridMultilevel"/>
    <w:lvl w:ilvl="0">
      <w:lvlJc w:val="left"/>
      <w:lvlText w:val="(%1)"/>
      <w:numFmt w:val="decimal"/>
      <w:start w:val="1"/>
    </w:lvl>
  </w:abstractNum>
  <w:abstractNum w:abstractNumId="241">
    <w:nsid w:val="1876589D"/>
    <w:multiLevelType w:val="hybridMultilevel"/>
    <w:lvl w:ilvl="0">
      <w:lvlJc w:val="left"/>
      <w:lvlText w:val="(%1)"/>
      <w:numFmt w:val="decimal"/>
      <w:start w:val="1"/>
    </w:lvl>
  </w:abstractNum>
  <w:abstractNum w:abstractNumId="242">
    <w:nsid w:val="327FAC77"/>
    <w:multiLevelType w:val="hybridMultilevel"/>
    <w:lvl w:ilvl="0">
      <w:lvlJc w:val="left"/>
      <w:lvlText w:val="(%1)"/>
      <w:numFmt w:val="lowerRoman"/>
      <w:start w:val="3"/>
    </w:lvl>
  </w:abstractNum>
  <w:abstractNum w:abstractNumId="243">
    <w:nsid w:val="5A606509"/>
    <w:multiLevelType w:val="hybridMultilevel"/>
    <w:lvl w:ilvl="0">
      <w:lvlJc w:val="left"/>
      <w:lvlText w:val="•"/>
      <w:numFmt w:val="bullet"/>
      <w:start w:val="1"/>
    </w:lvl>
  </w:abstractNum>
  <w:abstractNum w:abstractNumId="244">
    <w:nsid w:val="6F38E6D1"/>
    <w:multiLevelType w:val="hybridMultilevel"/>
    <w:lvl w:ilvl="0">
      <w:lvlJc w:val="left"/>
      <w:lvlText w:val="•"/>
      <w:numFmt w:val="bullet"/>
      <w:start w:val="1"/>
    </w:lvl>
  </w:abstractNum>
  <w:abstractNum w:abstractNumId="245">
    <w:nsid w:val="46111BA5"/>
    <w:multiLevelType w:val="hybridMultilevel"/>
    <w:lvl w:ilvl="0">
      <w:lvlJc w:val="left"/>
      <w:lvlText w:val="(%1)"/>
      <w:numFmt w:val="decimal"/>
      <w:start w:val="1"/>
    </w:lvl>
  </w:abstractNum>
  <w:abstractNum w:abstractNumId="246">
    <w:nsid w:val="5E963896"/>
    <w:multiLevelType w:val="hybridMultilevel"/>
    <w:lvl w:ilvl="0">
      <w:lvlJc w:val="left"/>
      <w:lvlText w:val="•"/>
      <w:numFmt w:val="bullet"/>
      <w:start w:val="1"/>
    </w:lvl>
  </w:abstractNum>
  <w:abstractNum w:abstractNumId="247">
    <w:nsid w:val="775BA7C1"/>
    <w:multiLevelType w:val="hybridMultilevel"/>
    <w:lvl w:ilvl="0">
      <w:lvlJc w:val="left"/>
      <w:lvlText w:val="(%1)"/>
      <w:numFmt w:val="upperLetter"/>
      <w:start w:val="1"/>
    </w:lvl>
  </w:abstractNum>
  <w:abstractNum w:abstractNumId="248">
    <w:nsid w:val="1DD6D6F4"/>
    <w:multiLevelType w:val="hybridMultilevel"/>
    <w:lvl w:ilvl="0">
      <w:lvlJc w:val="left"/>
      <w:lvlText w:val="(%1)"/>
      <w:numFmt w:val="upperLetter"/>
      <w:start w:val="1"/>
    </w:lvl>
  </w:abstractNum>
  <w:abstractNum w:abstractNumId="249">
    <w:nsid w:val="769A091F"/>
    <w:multiLevelType w:val="hybridMultilevel"/>
    <w:lvl w:ilvl="0">
      <w:lvlJc w:val="left"/>
      <w:lvlText w:val="(%1)"/>
      <w:numFmt w:val="upperLetter"/>
      <w:start w:val="1"/>
    </w:lvl>
  </w:abstractNum>
  <w:abstractNum w:abstractNumId="250">
    <w:nsid w:val="4695AE95"/>
    <w:multiLevelType w:val="hybridMultilevel"/>
    <w:lvl w:ilvl="0">
      <w:lvlJc w:val="left"/>
      <w:lvlText w:val="(%1)"/>
      <w:numFmt w:val="lowerLetter"/>
      <w:start w:val="1"/>
    </w:lvl>
  </w:abstractNum>
  <w:abstractNum w:abstractNumId="251">
    <w:nsid w:val="777A4EAA"/>
    <w:multiLevelType w:val="hybridMultilevel"/>
    <w:lvl w:ilvl="0">
      <w:lvlJc w:val="left"/>
      <w:lvlText w:val="(%1)"/>
      <w:numFmt w:val="upperLetter"/>
      <w:start w:val="1"/>
    </w:lvl>
  </w:abstractNum>
  <w:abstractNum w:abstractNumId="252">
    <w:nsid w:val="3F48B982"/>
    <w:multiLevelType w:val="hybridMultilevel"/>
    <w:lvl w:ilvl="0">
      <w:lvlJc w:val="left"/>
      <w:lvlText w:val="•"/>
      <w:numFmt w:val="bullet"/>
      <w:start w:val="1"/>
    </w:lvl>
  </w:abstractNum>
  <w:abstractNum w:abstractNumId="253">
    <w:nsid w:val="46BA8FCA"/>
    <w:multiLevelType w:val="hybridMultilevel"/>
    <w:lvl w:ilvl="0">
      <w:lvlJc w:val="left"/>
      <w:lvlText w:val="%1)"/>
      <w:numFmt w:val="lowerLetter"/>
      <w:start w:val="1"/>
    </w:lvl>
  </w:abstractNum>
  <w:abstractNum w:abstractNumId="254">
    <w:nsid w:val="7835626C"/>
    <w:multiLevelType w:val="hybridMultilevel"/>
    <w:lvl w:ilvl="0">
      <w:lvlJc w:val="left"/>
      <w:lvlText w:val="(%1)"/>
      <w:numFmt w:val="decimal"/>
      <w:start w:val="1"/>
    </w:lvl>
  </w:abstractNum>
  <w:abstractNum w:abstractNumId="255">
    <w:nsid w:val="665ACA49"/>
    <w:multiLevelType w:val="hybridMultilevel"/>
    <w:lvl w:ilvl="0">
      <w:lvlJc w:val="left"/>
      <w:lvlText w:val="(%1)"/>
      <w:numFmt w:val="decimal"/>
      <w:start w:val="2"/>
    </w:lvl>
    <w:lvl w:ilvl="1">
      <w:lvlJc w:val="left"/>
      <w:lvlText w:val="%2)"/>
      <w:numFmt w:val="lowerLetter"/>
      <w:start w:val="2"/>
    </w:lvl>
  </w:abstractNum>
  <w:abstractNum w:abstractNumId="256">
    <w:nsid w:val="6835B2AE"/>
    <w:multiLevelType w:val="hybridMultilevel"/>
    <w:lvl w:ilvl="0">
      <w:lvlJc w:val="left"/>
      <w:lvlText w:val="(%1)"/>
      <w:numFmt w:val="decimal"/>
      <w:start w:val="1"/>
    </w:lvl>
  </w:abstractNum>
  <w:abstractNum w:abstractNumId="257">
    <w:nsid w:val="4C187C90"/>
    <w:multiLevelType w:val="hybridMultilevel"/>
    <w:lvl w:ilvl="0">
      <w:lvlJc w:val="left"/>
      <w:lvlText w:val="%1)"/>
      <w:numFmt w:val="lowerLetter"/>
      <w:start w:val="1"/>
    </w:lvl>
  </w:abstractNum>
  <w:abstractNum w:abstractNumId="258">
    <w:nsid w:val="541F28CD"/>
    <w:multiLevelType w:val="hybridMultilevel"/>
    <w:lvl w:ilvl="0">
      <w:lvlJc w:val="left"/>
      <w:lvlText w:val="%1)"/>
      <w:numFmt w:val="lowerLetter"/>
      <w:start w:val="1"/>
    </w:lvl>
  </w:abstractNum>
  <w:abstractNum w:abstractNumId="259">
    <w:nsid w:val="7F65FD16"/>
    <w:multiLevelType w:val="hybridMultilevel"/>
    <w:lvl w:ilvl="0">
      <w:lvlJc w:val="left"/>
      <w:lvlText w:val="(%1)"/>
      <w:numFmt w:val="decimal"/>
      <w:start w:val="1"/>
    </w:lvl>
  </w:abstractNum>
  <w:abstractNum w:abstractNumId="260">
    <w:nsid w:val="77C9FD68"/>
    <w:multiLevelType w:val="hybridMultilevel"/>
    <w:lvl w:ilvl="0">
      <w:lvlJc w:val="left"/>
      <w:lvlText w:val="(%1)"/>
      <w:numFmt w:val="decimal"/>
      <w:start w:val="2"/>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3" Type="http://schemas.openxmlformats.org/officeDocument/2006/relationships/hyperlink" Target="http://www.sec.gov/Archives/edgar/data/1819133/000121390021035641/fs42021a2_bctga.htm#T112" TargetMode="External"/><Relationship Id="rId34" Type="http://schemas.openxmlformats.org/officeDocument/2006/relationships/hyperlink" Target="http://www.sec.gov/Archives/edgar/data/1819133/000121390021035641/fs42021a2_bctga.htm#T113" TargetMode="External"/><Relationship Id="rId35" Type="http://schemas.openxmlformats.org/officeDocument/2006/relationships/hyperlink" Target="http://www.sec.gov/Archives/edgar/data/1819133/000121390021021456/ea139433ex10-1_bctg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2021-08-13T16:36:13Z</dcterms:created>
  <dcterms:modified xsi:type="dcterms:W3CDTF">2021-08-13T16:36:13Z</dcterms:modified>
</cp:coreProperties>
</file>