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1656d8k.htm"/>
      <w:bookmarkStart w:id="1" w:name="ksd13165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Tango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115" w:type="dxa"/>
        <w:jc w:val="left"/>
        <w:tblInd w:w="0" w:type="dxa"/>
        <w:tblLayout w:type="fixed"/>
        <w:tblCellMar>
          <w:top w:w="0" w:type="dxa"/>
          <w:left w:w="0" w:type="dxa"/>
          <w:bottom w:w="0" w:type="dxa"/>
          <w:right w:w="0" w:type="dxa"/>
        </w:tblCellMar>
      </w:tblPr>
      <w:tblGrid>
        <w:gridCol w:w="2060"/>
        <w:gridCol w:w="60"/>
        <w:gridCol w:w="1055"/>
        <w:gridCol w:w="60"/>
        <w:gridCol w:w="188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001-39485</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85-1195036</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201 Brookline Ave., Suite 901</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Boston,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02215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857-320-4900</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90" w:type="dxa"/>
        <w:jc w:val="left"/>
        <w:tblInd w:w="0" w:type="dxa"/>
        <w:tblLayout w:type="fixed"/>
        <w:tblCellMar>
          <w:top w:w="0" w:type="dxa"/>
          <w:left w:w="0" w:type="dxa"/>
          <w:bottom w:w="0" w:type="dxa"/>
          <w:right w:w="0" w:type="dxa"/>
        </w:tblCellMar>
      </w:tblPr>
      <w:tblGrid>
        <w:gridCol w:w="4100"/>
        <w:gridCol w:w="60"/>
        <w:gridCol w:w="740"/>
        <w:gridCol w:w="60"/>
        <w:gridCol w:w="2630"/>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00"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TNGX</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November 21, 2025, Tango Therapeutics, Inc. (the “Company”) entered into a Sales Agreement (the “Sales Agreement”) with Leerink Partners LLC (the “Sales Agent”), with respect to an at-the-market offering program pursuant to which the Company may offer and sell, from time to time at its sole discretion, shares of its common stock, par value $0.001 per share (the “Common Stock”), through the Sales Agent. The Company previously filed a registration statement on Form S-3ASR (File No. 333-291684) (the “Registration Statement”) with the Securities and Exchange Commission on November 21, 2025, which included a sales agreement prospectus supplement relating to the offer and sale of shares of Common Stock having an aggregate offering price of up to $100,000,000 (the “Shares”) pursuant to the Sales Agreement (the “Prior Prospectus Supplement”). As of the date hereof, the Company has sold an aggregate amount of approximately $64,389,566 of Shares under the Prior Prospectus Supplement, and an aggregate amount of approximately $35,610,434 of Shares remain unsold under the Prior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2026, the Company filed an additional prospectus supplement relating to the offer and sale of shares of Common Stock having an aggregate offering price of up to $400,000,000 (the “New Prospectus Supplement Shares”) pursuant to the Sales Agreement, which includes approximately $35,610,434 of unsold Shares under the Prior Prospectus Supplement. Accordingly, the offering pursuant to the Prior Prospectus Supplement has been terminated, and the Company will not make any further offer or sale of Shares pursuant to the Prior Prospectus Supplement. The New Prospectus Supplement Shares to be offered and sold under the Sales Agreement, if any, will be offered and sold pursuant to the Registration Statement, which became automatically effective upon filing. Goodwin Procter LLP, counsel to the Company, has issued a legal opinion relating to the New Prospectus Supplement Shares. A copy of such legal opinion, including the consent included therein, is attached as Exhibit 5.1 hereto.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shall not constitute an offer to sell or solicitation of an offer to buy any New Prospectus Supplement Shares, nor shall there be any offer, solicitation or sale of the New Prospectus Supplement Shares in any state or jurisdiction in which such offer, solicitation or sale would be unlawful prior to registration or qualification under the securities law of such state or jurisdiction.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560"/>
        <w:gridCol w:w="120"/>
        <w:gridCol w:w="768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31656dex51.htm">
              <w:r>
                <w:rPr>
                  <w:rStyle w:val="InternetLink"/>
                </w:rPr>
                <w:t xml:space="preserve">Opinion of Goodwin Procter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31656dex51.htm">
              <w:r>
                <w:rPr>
                  <w:rStyle w:val="InternetLink"/>
                </w:rPr>
                <w:t xml:space="preserve">Consent of Goodwin Procter LLP (included in Exhibit 5.1).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228" w:type="dxa"/>
        <w:jc w:val="left"/>
        <w:tblInd w:w="0" w:type="dxa"/>
        <w:tblLayout w:type="fixed"/>
        <w:tblCellMar>
          <w:top w:w="0" w:type="dxa"/>
          <w:left w:w="0" w:type="dxa"/>
          <w:bottom w:w="0" w:type="dxa"/>
          <w:right w:w="0" w:type="dxa"/>
        </w:tblCellMar>
      </w:tblPr>
      <w:tblGrid>
        <w:gridCol w:w="2195"/>
        <w:gridCol w:w="60"/>
        <w:gridCol w:w="23"/>
        <w:gridCol w:w="60"/>
        <w:gridCol w:w="605"/>
        <w:gridCol w:w="60"/>
        <w:gridCol w:w="222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90" w:type="dxa"/>
            <w:gridSpan w:val="3"/>
            <w:tcBorders/>
            <w:vAlign w:val="center"/>
          </w:tcPr>
          <w:p>
            <w:pPr>
              <w:pStyle w:val="TableContents"/>
              <w:bidi w:val="0"/>
              <w:spacing w:before="0" w:after="283"/>
              <w:jc w:val="left"/>
              <w:rPr/>
            </w:pPr>
            <w:r>
              <w:rPr/>
              <w:t>Tango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By: 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Gall</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Matthew Gall</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31656dex51.htm"/>
      <w:bookmarkStart w:id="3" w:name="ksd131656dex51"/>
      <w:bookmarkEnd w:id="2"/>
      <w:bookmarkEnd w:id="3"/>
      <w:r>
        <w:rPr>
          <w:rFonts w:ascii="Times New Roman" w:hAnsi="Times New Roman"/>
          <w:b/>
          <w:sz w:val="20"/>
        </w:rPr>
        <w:t xml:space="preserve">Exhibit 5.1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August 11, 2026 </w:t>
      </w:r>
    </w:p>
    <w:p>
      <w:pPr>
        <w:pStyle w:val="TextBody"/>
        <w:bidi w:val="0"/>
        <w:spacing w:before="240" w:after="0"/>
        <w:jc w:val="left"/>
        <w:rPr>
          <w:rFonts w:ascii="Times New Roman" w:hAnsi="Times New Roman"/>
          <w:sz w:val="20"/>
        </w:rPr>
      </w:pPr>
      <w:r>
        <w:rPr>
          <w:rFonts w:ascii="Times New Roman" w:hAnsi="Times New Roman"/>
          <w:sz w:val="20"/>
        </w:rPr>
        <w:t xml:space="preserve">Tango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201 Brookline Ave., Suite 901 </w:t>
      </w:r>
    </w:p>
    <w:p>
      <w:pPr>
        <w:pStyle w:val="TextBody"/>
        <w:bidi w:val="0"/>
        <w:spacing w:before="0" w:after="0"/>
        <w:jc w:val="left"/>
        <w:rPr>
          <w:rFonts w:ascii="Times New Roman" w:hAnsi="Times New Roman"/>
          <w:sz w:val="20"/>
        </w:rPr>
      </w:pPr>
      <w:r>
        <w:rPr>
          <w:rFonts w:ascii="Times New Roman" w:hAnsi="Times New Roman"/>
          <w:sz w:val="20"/>
        </w:rPr>
        <w:t xml:space="preserve">Boston, MA 02215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Registered under Registration Statement on Form S-3ASR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S-3ASR (File No. 333-291684) (as amended or supplemented, the “Registration Statement”) filed on November 21, 2025 with the Securities and Exchange Commission (the “Commission”) pursuant to the Securities Act of 1933, as amended (the “Securities Act”), relating to the registration of the offering by Tango Therapeutics, Inc., a Delaware corporation (the “Company”) of an indeterminate amount of any combination of securities of the types specified therein. The Registration Statement became automatically effective upon filing on November 21, 2025. Reference is made to our opinion letter dated November 21, 2025 and included as Exhibit 5.1 to the Registration Statement. We are delivering this supplemental opinion letter in connection with the prospectus supplement (the “Prospectus Supplement”) filed on August 11, 2026 by the Company with the Commission pursuant to Rule 424 under the Securities Act. The Prospectus Supplement relates to the offering by the Company of up to $400,000,000 in shares (the “Shares”) of the Company’s common stock, par value $0.001 per share (“Common Stock”) covered by the Registration Statement. The Shares are being offered and sold by the sales agent named in, and pursuant to, a sales agreement between the Company and such sales agent.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below, we have assumed that the Shares are issued for a price per share equal to or greater than the minimum price authorized by the Company’s board of directors (or a duly authorized committee of the board of directors) prior to the date hereof (the “Minimum Price”) and that no event occurs that causes the number of authorized shares of Common Stock available for issuance by the Company to be less than the number of then unissued Shares that may be issued for the Minimum Price.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Tango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11,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opinion set forth below is limited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and, upon Future Approval and Issuance,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letter as an exhibit to the Current Report and its incorporation by reference and the reference to our firm in that report.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Goodwin Procter LLP</w:t>
            </w:r>
          </w:p>
        </w:tc>
      </w:tr>
      <w:tr>
        <w:trPr/>
        <w:tc>
          <w:tcPr>
            <w:tcW w:w="4082" w:type="dxa"/>
            <w:tcBorders/>
          </w:tcPr>
          <w:p>
            <w:pPr>
              <w:pStyle w:val="TableContents"/>
              <w:bidi w:val="0"/>
              <w:spacing w:before="0" w:after="283"/>
              <w:jc w:val="left"/>
              <w:rPr/>
            </w:pPr>
            <w:r>
              <w:rPr/>
              <w:t>GOODWIN PROCTER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1418</Words>
  <Characters>7542</Characters>
  <CharactersWithSpaces>8955</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