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5065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06539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Weber Barbara</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460"/>
        <w:spacing w:after="0" w:line="340" w:lineRule="auto"/>
        <w:rPr>
          <w:sz w:val="20"/>
          <w:szCs w:val="20"/>
          <w:color w:val="auto"/>
        </w:rPr>
      </w:pPr>
      <w:r>
        <w:rPr>
          <w:rFonts w:ascii="Times New Roman" w:cs="Times New Roman" w:eastAsia="Times New Roman" w:hAnsi="Times New Roman"/>
          <w:sz w:val="16"/>
          <w:szCs w:val="16"/>
          <w:color w:val="0000FF"/>
        </w:rPr>
        <w:t>C/O TANGO THERAPEUTICS, INC., 201 BROOKLINE AVE., SUITE 901</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Tango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TNGX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02/02/2026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Director, Executive Chair</w:t>
      </w:r>
    </w:p>
    <w:p>
      <w:pPr>
        <w:spacing w:after="0" w:line="403"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p>
      <w:pPr>
        <w:spacing w:after="0" w:line="203"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02215</w:t>
            </w:r>
          </w:p>
        </w:tc>
      </w:tr>
      <w:tr>
        <w:trPr>
          <w:trHeight w:val="146"/>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9"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20"/>
              <w:spacing w:after="0"/>
              <w:rPr>
                <w:sz w:val="20"/>
                <w:szCs w:val="20"/>
                <w:color w:val="auto"/>
              </w:rPr>
            </w:pPr>
            <w:r>
              <w:rPr>
                <w:rFonts w:ascii="Arial" w:cs="Arial" w:eastAsia="Arial" w:hAnsi="Arial"/>
                <w:sz w:val="11"/>
                <w:szCs w:val="11"/>
                <w:b w:val="1"/>
                <w:bCs w:val="1"/>
                <w:color w:val="auto"/>
              </w:rPr>
              <w:t>2. Transaction</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1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2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spacing w:after="0"/>
              <w:rPr>
                <w:sz w:val="10"/>
                <w:szCs w:val="10"/>
                <w:color w:val="auto"/>
              </w:rPr>
            </w:pPr>
          </w:p>
        </w:tc>
        <w:tc>
          <w:tcPr>
            <w:tcW w:w="1020" w:type="dxa"/>
            <w:vAlign w:val="bottom"/>
            <w:gridSpan w:val="3"/>
          </w:tcPr>
          <w:p>
            <w:pPr>
              <w:ind w:left="2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40" w:type="dxa"/>
            <w:vAlign w:val="bottom"/>
          </w:tcPr>
          <w:p>
            <w:pPr>
              <w:spacing w:after="0"/>
              <w:rPr>
                <w:sz w:val="10"/>
                <w:szCs w:val="10"/>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60" w:type="dxa"/>
            <w:vAlign w:val="bottom"/>
            <w:gridSpan w:val="2"/>
          </w:tcPr>
          <w:p>
            <w:pPr>
              <w:ind w:left="620"/>
              <w:spacing w:after="0"/>
              <w:rPr>
                <w:sz w:val="20"/>
                <w:szCs w:val="20"/>
                <w:color w:val="auto"/>
              </w:rPr>
            </w:pPr>
            <w:r>
              <w:rPr>
                <w:rFonts w:ascii="Arial" w:cs="Arial" w:eastAsia="Arial" w:hAnsi="Arial"/>
                <w:sz w:val="11"/>
                <w:szCs w:val="11"/>
                <w:b w:val="1"/>
                <w:bCs w:val="1"/>
                <w:color w:val="auto"/>
              </w:rPr>
              <w:t>(Month/Day/Year)</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if any</w:t>
            </w:r>
          </w:p>
        </w:tc>
        <w:tc>
          <w:tcPr>
            <w:tcW w:w="18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rPr>
                <w:sz w:val="20"/>
                <w:szCs w:val="20"/>
                <w:color w:val="auto"/>
              </w:rPr>
            </w:pPr>
            <w:r>
              <w:rPr>
                <w:rFonts w:ascii="Arial" w:cs="Arial" w:eastAsia="Arial" w:hAnsi="Arial"/>
                <w:sz w:val="11"/>
                <w:szCs w:val="11"/>
                <w:b w:val="1"/>
                <w:bCs w:val="1"/>
                <w:color w:val="auto"/>
                <w:w w:val="99"/>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7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7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2"/>
          </w:tcPr>
          <w:p>
            <w:pPr>
              <w:ind w:left="700"/>
              <w:spacing w:after="0"/>
              <w:rPr>
                <w:sz w:val="20"/>
                <w:szCs w:val="20"/>
                <w:color w:val="auto"/>
              </w:rPr>
            </w:pPr>
            <w:r>
              <w:rPr>
                <w:rFonts w:ascii="Times New Roman" w:cs="Times New Roman" w:eastAsia="Times New Roman" w:hAnsi="Times New Roman"/>
                <w:sz w:val="17"/>
                <w:szCs w:val="17"/>
                <w:color w:val="0000FF"/>
              </w:rPr>
              <w:t>02/02/2026</w:t>
            </w:r>
          </w:p>
        </w:tc>
        <w:tc>
          <w:tcPr>
            <w:tcW w:w="2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88"/>
              </w:rPr>
              <w:t>37,522</w:t>
            </w:r>
            <w:r>
              <w:rPr>
                <w:rFonts w:ascii="Times New Roman" w:cs="Times New Roman" w:eastAsia="Times New Roman" w:hAnsi="Times New Roman"/>
                <w:sz w:val="21"/>
                <w:szCs w:val="21"/>
                <w:color w:val="008000"/>
                <w:w w:val="88"/>
                <w:vertAlign w:val="superscript"/>
              </w:rPr>
              <w:t>(1)</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20" w:type="dxa"/>
            <w:vAlign w:val="bottom"/>
            <w:tcBorders>
              <w:bottom w:val="single" w:sz="8" w:color="2C2C2C"/>
            </w:tcBorders>
          </w:tcPr>
          <w:p>
            <w:pPr>
              <w:jc w:val="center"/>
              <w:ind w:left="51"/>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1,659,773</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2"/>
          </w:tcPr>
          <w:p>
            <w:pPr>
              <w:ind w:left="700"/>
              <w:spacing w:after="0"/>
              <w:rPr>
                <w:sz w:val="20"/>
                <w:szCs w:val="20"/>
                <w:color w:val="auto"/>
              </w:rPr>
            </w:pPr>
            <w:r>
              <w:rPr>
                <w:rFonts w:ascii="Times New Roman" w:cs="Times New Roman" w:eastAsia="Times New Roman" w:hAnsi="Times New Roman"/>
                <w:sz w:val="17"/>
                <w:szCs w:val="17"/>
                <w:color w:val="0000FF"/>
              </w:rPr>
              <w:t>02/03/2026</w:t>
            </w:r>
          </w:p>
        </w:tc>
        <w:tc>
          <w:tcPr>
            <w:tcW w:w="2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4"/>
              </w:rPr>
              <w:t>30,186</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12.2573</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1,629,587</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2"/>
          </w:tcPr>
          <w:p>
            <w:pPr>
              <w:ind w:left="700"/>
              <w:spacing w:after="0"/>
              <w:rPr>
                <w:sz w:val="20"/>
                <w:szCs w:val="20"/>
                <w:color w:val="auto"/>
              </w:rPr>
            </w:pPr>
            <w:r>
              <w:rPr>
                <w:rFonts w:ascii="Times New Roman" w:cs="Times New Roman" w:eastAsia="Times New Roman" w:hAnsi="Times New Roman"/>
                <w:sz w:val="17"/>
                <w:szCs w:val="17"/>
                <w:color w:val="0000FF"/>
              </w:rPr>
              <w:t>02/03/2026</w:t>
            </w:r>
          </w:p>
        </w:tc>
        <w:tc>
          <w:tcPr>
            <w:tcW w:w="2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333</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12.8971</w:t>
            </w:r>
            <w:r>
              <w:rPr>
                <w:rFonts w:ascii="Times New Roman" w:cs="Times New Roman" w:eastAsia="Times New Roman" w:hAnsi="Times New Roman"/>
                <w:sz w:val="21"/>
                <w:szCs w:val="21"/>
                <w:color w:val="008000"/>
                <w:w w:val="93"/>
                <w:vertAlign w:val="superscript"/>
              </w:rPr>
              <w:t>(4)</w:t>
            </w:r>
          </w:p>
        </w:tc>
        <w:tc>
          <w:tcPr>
            <w:tcW w:w="118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1,629,254</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20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4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80" w:type="dxa"/>
            <w:vAlign w:val="bottom"/>
          </w:tcPr>
          <w:p>
            <w:pPr>
              <w:spacing w:after="0"/>
              <w:rPr>
                <w:sz w:val="11"/>
                <w:szCs w:val="11"/>
                <w:color w:val="auto"/>
              </w:rPr>
            </w:pPr>
          </w:p>
        </w:tc>
        <w:tc>
          <w:tcPr>
            <w:tcW w:w="154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80" w:type="dxa"/>
            <w:vAlign w:val="bottom"/>
          </w:tcPr>
          <w:p>
            <w:pPr>
              <w:spacing w:after="0"/>
              <w:rPr>
                <w:sz w:val="11"/>
                <w:szCs w:val="11"/>
                <w:color w:val="auto"/>
              </w:rPr>
            </w:pPr>
          </w:p>
        </w:tc>
        <w:tc>
          <w:tcPr>
            <w:tcW w:w="154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ind w:left="10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ind w:left="100"/>
              <w:spacing w:after="0"/>
              <w:rPr>
                <w:sz w:val="20"/>
                <w:szCs w:val="20"/>
                <w:color w:val="auto"/>
              </w:rPr>
            </w:pPr>
            <w:r>
              <w:rPr>
                <w:rFonts w:ascii="Arial" w:cs="Arial" w:eastAsia="Arial" w:hAnsi="Arial"/>
                <w:sz w:val="11"/>
                <w:szCs w:val="11"/>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1"/>
                <w:szCs w:val="11"/>
                <w:color w:val="auto"/>
              </w:rPr>
            </w:pPr>
          </w:p>
        </w:tc>
        <w:tc>
          <w:tcPr>
            <w:tcW w:w="720" w:type="dxa"/>
            <w:vAlign w:val="bottom"/>
          </w:tcPr>
          <w:p>
            <w:pPr>
              <w:ind w:left="100"/>
              <w:spacing w:after="0"/>
              <w:rPr>
                <w:sz w:val="20"/>
                <w:szCs w:val="20"/>
                <w:color w:val="auto"/>
              </w:rPr>
            </w:pPr>
            <w:r>
              <w:rPr>
                <w:rFonts w:ascii="Arial" w:cs="Arial" w:eastAsia="Arial" w:hAnsi="Arial"/>
                <w:sz w:val="11"/>
                <w:szCs w:val="11"/>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1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20" w:type="dxa"/>
            <w:vAlign w:val="bottom"/>
          </w:tcPr>
          <w:p>
            <w:pPr>
              <w:ind w:left="100"/>
              <w:spacing w:after="0"/>
              <w:rPr>
                <w:sz w:val="20"/>
                <w:szCs w:val="20"/>
                <w:color w:val="auto"/>
              </w:rPr>
            </w:pPr>
            <w:r>
              <w:rPr>
                <w:rFonts w:ascii="Arial" w:cs="Arial" w:eastAsia="Arial" w:hAnsi="Arial"/>
                <w:sz w:val="11"/>
                <w:szCs w:val="11"/>
                <w:b w:val="1"/>
                <w:bCs w:val="1"/>
                <w:color w:val="auto"/>
              </w:rPr>
              <w:t>of 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11.94</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02/02/2026</w:t>
            </w:r>
          </w:p>
        </w:tc>
        <w:tc>
          <w:tcPr>
            <w:tcW w:w="1080" w:type="dxa"/>
            <w:vAlign w:val="bottom"/>
          </w:tcPr>
          <w:p>
            <w:pPr>
              <w:spacing w:after="0"/>
              <w:rPr>
                <w:sz w:val="17"/>
                <w:szCs w:val="17"/>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17"/>
                <w:szCs w:val="17"/>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222,132</w:t>
            </w:r>
          </w:p>
        </w:tc>
        <w:tc>
          <w:tcPr>
            <w:tcW w:w="180" w:type="dxa"/>
            <w:vAlign w:val="bottom"/>
          </w:tcPr>
          <w:p>
            <w:pPr>
              <w:spacing w:after="0"/>
              <w:rPr>
                <w:sz w:val="17"/>
                <w:szCs w:val="17"/>
                <w:color w:val="auto"/>
              </w:rPr>
            </w:pPr>
          </w:p>
        </w:tc>
        <w:tc>
          <w:tcPr>
            <w:tcW w:w="780" w:type="dxa"/>
            <w:vAlign w:val="bottom"/>
          </w:tcPr>
          <w:p>
            <w:pPr>
              <w:ind w:left="360"/>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02/02/2036</w:t>
            </w: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7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222,132</w:t>
            </w:r>
          </w:p>
        </w:tc>
        <w:tc>
          <w:tcPr>
            <w:tcW w:w="140" w:type="dxa"/>
            <w:vAlign w:val="bottom"/>
          </w:tcPr>
          <w:p>
            <w:pPr>
              <w:spacing w:after="0"/>
              <w:rPr>
                <w:sz w:val="17"/>
                <w:szCs w:val="17"/>
                <w:color w:val="auto"/>
              </w:rPr>
            </w:pPr>
          </w:p>
        </w:tc>
        <w:tc>
          <w:tcPr>
            <w:tcW w:w="580" w:type="dxa"/>
            <w:vAlign w:val="bottom"/>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222,132</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jc w:val="center"/>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represented by restricted stock units (the "RSUs"). Each RSU represents a contingent right to receive one share of Common Stock of the Issuer. The RSUs will vest in full on February 1, 2027, subject to the Reporting Person's continuous service with the Issuer as of such vesting date.</w:t>
      </w:r>
    </w:p>
    <w:p>
      <w:pPr>
        <w:spacing w:after="0" w:line="19" w:lineRule="exact"/>
        <w:rPr>
          <w:rFonts w:ascii="Times New Roman" w:cs="Times New Roman" w:eastAsia="Times New Roman" w:hAnsi="Times New Roman"/>
          <w:sz w:val="13"/>
          <w:szCs w:val="13"/>
          <w:color w:val="008000"/>
        </w:rPr>
      </w:pPr>
    </w:p>
    <w:p>
      <w:pPr>
        <w:ind w:left="40" w:right="4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Issuer has adopted a "sell-to-cover" policy to satisfy the tax withholding obligations of the Reporting Person. The sales reported on this Form 4 represent the number of shares required to be sold by the Reporting Person to cover tax withholding obligations in connection with the vesting of restricted stock units. Such sales were automatic and not at the discretion of the Reporting Person.</w:t>
      </w:r>
    </w:p>
    <w:p>
      <w:pPr>
        <w:spacing w:after="0" w:line="19" w:lineRule="exact"/>
        <w:rPr>
          <w:rFonts w:ascii="Times New Roman" w:cs="Times New Roman" w:eastAsia="Times New Roman" w:hAnsi="Times New Roman"/>
          <w:sz w:val="13"/>
          <w:szCs w:val="13"/>
          <w:color w:val="008000"/>
        </w:rPr>
      </w:pPr>
    </w:p>
    <w:p>
      <w:pPr>
        <w:ind w:left="40" w:right="3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sales price per share. The shares sold at prices ranging from $11.88 to $12.875 per share. Full information regarding the number of shares sold at each price shall be provided upon request to the staff of the U.S. Securities and Exchange Commission, the Issuer, or a security holder of the Issuer.</w:t>
      </w:r>
    </w:p>
    <w:p>
      <w:pPr>
        <w:spacing w:after="0" w:line="19" w:lineRule="exact"/>
        <w:rPr>
          <w:rFonts w:ascii="Times New Roman" w:cs="Times New Roman" w:eastAsia="Times New Roman" w:hAnsi="Times New Roman"/>
          <w:sz w:val="13"/>
          <w:szCs w:val="13"/>
          <w:color w:val="008000"/>
        </w:rPr>
      </w:pPr>
    </w:p>
    <w:p>
      <w:pPr>
        <w:ind w:left="40" w:right="16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sales price per share. The shares sold at prices ranging from $12.88 to $12.91 per share. Full information regarding the number of shares sold at each price shall be provided upon request to the staff of the U.S. Securities and Exchange Commission, the Issuer, or a security holder of the Issuer.</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shall vest and become exercisable in 12 equal monthly installments following January 1, 2026, subject to the Reporting Person's continuous service with the Issuer as of each such vesting date.</w:t>
      </w:r>
    </w:p>
    <w:p>
      <w:pPr>
        <w:spacing w:after="0" w:line="4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Daniella Beckman, as</w:t>
            </w:r>
          </w:p>
        </w:tc>
        <w:tc>
          <w:tcPr>
            <w:tcW w:w="560" w:type="dxa"/>
            <w:vAlign w:val="bottom"/>
          </w:tcPr>
          <w:p>
            <w:pPr>
              <w:spacing w:after="0"/>
              <w:rPr>
                <w:sz w:val="17"/>
                <w:szCs w:val="17"/>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02/04/2026</w:t>
            </w:r>
          </w:p>
        </w:tc>
        <w:tc>
          <w:tcPr>
            <w:tcW w:w="0" w:type="dxa"/>
            <w:vAlign w:val="bottom"/>
          </w:tcPr>
          <w:p>
            <w:pPr>
              <w:spacing w:after="0"/>
              <w:rPr>
                <w:sz w:val="1"/>
                <w:szCs w:val="1"/>
                <w:color w:val="auto"/>
              </w:rPr>
            </w:pPr>
          </w:p>
        </w:tc>
      </w:tr>
      <w:tr>
        <w:trPr>
          <w:trHeight w:val="87"/>
        </w:trPr>
        <w:tc>
          <w:tcPr>
            <w:tcW w:w="102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94"/>
              </w:rPr>
              <w:t>attorney-in-fact</w:t>
            </w:r>
          </w:p>
        </w:tc>
        <w:tc>
          <w:tcPr>
            <w:tcW w:w="118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020" w:type="dxa"/>
            <w:vAlign w:val="bottom"/>
            <w:tcBorders>
              <w:bottom w:val="single" w:sz="8" w:color="auto"/>
            </w:tcBorders>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00670" TargetMode="External"/><Relationship Id="rId14" Type="http://schemas.openxmlformats.org/officeDocument/2006/relationships/hyperlink" Target="http://www.sec.gov/cgi-bin/browse-edgar?action=getcompany&amp;CIK=0001819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2026-02-04T19:10:40Z</dcterms:created>
  <dcterms:modified xsi:type="dcterms:W3CDTF">2026-02-04T19:10:40Z</dcterms:modified>
</cp:coreProperties>
</file>