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8,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BCTG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3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85-1195036</w:t>
            </w:r>
          </w:p>
        </w:tc>
        <w:tc>
          <w:tcPr>
            <w:tcW w:w="2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4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11682 El Camino Real, Suite 320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92130</w:t>
            </w:r>
          </w:p>
        </w:tc>
        <w:tc>
          <w:tcPr>
            <w:tcW w:w="20" w:type="dxa"/>
            <w:vAlign w:val="bottom"/>
            <w:tcBorders>
              <w:bottom w:val="single" w:sz="8" w:color="auto"/>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400-3112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BCTG</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Nadsaq Stock Market LLC</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on a Current Report on Form 8-K dated September 9, 2020, BCTG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consummated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16,675,000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includes full exercise of the underwriter’s over-allotment option. The shares of Common Stock were sold at a price of $10.00 per share of Common Stock, generating gross proceeds to the Company of $166,750,000.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private placement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with BCTG Holdings, LLC, its sponsor, of 533,500 shares of Common Stock (the “</w:t>
      </w:r>
      <w:r>
        <w:rPr>
          <w:rFonts w:ascii="Times New Roman" w:cs="Times New Roman" w:eastAsia="Times New Roman" w:hAnsi="Times New Roman"/>
          <w:sz w:val="18"/>
          <w:szCs w:val="18"/>
          <w:u w:val="single" w:color="auto"/>
          <w:color w:val="auto"/>
        </w:rPr>
        <w:t>Private Shares</w:t>
      </w:r>
      <w:r>
        <w:rPr>
          <w:rFonts w:ascii="Times New Roman" w:cs="Times New Roman" w:eastAsia="Times New Roman" w:hAnsi="Times New Roman"/>
          <w:sz w:val="18"/>
          <w:szCs w:val="18"/>
          <w:color w:val="auto"/>
        </w:rPr>
        <w:t>”) at a price of $10.00 per share, generating total proceeds of $5,335,000.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8, 2020, a total of $166,750,000.00 of the net proceeds from the IPO and the Private Placement were deposited in a trust account established for the benefit of the Company’s public stockholders at JPMorgan Chase Bank, N.A., with Continental Stock Transfer &amp; Trust Company, LLC, acting as trustee.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audited balance sheet as of September 8, 2020 reflecting receipt of the proceeds upon consummation of the IPO and the Private Placement is included with this report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Borders>
              <w:top w:val="single" w:sz="8" w:color="auto"/>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Balance Sheet dated September 8, 2020</w:t>
              </w:r>
            </w:hyperlink>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7"/>
        </w:trPr>
        <w:tc>
          <w:tcPr>
            <w:tcW w:w="4340" w:type="dxa"/>
            <w:vAlign w:val="bottom"/>
          </w:tcPr>
          <w:p>
            <w:pPr>
              <w:spacing w:after="0"/>
              <w:rPr>
                <w:sz w:val="24"/>
                <w:szCs w:val="24"/>
                <w:color w:val="auto"/>
              </w:rPr>
            </w:pPr>
          </w:p>
        </w:tc>
        <w:tc>
          <w:tcPr>
            <w:tcW w:w="6920" w:type="dxa"/>
            <w:vAlign w:val="bottom"/>
            <w:gridSpan w:val="2"/>
          </w:tcPr>
          <w:p>
            <w:pPr>
              <w:jc w:val="center"/>
              <w:ind w:left="5664"/>
              <w:spacing w:after="0"/>
              <w:rPr>
                <w:sz w:val="20"/>
                <w:szCs w:val="20"/>
                <w:color w:val="auto"/>
              </w:rPr>
            </w:pPr>
            <w:r>
              <w:rPr>
                <w:rFonts w:ascii="Times New Roman" w:cs="Times New Roman" w:eastAsia="Times New Roman" w:hAnsi="Times New Roman"/>
                <w:sz w:val="22"/>
                <w:szCs w:val="22"/>
                <w:b w:val="1"/>
                <w:bCs w:val="1"/>
                <w:color w:val="auto"/>
                <w:w w:val="98"/>
              </w:rPr>
              <w:t>Exhibit 99.1</w:t>
            </w:r>
          </w:p>
        </w:tc>
        <w:tc>
          <w:tcPr>
            <w:tcW w:w="0" w:type="dxa"/>
            <w:vAlign w:val="bottom"/>
          </w:tcPr>
          <w:p>
            <w:pPr>
              <w:spacing w:after="0"/>
              <w:rPr>
                <w:sz w:val="1"/>
                <w:szCs w:val="1"/>
                <w:color w:val="auto"/>
              </w:rPr>
            </w:pPr>
          </w:p>
        </w:tc>
      </w:tr>
      <w:tr>
        <w:trPr>
          <w:trHeight w:val="420"/>
        </w:trPr>
        <w:tc>
          <w:tcPr>
            <w:tcW w:w="4340" w:type="dxa"/>
            <w:vAlign w:val="bottom"/>
          </w:tcPr>
          <w:p>
            <w:pPr>
              <w:spacing w:after="0"/>
              <w:rPr>
                <w:sz w:val="24"/>
                <w:szCs w:val="24"/>
                <w:color w:val="auto"/>
              </w:rPr>
            </w:pPr>
          </w:p>
        </w:tc>
        <w:tc>
          <w:tcPr>
            <w:tcW w:w="692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8"/>
              </w:rPr>
              <w:t>BCTG ACQUISITION CORP.</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Report of Independent Registered Public Accounting Firm</w:t>
              </w:r>
            </w:hyperlink>
          </w:p>
        </w:tc>
        <w:tc>
          <w:tcPr>
            <w:tcW w:w="6900" w:type="dxa"/>
            <w:vAlign w:val="bottom"/>
            <w:shd w:val="clear" w:color="auto" w:fill="CCEEFF"/>
          </w:tcPr>
          <w:p>
            <w:pPr>
              <w:jc w:val="center"/>
              <w:ind w:left="5684"/>
              <w:spacing w:after="0"/>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Balance Sheet</w:t>
              </w:r>
            </w:hyperlink>
          </w:p>
        </w:tc>
        <w:tc>
          <w:tcPr>
            <w:tcW w:w="6900" w:type="dxa"/>
            <w:vAlign w:val="bottom"/>
          </w:tcPr>
          <w:p>
            <w:pPr>
              <w:jc w:val="center"/>
              <w:ind w:left="5684"/>
              <w:spacing w:after="0"/>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Financial Statement</w:t>
              </w:r>
            </w:hyperlink>
          </w:p>
        </w:tc>
        <w:tc>
          <w:tcPr>
            <w:tcW w:w="6900" w:type="dxa"/>
            <w:vAlign w:val="bottom"/>
            <w:shd w:val="clear" w:color="auto" w:fill="CCEEFF"/>
          </w:tcPr>
          <w:p>
            <w:pPr>
              <w:jc w:val="center"/>
              <w:ind w:left="5684"/>
              <w:spacing w:after="0"/>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jc w:val="center"/>
              <w:ind w:right="4224"/>
              <w:spacing w:after="0"/>
              <w:rPr>
                <w:sz w:val="20"/>
                <w:szCs w:val="20"/>
                <w:color w:val="auto"/>
              </w:rPr>
            </w:pPr>
            <w:r>
              <w:rPr>
                <w:rFonts w:ascii="Times New Roman" w:cs="Times New Roman" w:eastAsia="Times New Roman" w:hAnsi="Times New Roman"/>
                <w:sz w:val="22"/>
                <w:szCs w:val="22"/>
                <w:color w:val="auto"/>
                <w:w w:val="98"/>
              </w:rPr>
              <w:t>F-1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BCTG Acquisition Corp. (the “Company”) as of September 8, 2020, and the related notes (collectively referred to as the “financial statement”). In our opinion, the financial statement presents fairly, in all material respects, the financial position of the Company as of September 8,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BCTG ACQUISITION CORP.</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September 8, 2020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1,739,468</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166,750,000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168,518,668</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127,232</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198,076</w:t>
            </w:r>
          </w:p>
        </w:tc>
        <w:tc>
          <w:tcPr>
            <w:tcW w:w="10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5,836,250</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6,034,326</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15,748,434 shares subject to possible redemption at $10.00 per share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157,484,340</w:t>
            </w: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Common stock, $0.0001 par value; 30,000,000 shares authorized; 5,628,816 shares issued and outstanding (excluding 15,748,434 shares subject to possible redemption)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563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5,000,355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(916)</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5,000,002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$ 168,518,668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180"/>
            <w:col w:w="1220"/>
          </w:cols>
          <w:pgMar w:left="320" w:top="900"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BCTG Acquisition Corp. (the “Company”) is a newly organized blank check company incorporated in Delaware and formed for the purpose of effecting into a merger, share exchange, asset acquisition, stock purchase, recapitalization, reorganization or other similar business combination with one or more businesses or entities (“Business Combination”). Although the Company is not limited to a particular industry or geographic region for purposes of consummating a Business Combination, the Company intends to focus on businesses that have their primary operations located in North America and Europe in the biotechnology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8, 2020, the Company had not yet commenced operations. All activity for the period from May 21, 2020 (inception) through September 8, 2020 relates to the Company’s formation and the initial public offering (the “Initial Public Offering”), which is described below. The Company has selected December 31 as its fiscal year end.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$166.8 million ($10.00 per Unit) of the net proceeds of the Initial Public Offering and certain of the proceeds of the Private Placement were placed in a trust account (“Trust Account”) in the United States maintained by Continental Stock Transfer &amp; Trust Company, as trustee, and will be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“Initial Stockholders”)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80" w:lineRule="exact"/>
        <w:rPr>
          <w:sz w:val="20"/>
          <w:szCs w:val="20"/>
          <w:color w:val="auto"/>
        </w:rPr>
      </w:pPr>
    </w:p>
    <w:p>
      <w:pPr>
        <w:jc w:val="both"/>
        <w:ind w:firstLine="53"/>
        <w:spacing w:after="0" w:line="261" w:lineRule="auto"/>
        <w:rPr>
          <w:sz w:val="20"/>
          <w:szCs w:val="20"/>
          <w:color w:val="auto"/>
        </w:rPr>
      </w:pPr>
      <w:r>
        <w:rPr>
          <w:rFonts w:ascii="Times New Roman" w:cs="Times New Roman" w:eastAsia="Times New Roman" w:hAnsi="Times New Roman"/>
          <w:sz w:val="18"/>
          <w:szCs w:val="18"/>
          <w:color w:val="auto"/>
        </w:rPr>
        <w:t>The Company’s Sponsor, executive officers, directors and director nominees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Business Combination has not been consummated within 24 months from the closing of the Initial Public Offering, or September 8, 2022 (the “Combination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this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 is presented in U.S. dollars in conformity with accounting principles generally accepted in the United States of America (“U.S. GAAP”) and pursuant to the rules and regulations of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8, 2020, the Company had approximately $1.7 million in its operating bank account, and working capital of approximately $1.6 million.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cash payment of $25,000 from Sponsor to purchase the Founder Shares, the loan of approximately $127,000 from the Sponsor pursuant to the Note (see Note 5), and the proceeds from the consummation of the Private Placement not held in the Trust Account. The Company fully repaid the Note on September 10, 2020. In addition, in order to finance transaction costs in connection with a Business Combination, the Sponsor or an affiliate of the Sponsor, or certain of the Company’s officers and directors may, but are not obligated to, provide the Company Working Capital Loans (see Note 5). As of September 8, 2020, there were no amounts outstanding under any Working Capital Loan.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coverage of $250,000. At September 8, 2020, the Company had not experienced losses on this account and management believes the Company is not exposed to significant risks on such account.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Equity</w:t>
      </w:r>
      <w:r>
        <w:rPr>
          <w:rFonts w:ascii="Times New Roman" w:cs="Times New Roman" w:eastAsia="Times New Roman" w:hAnsi="Times New Roman"/>
          <w:sz w:val="18"/>
          <w:szCs w:val="18"/>
          <w:color w:val="auto"/>
        </w:rPr>
        <w:t>.” Common stock subject to mandatory redemption (if any) are classified as liability instruments and are measured at redemption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Conditionally redeemable shares of common stock (including shares of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common stock features certain redemption rights that are considered to be outside of the Company’s control and subject to the occurrence of uncertain future events. Accordingly, at September 8, 2020, 15,748,434 shares of common stock subject to possible redemption are presented as temporary equity, outside of the stockholders’ equity section of the Company’s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unrecognized tax benefits as of September 8, 2020. 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No amounts were accrued for the payment of interest and penalties at September 8,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proceeds from the Private Placement Shares was added to the proceeds from the Initial Public Offering to be held in the Trust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has agreed to forfeit up to an aggregate of 543,750 Founder Shares, so that the Founder Shares would represent 20% of the Company’s issued and outstanding shares after the Initial Public Offering. The underwriters fully exercised the over-allotment option on September 8, 2020; thus, these Founder Shares were no longer subject to forfeiture.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21, 2020 and June 10, 2020, the Sponsor agreed to loan the Company up to $25,025 and $274,975, respectively, for an aggregate amount of $300,000 to be used for the payment of costs related to the Initial Public Offering pursuant to a promissory note (each, a “Note” and, collectively, the “Notes”). The Notes were non-interest bearing, unsecured and due upon the date the Company consummated the Initial Public Offering. The Company borrowed approximately $127,000 under the Notes. The Company repaid the Notes in full on September 10, 2020.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will not be repaid. Such private placement shares would be identical to the Private Placement Shares. To date, the Company had no borrowings under the Working Capital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in connection with the Business Combination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entered into an agreement to purchase at least $25.0 million of the Company’s private shares, representing an aggregate of 2,500,000 shares of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stockholder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from the date of the prospectus to purchase up to 2,175,000 additional shares at the Initial Public Offering price less the underwriting discounts and commissions. On September 8, 2020, the underwriters fully exercised the over-allotment option.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Preferred stock — </w:t>
      </w:r>
      <w:r>
        <w:rPr>
          <w:rFonts w:ascii="Times New Roman" w:cs="Times New Roman" w:eastAsia="Times New Roman" w:hAnsi="Times New Roman"/>
          <w:sz w:val="18"/>
          <w:szCs w:val="18"/>
          <w:color w:val="auto"/>
        </w:rPr>
        <w:t>The Company is authorized to issue 1,000,000 preferred stock with a par value of $0.0001 per share. At September 8, 2020, there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preferred stock issued or outstanding.</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—The Company is authorized to issue 30,000,000 shares of common stock, par value $0.0001. Holders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entitled to one vote for each share. On September 2, 2020, the Company declared a dividend of 0.16 shares for each outstanding share of common stock (an aggregate of 575,000 shares). All shares and associated amounts have been retroactively restated to reflect the share dividend. As of September 8, 2020, there were 21,377,250 shares of common stock outstanding, including 15,748,434 shares of common stock subject to possible conversion that were classified as temporary equity in the accompanying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10, 2020, the Company repaid the Note balance of approximately $127,000 in full.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September 14, 2020, the date the financial statement was available for issuance, require potential adjustment to or disclosure in the financial statement and has concluded that, except as noted above, all such events that would require recognition or disclosure have been recognized or disclosed.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2020-09-14T16:09:20Z</dcterms:created>
  <dcterms:modified xsi:type="dcterms:W3CDTF">2020-09-14T16:09:20Z</dcterms:modified>
</cp:coreProperties>
</file>