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399"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140" w:right="1600" w:hanging="3119"/>
        <w:spacing w:after="0" w:line="399"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TANGO THERAPEUTICS, INC.</w:t>
      </w:r>
    </w:p>
    <w:p>
      <w:pPr>
        <w:sectPr>
          <w:pgSz w:w="11900" w:h="16838" w:orient="portrait"/>
          <w:cols w:equalWidth="0" w:num="1">
            <w:col w:w="11240"/>
          </w:cols>
          <w:pgMar w:left="320" w:top="746" w:right="339" w:bottom="1440" w:gutter="0" w:footer="0" w:header="0"/>
        </w:sectPr>
      </w:pP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85-1195036</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71" w:lineRule="exact"/>
        <w:rPr>
          <w:sz w:val="24"/>
          <w:szCs w:val="24"/>
          <w:color w:val="auto"/>
        </w:rPr>
      </w:pPr>
    </w:p>
    <w:p>
      <w:pPr>
        <w:sectPr>
          <w:pgSz w:w="11900" w:h="16838" w:orient="portrait"/>
          <w:cols w:equalWidth="0" w:num="2">
            <w:col w:w="7700" w:space="240"/>
            <w:col w:w="3300"/>
          </w:cols>
          <w:pgMar w:left="320" w:top="746"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89"/>
              </w:rPr>
              <w:t>100 Binney St., Suite 700</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5"/>
              </w:rPr>
              <w:t>Cambridge, MA</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00" w:type="dxa"/>
            <w:vAlign w:val="bottom"/>
          </w:tcPr>
          <w:p>
            <w:pPr>
              <w:jc w:val="right"/>
              <w:ind w:right="2501"/>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jc w:val="center"/>
              <w:ind w:right="104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(857) 320-4900</w:t>
            </w:r>
          </w:p>
        </w:tc>
        <w:tc>
          <w:tcPr>
            <w:tcW w:w="5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22"/>
        </w:trPr>
        <w:tc>
          <w:tcPr>
            <w:tcW w:w="4500" w:type="dxa"/>
            <w:vAlign w:val="bottom"/>
            <w:gridSpan w:val="3"/>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4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4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TNGX</w:t>
            </w:r>
          </w:p>
        </w:tc>
        <w:tc>
          <w:tcPr>
            <w:tcW w:w="4500" w:type="dxa"/>
            <w:vAlign w:val="bottom"/>
          </w:tcPr>
          <w:p>
            <w:pPr>
              <w:jc w:val="center"/>
              <w:ind w:right="461"/>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5, 2021, the registrant had 87,546,430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Redeemable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1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vMerge w:val="continue"/>
          </w:tcPr>
          <w:p>
            <w:pPr>
              <w:spacing w:after="0"/>
              <w:rPr>
                <w:sz w:val="24"/>
                <w:szCs w:val="24"/>
                <w:color w:val="auto"/>
              </w:rPr>
            </w:pPr>
          </w:p>
        </w:tc>
        <w:tc>
          <w:tcPr>
            <w:tcW w:w="930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324" w:lineRule="exact"/>
        <w:rPr>
          <w:sz w:val="20"/>
          <w:szCs w:val="20"/>
          <w:color w:val="auto"/>
        </w:rPr>
      </w:pPr>
    </w:p>
    <w:p>
      <w:pPr>
        <w:ind w:right="280" w:firstLine="599"/>
        <w:spacing w:after="0" w:line="359" w:lineRule="auto"/>
        <w:rPr>
          <w:sz w:val="20"/>
          <w:szCs w:val="20"/>
          <w:color w:val="auto"/>
        </w:rPr>
      </w:pPr>
      <w:r>
        <w:rPr>
          <w:rFonts w:ascii="Arial" w:cs="Arial" w:eastAsia="Arial" w:hAnsi="Arial"/>
          <w:sz w:val="16"/>
          <w:szCs w:val="16"/>
          <w:color w:val="auto"/>
        </w:rPr>
        <w:t>Our business is subject to numerous material and other risks that you should be aware of before making an investment decision. These risks are described more fully in the section of this Quarterly Report on Form 10-Q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risks include, among others, the following:</w:t>
      </w:r>
    </w:p>
    <w:p>
      <w:pPr>
        <w:spacing w:after="0" w:line="138" w:lineRule="exact"/>
        <w:rPr>
          <w:sz w:val="20"/>
          <w:szCs w:val="20"/>
          <w:color w:val="auto"/>
        </w:rPr>
      </w:pPr>
    </w:p>
    <w:p>
      <w:pPr>
        <w:ind w:left="1040" w:right="64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96"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288" w:lineRule="exact"/>
        <w:rPr>
          <w:rFonts w:ascii="Arial" w:cs="Arial" w:eastAsia="Arial" w:hAnsi="Arial"/>
          <w:sz w:val="16"/>
          <w:szCs w:val="16"/>
          <w:color w:val="auto"/>
        </w:rPr>
      </w:pPr>
    </w:p>
    <w:p>
      <w:pPr>
        <w:ind w:left="1040" w:right="80" w:hanging="452"/>
        <w:spacing w:after="0" w:line="293"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96" w:lineRule="exact"/>
        <w:rPr>
          <w:rFonts w:ascii="Arial" w:cs="Arial" w:eastAsia="Arial" w:hAnsi="Arial"/>
          <w:sz w:val="18"/>
          <w:szCs w:val="18"/>
          <w:color w:val="auto"/>
        </w:rPr>
      </w:pPr>
    </w:p>
    <w:p>
      <w:pPr>
        <w:ind w:left="1040" w:right="20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96" w:lineRule="exact"/>
        <w:rPr>
          <w:rFonts w:ascii="Arial" w:cs="Arial" w:eastAsia="Arial" w:hAnsi="Arial"/>
          <w:sz w:val="18"/>
          <w:szCs w:val="18"/>
          <w:color w:val="auto"/>
        </w:rPr>
      </w:pPr>
    </w:p>
    <w:p>
      <w:pPr>
        <w:ind w:left="1040" w:right="26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209" w:lineRule="exact"/>
        <w:rPr>
          <w:rFonts w:ascii="Arial" w:cs="Arial" w:eastAsia="Arial" w:hAnsi="Arial"/>
          <w:sz w:val="18"/>
          <w:szCs w:val="18"/>
          <w:color w:val="auto"/>
        </w:rPr>
      </w:pPr>
    </w:p>
    <w:p>
      <w:pPr>
        <w:ind w:left="1040" w:right="2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209" w:lineRule="exact"/>
        <w:rPr>
          <w:rFonts w:ascii="Arial" w:cs="Arial" w:eastAsia="Arial" w:hAnsi="Arial"/>
          <w:sz w:val="18"/>
          <w:szCs w:val="18"/>
          <w:color w:val="auto"/>
        </w:rPr>
      </w:pPr>
    </w:p>
    <w:p>
      <w:pPr>
        <w:ind w:left="1040" w:hanging="46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w:t>
      </w:r>
    </w:p>
    <w:p>
      <w:pPr>
        <w:spacing w:after="0" w:line="265" w:lineRule="exact"/>
        <w:rPr>
          <w:rFonts w:ascii="Arial" w:cs="Arial" w:eastAsia="Arial" w:hAnsi="Arial"/>
          <w:sz w:val="18"/>
          <w:szCs w:val="18"/>
          <w:color w:val="auto"/>
        </w:rPr>
      </w:pPr>
    </w:p>
    <w:p>
      <w:pPr>
        <w:ind w:left="1040" w:right="2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209" w:lineRule="exact"/>
        <w:rPr>
          <w:rFonts w:ascii="Arial" w:cs="Arial" w:eastAsia="Arial" w:hAnsi="Arial"/>
          <w:sz w:val="18"/>
          <w:szCs w:val="18"/>
          <w:color w:val="auto"/>
        </w:rPr>
      </w:pPr>
    </w:p>
    <w:p>
      <w:pPr>
        <w:ind w:left="1040" w:right="40" w:hanging="452"/>
        <w:spacing w:after="0" w:line="275"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212" w:lineRule="exact"/>
        <w:rPr>
          <w:rFonts w:ascii="Arial" w:cs="Arial" w:eastAsia="Arial" w:hAnsi="Arial"/>
          <w:sz w:val="18"/>
          <w:szCs w:val="18"/>
          <w:color w:val="auto"/>
        </w:rPr>
      </w:pPr>
    </w:p>
    <w:p>
      <w:pPr>
        <w:ind w:left="1040" w:hanging="46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196" w:lineRule="exact"/>
        <w:rPr>
          <w:rFonts w:ascii="Arial" w:cs="Arial" w:eastAsia="Arial" w:hAnsi="Arial"/>
          <w:sz w:val="18"/>
          <w:szCs w:val="18"/>
          <w:color w:val="auto"/>
        </w:rPr>
      </w:pPr>
    </w:p>
    <w:p>
      <w:pPr>
        <w:ind w:left="1040" w:right="30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209" w:lineRule="exact"/>
        <w:rPr>
          <w:rFonts w:ascii="Arial" w:cs="Arial" w:eastAsia="Arial" w:hAnsi="Arial"/>
          <w:sz w:val="18"/>
          <w:szCs w:val="18"/>
          <w:color w:val="auto"/>
        </w:rPr>
      </w:pPr>
    </w:p>
    <w:p>
      <w:pPr>
        <w:ind w:left="1040" w:right="8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209" w:lineRule="exact"/>
        <w:rPr>
          <w:rFonts w:ascii="Arial" w:cs="Arial" w:eastAsia="Arial" w:hAnsi="Arial"/>
          <w:sz w:val="18"/>
          <w:szCs w:val="18"/>
          <w:color w:val="auto"/>
        </w:rPr>
      </w:pPr>
    </w:p>
    <w:p>
      <w:pPr>
        <w:ind w:left="1040" w:right="160" w:hanging="452"/>
        <w:spacing w:after="0" w:line="279"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9" w:lineRule="exact"/>
        <w:rPr>
          <w:rFonts w:ascii="Arial" w:cs="Arial" w:eastAsia="Arial" w:hAnsi="Arial"/>
          <w:sz w:val="18"/>
          <w:szCs w:val="18"/>
          <w:color w:val="auto"/>
        </w:rPr>
      </w:pPr>
    </w:p>
    <w:p>
      <w:pPr>
        <w:ind w:left="1040" w:right="320" w:hanging="465"/>
        <w:spacing w:after="0" w:line="324"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 w:name="page4"/>
    <w:bookmarkEnd w:id="3"/>
    <w:p>
      <w:pPr>
        <w:ind w:left="1040" w:right="40" w:hanging="452"/>
        <w:spacing w:after="0" w:line="27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12" w:lineRule="exact"/>
        <w:rPr>
          <w:rFonts w:ascii="Arial" w:cs="Arial" w:eastAsia="Arial" w:hAnsi="Arial"/>
          <w:sz w:val="18"/>
          <w:szCs w:val="18"/>
          <w:color w:val="auto"/>
        </w:rPr>
      </w:pPr>
    </w:p>
    <w:p>
      <w:pPr>
        <w:ind w:left="1040" w:right="140" w:hanging="452"/>
        <w:spacing w:after="0" w:line="275"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12" w:lineRule="exact"/>
        <w:rPr>
          <w:rFonts w:ascii="Arial" w:cs="Arial" w:eastAsia="Arial" w:hAnsi="Arial"/>
          <w:sz w:val="18"/>
          <w:szCs w:val="18"/>
          <w:color w:val="auto"/>
        </w:rPr>
      </w:pPr>
    </w:p>
    <w:p>
      <w:pPr>
        <w:ind w:left="1040" w:right="440" w:hanging="452"/>
        <w:spacing w:after="0" w:line="324"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6" w:lineRule="exact"/>
        <w:rPr>
          <w:sz w:val="20"/>
          <w:szCs w:val="20"/>
          <w:color w:val="auto"/>
        </w:rPr>
      </w:pPr>
    </w:p>
    <w:p>
      <w:pPr>
        <w:ind w:firstLine="495"/>
        <w:spacing w:after="0" w:line="287" w:lineRule="auto"/>
        <w:rPr>
          <w:sz w:val="20"/>
          <w:szCs w:val="20"/>
          <w:color w:val="auto"/>
        </w:rPr>
      </w:pPr>
      <w:r>
        <w:rPr>
          <w:rFonts w:ascii="Arial" w:cs="Arial" w:eastAsia="Arial" w:hAnsi="Arial"/>
          <w:sz w:val="17"/>
          <w:szCs w:val="17"/>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5" w:lineRule="exact"/>
        <w:rPr>
          <w:sz w:val="20"/>
          <w:szCs w:val="20"/>
          <w:color w:val="auto"/>
        </w:rPr>
      </w:pPr>
    </w:p>
    <w:p>
      <w:pPr>
        <w:ind w:left="1040" w:right="60" w:hanging="452"/>
        <w:spacing w:after="0" w:line="303"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91" w:lineRule="exact"/>
        <w:rPr>
          <w:rFonts w:ascii="Arial" w:cs="Arial" w:eastAsia="Arial" w:hAnsi="Arial"/>
          <w:sz w:val="17"/>
          <w:szCs w:val="17"/>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w:t>
      </w:r>
    </w:p>
    <w:p>
      <w:pPr>
        <w:spacing w:after="0" w:line="265" w:lineRule="exact"/>
        <w:rPr>
          <w:rFonts w:ascii="Arial" w:cs="Arial" w:eastAsia="Arial" w:hAnsi="Arial"/>
          <w:sz w:val="18"/>
          <w:szCs w:val="18"/>
          <w:color w:val="auto"/>
        </w:rPr>
      </w:pPr>
    </w:p>
    <w:p>
      <w:pPr>
        <w:ind w:left="1040" w:right="40" w:hanging="452"/>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96" w:lineRule="exact"/>
        <w:rPr>
          <w:rFonts w:ascii="Arial" w:cs="Arial" w:eastAsia="Arial" w:hAnsi="Arial"/>
          <w:sz w:val="18"/>
          <w:szCs w:val="18"/>
          <w:color w:val="auto"/>
        </w:rPr>
      </w:pPr>
    </w:p>
    <w:p>
      <w:pPr>
        <w:ind w:left="1040" w:right="820" w:hanging="452"/>
        <w:spacing w:after="0" w:line="293"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96" w:lineRule="exact"/>
        <w:rPr>
          <w:rFonts w:ascii="Arial" w:cs="Arial" w:eastAsia="Arial" w:hAnsi="Arial"/>
          <w:sz w:val="18"/>
          <w:szCs w:val="18"/>
          <w:color w:val="auto"/>
        </w:rPr>
      </w:pPr>
    </w:p>
    <w:p>
      <w:pPr>
        <w:ind w:left="1040" w:right="120" w:hanging="452"/>
        <w:spacing w:after="0" w:line="27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209"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 w:name="page5"/>
    <w:bookmarkEnd w:id="4"/>
    <w:p>
      <w:pPr>
        <w:ind w:left="1040" w:right="180" w:hanging="452"/>
        <w:spacing w:after="0" w:line="29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96"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277" w:lineRule="exact"/>
        <w:rPr>
          <w:rFonts w:ascii="Arial" w:cs="Arial" w:eastAsia="Arial" w:hAnsi="Arial"/>
          <w:sz w:val="17"/>
          <w:szCs w:val="17"/>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65"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265" w:lineRule="exact"/>
        <w:rPr>
          <w:rFonts w:ascii="Arial" w:cs="Arial" w:eastAsia="Arial" w:hAnsi="Arial"/>
          <w:sz w:val="18"/>
          <w:szCs w:val="18"/>
          <w:color w:val="auto"/>
        </w:rPr>
      </w:pPr>
    </w:p>
    <w:p>
      <w:pPr>
        <w:ind w:left="1040" w:right="400" w:hanging="452"/>
        <w:spacing w:after="0" w:line="32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74" w:lineRule="exact"/>
        <w:rPr>
          <w:rFonts w:ascii="Arial" w:cs="Arial" w:eastAsia="Arial" w:hAnsi="Arial"/>
          <w:sz w:val="17"/>
          <w:szCs w:val="17"/>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306" w:lineRule="exact"/>
        <w:rPr>
          <w:sz w:val="20"/>
          <w:szCs w:val="20"/>
          <w:color w:val="auto"/>
        </w:rPr>
      </w:pPr>
    </w:p>
    <w:p>
      <w:pPr>
        <w:ind w:right="40" w:firstLine="495"/>
        <w:spacing w:after="0" w:line="306" w:lineRule="auto"/>
        <w:rPr>
          <w:sz w:val="20"/>
          <w:szCs w:val="20"/>
          <w:color w:val="auto"/>
        </w:rPr>
      </w:pPr>
      <w:r>
        <w:rPr>
          <w:rFonts w:ascii="Arial" w:cs="Arial" w:eastAsia="Arial" w:hAnsi="Arial"/>
          <w:sz w:val="16"/>
          <w:szCs w:val="16"/>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Website</w:t>
      </w:r>
    </w:p>
    <w:p>
      <w:pPr>
        <w:spacing w:after="0" w:line="25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intends to use its website http://www.tangotx.com as a means of disclosing material non-public information and for complying with its disclosure obligations under the Securities and Exchange Commission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 w:name="page6"/>
    <w:bookmarkEnd w:id="5"/>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204,974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28,381</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298,831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161,939</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516,339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193,632</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7,480</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9"/>
                <w:szCs w:val="19"/>
                <w:color w:val="auto"/>
              </w:rPr>
            </w:pPr>
          </w:p>
        </w:tc>
      </w:tr>
      <w:tr>
        <w:trPr>
          <w:trHeight w:val="23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530,137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FF0FC"/>
          </w:tcPr>
          <w:p>
            <w:pPr>
              <w:spacing w:after="0"/>
              <w:rPr>
                <w:sz w:val="20"/>
                <w:szCs w:val="20"/>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40,917</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6,925</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net of current portion</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116,649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120,805</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164,724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168,652</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 shares issued and</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September 30, 2021 and December 31, 2020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200,000,000 and 56,393,261 shares authorized at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September 30, 2021 and December 31, 2020; 87,544,002 and 40,372,133 shares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issued and outstanding as of September 30, 2021 and December 31, 2020, respectively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r>
      <w:tr>
        <w:trPr>
          <w:trHeight w:val="220"/>
        </w:trPr>
        <w:tc>
          <w:tcPr>
            <w:tcW w:w="68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504,625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141,644</w:t>
            </w:r>
          </w:p>
        </w:tc>
        <w:tc>
          <w:tcPr>
            <w:tcW w:w="100" w:type="dxa"/>
            <w:vAlign w:val="bottom"/>
          </w:tcPr>
          <w:p>
            <w:pPr>
              <w:spacing w:after="0"/>
              <w:rPr>
                <w:sz w:val="19"/>
                <w:szCs w:val="19"/>
                <w:color w:val="auto"/>
              </w:rPr>
            </w:pPr>
          </w:p>
        </w:tc>
      </w:tr>
      <w:tr>
        <w:trPr>
          <w:trHeight w:val="23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(139,290 )</w:t>
            </w: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(103,101 )</w:t>
            </w:r>
          </w:p>
        </w:tc>
      </w:tr>
      <w:tr>
        <w:trPr>
          <w:trHeight w:val="223"/>
        </w:trPr>
        <w:tc>
          <w:tcPr>
            <w:tcW w:w="6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365,413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530,137</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-3519805</wp:posOffset>
            </wp:positionV>
            <wp:extent cx="1631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-3519805</wp:posOffset>
            </wp:positionV>
            <wp:extent cx="603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-176530</wp:posOffset>
            </wp:positionV>
            <wp:extent cx="1631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64" w:right="89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47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(11,275 )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(2,169 )</w:t>
            </w: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r>
      <w:tr>
        <w:trPr>
          <w:trHeight w:val="25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(11,261 )</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(1,486 )</w:t>
            </w:r>
          </w:p>
        </w:tc>
      </w:tr>
      <w:tr>
        <w:trPr>
          <w:trHeight w:val="250"/>
        </w:trPr>
        <w:tc>
          <w:tcPr>
            <w:tcW w:w="47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1"/>
                <w:szCs w:val="21"/>
                <w:color w:val="auto"/>
              </w:rPr>
            </w:pPr>
          </w:p>
        </w:tc>
      </w:tr>
      <w:tr>
        <w:trPr>
          <w:trHeight w:val="250"/>
        </w:trPr>
        <w:tc>
          <w:tcPr>
            <w:tcW w:w="47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67,532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(19,569 )</w:t>
            </w: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(26,756 )</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(36,206 )</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(43,263 )</w:t>
            </w: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Interest income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56"/>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(50 )</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(167 )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22"/>
                <w:szCs w:val="22"/>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72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(46 )</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(19,528 )</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(36,074 )</w:t>
            </w:r>
          </w:p>
        </w:tc>
        <w:tc>
          <w:tcPr>
            <w:tcW w:w="2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(19,590 )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(36,189 )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r>
      <w:tr>
        <w:trPr>
          <w:trHeight w:val="20"/>
        </w:trPr>
        <w:tc>
          <w:tcPr>
            <w:tcW w:w="4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506"/>
        </w:trPr>
        <w:tc>
          <w:tcPr>
            <w:tcW w:w="47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(0.76 )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(0.68 )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r>
      <w:tr>
        <w:trPr>
          <w:trHeight w:val="24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basic and diluted</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70,160,663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35,069,988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53,397,557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29,176,082</w:t>
            </w:r>
          </w:p>
        </w:tc>
        <w:tc>
          <w:tcPr>
            <w:tcW w:w="100" w:type="dxa"/>
            <w:vAlign w:val="bottom"/>
            <w:shd w:val="clear" w:color="auto" w:fill="CFF0FC"/>
          </w:tcPr>
          <w:p>
            <w:pPr>
              <w:spacing w:after="0"/>
              <w:rPr>
                <w:sz w:val="21"/>
                <w:szCs w:val="2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(19,590 )</w:t>
            </w:r>
          </w:p>
        </w:tc>
        <w:tc>
          <w:tcPr>
            <w:tcW w:w="2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(26,802 )</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(36,189 )</w:t>
            </w: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r>
      <w:tr>
        <w:trPr>
          <w:trHeight w:val="26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20" w:type="dxa"/>
            <w:vAlign w:val="bottom"/>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(19,602 )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(26,787 )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(36,216 )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(43,092 )</w:t>
            </w: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-3331210</wp:posOffset>
            </wp:positionV>
            <wp:extent cx="1371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-3331210</wp:posOffset>
            </wp:positionV>
            <wp:extent cx="1371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-3331210</wp:posOffset>
            </wp:positionV>
            <wp:extent cx="1200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-3331210</wp:posOffset>
            </wp:positionV>
            <wp:extent cx="603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-2662555</wp:posOffset>
            </wp:positionV>
            <wp:extent cx="1371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-2662555</wp:posOffset>
            </wp:positionV>
            <wp:extent cx="1371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-2662555</wp:posOffset>
            </wp:positionV>
            <wp:extent cx="1200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-2662555</wp:posOffset>
            </wp:positionV>
            <wp:extent cx="603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-2002155</wp:posOffset>
            </wp:positionV>
            <wp:extent cx="1371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-2002155</wp:posOffset>
            </wp:positionV>
            <wp:extent cx="1371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-2002155</wp:posOffset>
            </wp:positionV>
            <wp:extent cx="1200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-2002155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-1325245</wp:posOffset>
            </wp:positionV>
            <wp:extent cx="1371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-1325245</wp:posOffset>
            </wp:positionV>
            <wp:extent cx="13716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-1325245</wp:posOffset>
            </wp:positionV>
            <wp:extent cx="1200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-1325245</wp:posOffset>
            </wp:positionV>
            <wp:extent cx="60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-24765</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-7620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-24765</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-7620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gridSpan w:val="13"/>
            <w:vMerge w:val="restart"/>
          </w:tcPr>
          <w:p>
            <w:pPr>
              <w:jc w:val="right"/>
              <w:ind w:right="640"/>
              <w:spacing w:after="0"/>
              <w:rPr>
                <w:sz w:val="20"/>
                <w:szCs w:val="20"/>
                <w:color w:val="auto"/>
              </w:rPr>
            </w:pPr>
            <w:r>
              <w:rPr>
                <w:rFonts w:ascii="Arial" w:cs="Arial" w:eastAsia="Arial" w:hAnsi="Arial"/>
                <w:sz w:val="11"/>
                <w:szCs w:val="11"/>
                <w:b w:val="1"/>
                <w:bCs w:val="1"/>
                <w:color w:val="auto"/>
              </w:rPr>
              <w:t>Redeemable Convertible Preferred Stock</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1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97"/>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9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1"/>
                <w:szCs w:val="11"/>
                <w:b w:val="1"/>
                <w:bCs w:val="1"/>
                <w:color w:val="auto"/>
              </w:rPr>
              <w:t>Series A</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Series B</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5"/>
              </w:rPr>
              <w:t>Series B-1</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1"/>
              </w:rPr>
              <w:t>Common Stock</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177"/>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92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2"/>
          </w:tcPr>
          <w:p>
            <w:pPr>
              <w:jc w:val="right"/>
              <w:ind w:right="37"/>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2"/>
                <w:szCs w:val="12"/>
                <w:color w:val="auto"/>
              </w:rPr>
            </w:pPr>
          </w:p>
        </w:tc>
        <w:tc>
          <w:tcPr>
            <w:tcW w:w="640" w:type="dxa"/>
            <w:vAlign w:val="bottom"/>
            <w:gridSpan w:val="2"/>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460" w:type="dxa"/>
            <w:vAlign w:val="bottom"/>
            <w:gridSpan w:val="2"/>
          </w:tcPr>
          <w:p>
            <w:pPr>
              <w:jc w:val="right"/>
              <w:ind w:right="17"/>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660" w:type="dxa"/>
            <w:vAlign w:val="bottom"/>
            <w:gridSpan w:val="4"/>
          </w:tcPr>
          <w:p>
            <w:pPr>
              <w:jc w:val="right"/>
              <w:ind w:right="117"/>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gridSpan w:val="3"/>
          </w:tcPr>
          <w:p>
            <w:pPr>
              <w:jc w:val="right"/>
              <w:ind w:right="37"/>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177"/>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5"/>
              </w:rPr>
              <w:t>Income (Loss)</w:t>
            </w:r>
          </w:p>
        </w:tc>
        <w:tc>
          <w:tcPr>
            <w:tcW w:w="16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8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2020</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55,700,000</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ind w:right="12"/>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w:t>
            </w:r>
          </w:p>
        </w:tc>
        <w:tc>
          <w:tcPr>
            <w:tcW w:w="140" w:type="dxa"/>
            <w:vAlign w:val="bottom"/>
            <w:tcBorders>
              <w:right w:val="single" w:sz="8" w:color="CFF0FC"/>
            </w:tcBorders>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2"/>
              </w:rPr>
              <w:t>22,686,025</w:t>
            </w:r>
          </w:p>
        </w:tc>
        <w:tc>
          <w:tcPr>
            <w:tcW w:w="22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29,761</w:t>
            </w:r>
          </w:p>
        </w:tc>
        <w:tc>
          <w:tcPr>
            <w:tcW w:w="140" w:type="dxa"/>
            <w:vAlign w:val="bottom"/>
            <w:shd w:val="clear" w:color="auto" w:fill="CFF0FC"/>
          </w:tcPr>
          <w:p>
            <w:pPr>
              <w:spacing w:after="0"/>
              <w:rPr>
                <w:sz w:val="17"/>
                <w:szCs w:val="17"/>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27,152,255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0"/>
              </w:rPr>
              <w:t>51,083</w:t>
            </w:r>
          </w:p>
        </w:tc>
        <w:tc>
          <w:tcPr>
            <w:tcW w:w="180" w:type="dxa"/>
            <w:vAlign w:val="bottom"/>
            <w:tcBorders>
              <w:right w:val="single" w:sz="8" w:color="auto"/>
            </w:tcBorders>
            <w:shd w:val="clear" w:color="auto" w:fill="CFF0FC"/>
          </w:tcPr>
          <w:p>
            <w:pPr>
              <w:spacing w:after="0"/>
              <w:rPr>
                <w:sz w:val="17"/>
                <w:szCs w:val="17"/>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4,518,833</w:t>
            </w:r>
          </w:p>
        </w:tc>
        <w:tc>
          <w:tcPr>
            <w:tcW w:w="380" w:type="dxa"/>
            <w:vAlign w:val="bottom"/>
            <w:gridSpan w:val="2"/>
            <w:shd w:val="clear" w:color="auto" w:fill="CFF0FC"/>
          </w:tcPr>
          <w:p>
            <w:pPr>
              <w:jc w:val="right"/>
              <w:ind w:right="122"/>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5,136</w:t>
            </w:r>
          </w:p>
        </w:tc>
        <w:tc>
          <w:tcPr>
            <w:tcW w:w="3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(103,101 )</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(97,944 )</w:t>
            </w:r>
          </w:p>
        </w:tc>
        <w:tc>
          <w:tcPr>
            <w:tcW w:w="0" w:type="dxa"/>
            <w:vAlign w:val="bottom"/>
          </w:tcPr>
          <w:p>
            <w:pPr>
              <w:spacing w:after="0"/>
              <w:rPr>
                <w:sz w:val="1"/>
                <w:szCs w:val="1"/>
                <w:color w:val="auto"/>
              </w:rPr>
            </w:pPr>
          </w:p>
        </w:tc>
      </w:tr>
      <w:tr>
        <w:trPr>
          <w:trHeight w:val="184"/>
        </w:trPr>
        <w:tc>
          <w:tcPr>
            <w:tcW w:w="1740" w:type="dxa"/>
            <w:vAlign w:val="bottom"/>
          </w:tcPr>
          <w:p>
            <w:pPr>
              <w:ind w:left="20"/>
              <w:spacing w:after="0"/>
              <w:rPr>
                <w:sz w:val="20"/>
                <w:szCs w:val="20"/>
                <w:color w:val="auto"/>
              </w:rPr>
            </w:pPr>
            <w:r>
              <w:rPr>
                <w:rFonts w:ascii="Arial" w:cs="Arial" w:eastAsia="Arial" w:hAnsi="Arial"/>
                <w:sz w:val="14"/>
                <w:szCs w:val="14"/>
                <w:color w:val="auto"/>
              </w:rPr>
              <w:t>Retroactive application of</w:t>
            </w:r>
          </w:p>
        </w:tc>
        <w:tc>
          <w:tcPr>
            <w:tcW w:w="640" w:type="dxa"/>
            <w:vAlign w:val="bottom"/>
          </w:tcPr>
          <w:p>
            <w:pPr>
              <w:jc w:val="right"/>
              <w:spacing w:after="0"/>
              <w:rPr>
                <w:sz w:val="20"/>
                <w:szCs w:val="20"/>
                <w:color w:val="auto"/>
              </w:rPr>
            </w:pPr>
            <w:r>
              <w:rPr>
                <w:rFonts w:ascii="Arial" w:cs="Arial" w:eastAsia="Arial" w:hAnsi="Arial"/>
                <w:sz w:val="13"/>
                <w:szCs w:val="13"/>
                <w:color w:val="auto"/>
                <w:w w:val="99"/>
              </w:rPr>
              <w:t>(55,700,00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6"/>
              </w:rPr>
              <w:t>(22,686,02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w w:val="86"/>
              </w:rPr>
              <w:t>(27,152,25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4"/>
                <w:szCs w:val="14"/>
                <w:color w:val="auto"/>
              </w:rPr>
              <w:t>recapitalization</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0 )</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84"/>
              </w:rPr>
              <w:t>(55,700 )</w:t>
            </w:r>
          </w:p>
        </w:tc>
        <w:tc>
          <w:tcPr>
            <w:tcW w:w="860" w:type="dxa"/>
            <w:vAlign w:val="bottom"/>
            <w:gridSpan w:val="3"/>
          </w:tcPr>
          <w:p>
            <w:pPr>
              <w:jc w:val="right"/>
              <w:ind w:right="97"/>
              <w:spacing w:after="0"/>
              <w:rPr>
                <w:sz w:val="20"/>
                <w:szCs w:val="20"/>
                <w:color w:val="auto"/>
              </w:rPr>
            </w:pPr>
            <w:r>
              <w:rPr>
                <w:rFonts w:ascii="Arial" w:cs="Arial" w:eastAsia="Arial" w:hAnsi="Arial"/>
                <w:sz w:val="13"/>
                <w:szCs w:val="13"/>
                <w:color w:val="auto"/>
              </w:rPr>
              <w:t>5 )</w:t>
            </w: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w w:val="96"/>
              </w:rPr>
              <w:t>(29,761 )</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5 )</w:t>
            </w:r>
          </w:p>
        </w:tc>
        <w:tc>
          <w:tcPr>
            <w:tcW w:w="740" w:type="dxa"/>
            <w:vAlign w:val="bottom"/>
            <w:gridSpan w:val="4"/>
          </w:tcPr>
          <w:p>
            <w:pPr>
              <w:jc w:val="right"/>
              <w:ind w:right="120"/>
              <w:spacing w:after="0"/>
              <w:rPr>
                <w:sz w:val="20"/>
                <w:szCs w:val="20"/>
                <w:color w:val="auto"/>
              </w:rPr>
            </w:pPr>
            <w:r>
              <w:rPr>
                <w:rFonts w:ascii="Arial" w:cs="Arial" w:eastAsia="Arial" w:hAnsi="Arial"/>
                <w:sz w:val="13"/>
                <w:szCs w:val="13"/>
                <w:color w:val="auto"/>
              </w:rPr>
              <w:t>(51,083 )</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w w:val="95"/>
              </w:rPr>
              <w:t>35,853,300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136,508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136,544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Recasted balance as of</w:t>
            </w:r>
          </w:p>
        </w:tc>
        <w:tc>
          <w:tcPr>
            <w:tcW w:w="640" w:type="dxa"/>
            <w:vAlign w:val="bottom"/>
            <w:tcBorders>
              <w:top w:val="single" w:sz="8" w:color="auto"/>
            </w:tcBorders>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right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40,372,133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141,644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(103,101 )</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38,600</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Issuance of Series B</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$0.1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2"/>
              </w:rPr>
              <w:t>22,686,026</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29,990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6"/>
              </w:rPr>
              <w:t>(22,686,02</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CFF0FC"/>
            </w:tcBorders>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6 )</w:t>
            </w: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w w:val="96"/>
              </w:rPr>
              <w:t>(29,990 )</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29,982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29,990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304,080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(12,106 )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(12,106 )</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48,383,074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22"/>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173,017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6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(115,207 ) $</w:t>
            </w: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57,891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FF0FC"/>
              <w:right w:val="single" w:sz="8" w:color="auto"/>
            </w:tcBorders>
          </w:tcPr>
          <w:p>
            <w:pPr>
              <w:spacing w:after="0"/>
              <w:rPr>
                <w:sz w:val="14"/>
                <w:szCs w:val="14"/>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color w:val="auto"/>
              </w:rPr>
              <w:t>210,748</w:t>
            </w: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324</w:t>
            </w:r>
          </w:p>
        </w:tc>
        <w:tc>
          <w:tcPr>
            <w:tcW w:w="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w:t>
            </w:r>
          </w:p>
        </w:tc>
        <w:tc>
          <w:tcPr>
            <w:tcW w:w="64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1,196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(30 )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(4,493 )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(4,493 )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w w:val="95"/>
              </w:rPr>
              <w:t>48,593,822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174,540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(119,700 )</w:t>
            </w:r>
          </w:p>
        </w:tc>
        <w:tc>
          <w:tcPr>
            <w:tcW w:w="6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54,891</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Shares issued in Business</w:t>
            </w: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CFF0FC"/>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3"/>
                <w:szCs w:val="13"/>
                <w:color w:val="auto"/>
              </w:rPr>
              <w:t>Combination and PIPE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rPr>
                <w:sz w:val="20"/>
                <w:szCs w:val="20"/>
                <w:color w:val="auto"/>
              </w:rPr>
            </w:pPr>
            <w:r>
              <w:rPr>
                <w:rFonts w:ascii="Arial" w:cs="Arial" w:eastAsia="Arial" w:hAnsi="Arial"/>
                <w:sz w:val="13"/>
                <w:szCs w:val="13"/>
                <w:color w:val="auto"/>
              </w:rPr>
              <w:t>Financing, net of issuance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costs of $15.6 million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3"/>
                <w:szCs w:val="13"/>
                <w:color w:val="auto"/>
                <w:w w:val="95"/>
              </w:rPr>
              <w:t>38,880,436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326,462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326,501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0"/>
              </w:rPr>
              <w:t>69,744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3,430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(12 )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(19,590 )</w:t>
            </w: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(19,590 )</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September 30,</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FF0FC"/>
              <w:right w:val="single" w:sz="8" w:color="CFF0FC"/>
            </w:tcBorders>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vMerge w:val="restart"/>
            <w:shd w:val="clear" w:color="auto" w:fill="CFF0FC"/>
          </w:tcPr>
          <w:p>
            <w:pPr>
              <w:spacing w:after="0"/>
              <w:rPr>
                <w:sz w:val="14"/>
                <w:szCs w:val="14"/>
                <w:color w:val="auto"/>
              </w:rPr>
            </w:pPr>
          </w:p>
        </w:tc>
        <w:tc>
          <w:tcPr>
            <w:tcW w:w="66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color w:val="auto"/>
                <w:w w:val="95"/>
              </w:rPr>
              <w:t>87,544,002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504,625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(10 )</w:t>
            </w:r>
          </w:p>
        </w:tc>
        <w:tc>
          <w:tcPr>
            <w:tcW w:w="16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(139,290 )</w:t>
            </w:r>
          </w:p>
        </w:tc>
        <w:tc>
          <w:tcPr>
            <w:tcW w:w="6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365,413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shd w:val="clear" w:color="auto" w:fill="CFF0FC"/>
          </w:tcPr>
          <w:p>
            <w:pPr>
              <w:ind w:left="20"/>
              <w:spacing w:after="0" w:line="140" w:lineRule="exact"/>
              <w:rPr>
                <w:sz w:val="20"/>
                <w:szCs w:val="20"/>
                <w:color w:val="auto"/>
              </w:rPr>
            </w:pPr>
            <w:r>
              <w:rPr>
                <w:rFonts w:ascii="Arial" w:cs="Arial" w:eastAsia="Arial" w:hAnsi="Arial"/>
                <w:sz w:val="13"/>
                <w:szCs w:val="13"/>
                <w:b w:val="1"/>
                <w:bCs w:val="1"/>
                <w:color w:val="auto"/>
              </w:rPr>
              <w:t>2021</w:t>
            </w:r>
          </w:p>
        </w:tc>
        <w:tc>
          <w:tcPr>
            <w:tcW w:w="640" w:type="dxa"/>
            <w:vAlign w:val="bottom"/>
            <w:vMerge w:val="continue"/>
            <w:shd w:val="clear" w:color="auto" w:fill="CFF0FC"/>
          </w:tcPr>
          <w:p>
            <w:pPr>
              <w:spacing w:after="0"/>
              <w:rPr>
                <w:sz w:val="13"/>
                <w:szCs w:val="13"/>
                <w:color w:val="auto"/>
              </w:rPr>
            </w:pPr>
          </w:p>
        </w:tc>
        <w:tc>
          <w:tcPr>
            <w:tcW w:w="180" w:type="dxa"/>
            <w:vAlign w:val="bottom"/>
            <w:tcBorders>
              <w:left w:val="single" w:sz="8" w:color="CFF0FC"/>
              <w:right w:val="single" w:sz="8" w:color="CFF0FC"/>
            </w:tcBorders>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vMerge w:val="continue"/>
            <w:shd w:val="clear" w:color="auto" w:fill="CFF0FC"/>
          </w:tcPr>
          <w:p>
            <w:pPr>
              <w:spacing w:after="0"/>
              <w:rPr>
                <w:sz w:val="13"/>
                <w:szCs w:val="13"/>
                <w:color w:val="auto"/>
              </w:rPr>
            </w:pPr>
          </w:p>
        </w:tc>
        <w:tc>
          <w:tcPr>
            <w:tcW w:w="1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220" w:type="dxa"/>
            <w:vAlign w:val="bottom"/>
            <w:tcBorders>
              <w:left w:val="single" w:sz="8" w:color="CFF0FC"/>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80" w:type="dxa"/>
            <w:vAlign w:val="bottom"/>
            <w:tcBorders>
              <w:right w:val="single" w:sz="8" w:color="CFF0FC"/>
            </w:tcBorders>
            <w:vMerge w:val="continue"/>
            <w:shd w:val="clear" w:color="auto" w:fill="CFF0FC"/>
          </w:tcPr>
          <w:p>
            <w:pPr>
              <w:spacing w:after="0"/>
              <w:rPr>
                <w:sz w:val="13"/>
                <w:szCs w:val="13"/>
                <w:color w:val="auto"/>
              </w:rPr>
            </w:pPr>
          </w:p>
        </w:tc>
        <w:tc>
          <w:tcPr>
            <w:tcW w:w="660" w:type="dxa"/>
            <w:vAlign w:val="bottom"/>
            <w:gridSpan w:val="4"/>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80" w:type="dxa"/>
            <w:vAlign w:val="bottom"/>
            <w:gridSpan w:val="3"/>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3"/>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Accumulate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3"/>
            <w:vMerge w:val="restart"/>
          </w:tcPr>
          <w:p>
            <w:pPr>
              <w:jc w:val="right"/>
              <w:ind w:right="260"/>
              <w:spacing w:after="0"/>
              <w:rPr>
                <w:sz w:val="20"/>
                <w:szCs w:val="20"/>
                <w:color w:val="auto"/>
              </w:rPr>
            </w:pPr>
            <w:r>
              <w:rPr>
                <w:rFonts w:ascii="Arial" w:cs="Arial" w:eastAsia="Arial" w:hAnsi="Arial"/>
                <w:sz w:val="13"/>
                <w:szCs w:val="13"/>
                <w:b w:val="1"/>
                <w:bCs w:val="1"/>
                <w:color w:val="auto"/>
                <w:w w:val="99"/>
              </w:rPr>
              <w:t>Redeemable Convertible Preferred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rPr>
              <w:t>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48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Series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Series B-1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6"/>
            <w:vMerge w:val="restart"/>
          </w:tcPr>
          <w:p>
            <w:pPr>
              <w:jc w:val="right"/>
              <w:spacing w:after="0"/>
              <w:rPr>
                <w:sz w:val="20"/>
                <w:szCs w:val="20"/>
                <w:color w:val="auto"/>
              </w:rPr>
            </w:pPr>
            <w:r>
              <w:rPr>
                <w:rFonts w:ascii="Arial" w:cs="Arial" w:eastAsia="Arial" w:hAnsi="Arial"/>
                <w:sz w:val="13"/>
                <w:szCs w:val="13"/>
                <w:b w:val="1"/>
                <w:bCs w:val="1"/>
                <w:color w:val="auto"/>
                <w:w w:val="90"/>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Comprehens</w:t>
            </w: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Stockholde</w:t>
            </w:r>
          </w:p>
        </w:tc>
        <w:tc>
          <w:tcPr>
            <w:tcW w:w="0" w:type="dxa"/>
            <w:vAlign w:val="bottom"/>
          </w:tcPr>
          <w:p>
            <w:pPr>
              <w:spacing w:after="0"/>
              <w:rPr>
                <w:sz w:val="1"/>
                <w:szCs w:val="1"/>
                <w:color w:val="auto"/>
              </w:rPr>
            </w:pPr>
          </w:p>
        </w:tc>
      </w:tr>
      <w:tr>
        <w:trPr>
          <w:trHeight w:val="164"/>
        </w:trPr>
        <w:tc>
          <w:tcPr>
            <w:tcW w:w="1740" w:type="dxa"/>
            <w:vAlign w:val="bottom"/>
          </w:tcPr>
          <w:p>
            <w:pPr>
              <w:spacing w:after="0"/>
              <w:rPr>
                <w:sz w:val="14"/>
                <w:szCs w:val="14"/>
                <w:color w:val="auto"/>
              </w:rPr>
            </w:pPr>
          </w:p>
        </w:tc>
        <w:tc>
          <w:tcPr>
            <w:tcW w:w="148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4"/>
                <w:szCs w:val="14"/>
                <w:color w:val="auto"/>
              </w:rPr>
            </w:pPr>
          </w:p>
        </w:tc>
        <w:tc>
          <w:tcPr>
            <w:tcW w:w="5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88"/>
              </w:rPr>
              <w:t>ive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78"/>
              </w:rPr>
              <w: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rs’</w:t>
            </w: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5"/>
                <w:szCs w:val="15"/>
                <w:color w:val="auto"/>
              </w:rPr>
            </w:pPr>
          </w:p>
        </w:tc>
        <w:tc>
          <w:tcPr>
            <w:tcW w:w="6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6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560" w:type="dxa"/>
            <w:vAlign w:val="bottom"/>
            <w:tcBorders>
              <w:bottom w:val="single" w:sz="8" w:color="auto"/>
            </w:tcBorders>
            <w:gridSpan w:val="2"/>
          </w:tcPr>
          <w:p>
            <w:pPr>
              <w:jc w:val="center"/>
              <w:ind w:left="97"/>
              <w:spacing w:after="0"/>
              <w:rPr>
                <w:sz w:val="20"/>
                <w:szCs w:val="20"/>
                <w:color w:val="auto"/>
              </w:rPr>
            </w:pPr>
            <w:r>
              <w:rPr>
                <w:rFonts w:ascii="Arial" w:cs="Arial" w:eastAsia="Arial" w:hAnsi="Arial"/>
                <w:sz w:val="13"/>
                <w:szCs w:val="13"/>
                <w:b w:val="1"/>
                <w:bCs w:val="1"/>
                <w:color w:val="auto"/>
                <w:w w:val="81"/>
              </w:rPr>
              <w:t>(Loss)</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1"/>
              </w:rPr>
              <w:t>Balance at December 31, 2019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55,700,000</w:t>
            </w:r>
          </w:p>
        </w:tc>
        <w:tc>
          <w:tcPr>
            <w:tcW w:w="18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55,700</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tcBorders>
              <w:left w:val="single" w:sz="8" w:color="CFF0FC"/>
              <w:right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780" w:type="dxa"/>
            <w:vAlign w:val="bottom"/>
            <w:gridSpan w:val="5"/>
            <w:shd w:val="clear" w:color="auto" w:fill="CFF0FC"/>
          </w:tcPr>
          <w:p>
            <w:pPr>
              <w:jc w:val="right"/>
              <w:ind w:right="6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auto"/>
            </w:tcBorders>
            <w:shd w:val="clear" w:color="auto" w:fill="CFF0FC"/>
          </w:tcPr>
          <w:p>
            <w:pPr>
              <w:spacing w:after="0"/>
              <w:rPr>
                <w:sz w:val="16"/>
                <w:szCs w:val="16"/>
                <w:color w:val="auto"/>
              </w:rPr>
            </w:pP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4,530,115</w:t>
            </w:r>
          </w:p>
        </w:tc>
        <w:tc>
          <w:tcPr>
            <w:tcW w:w="3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4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5"/>
              </w:rPr>
              <w:t>3,319</w:t>
            </w:r>
          </w:p>
        </w:tc>
        <w:tc>
          <w:tcPr>
            <w:tcW w:w="580" w:type="dxa"/>
            <w:vAlign w:val="bottom"/>
            <w:gridSpan w:val="2"/>
            <w:shd w:val="clear" w:color="auto" w:fill="CFF0FC"/>
          </w:tcPr>
          <w:p>
            <w:pPr>
              <w:jc w:val="center"/>
              <w:ind w:right="177"/>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10</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   (51,129 )</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   (47,795 )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-5944235</wp:posOffset>
            </wp:positionV>
            <wp:extent cx="68580" cy="24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-5481320</wp:posOffset>
            </wp:positionV>
            <wp:extent cx="3429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26543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-3299460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-3282315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-3299460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-3282315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-3299460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-3282315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-3299460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-3282315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-3299460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-3282315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-3561080</wp:posOffset>
            </wp:positionV>
            <wp:extent cx="90170" cy="29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-3299460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-3282315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-3299460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-3282315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-3299460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-3282315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-3299460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-3282315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-3299460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-3282315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-3299460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-3282315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-2339340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-2322195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-2339340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-2322195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-2339340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-2322195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-2339340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-2322195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-2339340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-2322195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-2600960</wp:posOffset>
            </wp:positionV>
            <wp:extent cx="90170" cy="299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170" cy="29972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-2339340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-2322195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-2339340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-2322195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-2339340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-2322195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-2339340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-2322195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-2339340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-2322195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-2339340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-2322195</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-1096645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-1079500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-1096645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-1079500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-1096645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-1079500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-1096645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-1079500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-1096645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-1079500</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-1435100</wp:posOffset>
            </wp:positionV>
            <wp:extent cx="9017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170" cy="3771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-1096645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-1079500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-1096645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-1079500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-1096645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-1079500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-1096645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-1079500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-1096645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-1079500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-1096645</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-1079500</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-586105</wp:posOffset>
            </wp:positionV>
            <wp:extent cx="2983230" cy="4794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83230" cy="4794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0"/>
        </w:trPr>
        <w:tc>
          <w:tcPr>
            <w:tcW w:w="1740" w:type="dxa"/>
            <w:vAlign w:val="bottom"/>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tcPr>
          <w:p>
            <w:pPr>
              <w:jc w:val="right"/>
              <w:spacing w:after="0"/>
              <w:rPr>
                <w:sz w:val="20"/>
                <w:szCs w:val="20"/>
                <w:color w:val="auto"/>
              </w:rPr>
            </w:pPr>
            <w:r>
              <w:rPr>
                <w:rFonts w:ascii="Arial" w:cs="Arial" w:eastAsia="Arial" w:hAnsi="Arial"/>
                <w:sz w:val="13"/>
                <w:szCs w:val="13"/>
                <w:color w:val="auto"/>
                <w:w w:val="99"/>
              </w:rPr>
              <w:t>(55,700,00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18,922,31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1740" w:type="dxa"/>
            <w:vAlign w:val="bottom"/>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0 )</w:t>
            </w:r>
          </w:p>
        </w:tc>
        <w:tc>
          <w:tcPr>
            <w:tcW w:w="1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(55,700 )</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55,681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55,700</w:t>
            </w:r>
          </w:p>
        </w:tc>
        <w:tc>
          <w:tcPr>
            <w:tcW w:w="60" w:type="dxa"/>
            <w:vAlign w:val="bottom"/>
          </w:tcPr>
          <w:p>
            <w:pPr>
              <w:spacing w:after="0"/>
              <w:rPr>
                <w:sz w:val="14"/>
                <w:szCs w:val="14"/>
                <w:color w:val="auto"/>
              </w:rPr>
            </w:pPr>
          </w:p>
        </w:tc>
      </w:tr>
      <w:tr>
        <w:trPr>
          <w:trHeight w:val="17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Recasted balance as of</w:t>
            </w: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23,452,43</w:t>
            </w:r>
          </w:p>
        </w:tc>
        <w:tc>
          <w:tcPr>
            <w:tcW w:w="1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0"/>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December 31, 2019</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59,000</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(51,129 )</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7,905</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Repurchase of restricted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(25,479 )</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408</w:t>
            </w:r>
          </w:p>
        </w:tc>
        <w:tc>
          <w:tcPr>
            <w:tcW w:w="60" w:type="dxa"/>
            <w:vAlign w:val="bottom"/>
          </w:tcPr>
          <w:p>
            <w:pPr>
              <w:spacing w:after="0"/>
              <w:rPr>
                <w:sz w:val="14"/>
                <w:szCs w:val="14"/>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FF0FC"/>
          </w:tcPr>
          <w:p>
            <w:pPr>
              <w:spacing w:after="0"/>
              <w:rPr>
                <w:sz w:val="17"/>
                <w:szCs w:val="17"/>
                <w:color w:val="auto"/>
              </w:rPr>
            </w:pPr>
          </w:p>
        </w:tc>
      </w:tr>
      <w:tr>
        <w:trPr>
          <w:trHeight w:val="183"/>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(7,914 )</w:t>
            </w:r>
          </w:p>
        </w:tc>
        <w:tc>
          <w:tcPr>
            <w:tcW w:w="1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(7,914 )</w:t>
            </w: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23,426,95</w:t>
            </w:r>
          </w:p>
        </w:tc>
        <w:tc>
          <w:tcPr>
            <w:tcW w:w="1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11"/>
        </w:trPr>
        <w:tc>
          <w:tcPr>
            <w:tcW w:w="1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59,411</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(59,043 )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w:t>
            </w:r>
          </w:p>
        </w:tc>
        <w:tc>
          <w:tcPr>
            <w:tcW w:w="60" w:type="dxa"/>
            <w:vAlign w:val="bottom"/>
            <w:shd w:val="clear" w:color="auto" w:fill="CFF0FC"/>
          </w:tcPr>
          <w:p>
            <w:pPr>
              <w:spacing w:after="0"/>
              <w:rPr>
                <w:sz w:val="18"/>
                <w:szCs w:val="18"/>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Series B-1</w:t>
            </w: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FF0FC"/>
              <w:right w:val="single" w:sz="8" w:color="auto"/>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22,686,025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29,761</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(22,686,02</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5 )</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99"/>
              </w:rPr>
              <w:t>(29,761 )</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7,706,861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29,761</w:t>
            </w:r>
          </w:p>
        </w:tc>
        <w:tc>
          <w:tcPr>
            <w:tcW w:w="60" w:type="dxa"/>
            <w:vAlign w:val="bottom"/>
            <w:shd w:val="clear" w:color="auto" w:fill="CFF0FC"/>
          </w:tcPr>
          <w:p>
            <w:pPr>
              <w:spacing w:after="0"/>
              <w:rPr>
                <w:sz w:val="15"/>
                <w:szCs w:val="15"/>
                <w:color w:val="auto"/>
              </w:rPr>
            </w:pPr>
          </w:p>
        </w:tc>
      </w:tr>
      <w:tr>
        <w:trPr>
          <w:trHeight w:val="181"/>
        </w:trPr>
        <w:tc>
          <w:tcPr>
            <w:tcW w:w="17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6,688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w:t>
            </w:r>
          </w:p>
        </w:tc>
        <w:tc>
          <w:tcPr>
            <w:tcW w:w="60" w:type="dxa"/>
            <w:vAlign w:val="bottom"/>
          </w:tcPr>
          <w:p>
            <w:pPr>
              <w:spacing w:after="0"/>
              <w:rPr>
                <w:sz w:val="15"/>
                <w:szCs w:val="15"/>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407</w:t>
            </w:r>
          </w:p>
        </w:tc>
        <w:tc>
          <w:tcPr>
            <w:tcW w:w="60" w:type="dxa"/>
            <w:vAlign w:val="bottom"/>
          </w:tcPr>
          <w:p>
            <w:pPr>
              <w:spacing w:after="0"/>
              <w:rPr>
                <w:sz w:val="14"/>
                <w:szCs w:val="14"/>
                <w:color w:val="auto"/>
              </w:rPr>
            </w:pP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(14 )</w:t>
            </w: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(14 )</w:t>
            </w:r>
          </w:p>
        </w:tc>
      </w:tr>
      <w:tr>
        <w:trPr>
          <w:trHeight w:val="183"/>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(8,392 )</w:t>
            </w:r>
          </w:p>
        </w:tc>
        <w:tc>
          <w:tcPr>
            <w:tcW w:w="16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(8,392 )</w:t>
            </w:r>
          </w:p>
        </w:tc>
      </w:tr>
      <w:tr>
        <w:trPr>
          <w:trHeight w:val="17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31,140,50</w:t>
            </w:r>
          </w:p>
        </w:tc>
        <w:tc>
          <w:tcPr>
            <w:tcW w:w="1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11"/>
        </w:trPr>
        <w:tc>
          <w:tcPr>
            <w:tcW w:w="1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89,583</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(67,435 )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22,191</w:t>
            </w:r>
          </w:p>
        </w:tc>
        <w:tc>
          <w:tcPr>
            <w:tcW w:w="60" w:type="dxa"/>
            <w:vAlign w:val="bottom"/>
            <w:shd w:val="clear" w:color="auto" w:fill="CFF0FC"/>
          </w:tcPr>
          <w:p>
            <w:pPr>
              <w:spacing w:after="0"/>
              <w:rPr>
                <w:sz w:val="18"/>
                <w:szCs w:val="18"/>
                <w:color w:val="auto"/>
              </w:rPr>
            </w:pPr>
          </w:p>
        </w:tc>
      </w:tr>
      <w:tr>
        <w:trPr>
          <w:trHeight w:val="160"/>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Issuance of Series B-1</w:t>
            </w: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FF0FC"/>
              <w:right w:val="single" w:sz="8" w:color="auto"/>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redeemable convertible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preferred stock, net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740" w:type="dxa"/>
            <w:vAlign w:val="bottom"/>
          </w:tcPr>
          <w:p>
            <w:pPr>
              <w:ind w:left="120"/>
              <w:spacing w:after="0"/>
              <w:rPr>
                <w:sz w:val="20"/>
                <w:szCs w:val="20"/>
                <w:color w:val="auto"/>
              </w:rPr>
            </w:pPr>
            <w:r>
              <w:rPr>
                <w:rFonts w:ascii="Arial" w:cs="Arial" w:eastAsia="Arial" w:hAnsi="Arial"/>
                <w:sz w:val="13"/>
                <w:szCs w:val="13"/>
                <w:color w:val="auto"/>
              </w:rPr>
              <w:t>issuance costs of less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27,152,25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than $0.2 million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51,083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Retroactive application of</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(27,152,2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recapitalization</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55 )</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9"/>
              </w:rPr>
              <w:t>(51,083 )</w:t>
            </w: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9,224,122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51,075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51,083</w:t>
            </w:r>
          </w:p>
        </w:tc>
        <w:tc>
          <w:tcPr>
            <w:tcW w:w="60" w:type="dxa"/>
            <w:vAlign w:val="bottom"/>
            <w:shd w:val="clear" w:color="auto" w:fill="CFF0FC"/>
          </w:tcPr>
          <w:p>
            <w:pPr>
              <w:spacing w:after="0"/>
              <w:rPr>
                <w:sz w:val="15"/>
                <w:szCs w:val="15"/>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Repurchase of restricted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common 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(12,695 )</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97"/>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FF0FC"/>
          </w:tcPr>
          <w:p>
            <w:pPr>
              <w:spacing w:after="0"/>
              <w:rPr>
                <w:sz w:val="17"/>
                <w:szCs w:val="17"/>
                <w:color w:val="auto"/>
              </w:rPr>
            </w:pPr>
          </w:p>
        </w:tc>
      </w:tr>
      <w:tr>
        <w:trPr>
          <w:trHeight w:val="173"/>
        </w:trPr>
        <w:tc>
          <w:tcPr>
            <w:tcW w:w="1740" w:type="dxa"/>
            <w:vAlign w:val="bottom"/>
          </w:tcPr>
          <w:p>
            <w:pPr>
              <w:ind w:left="20"/>
              <w:spacing w:after="0"/>
              <w:rPr>
                <w:sz w:val="20"/>
                <w:szCs w:val="20"/>
                <w:color w:val="auto"/>
              </w:rPr>
            </w:pPr>
            <w:r>
              <w:rPr>
                <w:rFonts w:ascii="Arial" w:cs="Arial" w:eastAsia="Arial" w:hAnsi="Arial"/>
                <w:sz w:val="13"/>
                <w:szCs w:val="13"/>
                <w:color w:val="auto"/>
              </w:rPr>
              <w:t>Vesting of restricted common</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stock awards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4"/>
                <w:szCs w:val="14"/>
                <w:color w:val="auto"/>
              </w:rPr>
            </w:pPr>
          </w:p>
        </w:tc>
      </w:tr>
      <w:tr>
        <w:trPr>
          <w:trHeight w:val="181"/>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based compensation</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expense</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60" w:type="dxa"/>
            <w:vAlign w:val="bottom"/>
            <w:shd w:val="clear" w:color="auto" w:fill="CFF0FC"/>
          </w:tcPr>
          <w:p>
            <w:pPr>
              <w:spacing w:after="0"/>
              <w:rPr>
                <w:sz w:val="15"/>
                <w:szCs w:val="15"/>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6"/>
                <w:szCs w:val="16"/>
                <w:color w:val="auto"/>
              </w:rPr>
            </w:pPr>
          </w:p>
        </w:tc>
      </w:tr>
      <w:tr>
        <w:trPr>
          <w:trHeight w:val="18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6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(26,802 )</w:t>
            </w: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6"/>
              </w:rPr>
              <w:t>(26,802 )</w:t>
            </w:r>
          </w:p>
        </w:tc>
      </w:tr>
      <w:tr>
        <w:trPr>
          <w:trHeight w:val="171"/>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Balance at September 30,</w:t>
            </w: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40,353,07</w:t>
            </w: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r>
      <w:tr>
        <w:trPr>
          <w:trHeight w:val="174"/>
        </w:trPr>
        <w:tc>
          <w:tcPr>
            <w:tcW w:w="1740" w:type="dxa"/>
            <w:vAlign w:val="bottom"/>
          </w:tcPr>
          <w:p>
            <w:pPr>
              <w:ind w:left="20"/>
              <w:spacing w:after="0"/>
              <w:rPr>
                <w:sz w:val="20"/>
                <w:szCs w:val="20"/>
                <w:color w:val="auto"/>
              </w:rPr>
            </w:pPr>
            <w:r>
              <w:rPr>
                <w:rFonts w:ascii="Arial" w:cs="Arial" w:eastAsia="Arial" w:hAnsi="Arial"/>
                <w:sz w:val="13"/>
                <w:szCs w:val="13"/>
                <w:b w:val="1"/>
                <w:bCs w:val="1"/>
                <w:color w:val="auto"/>
              </w:rPr>
              <w:t>2020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40</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141,080</w:t>
            </w: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(94,237 )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46,909</w:t>
            </w:r>
          </w:p>
        </w:tc>
        <w:tc>
          <w:tcPr>
            <w:tcW w:w="6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4361815</wp:posOffset>
            </wp:positionH>
            <wp:positionV relativeFrom="page">
              <wp:posOffset>221615</wp:posOffset>
            </wp:positionV>
            <wp:extent cx="34290" cy="256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25654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-3882390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-3865245</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-3882390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-3865245</wp:posOffset>
            </wp:positionV>
            <wp:extent cx="102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-3882390</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-3865245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-3882390</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-3865245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-3882390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-3865245</wp:posOffset>
            </wp:positionV>
            <wp:extent cx="111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-4246880</wp:posOffset>
            </wp:positionV>
            <wp:extent cx="90170" cy="402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170" cy="402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-3882390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-3865245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-3882390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-3865245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-3882390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-3865245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-3882390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-3865245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-3882390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-3865245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-3882390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-3865245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-2065020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-2048510</wp:posOffset>
            </wp:positionV>
            <wp:extent cx="102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-2065020</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-2048510</wp:posOffset>
            </wp:positionV>
            <wp:extent cx="102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-2065020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-2048510</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-2065020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-2048510</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-2065020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-2048510</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-2429510</wp:posOffset>
            </wp:positionV>
            <wp:extent cx="90170" cy="402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0170" cy="402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-2048510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-2065020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-2048510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-2065020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-2048510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-2065020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-2048510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-2065020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-2048510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-2065020</wp:posOffset>
            </wp:positionV>
            <wp:extent cx="4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-2048510</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-253365</wp:posOffset>
            </wp:positionV>
            <wp:extent cx="10287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-253365</wp:posOffset>
            </wp:positionV>
            <wp:extent cx="1028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-253365</wp:posOffset>
            </wp:positionV>
            <wp:extent cx="10287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-253365</wp:posOffset>
            </wp:positionV>
            <wp:extent cx="1028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-253365</wp:posOffset>
            </wp:positionV>
            <wp:extent cx="1111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-389255</wp:posOffset>
            </wp:positionV>
            <wp:extent cx="3034665" cy="402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034665"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 3 for discussion on the retroactive application of recapitalization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560" w:type="dxa"/>
            <w:vAlign w:val="bottom"/>
            <w:gridSpan w:val="6"/>
          </w:tcPr>
          <w:p>
            <w:pPr>
              <w:ind w:left="6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80" w:type="dxa"/>
            <w:vAlign w:val="bottom"/>
          </w:tcPr>
          <w:p>
            <w:pPr>
              <w:spacing w:after="0"/>
              <w:rPr>
                <w:sz w:val="17"/>
                <w:szCs w:val="17"/>
                <w:color w:val="auto"/>
              </w:rPr>
            </w:pP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w w:val="83"/>
              </w:rPr>
              <w:t>2021</w:t>
            </w:r>
          </w:p>
        </w:tc>
        <w:tc>
          <w:tcPr>
            <w:tcW w:w="6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(36,189 )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net</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(6,000 )</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(3,222 )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long-term assets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(703 )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(440 )</w:t>
            </w:r>
          </w:p>
        </w:tc>
      </w:tr>
      <w:tr>
        <w:trPr>
          <w:trHeight w:val="257"/>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(8,326 )</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126,223</w:t>
            </w:r>
          </w:p>
        </w:tc>
        <w:tc>
          <w:tcPr>
            <w:tcW w:w="100" w:type="dxa"/>
            <w:vAlign w:val="bottom"/>
            <w:shd w:val="clear" w:color="auto" w:fill="CFF0FC"/>
          </w:tcPr>
          <w:p>
            <w:pPr>
              <w:spacing w:after="0"/>
              <w:rPr>
                <w:sz w:val="22"/>
                <w:szCs w:val="22"/>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80" w:type="dxa"/>
            <w:vAlign w:val="bottom"/>
          </w:tcPr>
          <w:p>
            <w:pPr>
              <w:ind w:left="56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(42,625 )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(1,141 )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130,890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(267,976 )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(101,943 )</w:t>
            </w:r>
          </w:p>
        </w:tc>
      </w:tr>
      <w:tr>
        <w:trPr>
          <w:trHeight w:val="20"/>
        </w:trPr>
        <w:tc>
          <w:tcPr>
            <w:tcW w:w="7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7"/>
              </w:rPr>
              <w:t>(138,227 )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(86,256 )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preferred stock, net of issuance costs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29,990</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80,934</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Business Combination and PIPE Financing, gross proceeds</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342,113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Payment of Business Combination and PIPE Financing transaction costs</w:t>
            </w:r>
          </w:p>
        </w:tc>
        <w:tc>
          <w:tcPr>
            <w:tcW w:w="9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(15,615 )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7"/>
        </w:trPr>
        <w:tc>
          <w:tcPr>
            <w:tcW w:w="768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357,445</w:t>
            </w:r>
          </w:p>
        </w:tc>
        <w:tc>
          <w:tcPr>
            <w:tcW w:w="28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80,945</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176,593</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82,825</w:t>
            </w:r>
          </w:p>
        </w:tc>
        <w:tc>
          <w:tcPr>
            <w:tcW w:w="100" w:type="dxa"/>
            <w:vAlign w:val="bottom"/>
          </w:tcPr>
          <w:p>
            <w:pPr>
              <w:spacing w:after="0"/>
              <w:rPr>
                <w:sz w:val="21"/>
                <w:szCs w:val="21"/>
                <w:color w:val="auto"/>
              </w:rPr>
            </w:pP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30,660</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07"/>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207,253</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107,993</w:t>
            </w:r>
          </w:p>
        </w:tc>
        <w:tc>
          <w:tcPr>
            <w:tcW w:w="100" w:type="dxa"/>
            <w:vAlign w:val="bottom"/>
          </w:tcPr>
          <w:p>
            <w:pPr>
              <w:spacing w:after="0"/>
              <w:rPr>
                <w:sz w:val="24"/>
                <w:szCs w:val="24"/>
                <w:color w:val="auto"/>
              </w:rPr>
            </w:pPr>
          </w:p>
        </w:tc>
      </w:tr>
      <w:tr>
        <w:trPr>
          <w:trHeight w:val="256"/>
        </w:trPr>
        <w:tc>
          <w:tcPr>
            <w:tcW w:w="7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Cash paid for leases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1,372</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9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Conversion of Preferred Shares to Common Shares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166,534</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-3768090</wp:posOffset>
            </wp:positionV>
            <wp:extent cx="1803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-3768090</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-1462405</wp:posOffset>
            </wp:positionV>
            <wp:extent cx="1803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TANGO THERAPEUTICS, INC.</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35" w:lineRule="exact"/>
        <w:rPr>
          <w:sz w:val="20"/>
          <w:szCs w:val="20"/>
          <w:color w:val="auto"/>
        </w:rPr>
      </w:pPr>
    </w:p>
    <w:p>
      <w:pPr>
        <w:jc w:val="both"/>
        <w:ind w:right="460" w:firstLine="509"/>
        <w:spacing w:after="0" w:line="303" w:lineRule="auto"/>
        <w:rPr>
          <w:sz w:val="20"/>
          <w:szCs w:val="20"/>
          <w:color w:val="auto"/>
        </w:rPr>
      </w:pPr>
      <w:r>
        <w:rPr>
          <w:rFonts w:ascii="Arial" w:cs="Arial" w:eastAsia="Arial" w:hAnsi="Arial"/>
          <w:sz w:val="17"/>
          <w:szCs w:val="17"/>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56"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The registration statement for the Company’s initial public offering (“IPO”)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Upon the closing of the Initial Public Offering and the Private Placement, approximately $166.8 million ($10.00 per share),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31"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On April 13, 2021, the Company, BCTG Merger Sub Inc., a Delaware corporation, and Tango Therapeutics, Inc. (now known as Tango Therapeutics Sub, Inc. or “Old Tango”) signed a definitive merger agreement (the "Merger Agreement") memorializing the terms of BCTG’s acquisition of 100% of Old Tango's issued and outstanding equity securities in exchange for $550.0 million worth of consideration in the form of BCTG common stock (the “Business Combination”). The Business Combination was approved on August 9, 2021 by shareholders of BCTG, resulting in BCTG acquiring 100% of Old Tango's issued and outstanding equity securities on August 10, 2021. The Business Combination was accounted for as a “reverse recapitalization” in accordance with accounting principles generally accepted in the United States of America (“U.S. GAAP”). As a result of the Business Combination, BCTG was renamed Tango Therapeutics, Inc. The Company's common stock is trading on The Nasdaq Global Market under the ticker symbol TNGX.</w:t>
      </w:r>
    </w:p>
    <w:p>
      <w:pPr>
        <w:spacing w:after="0" w:line="178"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Tango received gross proceeds of $167.1 million upon the closing of the Business Combination. Tango continues to operate under the current Tango management team. Simultaneous with the closing of the Business Combination, an aggregate of 18,610,000 shares of common stock (the “PIPE Financing”) were purchased, resulting in gross proceeds of an additional $186.1 million upon the closing of the PIPE Financing. Total transaction costs and redemptions approximated $26.7 million, resulting in total net proceeds of $326.5 million.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Business following the Merger</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The Company is now a precision oncology company committed to the discovery and development of novel new drugs in defined patient populations with high unmet medical need.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subsidiary is the U.S. dollar.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ind w:right="220" w:firstLine="509"/>
        <w:spacing w:after="0" w:line="311"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2021 and 2020 are not necessarily indicative of the results for the year ending December 31, 2021, any other interim periods, or any future year or period. The unaudited condensed consolidated financial statements for the three and nine months ended September 30, 2021 and 2020 have been prepared on the same basis as and should be read in conjunction with the audited consolidated financial statements and notes for the year ended December 31, 2020 included in the Company’s Prospectus as filed with the SEC pursuant to Rule 424(b)(3) on October 8, 2021 (the “Prospectus”).</w:t>
      </w:r>
    </w:p>
    <w:p>
      <w:pPr>
        <w:spacing w:after="0" w:line="26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right="260" w:firstLine="509"/>
        <w:spacing w:after="0" w:line="279" w:lineRule="auto"/>
        <w:rPr>
          <w:sz w:val="20"/>
          <w:szCs w:val="20"/>
          <w:color w:val="auto"/>
        </w:rPr>
      </w:pPr>
      <w:r>
        <w:rPr>
          <w:rFonts w:ascii="Arial" w:cs="Arial" w:eastAsia="Arial" w:hAnsi="Arial"/>
          <w:sz w:val="18"/>
          <w:szCs w:val="18"/>
          <w:color w:val="auto"/>
        </w:rPr>
        <w:t xml:space="preserve">Other than policies noted below, there have been no significant changes from the significant accounting policies disclosed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audited consolidated financial statements and notes for the year ended December 31, 2020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Prospectus.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 xml:space="preserve">In December 2019, the Financial Accounting Standards Board (the "FASB") issued Accounting Standards Update ("ASU") 2019-12,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(“ASC 740”). The ASU enhances and simplifies various aspects of the income tax accounting guidance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i w:val="1"/>
          <w:iCs w:val="1"/>
          <w:color w:val="auto"/>
        </w:rPr>
        <w:t>— Contracts in Entity’s Own Equity (Subtopic 815 — 40)</w:t>
      </w:r>
      <w:r>
        <w:rPr>
          <w:rFonts w:ascii="Arial" w:cs="Arial" w:eastAsia="Arial" w:hAnsi="Arial"/>
          <w:sz w:val="16"/>
          <w:szCs w:val="16"/>
          <w:color w:val="auto"/>
        </w:rPr>
        <w:t>. The amendments in this update affect entities that issue convertible instruments and/or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3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ind w:right="120" w:firstLine="509"/>
        <w:spacing w:after="0" w:line="290" w:lineRule="auto"/>
        <w:rPr>
          <w:sz w:val="20"/>
          <w:szCs w:val="20"/>
          <w:color w:val="auto"/>
        </w:rPr>
      </w:pPr>
      <w:r>
        <w:rPr>
          <w:rFonts w:ascii="Arial" w:cs="Arial" w:eastAsia="Arial" w:hAnsi="Arial"/>
          <w:sz w:val="17"/>
          <w:szCs w:val="17"/>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68"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right="180" w:firstLine="509"/>
        <w:spacing w:after="0" w:line="293" w:lineRule="auto"/>
        <w:rPr>
          <w:sz w:val="20"/>
          <w:szCs w:val="20"/>
          <w:color w:val="auto"/>
        </w:rPr>
      </w:pPr>
      <w:r>
        <w:rPr>
          <w:rFonts w:ascii="Arial" w:cs="Arial" w:eastAsia="Arial" w:hAnsi="Arial"/>
          <w:sz w:val="18"/>
          <w:szCs w:val="18"/>
          <w:color w:val="auto"/>
        </w:rPr>
        <w:t>The following table summarizes the elements of the net proceeds from the Business Combination and PIPE Financing transaction as of September 30, 2021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Recapitalization</w:t>
            </w:r>
          </w:p>
        </w:tc>
      </w:tr>
      <w:tr>
        <w:trPr>
          <w:trHeight w:val="25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156,013</w:t>
            </w:r>
          </w:p>
        </w:tc>
        <w:tc>
          <w:tcPr>
            <w:tcW w:w="120" w:type="dxa"/>
            <w:vAlign w:val="bottom"/>
            <w:shd w:val="clear" w:color="auto" w:fill="CFF0FC"/>
          </w:tcPr>
          <w:p>
            <w:pPr>
              <w:spacing w:after="0"/>
              <w:rPr>
                <w:sz w:val="22"/>
                <w:szCs w:val="22"/>
                <w:color w:val="auto"/>
              </w:rPr>
            </w:pPr>
          </w:p>
        </w:tc>
      </w:tr>
      <w:tr>
        <w:trPr>
          <w:trHeight w:val="250"/>
        </w:trPr>
        <w:tc>
          <w:tcPr>
            <w:tcW w:w="7880" w:type="dxa"/>
            <w:vAlign w:val="bottom"/>
          </w:tcPr>
          <w:p>
            <w:pPr>
              <w:spacing w:after="0"/>
              <w:rPr>
                <w:sz w:val="20"/>
                <w:szCs w:val="20"/>
                <w:color w:val="auto"/>
              </w:rPr>
            </w:pPr>
            <w:r>
              <w:rPr>
                <w:rFonts w:ascii="Arial" w:cs="Arial" w:eastAsia="Arial" w:hAnsi="Arial"/>
                <w:sz w:val="18"/>
                <w:szCs w:val="18"/>
                <w:color w:val="auto"/>
              </w:rPr>
              <w:t>Cash - PIPE Financing</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186,100</w:t>
            </w:r>
          </w:p>
        </w:tc>
        <w:tc>
          <w:tcPr>
            <w:tcW w:w="120" w:type="dxa"/>
            <w:vAlign w:val="bottom"/>
          </w:tcPr>
          <w:p>
            <w:pPr>
              <w:spacing w:after="0"/>
              <w:rPr>
                <w:sz w:val="21"/>
                <w:szCs w:val="21"/>
                <w:color w:val="auto"/>
              </w:rPr>
            </w:pPr>
          </w:p>
        </w:tc>
      </w:tr>
      <w:tr>
        <w:trPr>
          <w:trHeight w:val="25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advisory fees paid</w:t>
            </w:r>
          </w:p>
        </w:tc>
        <w:tc>
          <w:tcPr>
            <w:tcW w:w="3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(15,615 )</w:t>
            </w:r>
          </w:p>
        </w:tc>
      </w:tr>
      <w:tr>
        <w:trPr>
          <w:trHeight w:val="250"/>
        </w:trPr>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proceeds from the Business Combination and PIPE Financing</w:t>
            </w:r>
          </w:p>
        </w:tc>
        <w:tc>
          <w:tcPr>
            <w:tcW w:w="3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326,498</w:t>
            </w:r>
          </w:p>
        </w:tc>
        <w:tc>
          <w:tcPr>
            <w:tcW w:w="120" w:type="dxa"/>
            <w:vAlign w:val="bottom"/>
            <w:tcBorders>
              <w:top w:val="single" w:sz="8" w:color="CCEEFF"/>
            </w:tcBorders>
          </w:tcPr>
          <w:p>
            <w:pPr>
              <w:spacing w:after="0"/>
              <w:rPr>
                <w:sz w:val="21"/>
                <w:szCs w:val="21"/>
                <w:color w:val="auto"/>
              </w:rPr>
            </w:pPr>
          </w:p>
        </w:tc>
      </w:tr>
      <w:tr>
        <w:trPr>
          <w:trHeight w:val="257"/>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7880" w:type="dxa"/>
            <w:vAlign w:val="bottom"/>
          </w:tcPr>
          <w:p>
            <w:pPr>
              <w:spacing w:after="0"/>
              <w:rPr>
                <w:sz w:val="20"/>
                <w:szCs w:val="20"/>
                <w:color w:val="auto"/>
              </w:rPr>
            </w:pPr>
            <w:r>
              <w:rPr>
                <w:rFonts w:ascii="Arial" w:cs="Arial" w:eastAsia="Arial" w:hAnsi="Arial"/>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326,501</w:t>
            </w:r>
          </w:p>
        </w:tc>
        <w:tc>
          <w:tcPr>
            <w:tcW w:w="120" w:type="dxa"/>
            <w:vAlign w:val="bottom"/>
          </w:tcPr>
          <w:p>
            <w:pPr>
              <w:spacing w:after="0"/>
              <w:rPr>
                <w:sz w:val="22"/>
                <w:szCs w:val="22"/>
                <w:color w:val="auto"/>
              </w:rPr>
            </w:pP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-527685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 and PIPE Financing transaction: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 of Shares</w:t>
            </w:r>
          </w:p>
        </w:tc>
      </w:tr>
      <w:tr>
        <w:trPr>
          <w:trHeight w:val="25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BCTG common shares outstanding prior to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21,377,250</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Less redemption of BCTG shares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(1,106,814 )</w:t>
            </w: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of BCTG outstanding as of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20,270,436</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Shares issued pursuant to the PIPE Financing</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18,610,000</w:t>
            </w:r>
          </w:p>
        </w:tc>
        <w:tc>
          <w:tcPr>
            <w:tcW w:w="100" w:type="dxa"/>
            <w:vAlign w:val="bottom"/>
          </w:tcPr>
          <w:p>
            <w:pPr>
              <w:spacing w:after="0"/>
              <w:rPr>
                <w:sz w:val="21"/>
                <w:szCs w:val="21"/>
                <w:color w:val="auto"/>
              </w:rPr>
            </w:pP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38,880,436</w:t>
            </w:r>
          </w:p>
        </w:tc>
        <w:tc>
          <w:tcPr>
            <w:tcW w:w="100" w:type="dxa"/>
            <w:vAlign w:val="bottom"/>
            <w:shd w:val="clear" w:color="auto" w:fill="CCEEFF"/>
          </w:tcPr>
          <w:p>
            <w:pPr>
              <w:spacing w:after="0"/>
              <w:rPr>
                <w:sz w:val="22"/>
                <w:szCs w:val="22"/>
                <w:color w:val="auto"/>
              </w:rPr>
            </w:pPr>
          </w:p>
        </w:tc>
      </w:tr>
      <w:tr>
        <w:trPr>
          <w:trHeight w:val="250"/>
        </w:trPr>
        <w:tc>
          <w:tcPr>
            <w:tcW w:w="8520" w:type="dxa"/>
            <w:vAlign w:val="bottom"/>
          </w:tcPr>
          <w:p>
            <w:pPr>
              <w:ind w:left="20"/>
              <w:spacing w:after="0"/>
              <w:rPr>
                <w:sz w:val="20"/>
                <w:szCs w:val="20"/>
                <w:color w:val="auto"/>
              </w:rPr>
            </w:pPr>
            <w:r>
              <w:rPr>
                <w:rFonts w:ascii="Arial" w:cs="Arial" w:eastAsia="Arial" w:hAnsi="Arial"/>
                <w:sz w:val="18"/>
                <w:szCs w:val="18"/>
                <w:color w:val="auto"/>
              </w:rPr>
              <w:t>Old Tango common shares (after preferred shares were converted 1-for-1 for common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48,593,803</w:t>
            </w:r>
          </w:p>
        </w:tc>
        <w:tc>
          <w:tcPr>
            <w:tcW w:w="100" w:type="dxa"/>
            <w:vAlign w:val="bottom"/>
          </w:tcPr>
          <w:p>
            <w:pPr>
              <w:spacing w:after="0"/>
              <w:rPr>
                <w:sz w:val="21"/>
                <w:szCs w:val="21"/>
                <w:color w:val="auto"/>
              </w:rPr>
            </w:pPr>
          </w:p>
        </w:tc>
      </w:tr>
      <w:tr>
        <w:trPr>
          <w:trHeight w:val="29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Business Combination consummation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87,474,239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The merger consideration of 55,000,0000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Retroactive Application of Recapitalization</w:t>
      </w:r>
    </w:p>
    <w:p>
      <w:pPr>
        <w:spacing w:after="0" w:line="13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Company comprises all of the ongoing operations of Old Tango, the Company comprises a majority of the governing body of Old Tango, and the Com</w:t>
      </w:r>
      <w:r>
        <w:rPr>
          <w:rFonts w:ascii="Arial" w:cs="Arial" w:eastAsia="Arial" w:hAnsi="Arial"/>
          <w:sz w:val="14"/>
          <w:szCs w:val="14"/>
          <w:color w:val="auto"/>
        </w:rPr>
        <w:t>pany’s senior management comprises all of the senior management of Old Tango.</w:t>
      </w:r>
    </w:p>
    <w:p>
      <w:pPr>
        <w:spacing w:after="0" w:line="55" w:lineRule="exact"/>
        <w:rPr>
          <w:sz w:val="20"/>
          <w:szCs w:val="20"/>
          <w:color w:val="auto"/>
        </w:rPr>
      </w:pPr>
    </w:p>
    <w:p>
      <w:pPr>
        <w:ind w:right="800" w:firstLine="509"/>
        <w:spacing w:after="0" w:line="293" w:lineRule="auto"/>
        <w:rPr>
          <w:sz w:val="20"/>
          <w:szCs w:val="20"/>
          <w:color w:val="auto"/>
        </w:rPr>
      </w:pPr>
      <w:r>
        <w:rPr>
          <w:rFonts w:ascii="Arial" w:cs="Arial" w:eastAsia="Arial" w:hAnsi="Arial"/>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70"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i w:val="1"/>
          <w:iCs w:val="1"/>
          <w:color w:val="auto"/>
        </w:rPr>
        <w:t>Retroactive Application of Recapitalization to Unaudited Condensed Consolidated Statements of Redeemable Convertible Preferred Stock and Stockholders’ Equity (Deficit)</w:t>
      </w:r>
    </w:p>
    <w:p>
      <w:pPr>
        <w:spacing w:after="0" w:line="170"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Redeemable</w:t>
            </w:r>
          </w:p>
        </w:tc>
        <w:tc>
          <w:tcPr>
            <w:tcW w:w="160" w:type="dxa"/>
            <w:vAlign w:val="bottom"/>
          </w:tcPr>
          <w:p>
            <w:pPr>
              <w:spacing w:after="0"/>
              <w:rPr>
                <w:sz w:val="19"/>
                <w:szCs w:val="19"/>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Preferred to</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w w:val="91"/>
              </w:rPr>
              <w:t>8/10/2021 Merger</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w w:val="92"/>
              </w:rPr>
              <w:t>Convertible Preferred</w:t>
            </w:r>
          </w:p>
        </w:tc>
        <w:tc>
          <w:tcPr>
            <w:tcW w:w="160" w:type="dxa"/>
            <w:vAlign w:val="bottom"/>
          </w:tcPr>
          <w:p>
            <w:pPr>
              <w:spacing w:after="0"/>
              <w:rPr>
                <w:sz w:val="19"/>
                <w:szCs w:val="19"/>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Common</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w w:val="95"/>
              </w:rPr>
              <w:t>Common Stock</w:t>
            </w:r>
          </w:p>
        </w:tc>
        <w:tc>
          <w:tcPr>
            <w:tcW w:w="1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w w:val="97"/>
              </w:rPr>
              <w:t>Recapitalization</w:t>
            </w:r>
          </w:p>
        </w:tc>
        <w:tc>
          <w:tcPr>
            <w:tcW w:w="16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w w:val="95"/>
              </w:rPr>
              <w:t>Recapitalization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0"/>
                <w:szCs w:val="20"/>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Description</w:t>
            </w:r>
          </w:p>
        </w:tc>
        <w:tc>
          <w:tcPr>
            <w:tcW w:w="80" w:type="dxa"/>
            <w:vAlign w:val="bottom"/>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Exchange Ratio</w:t>
            </w:r>
          </w:p>
        </w:tc>
        <w:tc>
          <w:tcPr>
            <w:tcW w:w="140" w:type="dxa"/>
            <w:vAlign w:val="bottom"/>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Exchange Ratio</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Common Stock</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Series A</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55,700,000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55,700,000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18,922,317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240" w:type="dxa"/>
            <w:vAlign w:val="bottom"/>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4/7/2020</w:t>
            </w:r>
          </w:p>
        </w:tc>
        <w:tc>
          <w:tcPr>
            <w:tcW w:w="100" w:type="dxa"/>
            <w:vAlign w:val="bottom"/>
            <w:shd w:val="clear" w:color="auto" w:fill="CFF0FC"/>
          </w:tcPr>
          <w:p>
            <w:pPr>
              <w:spacing w:after="0"/>
              <w:rPr>
                <w:sz w:val="22"/>
                <w:szCs w:val="22"/>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(tranche 1)</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7,706,861</w:t>
            </w:r>
          </w:p>
        </w:tc>
        <w:tc>
          <w:tcPr>
            <w:tcW w:w="80" w:type="dxa"/>
            <w:vAlign w:val="bottom"/>
            <w:shd w:val="clear" w:color="auto" w:fill="CFF0FC"/>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8/17/2020</w:t>
            </w:r>
          </w:p>
        </w:tc>
        <w:tc>
          <w:tcPr>
            <w:tcW w:w="10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Series B-1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27,152,255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27,152,255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9,224,122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240" w:type="dxa"/>
            <w:vAlign w:val="bottom"/>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3/18/2021</w:t>
            </w:r>
          </w:p>
        </w:tc>
        <w:tc>
          <w:tcPr>
            <w:tcW w:w="100" w:type="dxa"/>
            <w:vAlign w:val="bottom"/>
            <w:shd w:val="clear" w:color="auto" w:fill="CFF0FC"/>
          </w:tcPr>
          <w:p>
            <w:pPr>
              <w:spacing w:after="0"/>
              <w:rPr>
                <w:sz w:val="22"/>
                <w:szCs w:val="22"/>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(tranche 2)</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22,686,025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7,706,861</w:t>
            </w:r>
          </w:p>
        </w:tc>
        <w:tc>
          <w:tcPr>
            <w:tcW w:w="80" w:type="dxa"/>
            <w:vAlign w:val="bottom"/>
            <w:shd w:val="clear" w:color="auto" w:fill="CFF0FC"/>
          </w:tcPr>
          <w:p>
            <w:pPr>
              <w:spacing w:after="0"/>
              <w:rPr>
                <w:sz w:val="22"/>
                <w:szCs w:val="22"/>
                <w:color w:val="auto"/>
              </w:rPr>
            </w:pPr>
          </w:p>
        </w:tc>
        <w:tc>
          <w:tcPr>
            <w:tcW w:w="220" w:type="dxa"/>
            <w:vAlign w:val="bottom"/>
          </w:tcPr>
          <w:p>
            <w:pPr>
              <w:spacing w:after="0"/>
              <w:rPr>
                <w:sz w:val="22"/>
                <w:szCs w:val="22"/>
                <w:color w:val="auto"/>
              </w:rPr>
            </w:pPr>
          </w:p>
        </w:tc>
      </w:tr>
      <w:tr>
        <w:trPr>
          <w:trHeight w:val="675"/>
        </w:trPr>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gridSpan w:val="2"/>
          </w:tcPr>
          <w:p>
            <w:pPr>
              <w:jc w:val="right"/>
              <w:ind w:right="7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2"/>
        </w:trPr>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jc w:val="both"/>
        <w:ind w:right="400" w:firstLine="509"/>
        <w:spacing w:after="0" w:line="279" w:lineRule="auto"/>
        <w:rPr>
          <w:sz w:val="20"/>
          <w:szCs w:val="20"/>
          <w:color w:val="auto"/>
        </w:rPr>
      </w:pPr>
      <w:r>
        <w:rPr>
          <w:rFonts w:ascii="Arial" w:cs="Arial" w:eastAsia="Arial" w:hAnsi="Arial"/>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(deficit) and/or in the related notes are presented on an as-converted basis, converted at the ratio of 0.34.</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Unaudited Condensed Consolidated Statements of Operations and Comprehensive Loss</w:t>
      </w:r>
    </w:p>
    <w:p>
      <w:pPr>
        <w:spacing w:after="0" w:line="239"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In accordance with the retroactive application of recapitalization to the accompanying unaudited condensed consolidated statements of redeemable convertible preferred stock and stockholders' equity (deficit), the basic and diluted weighted-average shares of common stock outstanding for the three and nine month periods ended September 30, 2021 and 2020 have been retroactively converted using the exchange ratio of 0.34.</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weighted-average common shares, basic and diluted, for the three months ended September 30, 2020:</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8/10/2021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Merger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5"/>
                <w:szCs w:val="15"/>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Recapitalized</w:t>
            </w:r>
          </w:p>
        </w:tc>
        <w:tc>
          <w:tcPr>
            <w:tcW w:w="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in</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common</w:t>
            </w:r>
          </w:p>
        </w:tc>
        <w:tc>
          <w:tcPr>
            <w:tcW w:w="80" w:type="dxa"/>
            <w:vAlign w:val="bottom"/>
          </w:tcPr>
          <w:p>
            <w:pPr>
              <w:spacing w:after="0"/>
              <w:rPr>
                <w:sz w:val="15"/>
                <w:szCs w:val="15"/>
                <w:color w:val="auto"/>
              </w:rPr>
            </w:pPr>
          </w:p>
        </w:tc>
      </w:tr>
      <w:tr>
        <w:trPr>
          <w:trHeight w:val="192"/>
        </w:trPr>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0" w:type="dxa"/>
            <w:vAlign w:val="bottom"/>
          </w:tcPr>
          <w:p>
            <w:pPr>
              <w:spacing w:after="0"/>
              <w:rPr>
                <w:sz w:val="16"/>
                <w:szCs w:val="16"/>
                <w:color w:val="auto"/>
              </w:rPr>
            </w:pPr>
          </w:p>
        </w:tc>
      </w:tr>
      <w:tr>
        <w:trPr>
          <w:trHeight w:val="183"/>
        </w:trPr>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w:t>
            </w:r>
          </w:p>
        </w:tc>
        <w:tc>
          <w:tcPr>
            <w:tcW w:w="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4"/>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9/30/2020</w:t>
            </w:r>
          </w:p>
        </w:tc>
        <w:tc>
          <w:tcPr>
            <w:tcW w:w="100" w:type="dxa"/>
            <w:vAlign w:val="bottom"/>
            <w:shd w:val="clear" w:color="auto" w:fill="CFF0FC"/>
          </w:tcPr>
          <w:p>
            <w:pPr>
              <w:spacing w:after="0"/>
              <w:rPr>
                <w:sz w:val="16"/>
                <w:szCs w:val="16"/>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11,723,528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3,982,482</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3,982,482</w:t>
            </w:r>
          </w:p>
        </w:tc>
        <w:tc>
          <w:tcPr>
            <w:tcW w:w="80" w:type="dxa"/>
            <w:vAlign w:val="bottom"/>
            <w:shd w:val="clear" w:color="auto" w:fill="CFF0FC"/>
          </w:tcPr>
          <w:p>
            <w:pPr>
              <w:spacing w:after="0"/>
              <w:rPr>
                <w:sz w:val="16"/>
                <w:szCs w:val="16"/>
                <w:color w:val="auto"/>
              </w:rPr>
            </w:pPr>
          </w:p>
        </w:tc>
      </w:tr>
      <w:tr>
        <w:trPr>
          <w:trHeight w:val="197"/>
        </w:trPr>
        <w:tc>
          <w:tcPr>
            <w:tcW w:w="1200" w:type="dxa"/>
            <w:vAlign w:val="bottom"/>
          </w:tcPr>
          <w:p>
            <w:pPr>
              <w:jc w:val="right"/>
              <w:spacing w:after="0"/>
              <w:rPr>
                <w:sz w:val="20"/>
                <w:szCs w:val="20"/>
                <w:color w:val="auto"/>
              </w:rPr>
            </w:pPr>
            <w:r>
              <w:rPr>
                <w:rFonts w:ascii="Arial" w:cs="Arial" w:eastAsia="Arial" w:hAnsi="Arial"/>
                <w:sz w:val="14"/>
                <w:szCs w:val="14"/>
                <w:color w:val="auto"/>
              </w:rPr>
              <w:t>12/31/2019</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A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55,700,000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91</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80" w:type="dxa"/>
            <w:vAlign w:val="bottom"/>
          </w:tcPr>
          <w:p>
            <w:pPr>
              <w:spacing w:after="0"/>
              <w:rPr>
                <w:sz w:val="17"/>
                <w:szCs w:val="17"/>
                <w:color w:val="auto"/>
              </w:rPr>
            </w:pPr>
          </w:p>
        </w:tc>
      </w:tr>
      <w:tr>
        <w:trPr>
          <w:trHeight w:val="208"/>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4/7/2020</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B shares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1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89"/>
              </w:rPr>
              <w:t>91</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89"/>
              </w:rPr>
              <w:t>100%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80" w:type="dxa"/>
            <w:vAlign w:val="bottom"/>
            <w:shd w:val="clear" w:color="auto" w:fill="CFF0FC"/>
          </w:tcPr>
          <w:p>
            <w:pPr>
              <w:spacing w:after="0"/>
              <w:rPr>
                <w:sz w:val="18"/>
                <w:szCs w:val="18"/>
                <w:color w:val="auto"/>
              </w:rPr>
            </w:pPr>
          </w:p>
        </w:tc>
      </w:tr>
      <w:tr>
        <w:trPr>
          <w:trHeight w:val="203"/>
        </w:trPr>
        <w:tc>
          <w:tcPr>
            <w:tcW w:w="1200" w:type="dxa"/>
            <w:vAlign w:val="bottom"/>
          </w:tcPr>
          <w:p>
            <w:pPr>
              <w:jc w:val="right"/>
              <w:spacing w:after="0"/>
              <w:rPr>
                <w:sz w:val="20"/>
                <w:szCs w:val="20"/>
                <w:color w:val="auto"/>
              </w:rPr>
            </w:pPr>
            <w:r>
              <w:rPr>
                <w:rFonts w:ascii="Arial" w:cs="Arial" w:eastAsia="Arial" w:hAnsi="Arial"/>
                <w:sz w:val="14"/>
                <w:szCs w:val="14"/>
                <w:color w:val="auto"/>
              </w:rPr>
              <w:t>8/17/2020</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B-1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27,152,255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12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44</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99"/>
              </w:rPr>
              <w:t>48%</w:t>
            </w:r>
          </w:p>
        </w:tc>
        <w:tc>
          <w:tcPr>
            <w:tcW w:w="6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4,459,773</w:t>
            </w:r>
          </w:p>
        </w:tc>
        <w:tc>
          <w:tcPr>
            <w:tcW w:w="80" w:type="dxa"/>
            <w:vAlign w:val="bottom"/>
          </w:tcPr>
          <w:p>
            <w:pPr>
              <w:spacing w:after="0"/>
              <w:rPr>
                <w:sz w:val="17"/>
                <w:szCs w:val="17"/>
                <w:color w:val="auto"/>
              </w:rPr>
            </w:pPr>
          </w:p>
        </w:tc>
      </w:tr>
      <w:tr>
        <w:trPr>
          <w:trHeight w:val="236"/>
        </w:trPr>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540" w:type="dxa"/>
            <w:vAlign w:val="bottom"/>
            <w:tcBorders>
              <w:bottom w:val="single" w:sz="8" w:color="CFF0FC"/>
            </w:tcBorders>
            <w:gridSpan w:val="11"/>
            <w:shd w:val="clear" w:color="auto" w:fill="CFF0FC"/>
          </w:tcPr>
          <w:p>
            <w:pPr>
              <w:ind w:left="340"/>
              <w:spacing w:after="0"/>
              <w:rPr>
                <w:sz w:val="20"/>
                <w:szCs w:val="20"/>
                <w:color w:val="auto"/>
              </w:rPr>
            </w:pPr>
            <w:r>
              <w:rPr>
                <w:rFonts w:ascii="Arial" w:cs="Arial" w:eastAsia="Arial" w:hAnsi="Arial"/>
                <w:sz w:val="14"/>
                <w:szCs w:val="14"/>
                <w:color w:val="auto"/>
                <w:w w:val="91"/>
              </w:rPr>
              <w:t>Weighted average number of common shares outstanding – basic and diluted for the three months ended September 30, 2020</w:t>
            </w:r>
          </w:p>
        </w:tc>
        <w:tc>
          <w:tcPr>
            <w:tcW w:w="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35,069,988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weighted-average common shares, basic and diluted, for the nine months ended September 30, 2020:</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8/10/2021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Merger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Days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Recapitalized</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Outstanding in</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5"/>
                <w:szCs w:val="15"/>
                <w:color w:val="auto"/>
              </w:rPr>
            </w:pPr>
          </w:p>
        </w:tc>
      </w:tr>
      <w:tr>
        <w:trPr>
          <w:trHeight w:val="192"/>
        </w:trPr>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6"/>
                <w:szCs w:val="16"/>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weighting</w:t>
            </w:r>
          </w:p>
        </w:tc>
        <w:tc>
          <w:tcPr>
            <w:tcW w:w="6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common shares</w:t>
            </w:r>
          </w:p>
        </w:tc>
        <w:tc>
          <w:tcPr>
            <w:tcW w:w="80" w:type="dxa"/>
            <w:vAlign w:val="bottom"/>
          </w:tcPr>
          <w:p>
            <w:pPr>
              <w:spacing w:after="0"/>
              <w:rPr>
                <w:sz w:val="16"/>
                <w:szCs w:val="16"/>
                <w:color w:val="auto"/>
              </w:rPr>
            </w:pPr>
          </w:p>
        </w:tc>
      </w:tr>
      <w:tr>
        <w:trPr>
          <w:trHeight w:val="183"/>
        </w:trPr>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w:t>
            </w:r>
          </w:p>
        </w:tc>
        <w:tc>
          <w:tcPr>
            <w:tcW w:w="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4"/>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9/30/2020</w:t>
            </w:r>
          </w:p>
        </w:tc>
        <w:tc>
          <w:tcPr>
            <w:tcW w:w="100" w:type="dxa"/>
            <w:vAlign w:val="bottom"/>
            <w:shd w:val="clear" w:color="auto" w:fill="CFF0FC"/>
          </w:tcPr>
          <w:p>
            <w:pPr>
              <w:spacing w:after="0"/>
              <w:rPr>
                <w:sz w:val="16"/>
                <w:szCs w:val="16"/>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11,186,180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3,799,945</w:t>
            </w: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4"/>
              </w:rPr>
              <w:t>100%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3,799,945</w:t>
            </w:r>
          </w:p>
        </w:tc>
        <w:tc>
          <w:tcPr>
            <w:tcW w:w="80" w:type="dxa"/>
            <w:vAlign w:val="bottom"/>
            <w:shd w:val="clear" w:color="auto" w:fill="CFF0FC"/>
          </w:tcPr>
          <w:p>
            <w:pPr>
              <w:spacing w:after="0"/>
              <w:rPr>
                <w:sz w:val="16"/>
                <w:szCs w:val="16"/>
                <w:color w:val="auto"/>
              </w:rPr>
            </w:pPr>
          </w:p>
        </w:tc>
      </w:tr>
      <w:tr>
        <w:trPr>
          <w:trHeight w:val="197"/>
        </w:trPr>
        <w:tc>
          <w:tcPr>
            <w:tcW w:w="1200" w:type="dxa"/>
            <w:vAlign w:val="bottom"/>
          </w:tcPr>
          <w:p>
            <w:pPr>
              <w:jc w:val="right"/>
              <w:spacing w:after="0"/>
              <w:rPr>
                <w:sz w:val="20"/>
                <w:szCs w:val="20"/>
                <w:color w:val="auto"/>
              </w:rPr>
            </w:pPr>
            <w:r>
              <w:rPr>
                <w:rFonts w:ascii="Arial" w:cs="Arial" w:eastAsia="Arial" w:hAnsi="Arial"/>
                <w:sz w:val="14"/>
                <w:szCs w:val="14"/>
                <w:color w:val="auto"/>
              </w:rPr>
              <w:t>12/31/2019</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A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55,700,000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273</w:t>
            </w:r>
          </w:p>
        </w:tc>
        <w:tc>
          <w:tcPr>
            <w:tcW w:w="82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100%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18,921,290</w:t>
            </w:r>
          </w:p>
        </w:tc>
        <w:tc>
          <w:tcPr>
            <w:tcW w:w="80" w:type="dxa"/>
            <w:vAlign w:val="bottom"/>
          </w:tcPr>
          <w:p>
            <w:pPr>
              <w:spacing w:after="0"/>
              <w:rPr>
                <w:sz w:val="17"/>
                <w:szCs w:val="17"/>
                <w:color w:val="auto"/>
              </w:rPr>
            </w:pPr>
          </w:p>
        </w:tc>
      </w:tr>
      <w:tr>
        <w:trPr>
          <w:trHeight w:val="208"/>
        </w:trPr>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4/7/2020</w:t>
            </w: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B shares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22,686,025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7,706,443</w:t>
            </w:r>
          </w:p>
        </w:tc>
        <w:tc>
          <w:tcPr>
            <w:tcW w:w="116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176</w:t>
            </w:r>
          </w:p>
        </w:tc>
        <w:tc>
          <w:tcPr>
            <w:tcW w:w="82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2"/>
              </w:rPr>
              <w:t>64%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4,968,256</w:t>
            </w:r>
          </w:p>
        </w:tc>
        <w:tc>
          <w:tcPr>
            <w:tcW w:w="80" w:type="dxa"/>
            <w:vAlign w:val="bottom"/>
            <w:shd w:val="clear" w:color="auto" w:fill="CFF0FC"/>
          </w:tcPr>
          <w:p>
            <w:pPr>
              <w:spacing w:after="0"/>
              <w:rPr>
                <w:sz w:val="18"/>
                <w:szCs w:val="18"/>
                <w:color w:val="auto"/>
              </w:rPr>
            </w:pPr>
          </w:p>
        </w:tc>
      </w:tr>
      <w:tr>
        <w:trPr>
          <w:trHeight w:val="203"/>
        </w:trPr>
        <w:tc>
          <w:tcPr>
            <w:tcW w:w="1200" w:type="dxa"/>
            <w:vAlign w:val="bottom"/>
          </w:tcPr>
          <w:p>
            <w:pPr>
              <w:jc w:val="right"/>
              <w:spacing w:after="0"/>
              <w:rPr>
                <w:sz w:val="20"/>
                <w:szCs w:val="20"/>
                <w:color w:val="auto"/>
              </w:rPr>
            </w:pPr>
            <w:r>
              <w:rPr>
                <w:rFonts w:ascii="Arial" w:cs="Arial" w:eastAsia="Arial" w:hAnsi="Arial"/>
                <w:sz w:val="14"/>
                <w:szCs w:val="14"/>
                <w:color w:val="auto"/>
              </w:rPr>
              <w:t>8/17/2020</w:t>
            </w: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Series B-1 shares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27,152,255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9,223,621</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44</w:t>
            </w:r>
          </w:p>
        </w:tc>
        <w:tc>
          <w:tcPr>
            <w:tcW w:w="82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16%</w:t>
            </w:r>
          </w:p>
        </w:tc>
        <w:tc>
          <w:tcPr>
            <w:tcW w:w="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1,486,591</w:t>
            </w:r>
          </w:p>
        </w:tc>
        <w:tc>
          <w:tcPr>
            <w:tcW w:w="80" w:type="dxa"/>
            <w:vAlign w:val="bottom"/>
          </w:tcPr>
          <w:p>
            <w:pPr>
              <w:spacing w:after="0"/>
              <w:rPr>
                <w:sz w:val="17"/>
                <w:szCs w:val="17"/>
                <w:color w:val="auto"/>
              </w:rPr>
            </w:pPr>
          </w:p>
        </w:tc>
      </w:tr>
      <w:tr>
        <w:trPr>
          <w:trHeight w:val="236"/>
        </w:trPr>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500" w:type="dxa"/>
            <w:vAlign w:val="bottom"/>
            <w:tcBorders>
              <w:bottom w:val="single" w:sz="8" w:color="CFF0FC"/>
            </w:tcBorders>
            <w:gridSpan w:val="11"/>
            <w:shd w:val="clear" w:color="auto" w:fill="CFF0FC"/>
          </w:tcPr>
          <w:p>
            <w:pPr>
              <w:ind w:left="340"/>
              <w:spacing w:after="0"/>
              <w:rPr>
                <w:sz w:val="20"/>
                <w:szCs w:val="20"/>
                <w:color w:val="auto"/>
              </w:rPr>
            </w:pPr>
            <w:r>
              <w:rPr>
                <w:rFonts w:ascii="Arial" w:cs="Arial" w:eastAsia="Arial" w:hAnsi="Arial"/>
                <w:sz w:val="14"/>
                <w:szCs w:val="14"/>
                <w:color w:val="auto"/>
                <w:w w:val="91"/>
              </w:rPr>
              <w:t>Weighted average number of common shares outstanding – basic and diluted for the nine months ended September 30, 2020</w:t>
            </w:r>
          </w:p>
        </w:tc>
        <w:tc>
          <w:tcPr>
            <w:tcW w:w="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29,176,082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Retroactive Application of Recapitalization to Unaudited Condensed Consolidated Balance Sheets</w:t>
      </w:r>
    </w:p>
    <w:p>
      <w:pPr>
        <w:spacing w:after="0" w:line="239"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To conform to the retroactive application of recapitalization to the accompanying unaudited condensed consolidated statements of redeemable convertible preferred stock and stockholders' equity (deficit), historical proceeds from the issuance of preferred stock, less the par value of the historical preferred shares that were converted into common shares using the 0.34 ratio at the Effective Time, have been reclassified to additional paid in capital for the periods ended September 30, 2021 and 2020, respectively.</w:t>
      </w:r>
    </w:p>
    <w:p>
      <w:pPr>
        <w:spacing w:after="0" w:line="289" w:lineRule="exact"/>
        <w:rPr>
          <w:sz w:val="20"/>
          <w:szCs w:val="20"/>
          <w:color w:val="auto"/>
        </w:rPr>
      </w:pPr>
    </w:p>
    <w:p>
      <w:pPr>
        <w:ind w:left="520" w:right="8740" w:hanging="512"/>
        <w:spacing w:after="0" w:line="442" w:lineRule="auto"/>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Agreements </w:t>
      </w:r>
      <w:r>
        <w:rPr>
          <w:rFonts w:ascii="Arial" w:cs="Arial" w:eastAsia="Arial" w:hAnsi="Arial"/>
          <w:sz w:val="16"/>
          <w:szCs w:val="16"/>
          <w:b w:val="1"/>
          <w:bCs w:val="1"/>
          <w:i w:val="1"/>
          <w:iCs w:val="1"/>
          <w:color w:val="auto"/>
        </w:rPr>
        <w:t>2018 Gilead Agreement</w:t>
      </w:r>
    </w:p>
    <w:p>
      <w:pPr>
        <w:spacing w:after="0" w:line="1"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right="180" w:firstLine="509"/>
        <w:spacing w:after="0" w:line="269"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31" w:lineRule="exact"/>
        <w:rPr>
          <w:sz w:val="20"/>
          <w:szCs w:val="20"/>
          <w:color w:val="auto"/>
        </w:rPr>
      </w:pPr>
    </w:p>
    <w:p>
      <w:pPr>
        <w:ind w:right="160" w:firstLine="509"/>
        <w:spacing w:after="0" w:line="303" w:lineRule="auto"/>
        <w:rPr>
          <w:sz w:val="20"/>
          <w:szCs w:val="20"/>
          <w:color w:val="auto"/>
        </w:rPr>
      </w:pPr>
      <w:r>
        <w:rPr>
          <w:rFonts w:ascii="Arial" w:cs="Arial" w:eastAsia="Arial" w:hAnsi="Arial"/>
          <w:sz w:val="17"/>
          <w:szCs w:val="17"/>
          <w:color w:val="auto"/>
        </w:rPr>
        <w:t>In August 2020, Gilead made an equity investment of $20.0 million into the Company as a participant in Old Tango’s Series B-1 preferred stock offering. At the time of the original investment, as well as through the September 30, 2021 balance sheet date, Gilead maintains an ownership of less than 10% of the Company's common stock and is thus not considered to be a related party to the Company.</w:t>
      </w:r>
    </w:p>
    <w:p>
      <w:pPr>
        <w:spacing w:after="0" w:line="164"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75"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62" w:lineRule="exact"/>
        <w:rPr>
          <w:sz w:val="20"/>
          <w:szCs w:val="20"/>
          <w:color w:val="auto"/>
        </w:rPr>
      </w:pPr>
    </w:p>
    <w:p>
      <w:pPr>
        <w:ind w:left="960" w:right="840"/>
        <w:spacing w:after="0" w:line="293" w:lineRule="auto"/>
        <w:rPr>
          <w:sz w:val="20"/>
          <w:szCs w:val="20"/>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62" w:lineRule="exact"/>
        <w:rPr>
          <w:sz w:val="20"/>
          <w:szCs w:val="20"/>
          <w:color w:val="auto"/>
        </w:rPr>
      </w:pPr>
    </w:p>
    <w:p>
      <w:pPr>
        <w:jc w:val="both"/>
        <w:ind w:left="960" w:right="140"/>
        <w:spacing w:after="0" w:line="279" w:lineRule="auto"/>
        <w:rPr>
          <w:sz w:val="20"/>
          <w:szCs w:val="20"/>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 and</w:t>
      </w:r>
    </w:p>
    <w:p>
      <w:pPr>
        <w:spacing w:after="0" w:line="75"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 Company is eligible to receive up to $410.0 million per program in license, research extension, and clinical, regulatory, and commercial milestones.</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8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8"/>
          <w:szCs w:val="18"/>
          <w:color w:val="auto"/>
        </w:rPr>
        <w:t>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83"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$199.0 million at September 30, 2021. The total transaction price was comprised of the $50.0 million upfront 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three and nine months ended September 30, 2021, the Company recognized $6.8 million and $20.3 million, respectively, of revenue associated with the Gilead Agreements based on performance completed during each period. During the three and nine months ended September 30, 2020, the Company recognized a reduction in revenue in the amounts of $11.3 million and $2.2 million, respectively, driven by a cumulative catch-up adjustment that was recorded during the third quarter in connection with the Amended Gilead Agreement. During the nine months ended September 30, 2021, the Company recognized revenue of $11.0 million, associated with the payment received in the second quarter of 2021 pursuant to the April 2021 program license. During the three and nine months ended September 30, 2020, the Company recognized revenue of $0 and $0.7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73"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September 30, 2021 and December 31, 2020, the Company had short-term deferred revenue of $27.8 million and $32.0 million, respectively, and long-term deferred revenue of $116.6 million and $120.8 million, respectively, related to the Gilead collaboration. The remaining long-term revenue is expected to be recognized proportionally to the completed obligations over an expected remaining contractual term of approximately 5.9 years.</w:t>
      </w:r>
    </w:p>
    <w:p>
      <w:pPr>
        <w:spacing w:after="0" w:line="176" w:lineRule="exact"/>
        <w:rPr>
          <w:sz w:val="20"/>
          <w:szCs w:val="20"/>
          <w:color w:val="auto"/>
        </w:rPr>
      </w:pPr>
    </w:p>
    <w:p>
      <w:pPr>
        <w:ind w:right="240" w:firstLine="509"/>
        <w:spacing w:after="0" w:line="292"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 As of September 30, 2021, $6.0 million of the total research extension fees of $24.0 million had been received, $8.0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4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5"/>
              </w:rPr>
              <w:t>Fair Market Value Measurements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2"/>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0"/>
              </w:rPr>
              <w:t>as of September 30,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93,387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51,647</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253,232</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253,232</w:t>
            </w:r>
          </w:p>
        </w:tc>
        <w:tc>
          <w:tcPr>
            <w:tcW w:w="8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1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0"/>
        </w:trPr>
        <w:tc>
          <w:tcPr>
            <w:tcW w:w="58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93,387</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350,478</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443,865</w:t>
            </w:r>
          </w:p>
        </w:tc>
        <w:tc>
          <w:tcPr>
            <w:tcW w:w="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62"/>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-539115</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-521970</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-539115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-521970</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-539115</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-521970</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-539115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-521970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5"/>
              </w:rPr>
              <w:t>Fair Market Value Measurements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2"/>
              </w:rPr>
              <w:t>as of December 31, 2020</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12,698</w:t>
            </w: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131,939</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131,939</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r>
      <w:tr>
        <w:trPr>
          <w:trHeight w:val="29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12,698</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169,114</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1289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128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nine months ended September 30, 2021.</w:t>
      </w:r>
    </w:p>
    <w:p>
      <w:pPr>
        <w:spacing w:after="0" w:line="343"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5" w:lineRule="exact"/>
        <w:rPr>
          <w:sz w:val="20"/>
          <w:szCs w:val="20"/>
          <w:color w:val="auto"/>
        </w:rPr>
      </w:pPr>
    </w:p>
    <w:p>
      <w:pPr>
        <w:ind w:right="240" w:firstLine="509"/>
        <w:spacing w:after="0" w:line="303"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w w:val="94"/>
              </w:rPr>
              <w:t>Fair Value Measurements as of September 30, 2021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253,232</w:t>
            </w:r>
          </w:p>
        </w:tc>
        <w:tc>
          <w:tcPr>
            <w:tcW w:w="1100" w:type="dxa"/>
            <w:vAlign w:val="bottom"/>
            <w:gridSpan w:val="2"/>
          </w:tcPr>
          <w:p>
            <w:pPr>
              <w:jc w:val="right"/>
              <w:ind w:right="70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253,232</w:t>
            </w:r>
          </w:p>
        </w:tc>
        <w:tc>
          <w:tcPr>
            <w:tcW w:w="80" w:type="dxa"/>
            <w:vAlign w:val="bottom"/>
          </w:tcPr>
          <w:p>
            <w:pPr>
              <w:spacing w:after="0"/>
              <w:rPr>
                <w:sz w:val="21"/>
                <w:szCs w:val="21"/>
                <w:color w:val="auto"/>
              </w:rPr>
            </w:pPr>
          </w:p>
        </w:tc>
      </w:tr>
      <w:tr>
        <w:trPr>
          <w:trHeight w:val="257"/>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45,609</w:t>
            </w: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45,599</w:t>
            </w:r>
          </w:p>
        </w:tc>
        <w:tc>
          <w:tcPr>
            <w:tcW w:w="80" w:type="dxa"/>
            <w:vAlign w:val="bottom"/>
            <w:shd w:val="clear" w:color="auto" w:fill="CFF0FC"/>
          </w:tcPr>
          <w:p>
            <w:pPr>
              <w:spacing w:after="0"/>
              <w:rPr>
                <w:sz w:val="22"/>
                <w:szCs w:val="22"/>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298,841</w:t>
            </w:r>
          </w:p>
        </w:tc>
        <w:tc>
          <w:tcPr>
            <w:tcW w:w="220" w:type="dxa"/>
            <w:vAlign w:val="bottom"/>
          </w:tcPr>
          <w:p>
            <w:pPr>
              <w:spacing w:after="0"/>
              <w:rPr>
                <w:sz w:val="21"/>
                <w:szCs w:val="21"/>
                <w:color w:val="auto"/>
              </w:rPr>
            </w:pPr>
          </w:p>
        </w:tc>
        <w:tc>
          <w:tcPr>
            <w:tcW w:w="880" w:type="dxa"/>
            <w:vAlign w:val="bottom"/>
          </w:tcPr>
          <w:p>
            <w:pPr>
              <w:jc w:val="right"/>
              <w:ind w:right="70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(25 )</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298,831</w:t>
            </w:r>
          </w:p>
        </w:tc>
        <w:tc>
          <w:tcPr>
            <w:tcW w:w="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w w:val="96"/>
              </w:rPr>
              <w:t>Fair Value Measurements as of December 31, 2020</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left="86"/>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5"/>
                <w:szCs w:val="15"/>
                <w:color w:val="auto"/>
              </w:rPr>
            </w:pPr>
          </w:p>
        </w:tc>
        <w:tc>
          <w:tcPr>
            <w:tcW w:w="880" w:type="dxa"/>
            <w:vAlign w:val="bottom"/>
          </w:tcPr>
          <w:p>
            <w:pPr>
              <w:jc w:val="center"/>
              <w:ind w:left="66"/>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860" w:type="dxa"/>
            <w:vAlign w:val="bottom"/>
          </w:tcPr>
          <w:p>
            <w:pPr>
              <w:jc w:val="center"/>
              <w:ind w:right="197"/>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center"/>
              <w:ind w:left="86"/>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Marketable debt securities:</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8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spacing w:after="0"/>
              <w:rPr>
                <w:sz w:val="22"/>
                <w:szCs w:val="22"/>
                <w:color w:val="auto"/>
              </w:rPr>
            </w:pPr>
          </w:p>
        </w:tc>
        <w:tc>
          <w:tcPr>
            <w:tcW w:w="22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131,927</w:t>
            </w:r>
          </w:p>
        </w:tc>
        <w:tc>
          <w:tcPr>
            <w:tcW w:w="1100" w:type="dxa"/>
            <w:vAlign w:val="bottom"/>
            <w:gridSpan w:val="2"/>
          </w:tcPr>
          <w:p>
            <w:pPr>
              <w:jc w:val="right"/>
              <w:ind w:right="74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131,939</w:t>
            </w:r>
          </w:p>
        </w:tc>
        <w:tc>
          <w:tcPr>
            <w:tcW w:w="8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U.S. government agency bonds</w:t>
            </w: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29,995</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161,922</w:t>
            </w:r>
          </w:p>
        </w:tc>
        <w:tc>
          <w:tcPr>
            <w:tcW w:w="1100" w:type="dxa"/>
            <w:vAlign w:val="bottom"/>
            <w:gridSpan w:val="2"/>
          </w:tcPr>
          <w:p>
            <w:pPr>
              <w:jc w:val="right"/>
              <w:ind w:right="74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161,939</w:t>
            </w:r>
          </w:p>
        </w:tc>
        <w:tc>
          <w:tcPr>
            <w:tcW w:w="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-1676400</wp:posOffset>
            </wp:positionV>
            <wp:extent cx="13716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-1676400</wp:posOffset>
            </wp:positionV>
            <wp:extent cx="13716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-1676400</wp:posOffset>
            </wp:positionV>
            <wp:extent cx="13716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-1676400</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-193675</wp:posOffset>
            </wp:positionV>
            <wp:extent cx="1371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-193675</wp:posOffset>
            </wp:positionV>
            <wp:extent cx="1200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-193675</wp:posOffset>
            </wp:positionV>
            <wp:extent cx="1200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-193675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9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The Company holds investment grade marketable securities, with less than $0.1 million of U.S. government agency bonds considered to be in an unrealized loss position as of September 30, 2021 and none considered to be in an unrealized loss position as of December 31, 2020. Although the U.S. government agency bonds are held at an unrealized loss position at September 30, 2021,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$0.1 million in accrued interest at September 30, 2021 and December 31, 2020.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7" w:name="page18"/>
    <w:bookmarkEnd w:id="17"/>
    <w:p>
      <w:pPr>
        <w:ind w:left="520" w:right="7560" w:hanging="512"/>
        <w:spacing w:after="0" w:line="416" w:lineRule="auto"/>
        <w:tabs>
          <w:tab w:leader="none" w:pos="45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Supplemental Balance Sheet Information </w:t>
      </w:r>
      <w:r>
        <w:rPr>
          <w:rFonts w:ascii="Arial" w:cs="Arial" w:eastAsia="Arial" w:hAnsi="Arial"/>
          <w:sz w:val="17"/>
          <w:szCs w:val="17"/>
          <w:b w:val="1"/>
          <w:bCs w:val="1"/>
          <w:i w:val="1"/>
          <w:iCs w:val="1"/>
          <w:color w:val="auto"/>
        </w:rPr>
        <w:t>Property and Equipment</w:t>
      </w:r>
    </w:p>
    <w:p>
      <w:pPr>
        <w:spacing w:after="0" w:line="1"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net as of September 30, 2021 and December 31, 2020 consists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5,567</w:t>
            </w:r>
          </w:p>
        </w:tc>
        <w:tc>
          <w:tcPr>
            <w:tcW w:w="20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4,580</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9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0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2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(2,318 )</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(1,684 )</w:t>
            </w:r>
          </w:p>
        </w:tc>
      </w:tr>
      <w:tr>
        <w:trPr>
          <w:trHeight w:val="290"/>
        </w:trPr>
        <w:tc>
          <w:tcPr>
            <w:tcW w:w="4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137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Depreciation expense was $0.2 million for each of the three months ended September 30, 2021 and 2020 and $0.6 million and $0.5 million for the nine months ended September 30, 2021 and 2020,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September 30, 2021 and December 31, 2020 include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5"/>
                <w:szCs w:val="15"/>
                <w:color w:val="auto"/>
              </w:rPr>
            </w:pPr>
          </w:p>
        </w:tc>
      </w:tr>
      <w:tr>
        <w:trPr>
          <w:trHeight w:val="192"/>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5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2,556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8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88"/>
              </w:rPr>
              <w:t>6,347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w:t>
            </w:r>
          </w:p>
        </w:tc>
        <w:tc>
          <w:tcPr>
            <w:tcW w:w="80" w:type="dxa"/>
            <w:vAlign w:val="bottom"/>
          </w:tcPr>
          <w:p>
            <w:pPr>
              <w:spacing w:after="0"/>
              <w:rPr>
                <w:sz w:val="21"/>
                <w:szCs w:val="21"/>
                <w:color w:val="auto"/>
              </w:rPr>
            </w:pPr>
          </w:p>
        </w:tc>
      </w:tr>
      <w:tr>
        <w:trPr>
          <w:trHeight w:val="257"/>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1,075</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760"/>
              <w:spacing w:after="0"/>
              <w:rPr>
                <w:sz w:val="20"/>
                <w:szCs w:val="20"/>
                <w:color w:val="auto"/>
              </w:rPr>
            </w:pPr>
            <w:r>
              <w:rPr>
                <w:rFonts w:ascii="Arial" w:cs="Arial" w:eastAsia="Arial" w:hAnsi="Arial"/>
                <w:sz w:val="18"/>
                <w:szCs w:val="18"/>
                <w:color w:val="auto"/>
                <w:w w:val="88"/>
              </w:rPr>
              <w:t>9,978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6,140</w:t>
            </w:r>
          </w:p>
        </w:tc>
        <w:tc>
          <w:tcPr>
            <w:tcW w:w="8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-193675</wp:posOffset>
            </wp:positionV>
            <wp:extent cx="1200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As of both September 30, 2021 and September 30, 2020, the Company maintained a restricted cash balance of $2.3 million,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5"/>
                <w:szCs w:val="15"/>
                <w:color w:val="auto"/>
              </w:rPr>
            </w:pPr>
          </w:p>
        </w:tc>
      </w:tr>
      <w:tr>
        <w:trPr>
          <w:trHeight w:val="192"/>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5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105,714</w:t>
            </w:r>
          </w:p>
        </w:tc>
        <w:tc>
          <w:tcPr>
            <w:tcW w:w="80" w:type="dxa"/>
            <w:vAlign w:val="bottom"/>
            <w:shd w:val="clear" w:color="auto" w:fill="CFF0FC"/>
          </w:tcPr>
          <w:p>
            <w:pPr>
              <w:spacing w:after="0"/>
              <w:rPr>
                <w:sz w:val="22"/>
                <w:szCs w:val="22"/>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21"/>
                <w:szCs w:val="21"/>
                <w:color w:val="auto"/>
              </w:rPr>
            </w:pPr>
          </w:p>
        </w:tc>
      </w:tr>
      <w:tr>
        <w:trPr>
          <w:trHeight w:val="29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207,253</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107,993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11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3" w:lineRule="exact"/>
        <w:rPr>
          <w:sz w:val="20"/>
          <w:szCs w:val="20"/>
          <w:color w:val="auto"/>
        </w:rPr>
      </w:pPr>
    </w:p>
    <w:p>
      <w:pPr>
        <w:ind w:left="520" w:right="8180" w:hanging="512"/>
        <w:spacing w:after="0" w:line="393" w:lineRule="auto"/>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ind w:right="120" w:firstLine="509"/>
        <w:spacing w:after="0" w:line="288"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Litigation</w:t>
      </w:r>
    </w:p>
    <w:p>
      <w:pPr>
        <w:spacing w:after="0" w:line="131"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September 30, 2021,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1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35" w:lineRule="exact"/>
        <w:rPr>
          <w:sz w:val="20"/>
          <w:szCs w:val="20"/>
          <w:color w:val="auto"/>
        </w:rPr>
      </w:pPr>
    </w:p>
    <w:p>
      <w:pPr>
        <w:ind w:right="360" w:firstLine="509"/>
        <w:spacing w:after="0" w:line="329" w:lineRule="auto"/>
        <w:rPr>
          <w:sz w:val="20"/>
          <w:szCs w:val="20"/>
          <w:color w:val="auto"/>
        </w:rPr>
      </w:pPr>
      <w:r>
        <w:rPr>
          <w:rFonts w:ascii="Arial" w:cs="Arial" w:eastAsia="Arial" w:hAnsi="Arial"/>
          <w:sz w:val="16"/>
          <w:szCs w:val="16"/>
          <w:color w:val="auto"/>
        </w:rPr>
        <w:t>In March 2017, Old Tango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8"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Pursuant to the initial closing of the Series A stock purchase agreement, Old Tango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Old Tango issued 26,000,000 additional shares of Series A preferred stock at a price of $1.00 per share upon the achievement of specified development milestones in connection with the second tranche of the Series A stock purchase agreement. Total proceeds from this issuance were $26.0 million. In January 2019, Old Tango issued 11,000,000 additional shares of Series A preferred stock at a price of $1.00 per share upon the achievement of specified development milestones in connection with the third tranche of the Series A stock purchase agreement. Total proceeds from this issuance were $11.0 million. The aggregate issuance costs associated with the issuance of all three tranches of Series A preferred stock was less than $0.1 million.</w:t>
      </w:r>
    </w:p>
    <w:p>
      <w:pPr>
        <w:spacing w:after="0" w:line="18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In April 2020, Old Tango executed a stock purchase agreement to sell shares of redeemable convertible series B preferred stock (“Series B”). The Series B stock purchase agreement allows for the issuance of up to 45,372,051 shares. In April 2020, Old Tango issued 22,686,025 shares of Series B at a price of $1.32 per share. Proceeds from this issuance totaled $29.8 million, net of $0.2 million in issuance costs. In March 2021, Old Tango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76" w:lineRule="exact"/>
        <w:rPr>
          <w:sz w:val="20"/>
          <w:szCs w:val="20"/>
          <w:color w:val="auto"/>
        </w:rPr>
      </w:pPr>
    </w:p>
    <w:p>
      <w:pPr>
        <w:jc w:val="both"/>
        <w:ind w:right="120" w:firstLine="509"/>
        <w:spacing w:after="0" w:line="303" w:lineRule="auto"/>
        <w:rPr>
          <w:sz w:val="20"/>
          <w:szCs w:val="20"/>
          <w:color w:val="auto"/>
        </w:rPr>
      </w:pPr>
      <w:r>
        <w:rPr>
          <w:rFonts w:ascii="Arial" w:cs="Arial" w:eastAsia="Arial" w:hAnsi="Arial"/>
          <w:sz w:val="17"/>
          <w:szCs w:val="17"/>
          <w:color w:val="auto"/>
        </w:rPr>
        <w:t>In August 2020, Old Tango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Conversion of Redeemable Convertible Preferred Stock</w:t>
      </w:r>
    </w:p>
    <w:p>
      <w:pPr>
        <w:spacing w:after="0" w:line="239"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as discussed further in Note 1 and Note 3.</w:t>
      </w:r>
    </w:p>
    <w:p>
      <w:pPr>
        <w:spacing w:after="0" w:line="289"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131"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7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right="120"/>
        <w:spacing w:after="0" w:line="293" w:lineRule="auto"/>
        <w:rPr>
          <w:sz w:val="20"/>
          <w:szCs w:val="20"/>
          <w:color w:val="auto"/>
        </w:rPr>
      </w:pPr>
      <w:r>
        <w:rPr>
          <w:rFonts w:ascii="Arial" w:cs="Arial" w:eastAsia="Arial" w:hAnsi="Arial"/>
          <w:sz w:val="18"/>
          <w:szCs w:val="18"/>
          <w:color w:val="auto"/>
        </w:rPr>
        <w:t>awards to officers, employees, non-employee directors and consultants. As of September 30, 2021, the Company had 6,908,373 shares available for future issuance.</w:t>
      </w:r>
    </w:p>
    <w:p>
      <w:pPr>
        <w:spacing w:after="0" w:line="62"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in its accompanying condensed consolidated statements of operations:</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4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2,558</w:t>
            </w:r>
          </w:p>
        </w:tc>
        <w:tc>
          <w:tcPr>
            <w:tcW w:w="118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w w:val="86"/>
              </w:rPr>
              <w:t>233</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FF0FC"/>
          </w:tcPr>
          <w:p>
            <w:pPr>
              <w:spacing w:after="0"/>
              <w:rPr>
                <w:sz w:val="22"/>
                <w:szCs w:val="22"/>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185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1"/>
                <w:szCs w:val="21"/>
                <w:color w:val="auto"/>
              </w:rPr>
            </w:pPr>
          </w:p>
        </w:tc>
      </w:tr>
      <w:tr>
        <w:trPr>
          <w:trHeight w:val="297"/>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3,430</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6"/>
              </w:rPr>
              <w:t>418</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200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9" w:lineRule="exact"/>
        <w:rPr>
          <w:sz w:val="20"/>
          <w:szCs w:val="20"/>
          <w:color w:val="auto"/>
        </w:rPr>
      </w:pPr>
    </w:p>
    <w:p>
      <w:pPr>
        <w:jc w:val="both"/>
        <w:ind w:right="40" w:firstLine="509"/>
        <w:spacing w:after="0" w:line="329" w:lineRule="auto"/>
        <w:rPr>
          <w:sz w:val="20"/>
          <w:szCs w:val="20"/>
          <w:color w:val="auto"/>
        </w:rPr>
      </w:pPr>
      <w:r>
        <w:rPr>
          <w:rFonts w:ascii="Arial" w:cs="Arial" w:eastAsia="Arial" w:hAnsi="Arial"/>
          <w:sz w:val="16"/>
          <w:szCs w:val="16"/>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1 and Note 3.</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2021:</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5"/>
                <w:szCs w:val="15"/>
                <w:color w:val="auto"/>
              </w:rPr>
            </w:pPr>
          </w:p>
        </w:tc>
      </w:tr>
      <w:tr>
        <w:trPr>
          <w:trHeight w:val="192"/>
        </w:trPr>
        <w:tc>
          <w:tcPr>
            <w:tcW w:w="4240" w:type="dxa"/>
            <w:vAlign w:val="bottom"/>
          </w:tcPr>
          <w:p>
            <w:pPr>
              <w:spacing w:after="0"/>
              <w:rPr>
                <w:sz w:val="16"/>
                <w:szCs w:val="16"/>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 years)</w:t>
            </w:r>
          </w:p>
        </w:tc>
        <w:tc>
          <w:tcPr>
            <w:tcW w:w="2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4,094,544</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1.88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6,625,511</w:t>
            </w:r>
          </w:p>
        </w:tc>
        <w:tc>
          <w:tcPr>
            <w:tcW w:w="80" w:type="dxa"/>
            <w:vAlign w:val="bottom"/>
            <w:shd w:val="clear" w:color="auto" w:fill="CFF0FC"/>
          </w:tcPr>
          <w:p>
            <w:pPr>
              <w:spacing w:after="0"/>
              <w:rPr>
                <w:sz w:val="22"/>
                <w:szCs w:val="22"/>
                <w:color w:val="auto"/>
              </w:rPr>
            </w:pPr>
          </w:p>
        </w:tc>
      </w:tr>
      <w:tr>
        <w:trPr>
          <w:trHeight w:val="250"/>
        </w:trPr>
        <w:tc>
          <w:tcPr>
            <w:tcW w:w="4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5,564,341</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6.92</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(584,561 )</w:t>
            </w:r>
          </w:p>
        </w:tc>
        <w:tc>
          <w:tcPr>
            <w:tcW w:w="9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1.64</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2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(247,427 )</w:t>
            </w: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3.37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Options outstanding as of September 30, 2021</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8,826,897</w:t>
            </w:r>
          </w:p>
        </w:tc>
        <w:tc>
          <w:tcPr>
            <w:tcW w:w="260" w:type="dxa"/>
            <w:vAlign w:val="bottom"/>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5.03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69,725,604</w:t>
            </w:r>
          </w:p>
        </w:tc>
        <w:tc>
          <w:tcPr>
            <w:tcW w:w="80" w:type="dxa"/>
            <w:vAlign w:val="bottom"/>
            <w:shd w:val="clear" w:color="auto" w:fill="CFF0FC"/>
          </w:tcPr>
          <w:p>
            <w:pPr>
              <w:spacing w:after="0"/>
              <w:rPr>
                <w:sz w:val="22"/>
                <w:szCs w:val="22"/>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exercisable as of September 30,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1,843,814</w:t>
            </w:r>
          </w:p>
        </w:tc>
        <w:tc>
          <w:tcPr>
            <w:tcW w:w="260" w:type="dxa"/>
            <w:vAlign w:val="bottom"/>
          </w:tcPr>
          <w:p>
            <w:pPr>
              <w:spacing w:after="0"/>
              <w:rPr>
                <w:sz w:val="21"/>
                <w:szCs w:val="21"/>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19,120,394</w:t>
            </w:r>
          </w:p>
        </w:tc>
        <w:tc>
          <w:tcPr>
            <w:tcW w:w="80" w:type="dxa"/>
            <w:vAlign w:val="bottom"/>
          </w:tcPr>
          <w:p>
            <w:pPr>
              <w:spacing w:after="0"/>
              <w:rPr>
                <w:sz w:val="21"/>
                <w:szCs w:val="21"/>
                <w:color w:val="auto"/>
              </w:rPr>
            </w:pPr>
          </w:p>
        </w:tc>
      </w:tr>
    </w:tbl>
    <w:p>
      <w:pPr>
        <w:spacing w:after="0" w:line="283"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As of September 30, 2021, total unrecognized compensation expense related to stock options was $26.4 million, which the Company expects to recognize over a remaining weighted-average period of 3.1 years.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During the nine months ended September 30, 2021, 256,385 RSAs vested. Stock-based compensation expense attributable to RSAs during the nine months ended September 30, 2021 totaled $0.5 million.</w:t>
      </w:r>
    </w:p>
    <w:p>
      <w:pPr>
        <w:spacing w:after="0" w:line="27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(in thousands, except per share data)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(19,590 )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(26,802 )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(36,189 )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(43,108 )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loss attributable to common stockholders –</w:t>
            </w:r>
          </w:p>
        </w:tc>
        <w:tc>
          <w:tcPr>
            <w:tcW w:w="220" w:type="dxa"/>
            <w:vAlign w:val="bottom"/>
            <w:shd w:val="clear" w:color="auto" w:fill="CFF0FC"/>
          </w:tcPr>
          <w:p>
            <w:pPr>
              <w:spacing w:after="0"/>
              <w:rPr>
                <w:sz w:val="21"/>
                <w:szCs w:val="2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(19,590 )</w:t>
            </w:r>
          </w:p>
        </w:tc>
        <w:tc>
          <w:tcPr>
            <w:tcW w:w="200" w:type="dxa"/>
            <w:vAlign w:val="bottom"/>
            <w:shd w:val="clear" w:color="auto" w:fill="CFF0FC"/>
          </w:tcPr>
          <w:p>
            <w:pPr>
              <w:spacing w:after="0"/>
              <w:rPr>
                <w:sz w:val="21"/>
                <w:szCs w:val="21"/>
                <w:color w:val="auto"/>
              </w:rPr>
            </w:pPr>
          </w:p>
        </w:tc>
        <w:tc>
          <w:tcPr>
            <w:tcW w:w="13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(26,802 )</w:t>
            </w:r>
          </w:p>
        </w:tc>
        <w:tc>
          <w:tcPr>
            <w:tcW w:w="240" w:type="dxa"/>
            <w:vAlign w:val="bottom"/>
            <w:shd w:val="clear" w:color="auto" w:fill="CFF0FC"/>
          </w:tcPr>
          <w:p>
            <w:pPr>
              <w:spacing w:after="0"/>
              <w:rPr>
                <w:sz w:val="21"/>
                <w:szCs w:val="21"/>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(36,189 )</w:t>
            </w:r>
          </w:p>
        </w:tc>
        <w:tc>
          <w:tcPr>
            <w:tcW w:w="300" w:type="dxa"/>
            <w:vAlign w:val="bottom"/>
            <w:shd w:val="clear" w:color="auto" w:fill="CFF0FC"/>
          </w:tcPr>
          <w:p>
            <w:pPr>
              <w:spacing w:after="0"/>
              <w:rPr>
                <w:sz w:val="21"/>
                <w:szCs w:val="21"/>
                <w:color w:val="auto"/>
              </w:rPr>
            </w:pPr>
          </w:p>
        </w:tc>
        <w:tc>
          <w:tcPr>
            <w:tcW w:w="1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(43,108 )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0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Weighted-average common stock outstanding</w:t>
            </w:r>
          </w:p>
        </w:tc>
        <w:tc>
          <w:tcPr>
            <w:tcW w:w="220" w:type="dxa"/>
            <w:vAlign w:val="bottom"/>
            <w:shd w:val="clear" w:color="auto" w:fill="CFF0FC"/>
          </w:tcPr>
          <w:p>
            <w:pPr>
              <w:spacing w:after="0"/>
              <w:rPr>
                <w:sz w:val="21"/>
                <w:szCs w:val="21"/>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70,160,663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35,069,988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53,397,557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29,176,082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 basic and diluted</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(0.28 )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(0.76 )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(0.68 )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stockholders – basic and diluted</w:t>
            </w:r>
          </w:p>
        </w:tc>
        <w:tc>
          <w:tcPr>
            <w:tcW w:w="2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-1299210</wp:posOffset>
            </wp:positionV>
            <wp:extent cx="13716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-1299210</wp:posOffset>
            </wp:positionV>
            <wp:extent cx="13716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-1299210</wp:posOffset>
            </wp:positionV>
            <wp:extent cx="12890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-1299210</wp:posOffset>
            </wp:positionV>
            <wp:extent cx="603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-828040</wp:posOffset>
            </wp:positionV>
            <wp:extent cx="1371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-828040</wp:posOffset>
            </wp:positionV>
            <wp:extent cx="13716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-828040</wp:posOffset>
            </wp:positionV>
            <wp:extent cx="12890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-828040</wp:posOffset>
            </wp:positionV>
            <wp:extent cx="603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80" w:firstLine="509"/>
        <w:spacing w:after="0" w:line="314"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460" w:type="dxa"/>
            <w:vAlign w:val="bottom"/>
          </w:tcPr>
          <w:p>
            <w:pPr>
              <w:spacing w:after="0"/>
              <w:rPr>
                <w:sz w:val="17"/>
                <w:szCs w:val="17"/>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8,826,897</w:t>
            </w:r>
          </w:p>
        </w:tc>
        <w:tc>
          <w:tcPr>
            <w:tcW w:w="2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3,379,915</w:t>
            </w:r>
          </w:p>
        </w:tc>
        <w:tc>
          <w:tcPr>
            <w:tcW w:w="80" w:type="dxa"/>
            <w:vAlign w:val="bottom"/>
            <w:shd w:val="clear" w:color="auto" w:fill="CFF0FC"/>
          </w:tcPr>
          <w:p>
            <w:pPr>
              <w:spacing w:after="0"/>
              <w:rPr>
                <w:sz w:val="22"/>
                <w:szCs w:val="22"/>
                <w:color w:val="auto"/>
              </w:rPr>
            </w:pPr>
          </w:p>
        </w:tc>
      </w:tr>
      <w:tr>
        <w:trPr>
          <w:trHeight w:val="250"/>
        </w:trPr>
        <w:tc>
          <w:tcPr>
            <w:tcW w:w="446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599,276</w:t>
            </w:r>
          </w:p>
        </w:tc>
        <w:tc>
          <w:tcPr>
            <w:tcW w:w="80" w:type="dxa"/>
            <w:vAlign w:val="bottom"/>
          </w:tcPr>
          <w:p>
            <w:pPr>
              <w:spacing w:after="0"/>
              <w:rPr>
                <w:sz w:val="21"/>
                <w:szCs w:val="21"/>
                <w:color w:val="auto"/>
              </w:rPr>
            </w:pPr>
          </w:p>
        </w:tc>
      </w:tr>
      <w:tr>
        <w:trPr>
          <w:trHeight w:val="250"/>
        </w:trPr>
        <w:tc>
          <w:tcPr>
            <w:tcW w:w="4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8,827,110</w:t>
            </w:r>
          </w:p>
        </w:tc>
        <w:tc>
          <w:tcPr>
            <w:tcW w:w="2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3,979,191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wp:posOffset>
            </wp:positionV>
            <wp:extent cx="12890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-5080</wp:posOffset>
            </wp:positionV>
            <wp:extent cx="431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Company’s effective income tax rate was 0.3% and 0.0% for the three months ended September 30, 2021 and 2020, respectively, and 0.7% and 0.0% for the nine months ended September 30, 2021 and 2020, respectively. The income tax provision was $62 thousand and $0 for the three months ended September 30, 2021 and 2020, respectively, and $115 thousand and $0 for the nine months ended September 30, 2021 and 2020, respectively. The change in the provision for income taxes for the three and nine months ended September 30, 2021, respectively, compared to the three and nine months ended September 30, 2020 was primarily due to taxable deferred revenue partially offset by the utilization of federal and state net operating losses and federal and state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03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9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effective income tax rate for the three and nine months ended September 30, 2021 and 2020 differed from the federal statutory rate primarily due to the valuation allowance maintained against the Company’s deferred tax assets.</w:t>
      </w:r>
    </w:p>
    <w:p>
      <w:pPr>
        <w:spacing w:after="0" w:line="58"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100 Binney Street Lease Modification</w:t>
      </w:r>
    </w:p>
    <w:p>
      <w:pPr>
        <w:spacing w:after="0" w:line="239"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In November 2021, the Company entered into a lease termination agreement for the Company's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for which the earlier date shall be no later than October 15, 2022.</w:t>
      </w:r>
    </w:p>
    <w:p>
      <w:pPr>
        <w:spacing w:after="0" w:line="18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Company estimates that the execution of the lease termination agreement will result in material reductions to the associated lease liability and right-of-use asset balances in the fourth quarter of 2021. The Company also expects to reduce the useful life assigned to leasehold improvements associated with the Binney Street lease, resulting in an increase to depreciation expense recognized over the remaining term of the modified lease. The restricted cash balance will be reduced by $0.6 million on the last day of the modified lease term, at which time the related security deposit will be returned to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firstLine="495"/>
        <w:spacing w:after="0" w:line="27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with our audited consolidated financial statements and related notes for the year ended December 31, 2020 included in the Prospectus as filed with the SEC pursuant to Rule 424(b)(3) on October 8, 2021, or the Prospectus.</w:t>
      </w:r>
    </w:p>
    <w:p>
      <w:pPr>
        <w:spacing w:after="0" w:line="77" w:lineRule="exact"/>
        <w:rPr>
          <w:sz w:val="20"/>
          <w:szCs w:val="20"/>
          <w:color w:val="auto"/>
        </w:rPr>
      </w:pPr>
    </w:p>
    <w:p>
      <w:pPr>
        <w:ind w:right="200" w:firstLine="509"/>
        <w:spacing w:after="0" w:line="303" w:lineRule="auto"/>
        <w:rPr>
          <w:sz w:val="20"/>
          <w:szCs w:val="20"/>
          <w:color w:val="auto"/>
        </w:rPr>
      </w:pPr>
      <w:r>
        <w:rPr>
          <w:rFonts w:ascii="Arial" w:cs="Arial" w:eastAsia="Arial" w:hAnsi="Arial"/>
          <w:sz w:val="17"/>
          <w:szCs w:val="17"/>
          <w:i w:val="1"/>
          <w:iCs w:val="1"/>
          <w:color w:val="auto"/>
        </w:rPr>
        <w:t>Unless otherwise indicated, references in this Management’s Discussion and Analysis of Financial Condition and Results of Operations section to “Tango,” “we,” “us,” “our” and other similar terms refer to Old Tango (as defined below) and its subsidiary prior to the closing of the business combination with BCTG Acquisition Corp. and to Tango and its consolidated subsidiaries after giving effect to the Business Combination.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 xml:space="preserve">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We plan to file an Investigational New Drug, or IND, application for TNG908 in the fourth quarter of 2021 and initiate a Phase 1/2 clinical trial in the first half of 2022. We are also developing a ubiquitin-specific protease 1, or USP1, inhibitor that is synthetic lethal with BRCA1 mutations, which are present in approximately 15% of ovarian cancers, 5% of breast cancers, and 1% of prostate cancers.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for USP1 demonstrated potent anti-tumor activity. We plan to file an IND in 2022 and expect this molecule to have both single agent activity in PARPi-naïve and PARPi-resistant BRCA1 mutant cancers and to synergize with PARP inhibitors. Our Target 3 program, an undisclosed synthetic lethal target, reverses the immune evasion effect of serine-threonine kinase 11 (STK11) loss-of-function mutations, which are present in approximately 20% of non-small cell lung cancers. In combination with a PD-1 inhibitor, Target 3 sustained strong regressions in animal models. We plan to file an IND for this program in 2023.</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w:t>
      </w:r>
    </w:p>
    <w:p>
      <w:pPr>
        <w:spacing w:after="0" w:line="13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On April 13, 2021, the Company, BCTG Merger Sub Inc., a Delaware corporation, and Tango Therapeutics, Inc. (now known as Tango Therapeutics Sub, Inc.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9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8"/>
          <w:szCs w:val="18"/>
          <w:color w:val="auto"/>
        </w:rPr>
        <w:t>We received gross proceeds of $167.1 million upon the closing of the Business Combination. Simultaneous with the closing of the Business Combination, the PIPE Investors purchased an aggregate of 18,610,000 shares of our common stock at a price of $10.00 per share, which resulted in gross proceeds of an additional $186.1 million upon the closing of the PIPE Financing. Total transaction costs and redemptions approximated $26.7 million, resulting in total net proceeds of $326.5 million.</w:t>
      </w:r>
    </w:p>
    <w:p>
      <w:pPr>
        <w:spacing w:after="0" w:line="18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Old Tango common stock became an option to purchase shares of New Tango common stock, subject to adjustment in accordance with the exchange ratio.</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approximately $166.9 million of gross proceeds from the sale of our preferred shares, approximately $342.1 million in gross proceeds through the closing of the Business Combination and PIPE Financing transactions (as described below) and another $210.1 million through our collaboration with Gilead.</w:t>
      </w:r>
    </w:p>
    <w:p>
      <w:pPr>
        <w:spacing w:after="0" w:line="19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We believe that our existing cash, cash equivalents and marketable securities on hand as of September 30, 2021 of $503.8 million will enable us to fund our operating expenses and capital expenditure requirements at least into the second half of 2024. Since inception, we have incurred significant operating losses. For the nine months ended September 30, 2021 and 2020, our net losses were $36.2 million and $43.1 million, respectively. We had an accumulated deficit of $139.3 million and $103.1 million as of September 30, 2021 and December 31, 2020, respectively.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78"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83"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185"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540"/>
        <w:spacing w:after="0" w:line="359" w:lineRule="auto"/>
        <w:rPr>
          <w:sz w:val="20"/>
          <w:szCs w:val="20"/>
          <w:color w:val="auto"/>
        </w:rPr>
      </w:pPr>
      <w:r>
        <w:rPr>
          <w:rFonts w:ascii="Arial" w:cs="Arial" w:eastAsia="Arial" w:hAnsi="Arial"/>
          <w:sz w:val="16"/>
          <w:szCs w:val="16"/>
          <w:color w:val="auto"/>
        </w:rPr>
        <w:t>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2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December 2020 and September 2021, Gilead elected to extend two programs for research extension fees totaling $24.0 million, which was added to our estimate of the transaction price to total $199.0 million. A total of $18.0 million of fees related to the research extensions have not been received as of September 30, 2021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As of September 30, 2021, $44.6 million has been recognized as collaboration revenue related to the upfront and research extension payments from the Gilead Agreement.</w:t>
      </w:r>
    </w:p>
    <w:p>
      <w:pPr>
        <w:spacing w:after="0" w:line="170"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During the three and nine months ended September 30, 2021, the Company recognized $6.8 million and $20.3 million, respectively, of revenue associated with the Gilead Agreement based on performance completed during each period. During the three and nine months ended September 30, 2020, the Company recognized a reduction in revenue in the amounts of $11.3 million and $2.2 million, respectively, driven by a cumulative catch-up adjustment that was recorded during the third quarter in connection with the execution of the Gilead Agreement in August 2020.</w:t>
      </w:r>
    </w:p>
    <w:p>
      <w:pPr>
        <w:spacing w:after="0" w:line="170" w:lineRule="exact"/>
        <w:rPr>
          <w:sz w:val="20"/>
          <w:szCs w:val="20"/>
          <w:color w:val="auto"/>
        </w:rPr>
      </w:pPr>
    </w:p>
    <w:p>
      <w:pPr>
        <w:ind w:right="320" w:firstLine="509"/>
        <w:spacing w:after="0" w:line="329" w:lineRule="auto"/>
        <w:rPr>
          <w:sz w:val="20"/>
          <w:szCs w:val="20"/>
          <w:color w:val="auto"/>
        </w:rPr>
      </w:pPr>
      <w:r>
        <w:rPr>
          <w:rFonts w:ascii="Arial" w:cs="Arial" w:eastAsia="Arial" w:hAnsi="Arial"/>
          <w:sz w:val="16"/>
          <w:szCs w:val="16"/>
          <w:color w:val="auto"/>
        </w:rPr>
        <w:t>Refer to Note 4 to our unaudited condensed consolidated financial statements and related notes appearing elsewhere in this Quarterly Report on Form 10-Q and our audited consolidated financial statements and related notes for the year ended December 31, 2020 included in the Company’s Prospectus, for additional information regarding our revenue recognition accounting policy and our collaboration agreement with Gilead.</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related to manufacturing material for our preclinical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laboratory supplies and research materials;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to fulfill our obligations under the collaboration with Gilead;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related to compliance with regulatory requirements;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50"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3" w:lineRule="exact"/>
        <w:rPr>
          <w:sz w:val="20"/>
          <w:szCs w:val="20"/>
          <w:color w:val="auto"/>
        </w:rPr>
      </w:pPr>
    </w:p>
    <w:p>
      <w:pPr>
        <w:jc w:val="both"/>
        <w:ind w:right="400" w:firstLine="509"/>
        <w:spacing w:after="0" w:line="329"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8"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4" w:name="page25"/>
    <w:bookmarkEnd w:id="24"/>
    <w:p>
      <w:pPr>
        <w:ind w:right="180"/>
        <w:spacing w:after="0" w:line="279" w:lineRule="auto"/>
        <w:rPr>
          <w:sz w:val="20"/>
          <w:szCs w:val="20"/>
          <w:color w:val="auto"/>
        </w:rPr>
      </w:pPr>
      <w:r>
        <w:rPr>
          <w:rFonts w:ascii="Arial" w:cs="Arial" w:eastAsia="Arial" w:hAnsi="Arial"/>
          <w:sz w:val="18"/>
          <w:szCs w:val="18"/>
          <w:color w:val="auto"/>
        </w:rPr>
        <w:t>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98" w:lineRule="exact"/>
        <w:rPr>
          <w:sz w:val="20"/>
          <w:szCs w:val="20"/>
          <w:color w:val="auto"/>
        </w:rPr>
      </w:pPr>
    </w:p>
    <w:tbl>
      <w:tblPr>
        <w:tblLayout w:type="fixed"/>
        <w:tblInd w:w="102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660" w:type="dxa"/>
            <w:vAlign w:val="bottom"/>
            <w:gridSpan w:val="4"/>
          </w:tcPr>
          <w:p>
            <w:pPr>
              <w:jc w:val="center"/>
              <w:ind w:left="576"/>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TNG908 direct program expenses</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FF0FC"/>
          </w:tcPr>
          <w:p>
            <w:pPr>
              <w:ind w:left="44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USP1 direct program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Discovery direct program expenses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 related expenses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0"/>
              <w:spacing w:after="0"/>
              <w:rPr>
                <w:sz w:val="20"/>
                <w:szCs w:val="20"/>
                <w:color w:val="auto"/>
              </w:rPr>
            </w:pPr>
            <w:r>
              <w:rPr>
                <w:rFonts w:ascii="Arial" w:cs="Arial" w:eastAsia="Arial" w:hAnsi="Arial"/>
                <w:sz w:val="18"/>
                <w:szCs w:val="18"/>
                <w:color w:val="auto"/>
              </w:rPr>
              <w:t>Facilities and other related expenses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21,923</w:t>
            </w:r>
          </w:p>
        </w:tc>
        <w:tc>
          <w:tcPr>
            <w:tcW w:w="12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1"/>
                <w:szCs w:val="2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12,977</w:t>
            </w:r>
          </w:p>
        </w:tc>
        <w:tc>
          <w:tcPr>
            <w:tcW w:w="8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56,002</w:t>
            </w:r>
          </w:p>
        </w:tc>
        <w:tc>
          <w:tcPr>
            <w:tcW w:w="100" w:type="dxa"/>
            <w:vAlign w:val="bottom"/>
            <w:vMerge w:val="restart"/>
            <w:shd w:val="clear" w:color="auto" w:fill="CFF0FC"/>
          </w:tcPr>
          <w:p>
            <w:pPr>
              <w:spacing w:after="0"/>
              <w:rPr>
                <w:sz w:val="21"/>
                <w:szCs w:val="2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34,928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00" w:type="dxa"/>
            <w:vAlign w:val="bottom"/>
            <w:tcBorders>
              <w:bottom w:val="single" w:sz="8" w:color="CFF0FC"/>
            </w:tcBorders>
            <w:shd w:val="clear" w:color="auto" w:fill="CFF0FC"/>
          </w:tcPr>
          <w:p>
            <w:pPr>
              <w:ind w:left="440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vMerge w:val="continue"/>
            <w:shd w:val="clear" w:color="auto" w:fill="CFF0FC"/>
          </w:tcPr>
          <w:p>
            <w:pPr>
              <w:spacing w:after="0"/>
              <w:rPr>
                <w:sz w:val="24"/>
                <w:szCs w:val="24"/>
                <w:color w:val="auto"/>
              </w:rPr>
            </w:pPr>
          </w:p>
        </w:tc>
        <w:tc>
          <w:tcPr>
            <w:tcW w:w="12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vMerge w:val="continue"/>
            <w:shd w:val="clear" w:color="auto" w:fill="CFF0FC"/>
          </w:tcPr>
          <w:p>
            <w:pPr>
              <w:spacing w:after="0"/>
              <w:rPr>
                <w:sz w:val="24"/>
                <w:szCs w:val="24"/>
                <w:color w:val="auto"/>
              </w:rPr>
            </w:pPr>
          </w:p>
        </w:tc>
        <w:tc>
          <w:tcPr>
            <w:tcW w:w="8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920" w:type="dxa"/>
            <w:vAlign w:val="bottom"/>
            <w:tcBorders>
              <w:bottom w:val="single" w:sz="8" w:color="auto"/>
            </w:tcBorders>
            <w:vMerge w:val="continue"/>
            <w:shd w:val="clear" w:color="auto" w:fill="CFF0FC"/>
          </w:tcPr>
          <w:p>
            <w:pPr>
              <w:spacing w:after="0"/>
              <w:rPr>
                <w:sz w:val="24"/>
                <w:szCs w:val="24"/>
                <w:color w:val="auto"/>
              </w:rPr>
            </w:pPr>
          </w:p>
        </w:tc>
        <w:tc>
          <w:tcPr>
            <w:tcW w:w="100" w:type="dxa"/>
            <w:vAlign w:val="bottom"/>
            <w:tcBorders>
              <w:bottom w:val="single" w:sz="8" w:color="CFF0FC"/>
            </w:tcBorders>
            <w:vMerge w:val="continue"/>
            <w:shd w:val="clear" w:color="auto" w:fill="CFF0FC"/>
          </w:tcPr>
          <w:p>
            <w:pPr>
              <w:spacing w:after="0"/>
              <w:rPr>
                <w:sz w:val="24"/>
                <w:szCs w:val="24"/>
                <w:color w:val="auto"/>
              </w:rPr>
            </w:pPr>
          </w:p>
        </w:tc>
        <w:tc>
          <w:tcPr>
            <w:tcW w:w="120" w:type="dxa"/>
            <w:vAlign w:val="bottom"/>
            <w:tcBorders>
              <w:bottom w:val="single" w:sz="8" w:color="auto"/>
            </w:tcBorders>
            <w:vMerge w:val="continue"/>
            <w:shd w:val="clear" w:color="auto" w:fill="CFF0FC"/>
          </w:tcPr>
          <w:p>
            <w:pPr>
              <w:spacing w:after="0"/>
              <w:rPr>
                <w:sz w:val="24"/>
                <w:szCs w:val="24"/>
                <w:color w:val="auto"/>
              </w:rPr>
            </w:pPr>
          </w:p>
        </w:tc>
        <w:tc>
          <w:tcPr>
            <w:tcW w:w="940" w:type="dxa"/>
            <w:vAlign w:val="bottom"/>
            <w:tcBorders>
              <w:bottom w:val="single" w:sz="8" w:color="auto"/>
            </w:tcBorders>
            <w:vMerge w:val="continue"/>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57"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an appropriate safety profile with IND enabling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in and completion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whether our product candidates show safety and efficacy in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receipt of marketing approvals from applicable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progress of our collaboration with Gilead;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continued acceptable safety profile and efficacy profile of products following any regulatory approval.</w:t>
      </w:r>
    </w:p>
    <w:p>
      <w:pPr>
        <w:spacing w:after="0" w:line="239"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48"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(Expense)</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Interest income (expense) consists of income earned and losses incurred in connection with our investments in money market funds, U.S. Treasury bills and U.S. government agency bonds.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income, net consists of miscellaneous income and expense unrelated to our core operations.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3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have recorded an insignificant provision for income taxes for the three and nine months ended September 30, 2021. There is no provision for income taxes for the three and nine months ended September 30, 2020 because we have historically incurred net operating losses and maintain a full valuation allowance against our deferred tax assets.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(11,275 )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License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21,923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12,977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26,356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15,495</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(19,569 )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(26,756 )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 (expense)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(19,528 )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(26,802 )</w:t>
            </w:r>
          </w:p>
        </w:tc>
        <w:tc>
          <w:tcPr>
            <w:tcW w:w="112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for income taxes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(62 )</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(19,590 )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(26,802 )</w:t>
            </w:r>
          </w:p>
        </w:tc>
        <w:tc>
          <w:tcPr>
            <w:tcW w:w="112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4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(19,602 ) $</w:t>
            </w:r>
          </w:p>
        </w:tc>
        <w:tc>
          <w:tcPr>
            <w:tcW w:w="1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(26,787 ) $</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420" w:type="dxa"/>
            <w:vAlign w:val="bottom"/>
            <w:gridSpan w:val="3"/>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-1830705</wp:posOffset>
            </wp:positionV>
            <wp:extent cx="768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-1830705</wp:posOffset>
            </wp:positionV>
            <wp:extent cx="1543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-1830705</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-1496695</wp:posOffset>
            </wp:positionV>
            <wp:extent cx="768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-1496695</wp:posOffset>
            </wp:positionV>
            <wp:extent cx="15430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-1496695</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-828040</wp:posOffset>
            </wp:positionV>
            <wp:extent cx="768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-828040</wp:posOffset>
            </wp:positionV>
            <wp:extent cx="15430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-828040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-493395</wp:posOffset>
            </wp:positionV>
            <wp:extent cx="768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-493395</wp:posOffset>
            </wp:positionV>
            <wp:extent cx="1543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-493395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-5080</wp:posOffset>
            </wp:positionV>
            <wp:extent cx="7683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-5080</wp:posOffset>
            </wp:positionV>
            <wp:extent cx="1543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8"/>
          <w:szCs w:val="18"/>
          <w:color w:val="auto"/>
        </w:rPr>
        <w:t>Collaboration revenue of $6.8 million and ($11.3) million for the three months ended September 30, 2021 and 2020, respectively, was derived from the Gilead collaboration. The increase of $18.1 million is primarily due the charge against revenue of $11.3 million for the three months ended September 30, 2020 driven by a cumulative catch-up adjustment to the revenue previously recognized from the Gilead collaboration due to a change to the transaction price resulting from the execution of the Gilead Agreement during the third quarter of 2020.</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131" w:lineRule="exact"/>
        <w:rPr>
          <w:sz w:val="20"/>
          <w:szCs w:val="20"/>
          <w:color w:val="auto"/>
        </w:rPr>
      </w:pPr>
    </w:p>
    <w:p>
      <w:pPr>
        <w:ind w:right="20" w:firstLine="509"/>
        <w:spacing w:after="0" w:line="324" w:lineRule="auto"/>
        <w:rPr>
          <w:sz w:val="20"/>
          <w:szCs w:val="20"/>
          <w:color w:val="auto"/>
        </w:rPr>
      </w:pPr>
      <w:r>
        <w:rPr>
          <w:rFonts w:ascii="Arial" w:cs="Arial" w:eastAsia="Arial" w:hAnsi="Arial"/>
          <w:sz w:val="17"/>
          <w:szCs w:val="17"/>
          <w:color w:val="auto"/>
        </w:rPr>
        <w:t>License revenue was $0 for the three months ended September 30, 2021 compared to an amount of less than $0.1 million for the three months ended September 30, 2020. License revenue was not significant for both the three months ended September 30, 2021 and 2020.</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Research and development expense was $21.9 million for the three months ended September 30, 2021 compared to $13.0 million for the three months ended September 30, 2020. The increase of $8.9 million was primarily due to a $4.9 million increase in external CRO expenses and lab supplies primarily relating to our lead product candidate, TNG908, and the advancement of our other drug discovery programs. Additionally, personnel-related costs increased $3.1 million primarily due to an increase of share-based compensation expense and additional headcount to support our research and development activities, as well as a $0.9 million increase in IT spend, consulting and professional fees.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General and administrative expense was $4.4 million for the three months ended September 30, 2021 compared to $2.5 million for the three months ended September 30, 2020. The increase of $1.9 million was primarily due to a $1.2 million increase in personnel-related costs due to an increase in share-based compensation expense and additional headcount.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jc w:val="both"/>
        <w:ind w:right="120" w:firstLine="509"/>
        <w:spacing w:after="0" w:line="359" w:lineRule="auto"/>
        <w:rPr>
          <w:sz w:val="20"/>
          <w:szCs w:val="20"/>
          <w:color w:val="auto"/>
        </w:rPr>
      </w:pPr>
      <w:r>
        <w:rPr>
          <w:rFonts w:ascii="Arial" w:cs="Arial" w:eastAsia="Arial" w:hAnsi="Arial"/>
          <w:sz w:val="16"/>
          <w:szCs w:val="16"/>
          <w:color w:val="auto"/>
        </w:rPr>
        <w:t>Interest income was $0.1 million for the three months ended September 30, 2021 compared to interest expense of $0.1 million for the three months ended September 30, 2020. Interest income and expense was not significant for the three month periods primarily due to low interest rates in each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right="120" w:firstLine="509"/>
        <w:spacing w:after="0" w:line="359" w:lineRule="auto"/>
        <w:rPr>
          <w:sz w:val="20"/>
          <w:szCs w:val="20"/>
          <w:color w:val="auto"/>
        </w:rPr>
      </w:pPr>
      <w:r>
        <w:rPr>
          <w:rFonts w:ascii="Arial" w:cs="Arial" w:eastAsia="Arial" w:hAnsi="Arial"/>
          <w:sz w:val="16"/>
          <w:szCs w:val="16"/>
          <w:color w:val="auto"/>
        </w:rPr>
        <w:t>Other expense, net was less than $0.1 million for the three months ended September 30, 2021 compared to other income, net of $0.1 million for the three months ended September 30, 2020. Other expense and income was not significant for both the three months ended September 30, 2021 and 2020.</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Provision for income taxes was $0.1 million for the three months ended September 30, 2021 compared to $0 for the three months ended September 30, 2020. The increase of $0.1 million is primarily attributable to taxable deferred revenue partially offset by the utilization of federal and state net operating losses and federal and state tax credits.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(2,169 )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License revenue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56,002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34,928</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w:t>
            </w:r>
          </w:p>
        </w:tc>
        <w:tc>
          <w:tcPr>
            <w:tcW w:w="2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67,532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41,777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(36,206 )</w:t>
            </w:r>
          </w:p>
        </w:tc>
        <w:tc>
          <w:tcPr>
            <w:tcW w:w="1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(43,263 )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(167 )</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(36,074 )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(43,108 )</w:t>
            </w:r>
          </w:p>
        </w:tc>
        <w:tc>
          <w:tcPr>
            <w:tcW w:w="1120" w:type="dxa"/>
            <w:vAlign w:val="bottom"/>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for income taxes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(115 )</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(36,189 )</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(43,108 )</w:t>
            </w:r>
          </w:p>
        </w:tc>
        <w:tc>
          <w:tcPr>
            <w:tcW w:w="112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4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(36,216 ) $</w:t>
            </w:r>
          </w:p>
        </w:tc>
        <w:tc>
          <w:tcPr>
            <w:tcW w:w="1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(43,092 ) $</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4860"/>
              <w:spacing w:after="0"/>
              <w:rPr>
                <w:sz w:val="20"/>
                <w:szCs w:val="20"/>
                <w:color w:val="auto"/>
              </w:rPr>
            </w:pPr>
            <w:r>
              <w:rPr>
                <w:rFonts w:ascii="Arial" w:cs="Arial" w:eastAsia="Arial" w:hAnsi="Arial"/>
                <w:sz w:val="18"/>
                <w:szCs w:val="18"/>
                <w:color w:val="auto"/>
                <w:w w:val="79"/>
              </w:rPr>
              <w:t>$</w:t>
            </w:r>
          </w:p>
        </w:tc>
        <w:tc>
          <w:tcPr>
            <w:tcW w:w="1420" w:type="dxa"/>
            <w:vAlign w:val="bottom"/>
            <w:gridSpan w:val="3"/>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11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-1830705</wp:posOffset>
            </wp:positionV>
            <wp:extent cx="768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-1830705</wp:posOffset>
            </wp:positionV>
            <wp:extent cx="15430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-1830705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-1496695</wp:posOffset>
            </wp:positionV>
            <wp:extent cx="768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-1496695</wp:posOffset>
            </wp:positionV>
            <wp:extent cx="15430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-1496695</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-828040</wp:posOffset>
            </wp:positionV>
            <wp:extent cx="7683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-828040</wp:posOffset>
            </wp:positionV>
            <wp:extent cx="15430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-828040</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-493395</wp:posOffset>
            </wp:positionV>
            <wp:extent cx="7683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-493395</wp:posOffset>
            </wp:positionV>
            <wp:extent cx="1543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-493395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-5080</wp:posOffset>
            </wp:positionV>
            <wp:extent cx="7683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-5080</wp:posOffset>
            </wp:positionV>
            <wp:extent cx="15430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-5080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jc w:val="both"/>
        <w:ind w:right="100" w:firstLine="509"/>
        <w:spacing w:after="0" w:line="292" w:lineRule="auto"/>
        <w:rPr>
          <w:sz w:val="20"/>
          <w:szCs w:val="20"/>
          <w:color w:val="auto"/>
        </w:rPr>
      </w:pPr>
      <w:r>
        <w:rPr>
          <w:rFonts w:ascii="Arial" w:cs="Arial" w:eastAsia="Arial" w:hAnsi="Arial"/>
          <w:sz w:val="17"/>
          <w:szCs w:val="17"/>
          <w:color w:val="auto"/>
        </w:rPr>
        <w:t>Collaboration revenue of $20.3 million and $(2.2) million for the nine months ended September 30, 2021 and 2020, respectively, was derived from the Gilead collaboration. The increase of $22.5 million is primarily due to an increase in the total transaction price allocated to the combined performance obligation related to the execution of the Gilead Agreement during the third quarter of 2020, which resulted in a cumulative catch-up adjustment to reduce a portion of the revenue previously recognized from the Gilead collaboration, as well as incremental costs incurred under the Gilead Agreement during the nine months ended September 30, 2021 as compared to the nine months ended September 30, 2020.</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Revenue</w:t>
      </w:r>
    </w:p>
    <w:p>
      <w:pPr>
        <w:spacing w:after="0" w:line="131"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License revenue was $11.0 million for the nine months ended September 30, 2021 compared to $0.7 million for the nine months ended September 30, 2020. The increase of $10.3 million is primarily due to the incremental revenue recognized during the nine months ended September 30, 2021 from Gilead licensing a program for an $11.0 million fee as compared to residual 2019 Gilead Letter Agreement revenue of $0.7 million recognized during the nine months ended September 30, 2020.</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Research and development expense was $56.0 million for the nine months ended September 30, 2021 compared to $34.9 million for the nine months ended September 30, 2020. The increase of $21.1 million was primarily due to a $14.0 million increase in external CRO expenses and lab supplies primarily relating to our lead product candidate, TNG908, and the advancement of our other drug discovery programs. Additionally, personnel-related costs increased $5.4 million primarily due to an increase in share-based compensation expense and additional headcount to support our research and development activities, as well as a $1.7 million increase in IT spend, consulting and professional fees.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1"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7"/>
          <w:szCs w:val="17"/>
          <w:color w:val="auto"/>
        </w:rPr>
        <w:t>General and administrative expense was $11.5 million for the nine months ended September 30, 2021 compared to $6.8 million for the nine months ended September 30, 2020. The increase of $4.7 million was primarily due to a $2.8 million increase in personnel-related costs due to an increase in share-based compensation expense and additional headcount and a $1.2 million increase in consulting and professional fees.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jc w:val="both"/>
        <w:ind w:right="60" w:firstLine="509"/>
        <w:spacing w:after="0" w:line="293" w:lineRule="auto"/>
        <w:rPr>
          <w:sz w:val="20"/>
          <w:szCs w:val="20"/>
          <w:color w:val="auto"/>
        </w:rPr>
      </w:pPr>
      <w:r>
        <w:rPr>
          <w:rFonts w:ascii="Arial" w:cs="Arial" w:eastAsia="Arial" w:hAnsi="Arial"/>
          <w:sz w:val="18"/>
          <w:szCs w:val="18"/>
          <w:color w:val="auto"/>
        </w:rPr>
        <w:t>Interest income was $0.3 million for the nine months ended September 30, 2021 compared to $0.1 million for the nine months ended September 30, 2020. Interest income was not significant for the nine month periods primarily due to low interest rates in each period.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31" w:lineRule="exact"/>
        <w:rPr>
          <w:sz w:val="20"/>
          <w:szCs w:val="20"/>
          <w:color w:val="auto"/>
        </w:rPr>
      </w:pPr>
    </w:p>
    <w:p>
      <w:pPr>
        <w:ind w:right="460" w:firstLine="509"/>
        <w:spacing w:after="0" w:line="359" w:lineRule="auto"/>
        <w:rPr>
          <w:sz w:val="20"/>
          <w:szCs w:val="20"/>
          <w:color w:val="auto"/>
        </w:rPr>
      </w:pPr>
      <w:r>
        <w:rPr>
          <w:rFonts w:ascii="Arial" w:cs="Arial" w:eastAsia="Arial" w:hAnsi="Arial"/>
          <w:sz w:val="16"/>
          <w:szCs w:val="16"/>
          <w:color w:val="auto"/>
        </w:rPr>
        <w:t>Other expense, net was $0.2 million for the nine months ended September 30, 2021 compared to other income, net of $0.1 million for the nine months ended September 30, 2020. Other expense and income was not significant for both the nine months ended September 30, 2021 and 2020.</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Provision for income taxes was $0.1 million for the nine months ended September 30, 2021 compared to $0 for the nine months ended September 30, 2020. The increase of less than $0.1 million is primarily attributable to taxable deferred revenue partially offset by the utilization of federal and state net operating losses and federal and state tax credits.</w:t>
      </w:r>
    </w:p>
    <w:p>
      <w:pPr>
        <w:spacing w:after="0" w:line="287"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Liquidity and Capital Resources</w:t>
      </w:r>
    </w:p>
    <w:p>
      <w:pPr>
        <w:spacing w:after="0" w:line="158"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$210.1 million through the collaboration and license agreement with Gilead. As of September 30, 2021, we had cash and cash equivalents and marketable securities of $503.8 million.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We believe that our existing cash, cash equivalents and marketable securities on hand as of September 30, 2021 of $503.8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nine month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r>
      <w:tr>
        <w:trPr>
          <w:trHeight w:val="196"/>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2"/>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(42,625 )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(130,761 )</w:t>
            </w:r>
          </w:p>
        </w:tc>
      </w:tr>
      <w:tr>
        <w:trPr>
          <w:trHeight w:val="250"/>
        </w:trPr>
        <w:tc>
          <w:tcPr>
            <w:tcW w:w="4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(138,227 )</w:t>
            </w: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(86,256 )</w:t>
            </w:r>
          </w:p>
        </w:tc>
        <w:tc>
          <w:tcPr>
            <w:tcW w:w="1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(51,971 )</w:t>
            </w:r>
          </w:p>
        </w:tc>
      </w:tr>
      <w:tr>
        <w:trPr>
          <w:trHeight w:val="257"/>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357,445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80,945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86"/>
        </w:trPr>
        <w:tc>
          <w:tcPr>
            <w:tcW w:w="4460" w:type="dxa"/>
            <w:vAlign w:val="bottom"/>
          </w:tcPr>
          <w:p>
            <w:pPr>
              <w:spacing w:after="0"/>
              <w:rPr>
                <w:sz w:val="20"/>
                <w:szCs w:val="20"/>
                <w:color w:val="auto"/>
              </w:rPr>
            </w:pPr>
            <w:r>
              <w:rPr>
                <w:rFonts w:ascii="Arial" w:cs="Arial" w:eastAsia="Arial" w:hAnsi="Arial"/>
                <w:sz w:val="18"/>
                <w:szCs w:val="18"/>
                <w:color w:val="auto"/>
                <w:w w:val="95"/>
              </w:rPr>
              <w:t>Net increase in cash, cash equivalents and restricted cash</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93,768</w:t>
            </w:r>
          </w:p>
        </w:tc>
        <w:tc>
          <w:tcPr>
            <w:tcW w:w="100" w:type="dxa"/>
            <w:vAlign w:val="bottom"/>
          </w:tcPr>
          <w:p>
            <w:pPr>
              <w:spacing w:after="0"/>
              <w:rPr>
                <w:sz w:val="24"/>
                <w:szCs w:val="24"/>
                <w:color w:val="auto"/>
              </w:rPr>
            </w:pPr>
          </w:p>
        </w:tc>
      </w:tr>
      <w:tr>
        <w:trPr>
          <w:trHeight w:val="20"/>
        </w:trPr>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-339090</wp:posOffset>
            </wp:positionV>
            <wp:extent cx="16256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-339090</wp:posOffset>
            </wp:positionV>
            <wp:extent cx="15430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-339090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9" w:name="page30"/>
    <w:bookmarkEnd w:id="29"/>
    <w:p>
      <w:pPr>
        <w:ind w:right="140"/>
        <w:spacing w:after="0" w:line="293" w:lineRule="auto"/>
        <w:rPr>
          <w:sz w:val="20"/>
          <w:szCs w:val="20"/>
          <w:color w:val="auto"/>
        </w:rPr>
      </w:pPr>
      <w:r>
        <w:rPr>
          <w:rFonts w:ascii="Arial" w:cs="Arial" w:eastAsia="Arial" w:hAnsi="Arial"/>
          <w:sz w:val="18"/>
          <w:szCs w:val="18"/>
          <w:color w:val="auto"/>
        </w:rPr>
        <w:t>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70"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Net cash used in operating activities was $42.6 million for the nine months ended September 30, 2021 compared to net cash provided by operating activities of $88.1 million for the nine months ended September 30, 2020. The increase in net cash used in operating activities for the nine months ended September 30, 2021 was primarily driven by our net loss of $36.2 million for the period, along with a higher non-cash items, including an increase in accounts receivable of $6.0 million and a decrease in deferred revenue of $8.3 million, and a partial offset attributable to an increase in stock-based compensation expense of $5.6 million. The increase in net cash provided by operating activities for the nine months ended September 30, 2020 is primarily due to an upfront, non-refundable payment of $125.0 million from Gilead paid upon execution of the Gilead Agreement in the third quarter of 2020, partially offset by the net loss of $43.1 million during the period.</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Net cash used in investing activities was $138.3 million for the nine months ended September 30, 2021 compared to net cash used in investing activities of $86.3 million for the nine months ended September 30, 2020. The increase in cash used in investing activities was primarily due to increase in purchases of marketable securities partially offset by increased sales and maturities of marketable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Net cash provided by financing activities was $357.4 million for the nine months ended September 30, 2021 compared to net cash provided by financing activities of $80.9 million for the nine months ended September 30, 2020. The increase net cash provided by financing activities for the nine months ended September 30, 2021 was primarily due to net proceeds of $326.5 million received upon the closing of the Business Combination and PIPE Financing in August 2021, as well as $30.0 million in proceeds related to the issuance of shares of redeemable convertible Series B preferred stock in March 2021. The increase in net cash provided by financing activities for the nine months ended September 30, 2020 was primarily due to net proceeds of $30.0 million related to the issuance of shares of redeemable convertible Series B preferred stock in April 2020 and net proceeds of $51.2 million related to the issuance of shares of redeemable convertible Series-B-1 preferred stock in August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The following table summarizes our contractual obligations at September 30, 2021 and the effects that such obligations are expected to have on our liquidity and cash flows in future periods: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21"/>
              <w:spacing w:after="0"/>
              <w:rPr>
                <w:sz w:val="20"/>
                <w:szCs w:val="20"/>
                <w:color w:val="auto"/>
              </w:rPr>
            </w:pPr>
            <w:r>
              <w:rPr>
                <w:rFonts w:ascii="Arial" w:cs="Arial" w:eastAsia="Arial" w:hAnsi="Arial"/>
                <w:sz w:val="14"/>
                <w:szCs w:val="14"/>
                <w:b w:val="1"/>
                <w:bCs w:val="1"/>
                <w:color w:val="auto"/>
                <w:w w:val="94"/>
              </w:rPr>
              <w:t>Less than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More than</w:t>
            </w:r>
          </w:p>
        </w:tc>
        <w:tc>
          <w:tcPr>
            <w:tcW w:w="80" w:type="dxa"/>
            <w:vAlign w:val="bottom"/>
          </w:tcPr>
          <w:p>
            <w:pPr>
              <w:spacing w:after="0"/>
              <w:rPr>
                <w:sz w:val="15"/>
                <w:szCs w:val="15"/>
                <w:color w:val="auto"/>
              </w:rPr>
            </w:pPr>
          </w:p>
        </w:tc>
      </w:tr>
      <w:tr>
        <w:trPr>
          <w:trHeight w:val="192"/>
        </w:trPr>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1 –3 Years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3 –5 Years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5 Years</w:t>
            </w:r>
          </w:p>
        </w:tc>
        <w:tc>
          <w:tcPr>
            <w:tcW w:w="80" w:type="dxa"/>
            <w:vAlign w:val="bottom"/>
          </w:tcPr>
          <w:p>
            <w:pPr>
              <w:spacing w:after="0"/>
              <w:rPr>
                <w:sz w:val="16"/>
                <w:szCs w:val="16"/>
                <w:color w:val="auto"/>
              </w:rPr>
            </w:pPr>
          </w:p>
        </w:tc>
      </w:tr>
      <w:tr>
        <w:trPr>
          <w:trHeight w:val="196"/>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6"/>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9,424</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-176530</wp:posOffset>
            </wp:positionV>
            <wp:extent cx="1289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-176530</wp:posOffset>
            </wp:positionV>
            <wp:extent cx="12890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-176530</wp:posOffset>
            </wp:positionV>
            <wp:extent cx="12001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-176530</wp:posOffset>
            </wp:positionV>
            <wp:extent cx="1111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-176530</wp:posOffset>
            </wp:positionV>
            <wp:extent cx="5143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September 30, 2021. In November 2021, the Company entered into a lease termination agreement for the Company's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which earlier date shall be no later than October 15, 2022. See Note 13 of the unaudited condensed consolidated financial statements and related notes appearing elsewhere in this Quarterly Report on Form 10-Q for additional discussion of the impact resulting from the lease termination agreement that was executed as a subsequent event.</w:t>
      </w:r>
    </w:p>
    <w:p>
      <w:pPr>
        <w:spacing w:after="0" w:line="19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The table does not include the minimum payments due under our new operating lease for office and laboratory space at the 201 Brookline Avenue, Boston, Massachusetts as we have not occupied the premises and the lease payments in connection with this lease are yet to commence as of September 30, 2021. Commitments pertaining to the 201 Brookline Avenue lease will be added to the table above, and also recognized as operating lease liabilities on our balance sheet once the new lease payments commence.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first half of 2022.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Purchase Obligations</w:t>
      </w:r>
    </w:p>
    <w:p>
      <w:pPr>
        <w:spacing w:after="0" w:line="131" w:lineRule="exact"/>
        <w:rPr>
          <w:sz w:val="20"/>
          <w:szCs w:val="20"/>
          <w:color w:val="auto"/>
        </w:rPr>
      </w:pPr>
    </w:p>
    <w:p>
      <w:pPr>
        <w:ind w:right="220" w:firstLine="509"/>
        <w:spacing w:after="0" w:line="329"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September 30, 2021.</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Obligations</w:t>
      </w:r>
    </w:p>
    <w:p>
      <w:pPr>
        <w:spacing w:after="0" w:line="131" w:lineRule="exact"/>
        <w:rPr>
          <w:sz w:val="20"/>
          <w:szCs w:val="20"/>
          <w:color w:val="auto"/>
        </w:rPr>
      </w:pPr>
    </w:p>
    <w:p>
      <w:pPr>
        <w:ind w:right="120" w:firstLine="509"/>
        <w:spacing w:after="0" w:line="292"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September 30, 2021 and December 31, 2020, we were unable to estimate the timing or likelihood of achieving these milestones or generating future product sales. See Note 8 to our audited consolidated financial statements and related notes for the year ended December 31, 2020 included in the Prospectus.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for the year ended December 31, 2020 included in the Company’s Prospectus, we believe that the following accounting policies are those most critical to the judgments and estimates used in the preparation of our financial statements.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right="140" w:firstLine="509"/>
        <w:spacing w:after="0" w:line="303"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right="400"/>
        <w:spacing w:after="0" w:line="293" w:lineRule="auto"/>
        <w:rPr>
          <w:sz w:val="20"/>
          <w:szCs w:val="20"/>
          <w:color w:val="auto"/>
        </w:rPr>
      </w:pPr>
      <w:r>
        <w:rPr>
          <w:rFonts w:ascii="Arial" w:cs="Arial" w:eastAsia="Arial" w:hAnsi="Arial"/>
          <w:sz w:val="18"/>
          <w:szCs w:val="18"/>
          <w:color w:val="auto"/>
        </w:rPr>
        <w:t>license payments. We evaluate the measure of progress each reporting period and, if necessary, adjust the measure of performance and related revenue recognition.</w:t>
      </w:r>
    </w:p>
    <w:p>
      <w:pPr>
        <w:spacing w:after="0" w:line="170"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8"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3"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5"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6"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5" w:lineRule="exact"/>
        <w:rPr>
          <w:sz w:val="20"/>
          <w:szCs w:val="20"/>
          <w:color w:val="auto"/>
        </w:rPr>
      </w:pPr>
    </w:p>
    <w:p>
      <w:pPr>
        <w:ind w:right="180" w:firstLine="509"/>
        <w:spacing w:after="0" w:line="309"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31" w:lineRule="exact"/>
        <w:rPr>
          <w:sz w:val="20"/>
          <w:szCs w:val="20"/>
          <w:color w:val="auto"/>
        </w:rPr>
      </w:pPr>
    </w:p>
    <w:p>
      <w:pPr>
        <w:ind w:right="60" w:firstLine="509"/>
        <w:spacing w:after="0" w:line="28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firstLine="509"/>
        <w:spacing w:after="0" w:line="286"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70"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3"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200" w:lineRule="exact"/>
        <w:rPr>
          <w:sz w:val="20"/>
          <w:szCs w:val="20"/>
          <w:color w:val="auto"/>
        </w:rPr>
      </w:pPr>
    </w:p>
    <w:p>
      <w:pPr>
        <w:spacing w:after="0" w:line="209"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different.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3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within the unaudited condensed consolidated financial statements and related notes appearing elsewhere in this Quarterly Report on Form 10-Q and also in Note 2 to our audited consolidated financial statements and related notes for the year ended December 31, 2020 included in the Company’s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55"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provide reduced disclosure about our executive compensation arrangements;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250"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3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We had cash, cash equivalents and marketable securities of $503.8 million and $190.3 million as of September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31" w:lineRule="exact"/>
        <w:rPr>
          <w:sz w:val="20"/>
          <w:szCs w:val="20"/>
          <w:color w:val="auto"/>
        </w:rPr>
      </w:pPr>
    </w:p>
    <w:p>
      <w:pPr>
        <w:jc w:val="both"/>
        <w:ind w:right="160" w:firstLine="509"/>
        <w:spacing w:after="0" w:line="279"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Effects of Inflation</w:t>
      </w:r>
    </w:p>
    <w:p>
      <w:pPr>
        <w:spacing w:after="0" w:line="13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80" w:firstLine="8"/>
        <w:spacing w:after="0" w:line="292"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the quarter ended September 30, 2021 that materially affected, or were reasonably likely to materially affect, the Company’s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the section titled “Note Regarding Forward-Looking Statements” above.</w:t>
      </w:r>
    </w:p>
    <w:p>
      <w:pPr>
        <w:spacing w:after="0" w:line="277" w:lineRule="exact"/>
        <w:rPr>
          <w:sz w:val="20"/>
          <w:szCs w:val="20"/>
          <w:color w:val="auto"/>
        </w:rPr>
      </w:pPr>
    </w:p>
    <w:p>
      <w:pPr>
        <w:ind w:right="3900"/>
        <w:spacing w:after="0" w:line="393" w:lineRule="auto"/>
        <w:rPr>
          <w:sz w:val="20"/>
          <w:szCs w:val="20"/>
          <w:color w:val="auto"/>
        </w:rPr>
      </w:pPr>
      <w:r>
        <w:rPr>
          <w:rFonts w:ascii="Arial" w:cs="Arial" w:eastAsia="Arial" w:hAnsi="Arial"/>
          <w:sz w:val="18"/>
          <w:szCs w:val="18"/>
          <w:b w:val="1"/>
          <w:bCs w:val="1"/>
          <w:color w:val="auto"/>
        </w:rPr>
        <w:t xml:space="preserve">Risks Related to Our Limited Operating History, Financial Position, and Capital Requirements </w:t>
      </w:r>
      <w:r>
        <w:rPr>
          <w:rFonts w:ascii="Arial" w:cs="Arial" w:eastAsia="Arial" w:hAnsi="Arial"/>
          <w:sz w:val="18"/>
          <w:szCs w:val="18"/>
          <w:b w:val="1"/>
          <w:bCs w:val="1"/>
          <w:i w:val="1"/>
          <w:iCs w:val="1"/>
          <w:color w:val="auto"/>
        </w:rPr>
        <w:t>We are a precision oncology company with a limited operating history.</w:t>
      </w:r>
    </w:p>
    <w:p>
      <w:pPr>
        <w:spacing w:after="0" w:line="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42" w:lineRule="exact"/>
        <w:rPr>
          <w:sz w:val="20"/>
          <w:szCs w:val="20"/>
          <w:color w:val="auto"/>
        </w:rPr>
      </w:pPr>
    </w:p>
    <w:p>
      <w:pPr>
        <w:ind w:right="220" w:firstLine="509"/>
        <w:spacing w:after="0" w:line="308" w:lineRule="auto"/>
        <w:rPr>
          <w:sz w:val="20"/>
          <w:szCs w:val="20"/>
          <w:color w:val="auto"/>
        </w:rPr>
      </w:pPr>
      <w:r>
        <w:rPr>
          <w:rFonts w:ascii="Arial" w:cs="Arial" w:eastAsia="Arial" w:hAnsi="Arial"/>
          <w:sz w:val="16"/>
          <w:szCs w:val="16"/>
          <w:color w:val="auto"/>
        </w:rPr>
        <w:t>We have incurred significant net losses since our inception. For the nine months ended September 30, 2021, our net loss was $36.2 million. As of September 30, 2021, we had an accumulated deficit of $139.3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55" w:lineRule="exact"/>
        <w:rPr>
          <w:sz w:val="20"/>
          <w:szCs w:val="20"/>
          <w:color w:val="auto"/>
        </w:rPr>
      </w:pPr>
    </w:p>
    <w:p>
      <w:pPr>
        <w:ind w:right="120" w:firstLine="554"/>
        <w:spacing w:after="0" w:line="275"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6" w:name="page37"/>
    <w:bookmarkEnd w:id="36"/>
    <w:p>
      <w:pPr>
        <w:ind w:left="1100" w:right="120"/>
        <w:spacing w:after="0" w:line="293" w:lineRule="auto"/>
        <w:rPr>
          <w:sz w:val="20"/>
          <w:szCs w:val="20"/>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62"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14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ability to attract, hire and retain qualified personnel;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expenditures that we will or may incur to develop additional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31"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sz w:val="20"/>
          <w:szCs w:val="20"/>
          <w:color w:val="auto"/>
        </w:rPr>
      </w:pPr>
    </w:p>
    <w:p>
      <w:pPr>
        <w:ind w:left="1100" w:right="1440"/>
        <w:spacing w:after="0" w:line="418" w:lineRule="auto"/>
        <w:rPr>
          <w:sz w:val="20"/>
          <w:szCs w:val="20"/>
          <w:color w:val="auto"/>
        </w:rPr>
      </w:pPr>
      <w:r>
        <w:rPr>
          <w:rFonts w:ascii="Arial" w:cs="Arial" w:eastAsia="Arial" w:hAnsi="Arial"/>
          <w:sz w:val="18"/>
          <w:szCs w:val="18"/>
          <w:color w:val="auto"/>
        </w:rPr>
        <w:t>the changing and volatile U.S. and global economic environments, including as a result of the COVID-19 pandemic; and future accounting pronouncements or changes in our accounting policies.</w:t>
      </w:r>
    </w:p>
    <w:p>
      <w:pPr>
        <w:spacing w:after="0" w:line="6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3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successfully complete our planned preclinical studies for our novel precision oncology development programs;</w:t>
      </w:r>
    </w:p>
    <w:p>
      <w:pPr>
        <w:spacing w:after="0" w:line="131" w:lineRule="exact"/>
        <w:rPr>
          <w:sz w:val="20"/>
          <w:szCs w:val="20"/>
          <w:color w:val="auto"/>
        </w:rPr>
      </w:pPr>
    </w:p>
    <w:p>
      <w:pPr>
        <w:ind w:left="1100" w:right="1080"/>
        <w:spacing w:after="0" w:line="293" w:lineRule="auto"/>
        <w:rPr>
          <w:sz w:val="20"/>
          <w:szCs w:val="20"/>
          <w:color w:val="auto"/>
        </w:rPr>
      </w:pPr>
      <w:r>
        <w:rPr>
          <w:rFonts w:ascii="Arial" w:cs="Arial" w:eastAsia="Arial" w:hAnsi="Arial"/>
          <w:sz w:val="18"/>
          <w:szCs w:val="18"/>
          <w:color w:val="auto"/>
        </w:rPr>
        <w:t>timely file and the acceptance of our IND for TNG908 and our other programs in order to commence our future clinical trials; successfully enroll subjects in, and complete, our planned clinical trials and future clinical trials;</w:t>
      </w:r>
    </w:p>
    <w:p>
      <w:pPr>
        <w:spacing w:after="0" w:line="62" w:lineRule="exact"/>
        <w:rPr>
          <w:sz w:val="20"/>
          <w:szCs w:val="20"/>
          <w:color w:val="auto"/>
        </w:rPr>
      </w:pPr>
    </w:p>
    <w:p>
      <w:pPr>
        <w:ind w:left="1100" w:right="380"/>
        <w:spacing w:after="0" w:line="293" w:lineRule="auto"/>
        <w:rPr>
          <w:sz w:val="20"/>
          <w:szCs w:val="20"/>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obtain and maintain acceptance of our products, if and when approved, by patients, the medical community and third-party payors;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position our products to effectively compete with other therapies;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and maintain healthcare coverage and adequate reimbursement;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1100"/>
        <w:spacing w:after="0"/>
        <w:rPr>
          <w:sz w:val="20"/>
          <w:szCs w:val="20"/>
          <w:color w:val="auto"/>
        </w:rPr>
      </w:pPr>
      <w:r>
        <w:rPr>
          <w:rFonts w:ascii="Arial" w:cs="Arial" w:eastAsia="Arial" w:hAnsi="Arial"/>
          <w:sz w:val="18"/>
          <w:szCs w:val="18"/>
          <w:color w:val="auto"/>
        </w:rPr>
        <w:t>enforce and defend intellectual property rights and claims;</w:t>
      </w:r>
    </w:p>
    <w:p>
      <w:pPr>
        <w:spacing w:after="0" w:line="131"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implement measures to help minimize the risk of COVID-19 to our employees as well as patients and subjects to be enrolled in our clinical trials;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maintain a continued acceptable safety profile of our products following approval.</w:t>
      </w:r>
    </w:p>
    <w:p>
      <w:pPr>
        <w:spacing w:after="0" w:line="239" w:lineRule="exact"/>
        <w:rPr>
          <w:sz w:val="20"/>
          <w:szCs w:val="20"/>
          <w:color w:val="auto"/>
        </w:rPr>
      </w:pPr>
    </w:p>
    <w:p>
      <w:pPr>
        <w:ind w:firstLine="509"/>
        <w:spacing w:after="0" w:line="329"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jc w:val="both"/>
        <w:ind w:right="80" w:firstLine="509"/>
        <w:spacing w:after="0" w:line="299"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also file an IND for our undisclosed target for STK11-mutant cancers (Target 3) in 2023.</w:t>
      </w:r>
    </w:p>
    <w:p>
      <w:pPr>
        <w:spacing w:after="0" w:line="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34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75" w:lineRule="exact"/>
        <w:rPr>
          <w:sz w:val="20"/>
          <w:szCs w:val="20"/>
          <w:color w:val="auto"/>
        </w:rPr>
      </w:pPr>
    </w:p>
    <w:p>
      <w:pPr>
        <w:ind w:left="1100" w:right="780"/>
        <w:spacing w:after="0" w:line="293" w:lineRule="auto"/>
        <w:rPr>
          <w:sz w:val="20"/>
          <w:szCs w:val="20"/>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ability to establish and maintain additional collaborations on favorable terms, if at all;</w:t>
      </w:r>
    </w:p>
    <w:p>
      <w:pPr>
        <w:spacing w:after="0" w:line="131"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62"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62"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to which we acquire or in-license other product candidates and technologies;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costs of securing manufacturing arrangements for clinical and commercial production;</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our ability to hire and retain skilled scientific and operational personnel to meet our development, clinical and commercial objectives;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costs related to the development of any companion diagnostics we may use in the future; and</w:t>
      </w:r>
    </w:p>
    <w:p>
      <w:pPr>
        <w:spacing w:after="0" w:line="131" w:lineRule="exact"/>
        <w:rPr>
          <w:sz w:val="20"/>
          <w:szCs w:val="20"/>
          <w:color w:val="auto"/>
        </w:rPr>
      </w:pPr>
    </w:p>
    <w:p>
      <w:pPr>
        <w:ind w:left="1100" w:right="700"/>
        <w:spacing w:after="0" w:line="293"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8" w:name="page39"/>
    <w:bookmarkEnd w:id="38"/>
    <w:p>
      <w:pPr>
        <w:ind w:right="80" w:firstLine="509"/>
        <w:spacing w:after="0" w:line="272"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9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8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3"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180" w:firstLine="509"/>
        <w:spacing w:after="0" w:line="285"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8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2" w:lineRule="exact"/>
        <w:rPr>
          <w:sz w:val="20"/>
          <w:szCs w:val="20"/>
          <w:color w:val="auto"/>
        </w:rPr>
      </w:pPr>
    </w:p>
    <w:p>
      <w:pPr>
        <w:jc w:val="both"/>
        <w:ind w:right="260" w:firstLine="509"/>
        <w:spacing w:after="0" w:line="299" w:lineRule="auto"/>
        <w:rPr>
          <w:sz w:val="20"/>
          <w:szCs w:val="20"/>
          <w:color w:val="auto"/>
        </w:rPr>
      </w:pPr>
      <w:r>
        <w:rPr>
          <w:rFonts w:ascii="Arial" w:cs="Arial" w:eastAsia="Arial" w:hAnsi="Arial"/>
          <w:sz w:val="16"/>
          <w:szCs w:val="16"/>
          <w:color w:val="auto"/>
        </w:rPr>
        <w:t>We have not yet demonstrated our ability to successfully register,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plan to file an IND for TNG908 in the fourth quarter of 2021 and expect to begin a Phase 1/2 clinical trial in the first half of 2022. We also plan to file an IND our USP1 inhibitor program in 2022 and also file an IND for our undisclosed target for STK11-mutant cancers (Target 3) in 2023. We may not be able to file such IND or INDs for any of our other product candidates on the timelines we expect, if at all. Further, timelines for developing and filing INDs are subject to significant uncertainties and projected timelines can be improved upon or delayed. Moreover, we cannot be sure that submission of an IND will result in the U.S. Food and Drug Administration, or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in the imposition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366"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be delayed in obtaining regulatory approval for our product candidates;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obtain regulatory approval at all;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continue to be subject to post-marketing testing requirements; or</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experience having the product removed from the market after obtaining regulatory approval.</w:t>
      </w:r>
    </w:p>
    <w:p>
      <w:pPr>
        <w:spacing w:after="0" w:line="347"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discovery and development of oncology therapeutics for patients with genetically defined or biomarker-driven cancers is an emerging field,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31"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200" w:lineRule="exact"/>
        <w:rPr>
          <w:sz w:val="20"/>
          <w:szCs w:val="20"/>
          <w:color w:val="auto"/>
        </w:rPr>
      </w:pPr>
    </w:p>
    <w:p>
      <w:pPr>
        <w:spacing w:after="0" w:line="22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5"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right="180"/>
        <w:spacing w:after="0" w:line="272" w:lineRule="auto"/>
        <w:rPr>
          <w:sz w:val="20"/>
          <w:szCs w:val="20"/>
          <w:color w:val="auto"/>
        </w:rPr>
      </w:pPr>
      <w:r>
        <w:rPr>
          <w:rFonts w:ascii="Arial" w:cs="Arial" w:eastAsia="Arial" w:hAnsi="Arial"/>
          <w:sz w:val="18"/>
          <w:szCs w:val="18"/>
          <w:color w:val="auto"/>
        </w:rPr>
        <w:t xml:space="preserve">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as medical devices and, under that regulatory framework, will likely require the conduct of clinical trials to demonstrate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safety and effectiveness of any diagnostics we may develop, which we expect will require separate regulatory clearance or approval prior to commercialization.</w:t>
      </w:r>
    </w:p>
    <w:p>
      <w:pPr>
        <w:spacing w:after="0" w:line="191" w:lineRule="exact"/>
        <w:rPr>
          <w:sz w:val="20"/>
          <w:szCs w:val="20"/>
          <w:color w:val="auto"/>
        </w:rPr>
      </w:pPr>
    </w:p>
    <w:p>
      <w:pPr>
        <w:ind w:right="20" w:firstLine="509"/>
        <w:spacing w:after="0" w:line="303"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77"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8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for the product,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291" w:lineRule="exact"/>
        <w:rPr>
          <w:sz w:val="20"/>
          <w:szCs w:val="20"/>
          <w:color w:val="auto"/>
        </w:rPr>
      </w:pPr>
    </w:p>
    <w:p>
      <w:pPr>
        <w:ind w:right="1120"/>
        <w:spacing w:after="0" w:line="293"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240"/>
        <w:spacing w:after="0" w:line="303" w:lineRule="auto"/>
        <w:rPr>
          <w:sz w:val="20"/>
          <w:szCs w:val="20"/>
          <w:color w:val="auto"/>
        </w:rPr>
      </w:pPr>
      <w:r>
        <w:rPr>
          <w:rFonts w:ascii="Arial" w:cs="Arial" w:eastAsia="Arial" w:hAnsi="Arial"/>
          <w:sz w:val="17"/>
          <w:szCs w:val="17"/>
          <w:color w:val="auto"/>
        </w:rPr>
        <w:t>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56" w:lineRule="exact"/>
        <w:rPr>
          <w:sz w:val="20"/>
          <w:szCs w:val="20"/>
          <w:color w:val="auto"/>
        </w:rPr>
      </w:pPr>
    </w:p>
    <w:p>
      <w:pPr>
        <w:ind w:left="1100" w:right="340"/>
        <w:spacing w:after="0" w:line="293" w:lineRule="auto"/>
        <w:rPr>
          <w:sz w:val="20"/>
          <w:szCs w:val="20"/>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62"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62"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75" w:lineRule="exact"/>
        <w:rPr>
          <w:sz w:val="20"/>
          <w:szCs w:val="20"/>
          <w:color w:val="auto"/>
        </w:rPr>
      </w:pPr>
    </w:p>
    <w:p>
      <w:pPr>
        <w:ind w:left="1100" w:right="140"/>
        <w:spacing w:after="0" w:line="279" w:lineRule="auto"/>
        <w:rPr>
          <w:sz w:val="20"/>
          <w:szCs w:val="20"/>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75" w:lineRule="exact"/>
        <w:rPr>
          <w:sz w:val="20"/>
          <w:szCs w:val="20"/>
          <w:color w:val="auto"/>
        </w:rPr>
      </w:pPr>
    </w:p>
    <w:p>
      <w:pPr>
        <w:ind w:left="1100" w:right="320"/>
        <w:spacing w:after="0" w:line="293" w:lineRule="auto"/>
        <w:rPr>
          <w:sz w:val="20"/>
          <w:szCs w:val="20"/>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62" w:lineRule="exact"/>
        <w:rPr>
          <w:sz w:val="20"/>
          <w:szCs w:val="20"/>
          <w:color w:val="auto"/>
        </w:rPr>
      </w:pPr>
    </w:p>
    <w:p>
      <w:pPr>
        <w:ind w:left="1100" w:right="140"/>
        <w:spacing w:after="0" w:line="279"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75" w:lineRule="exact"/>
        <w:rPr>
          <w:sz w:val="20"/>
          <w:szCs w:val="20"/>
          <w:color w:val="auto"/>
        </w:rPr>
      </w:pPr>
    </w:p>
    <w:p>
      <w:pPr>
        <w:ind w:left="1100"/>
        <w:spacing w:after="0" w:line="275" w:lineRule="auto"/>
        <w:rPr>
          <w:sz w:val="20"/>
          <w:szCs w:val="20"/>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7" w:lineRule="exact"/>
        <w:rPr>
          <w:sz w:val="20"/>
          <w:szCs w:val="20"/>
          <w:color w:val="auto"/>
        </w:rPr>
      </w:pPr>
    </w:p>
    <w:p>
      <w:pPr>
        <w:ind w:left="1100" w:right="60"/>
        <w:spacing w:after="0" w:line="279" w:lineRule="auto"/>
        <w:rPr>
          <w:sz w:val="20"/>
          <w:szCs w:val="20"/>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 of clinical trials of our product candidates may be greater than we anticipate;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clinical trials of our product candidates may be delayed due to complications associated with the evolving COVID-19 pandemic;</w:t>
      </w:r>
    </w:p>
    <w:p>
      <w:pPr>
        <w:spacing w:after="0" w:line="131" w:lineRule="exact"/>
        <w:rPr>
          <w:sz w:val="20"/>
          <w:szCs w:val="20"/>
          <w:color w:val="auto"/>
        </w:rPr>
      </w:pPr>
    </w:p>
    <w:p>
      <w:pPr>
        <w:ind w:left="1100" w:right="500"/>
        <w:spacing w:after="0" w:line="293"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70"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firstLine="509"/>
        <w:spacing w:after="0" w:line="288" w:lineRule="auto"/>
        <w:rPr>
          <w:sz w:val="20"/>
          <w:szCs w:val="20"/>
          <w:color w:val="auto"/>
        </w:rPr>
      </w:pPr>
      <w:r>
        <w:rPr>
          <w:rFonts w:ascii="Arial" w:cs="Arial" w:eastAsia="Arial" w:hAnsi="Arial"/>
          <w:sz w:val="17"/>
          <w:szCs w:val="17"/>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9"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191" w:lineRule="exact"/>
        <w:rPr>
          <w:sz w:val="20"/>
          <w:szCs w:val="20"/>
          <w:color w:val="auto"/>
        </w:rPr>
      </w:pPr>
    </w:p>
    <w:p>
      <w:pPr>
        <w:ind w:right="140" w:firstLine="509"/>
        <w:spacing w:after="0" w:line="319"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185" w:lineRule="exact"/>
        <w:rPr>
          <w:sz w:val="20"/>
          <w:szCs w:val="20"/>
          <w:color w:val="auto"/>
        </w:rPr>
      </w:pPr>
    </w:p>
    <w:p>
      <w:pPr>
        <w:ind w:right="160" w:firstLine="509"/>
        <w:spacing w:after="0" w:line="288" w:lineRule="auto"/>
        <w:rPr>
          <w:sz w:val="20"/>
          <w:szCs w:val="20"/>
          <w:color w:val="auto"/>
        </w:rPr>
      </w:pPr>
      <w:r>
        <w:rPr>
          <w:rFonts w:ascii="Arial" w:cs="Arial" w:eastAsia="Arial" w:hAnsi="Arial"/>
          <w:sz w:val="17"/>
          <w:szCs w:val="17"/>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8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(to the extent these are available to us in the future), or otherwise seek to accelerate clinical development and regulatory timelines. Patient enrollment may be affected by other factors, including:</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severity of the disease under investigation;</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ability to monitor patients adequately during and after treatment;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left="1100" w:right="3140"/>
        <w:spacing w:after="0" w:line="391" w:lineRule="auto"/>
        <w:rPr>
          <w:sz w:val="20"/>
          <w:szCs w:val="20"/>
          <w:color w:val="auto"/>
        </w:rPr>
      </w:pPr>
      <w:r>
        <w:rPr>
          <w:rFonts w:ascii="Arial" w:cs="Arial" w:eastAsia="Arial" w:hAnsi="Arial"/>
          <w:sz w:val="18"/>
          <w:szCs w:val="18"/>
          <w:color w:val="auto"/>
        </w:rPr>
        <w:t>the ability to recruit clinical trial investigators with the appropriate competencies and experience; reporting of the preliminary results of any of our clinical trials; and</w:t>
      </w:r>
    </w:p>
    <w:p>
      <w:pPr>
        <w:spacing w:after="0" w:line="1" w:lineRule="exact"/>
        <w:rPr>
          <w:sz w:val="20"/>
          <w:szCs w:val="20"/>
          <w:color w:val="auto"/>
        </w:rPr>
      </w:pPr>
    </w:p>
    <w:p>
      <w:pPr>
        <w:ind w:left="1100" w:right="180"/>
        <w:spacing w:after="0" w:line="293" w:lineRule="auto"/>
        <w:rPr>
          <w:sz w:val="20"/>
          <w:szCs w:val="20"/>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78"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9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7"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Any results from our early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8"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180"/>
        <w:spacing w:after="0" w:line="293"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2"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We expect to file an IND for TNG908 in the fourth quarter of 2021, file an IND for our USP1 inhibitor program in 2022 and an IND for our undisclosed target for STK11-mutant cancers (Target 3) in 2023. However, we may not be able to file such INDs or INDs for future product candidates for our precision oncology or other programs on the timelines we expect. 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71"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7"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118"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3"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right="480"/>
        <w:spacing w:after="0" w:line="279"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5"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18"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28" w:lineRule="exact"/>
        <w:rPr>
          <w:sz w:val="20"/>
          <w:szCs w:val="20"/>
          <w:color w:val="auto"/>
        </w:rPr>
      </w:pPr>
    </w:p>
    <w:p>
      <w:pPr>
        <w:ind w:firstLine="513"/>
        <w:spacing w:after="0" w:line="306" w:lineRule="auto"/>
        <w:rPr>
          <w:sz w:val="20"/>
          <w:szCs w:val="20"/>
          <w:color w:val="auto"/>
        </w:rPr>
      </w:pPr>
      <w:r>
        <w:rPr>
          <w:rFonts w:ascii="Arial" w:cs="Arial" w:eastAsia="Arial" w:hAnsi="Arial"/>
          <w:sz w:val="16"/>
          <w:szCs w:val="16"/>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7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may in the future choose to conduct certain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90"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5"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6" w:name="page47"/>
    <w:bookmarkEnd w:id="46"/>
    <w:p>
      <w:pPr>
        <w:ind w:left="1100" w:right="80"/>
        <w:spacing w:after="0" w:line="293" w:lineRule="auto"/>
        <w:rPr>
          <w:sz w:val="20"/>
          <w:szCs w:val="20"/>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83"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5" w:lineRule="exact"/>
        <w:rPr>
          <w:sz w:val="20"/>
          <w:szCs w:val="20"/>
          <w:color w:val="auto"/>
        </w:rPr>
      </w:pPr>
    </w:p>
    <w:p>
      <w:pPr>
        <w:ind w:right="140" w:firstLine="509"/>
        <w:spacing w:after="0" w:line="303"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2" w:lineRule="exact"/>
        <w:rPr>
          <w:sz w:val="20"/>
          <w:szCs w:val="20"/>
          <w:color w:val="auto"/>
        </w:rPr>
      </w:pPr>
    </w:p>
    <w:p>
      <w:pPr>
        <w:jc w:val="both"/>
        <w:ind w:right="700"/>
        <w:spacing w:after="0" w:line="394"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71"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55" w:lineRule="exact"/>
        <w:rPr>
          <w:sz w:val="20"/>
          <w:szCs w:val="20"/>
          <w:color w:val="auto"/>
        </w:rPr>
      </w:pPr>
    </w:p>
    <w:p>
      <w:pPr>
        <w:ind w:left="1100" w:right="1260"/>
        <w:spacing w:after="0" w:line="391"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we may not be able to enroll a sufficient number of patients in our clinical studies;</w:t>
      </w:r>
    </w:p>
    <w:p>
      <w:pPr>
        <w:spacing w:after="0" w:line="1" w:lineRule="exact"/>
        <w:rPr>
          <w:sz w:val="20"/>
          <w:szCs w:val="20"/>
          <w:color w:val="auto"/>
        </w:rPr>
      </w:pPr>
    </w:p>
    <w:p>
      <w:pPr>
        <w:ind w:left="1100" w:right="60"/>
        <w:spacing w:after="0" w:line="359" w:lineRule="auto"/>
        <w:rPr>
          <w:sz w:val="20"/>
          <w:szCs w:val="20"/>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17" w:lineRule="exact"/>
        <w:rPr>
          <w:sz w:val="20"/>
          <w:szCs w:val="20"/>
          <w:color w:val="auto"/>
        </w:rPr>
      </w:pPr>
    </w:p>
    <w:p>
      <w:pPr>
        <w:ind w:left="1100" w:right="760"/>
        <w:spacing w:after="0" w:line="293"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left="1100"/>
        <w:spacing w:after="0"/>
        <w:rPr>
          <w:sz w:val="20"/>
          <w:szCs w:val="20"/>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4" w:lineRule="exact"/>
        <w:rPr>
          <w:sz w:val="20"/>
          <w:szCs w:val="20"/>
          <w:color w:val="auto"/>
        </w:rPr>
      </w:pPr>
    </w:p>
    <w:p>
      <w:pPr>
        <w:ind w:left="1100" w:right="640"/>
        <w:spacing w:after="0" w:line="293" w:lineRule="auto"/>
        <w:rPr>
          <w:sz w:val="20"/>
          <w:szCs w:val="20"/>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62"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70" w:lineRule="exact"/>
        <w:rPr>
          <w:sz w:val="20"/>
          <w:szCs w:val="20"/>
          <w:color w:val="auto"/>
        </w:rPr>
      </w:pPr>
    </w:p>
    <w:p>
      <w:pPr>
        <w:ind w:right="220" w:firstLine="509"/>
        <w:spacing w:after="0" w:line="272"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8"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4"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 COVID-19 pandemic. Some factors from the COVID-19 pandemic that may delay or otherwise adversely affect enrollment in the clinical trials of our product candidates, as well as our business generally, include:</w:t>
      </w:r>
    </w:p>
    <w:p>
      <w:pPr>
        <w:spacing w:after="0" w:line="77" w:lineRule="exact"/>
        <w:rPr>
          <w:sz w:val="20"/>
          <w:szCs w:val="20"/>
          <w:color w:val="auto"/>
        </w:rPr>
      </w:pPr>
    </w:p>
    <w:p>
      <w:pPr>
        <w:ind w:left="1100" w:right="120"/>
        <w:spacing w:after="0" w:line="279" w:lineRule="auto"/>
        <w:rPr>
          <w:sz w:val="20"/>
          <w:szCs w:val="20"/>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75" w:lineRule="exact"/>
        <w:rPr>
          <w:sz w:val="20"/>
          <w:szCs w:val="20"/>
          <w:color w:val="auto"/>
        </w:rPr>
      </w:pPr>
    </w:p>
    <w:p>
      <w:pPr>
        <w:ind w:left="1100" w:right="80"/>
        <w:spacing w:after="0" w:line="272" w:lineRule="auto"/>
        <w:rPr>
          <w:sz w:val="20"/>
          <w:szCs w:val="20"/>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negative affect on the operations of our third-party manufacturers;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8" w:name="page49"/>
    <w:bookmarkEnd w:id="48"/>
    <w:p>
      <w:pPr>
        <w:ind w:left="1100" w:right="300"/>
        <w:spacing w:after="0" w:line="293" w:lineRule="auto"/>
        <w:rPr>
          <w:sz w:val="20"/>
          <w:szCs w:val="20"/>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62" w:lineRule="exact"/>
        <w:rPr>
          <w:sz w:val="20"/>
          <w:szCs w:val="20"/>
          <w:color w:val="auto"/>
        </w:rPr>
      </w:pPr>
    </w:p>
    <w:p>
      <w:pPr>
        <w:ind w:left="1100" w:right="280"/>
        <w:spacing w:after="0" w:line="293" w:lineRule="auto"/>
        <w:rPr>
          <w:sz w:val="20"/>
          <w:szCs w:val="20"/>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62" w:lineRule="exact"/>
        <w:rPr>
          <w:sz w:val="20"/>
          <w:szCs w:val="20"/>
          <w:color w:val="auto"/>
        </w:rPr>
      </w:pPr>
    </w:p>
    <w:p>
      <w:pPr>
        <w:ind w:left="1100" w:right="20"/>
        <w:spacing w:after="0" w:line="279" w:lineRule="auto"/>
        <w:rPr>
          <w:sz w:val="20"/>
          <w:szCs w:val="20"/>
          <w:color w:val="auto"/>
        </w:rPr>
      </w:pPr>
      <w:r>
        <w:rPr>
          <w:rFonts w:ascii="Arial" w:cs="Arial" w:eastAsia="Arial" w:hAnsi="Arial"/>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75" w:lineRule="exact"/>
        <w:rPr>
          <w:sz w:val="20"/>
          <w:szCs w:val="20"/>
          <w:color w:val="auto"/>
        </w:rPr>
      </w:pPr>
    </w:p>
    <w:p>
      <w:pPr>
        <w:ind w:left="1100" w:right="540"/>
        <w:spacing w:after="0" w:line="359" w:lineRule="auto"/>
        <w:rPr>
          <w:sz w:val="20"/>
          <w:szCs w:val="20"/>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50"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FDA.</w:t>
      </w:r>
    </w:p>
    <w:p>
      <w:pPr>
        <w:spacing w:after="0" w:line="19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8"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9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9" w:name="page50"/>
    <w:bookmarkEnd w:id="49"/>
    <w:p>
      <w:pPr>
        <w:ind w:right="80"/>
        <w:spacing w:after="0" w:line="293" w:lineRule="auto"/>
        <w:rPr>
          <w:sz w:val="20"/>
          <w:szCs w:val="20"/>
          <w:color w:val="auto"/>
        </w:rPr>
      </w:pPr>
      <w:r>
        <w:rPr>
          <w:rFonts w:ascii="Arial" w:cs="Arial" w:eastAsia="Arial" w:hAnsi="Arial"/>
          <w:sz w:val="18"/>
          <w:szCs w:val="18"/>
          <w:color w:val="auto"/>
        </w:rPr>
        <w:t>necessary for, our programs. If these or other barriers to entry do not remain in place, other companies may be able to more directly or effectively compete with us.</w:t>
      </w:r>
    </w:p>
    <w:p>
      <w:pPr>
        <w:spacing w:after="0" w:line="89"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200" w:lineRule="exact"/>
        <w:rPr>
          <w:sz w:val="20"/>
          <w:szCs w:val="20"/>
          <w:color w:val="auto"/>
        </w:rPr>
      </w:pPr>
    </w:p>
    <w:p>
      <w:pPr>
        <w:spacing w:after="0" w:line="232" w:lineRule="exact"/>
        <w:rPr>
          <w:sz w:val="20"/>
          <w:szCs w:val="20"/>
          <w:color w:val="auto"/>
        </w:rPr>
      </w:pPr>
    </w:p>
    <w:p>
      <w:pPr>
        <w:ind w:right="40"/>
        <w:spacing w:after="0" w:line="394" w:lineRule="auto"/>
        <w:rPr>
          <w:sz w:val="20"/>
          <w:szCs w:val="20"/>
          <w:color w:val="auto"/>
        </w:rPr>
      </w:pPr>
      <w:r>
        <w:rPr>
          <w:rFonts w:ascii="Arial" w:cs="Arial" w:eastAsia="Arial" w:hAnsi="Arial"/>
          <w:sz w:val="15"/>
          <w:szCs w:val="15"/>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14"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89"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1"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8" w:lineRule="exact"/>
        <w:rPr>
          <w:sz w:val="20"/>
          <w:szCs w:val="20"/>
          <w:color w:val="auto"/>
        </w:rPr>
      </w:pPr>
    </w:p>
    <w:p>
      <w:pPr>
        <w:ind w:left="1100" w:right="680"/>
        <w:spacing w:after="0" w:line="293" w:lineRule="auto"/>
        <w:rPr>
          <w:sz w:val="20"/>
          <w:szCs w:val="20"/>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commercial success of the checkpoint blockade drugs with which our products may be co-administered;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50" w:name="page51"/>
    <w:bookmarkEnd w:id="50"/>
    <w:p>
      <w:pPr>
        <w:ind w:left="1100" w:right="400"/>
        <w:spacing w:after="0" w:line="293" w:lineRule="auto"/>
        <w:rPr>
          <w:sz w:val="20"/>
          <w:szCs w:val="20"/>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clinical indications for which our product candidates are approved and the approved claims that we may make for the products;</w:t>
      </w:r>
    </w:p>
    <w:p>
      <w:pPr>
        <w:spacing w:after="0" w:line="142" w:lineRule="exact"/>
        <w:rPr>
          <w:sz w:val="20"/>
          <w:szCs w:val="20"/>
          <w:color w:val="auto"/>
        </w:rPr>
      </w:pPr>
    </w:p>
    <w:p>
      <w:pPr>
        <w:ind w:left="1100" w:right="180"/>
        <w:spacing w:after="0" w:line="279" w:lineRule="auto"/>
        <w:rPr>
          <w:sz w:val="20"/>
          <w:szCs w:val="20"/>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75" w:lineRule="exact"/>
        <w:rPr>
          <w:sz w:val="20"/>
          <w:szCs w:val="20"/>
          <w:color w:val="auto"/>
        </w:rPr>
      </w:pPr>
    </w:p>
    <w:p>
      <w:pPr>
        <w:ind w:left="1100" w:right="40"/>
        <w:spacing w:after="0" w:line="279" w:lineRule="auto"/>
        <w:rPr>
          <w:sz w:val="20"/>
          <w:szCs w:val="20"/>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75" w:lineRule="exact"/>
        <w:rPr>
          <w:sz w:val="20"/>
          <w:szCs w:val="20"/>
          <w:color w:val="auto"/>
        </w:rPr>
      </w:pPr>
    </w:p>
    <w:p>
      <w:pPr>
        <w:ind w:left="1100" w:right="260"/>
        <w:spacing w:after="0" w:line="293" w:lineRule="auto"/>
        <w:rPr>
          <w:sz w:val="20"/>
          <w:szCs w:val="20"/>
          <w:color w:val="auto"/>
        </w:rPr>
      </w:pPr>
      <w:r>
        <w:rPr>
          <w:rFonts w:ascii="Arial" w:cs="Arial" w:eastAsia="Arial" w:hAnsi="Arial"/>
          <w:sz w:val="18"/>
          <w:szCs w:val="18"/>
          <w:color w:val="auto"/>
        </w:rPr>
        <w:t>the relative convenience and ease of administration of our current product candidates and any future product candidates and any products with which they are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31"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price concessions required by third-party payors to obtain coverage;</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willingness of patients to pay out-of-pocket in the absence of adequate coverage and reimbursement;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31" w:lineRule="exact"/>
        <w:rPr>
          <w:sz w:val="20"/>
          <w:szCs w:val="20"/>
          <w:color w:val="auto"/>
        </w:rPr>
      </w:pPr>
    </w:p>
    <w:p>
      <w:pPr>
        <w:ind w:left="1100" w:right="740"/>
        <w:spacing w:after="0" w:line="293" w:lineRule="auto"/>
        <w:rPr>
          <w:sz w:val="20"/>
          <w:szCs w:val="20"/>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62" w:lineRule="exact"/>
        <w:rPr>
          <w:sz w:val="20"/>
          <w:szCs w:val="20"/>
          <w:color w:val="auto"/>
        </w:rPr>
      </w:pPr>
    </w:p>
    <w:p>
      <w:pPr>
        <w:ind w:left="1100" w:right="560"/>
        <w:spacing w:after="0" w:line="279" w:lineRule="auto"/>
        <w:rPr>
          <w:sz w:val="20"/>
          <w:szCs w:val="20"/>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75" w:lineRule="exact"/>
        <w:rPr>
          <w:sz w:val="20"/>
          <w:szCs w:val="20"/>
          <w:color w:val="auto"/>
        </w:rPr>
      </w:pPr>
    </w:p>
    <w:p>
      <w:pPr>
        <w:ind w:left="1100" w:right="440"/>
        <w:spacing w:after="0" w:line="391" w:lineRule="auto"/>
        <w:rPr>
          <w:sz w:val="20"/>
          <w:szCs w:val="20"/>
          <w:color w:val="auto"/>
        </w:rPr>
      </w:pPr>
      <w:r>
        <w:rPr>
          <w:rFonts w:ascii="Arial" w:cs="Arial" w:eastAsia="Arial" w:hAnsi="Arial"/>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 the willingness of the target patient population to try new therapies and of physicians to prescribe these therapies; the extent and strength of our third-party manufacturer and supplier support;</w:t>
      </w:r>
    </w:p>
    <w:p>
      <w:pPr>
        <w:spacing w:after="0" w:line="1" w:lineRule="exact"/>
        <w:rPr>
          <w:sz w:val="20"/>
          <w:szCs w:val="20"/>
          <w:color w:val="auto"/>
        </w:rPr>
      </w:pPr>
    </w:p>
    <w:p>
      <w:pPr>
        <w:ind w:left="1100" w:right="120"/>
        <w:spacing w:after="0" w:line="293" w:lineRule="auto"/>
        <w:rPr>
          <w:sz w:val="20"/>
          <w:szCs w:val="20"/>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approval of other new products;</w:t>
      </w:r>
    </w:p>
    <w:p>
      <w:pPr>
        <w:spacing w:after="0" w:line="131" w:lineRule="exact"/>
        <w:rPr>
          <w:sz w:val="20"/>
          <w:szCs w:val="20"/>
          <w:color w:val="auto"/>
        </w:rPr>
      </w:pPr>
    </w:p>
    <w:p>
      <w:pPr>
        <w:ind w:left="1100" w:right="840"/>
        <w:spacing w:after="0" w:line="293" w:lineRule="auto"/>
        <w:rPr>
          <w:sz w:val="20"/>
          <w:szCs w:val="20"/>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product liability claims.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3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4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planned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right="420"/>
        <w:spacing w:after="0" w:line="293" w:lineRule="auto"/>
        <w:rPr>
          <w:sz w:val="20"/>
          <w:szCs w:val="20"/>
          <w:color w:val="auto"/>
        </w:rPr>
      </w:pPr>
      <w:r>
        <w:rPr>
          <w:rFonts w:ascii="Arial" w:cs="Arial" w:eastAsia="Arial" w:hAnsi="Arial"/>
          <w:sz w:val="18"/>
          <w:szCs w:val="18"/>
          <w:color w:val="auto"/>
        </w:rPr>
        <w:t>clinical trials, whether controlled by us or third parties, for any number of reasons, including elements of the design or execution of the trials or safety concerns or other trial results.</w:t>
      </w:r>
    </w:p>
    <w:p>
      <w:pPr>
        <w:spacing w:after="0" w:line="102" w:lineRule="exact"/>
        <w:rPr>
          <w:sz w:val="20"/>
          <w:szCs w:val="20"/>
          <w:color w:val="auto"/>
        </w:rPr>
      </w:pPr>
    </w:p>
    <w:p>
      <w:pPr>
        <w:ind w:right="20" w:firstLine="509"/>
        <w:spacing w:after="0" w:line="269" w:lineRule="auto"/>
        <w:rPr>
          <w:sz w:val="20"/>
          <w:szCs w:val="20"/>
          <w:color w:val="auto"/>
        </w:rPr>
      </w:pPr>
      <w:r>
        <w:rPr>
          <w:rFonts w:ascii="Arial" w:cs="Arial" w:eastAsia="Arial" w:hAnsi="Arial"/>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23"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2"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2" w:name="page53"/>
    <w:bookmarkEnd w:id="52"/>
    <w:p>
      <w:pPr>
        <w:ind w:right="280"/>
        <w:spacing w:after="0" w:line="293" w:lineRule="auto"/>
        <w:rPr>
          <w:sz w:val="20"/>
          <w:szCs w:val="20"/>
          <w:color w:val="auto"/>
        </w:rPr>
      </w:pPr>
      <w:r>
        <w:rPr>
          <w:rFonts w:ascii="Arial" w:cs="Arial" w:eastAsia="Arial" w:hAnsi="Arial"/>
          <w:sz w:val="18"/>
          <w:szCs w:val="18"/>
          <w:color w:val="auto"/>
        </w:rPr>
        <w:t>commercial prospects for our product candidates in the subject indication would be harmed, our costs could increase and our ability to generate revenue could be delayed.</w:t>
      </w:r>
    </w:p>
    <w:p>
      <w:pPr>
        <w:spacing w:after="0" w:line="278"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62"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62" w:lineRule="exact"/>
        <w:rPr>
          <w:sz w:val="20"/>
          <w:szCs w:val="20"/>
          <w:color w:val="auto"/>
        </w:rPr>
      </w:pPr>
    </w:p>
    <w:p>
      <w:pPr>
        <w:ind w:left="1100" w:right="240"/>
        <w:spacing w:after="0" w:line="275" w:lineRule="auto"/>
        <w:rPr>
          <w:sz w:val="20"/>
          <w:szCs w:val="20"/>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77" w:lineRule="exact"/>
        <w:rPr>
          <w:sz w:val="20"/>
          <w:szCs w:val="20"/>
          <w:color w:val="auto"/>
        </w:rPr>
      </w:pPr>
    </w:p>
    <w:p>
      <w:pPr>
        <w:ind w:left="1100" w:right="320"/>
        <w:spacing w:after="0" w:line="293" w:lineRule="auto"/>
        <w:rPr>
          <w:sz w:val="20"/>
          <w:szCs w:val="20"/>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62" w:lineRule="exact"/>
        <w:rPr>
          <w:sz w:val="20"/>
          <w:szCs w:val="20"/>
          <w:color w:val="auto"/>
        </w:rPr>
      </w:pPr>
    </w:p>
    <w:p>
      <w:pPr>
        <w:ind w:left="1100" w:right="60"/>
        <w:spacing w:after="0" w:line="293" w:lineRule="auto"/>
        <w:rPr>
          <w:sz w:val="20"/>
          <w:szCs w:val="20"/>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62"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2"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2" w:lineRule="exact"/>
        <w:rPr>
          <w:sz w:val="20"/>
          <w:szCs w:val="20"/>
          <w:color w:val="auto"/>
        </w:rPr>
      </w:pPr>
    </w:p>
    <w:p>
      <w:pPr>
        <w:ind w:left="1100" w:right="900"/>
        <w:spacing w:after="0" w:line="293" w:lineRule="auto"/>
        <w:rPr>
          <w:sz w:val="20"/>
          <w:szCs w:val="20"/>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62" w:lineRule="exact"/>
        <w:rPr>
          <w:sz w:val="20"/>
          <w:szCs w:val="20"/>
          <w:color w:val="auto"/>
        </w:rPr>
      </w:pPr>
    </w:p>
    <w:p>
      <w:pPr>
        <w:ind w:left="1100" w:right="220"/>
        <w:spacing w:after="0" w:line="293" w:lineRule="auto"/>
        <w:rPr>
          <w:sz w:val="20"/>
          <w:szCs w:val="20"/>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sz w:val="20"/>
          <w:szCs w:val="20"/>
          <w:color w:val="auto"/>
        </w:rPr>
      </w:pPr>
    </w:p>
    <w:p>
      <w:pPr>
        <w:ind w:left="1100" w:right="540"/>
        <w:spacing w:after="0" w:line="293" w:lineRule="auto"/>
        <w:rPr>
          <w:sz w:val="20"/>
          <w:szCs w:val="20"/>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02"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5" w:lineRule="exact"/>
        <w:rPr>
          <w:sz w:val="20"/>
          <w:szCs w:val="20"/>
          <w:color w:val="auto"/>
        </w:rPr>
      </w:pPr>
    </w:p>
    <w:p>
      <w:pPr>
        <w:ind w:right="240" w:firstLine="509"/>
        <w:spacing w:after="0" w:line="314"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160" w:lineRule="exact"/>
        <w:rPr>
          <w:sz w:val="20"/>
          <w:szCs w:val="20"/>
          <w:color w:val="auto"/>
        </w:rPr>
      </w:pPr>
    </w:p>
    <w:p>
      <w:pPr>
        <w:ind w:right="260" w:firstLine="509"/>
        <w:spacing w:after="0" w:line="324" w:lineRule="auto"/>
        <w:rPr>
          <w:sz w:val="20"/>
          <w:szCs w:val="20"/>
          <w:color w:val="auto"/>
        </w:rPr>
      </w:pPr>
      <w:r>
        <w:rPr>
          <w:rFonts w:ascii="Arial" w:cs="Arial" w:eastAsia="Arial" w:hAnsi="Arial"/>
          <w:sz w:val="17"/>
          <w:szCs w:val="17"/>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ind w:right="180"/>
        <w:spacing w:after="0" w:line="359"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66"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70"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9"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5"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reliance on the third party for regulatory compliance and quality assurance;</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possible breach of the manufacturing agreement by the third party;</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50"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right="120" w:firstLine="509"/>
        <w:spacing w:after="0" w:line="27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3" w:lineRule="exact"/>
        <w:rPr>
          <w:sz w:val="20"/>
          <w:szCs w:val="20"/>
          <w:color w:val="auto"/>
        </w:rPr>
      </w:pPr>
    </w:p>
    <w:p>
      <w:pPr>
        <w:ind w:right="420" w:firstLine="509"/>
        <w:spacing w:after="0" w:line="324"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5"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62"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as well as potential supply chain disruptions, will affect our third-party suppliers and manufacturers. Any negative impact of such matters on our third-party suppliers and manufacturers may also have an adverse impact on our results of operations or financial condition.</w:t>
      </w:r>
    </w:p>
    <w:p>
      <w:pPr>
        <w:spacing w:after="0" w:line="18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2"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3"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70" w:lineRule="exact"/>
        <w:rPr>
          <w:sz w:val="20"/>
          <w:szCs w:val="20"/>
          <w:color w:val="auto"/>
        </w:rPr>
      </w:pPr>
    </w:p>
    <w:p>
      <w:pPr>
        <w:ind w:right="540" w:firstLine="509"/>
        <w:spacing w:after="0" w:line="329"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5" w:name="page56"/>
    <w:bookmarkEnd w:id="55"/>
    <w:p>
      <w:pPr>
        <w:ind w:right="60" w:firstLine="509"/>
        <w:spacing w:after="0" w:line="311"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3"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spacing w:after="0" w:line="329"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4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194"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2" w:lineRule="exact"/>
        <w:rPr>
          <w:sz w:val="20"/>
          <w:szCs w:val="20"/>
          <w:color w:val="auto"/>
        </w:rPr>
      </w:pPr>
    </w:p>
    <w:p>
      <w:pPr>
        <w:ind w:right="640" w:firstLine="509"/>
        <w:spacing w:after="0" w:line="279" w:lineRule="auto"/>
        <w:rPr>
          <w:sz w:val="20"/>
          <w:szCs w:val="20"/>
          <w:color w:val="auto"/>
        </w:rPr>
      </w:pPr>
      <w:r>
        <w:rPr>
          <w:rFonts w:ascii="Arial" w:cs="Arial" w:eastAsia="Arial" w:hAnsi="Arial"/>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right="200"/>
        <w:spacing w:after="0" w:line="271" w:lineRule="auto"/>
        <w:rPr>
          <w:sz w:val="20"/>
          <w:szCs w:val="20"/>
          <w:color w:val="auto"/>
        </w:rPr>
      </w:pPr>
      <w:r>
        <w:rPr>
          <w:rFonts w:ascii="Arial" w:cs="Arial" w:eastAsia="Arial" w:hAnsi="Arial"/>
          <w:sz w:val="18"/>
          <w:szCs w:val="18"/>
          <w:color w:val="auto"/>
        </w:rPr>
        <w:t>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1"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6"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7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1"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3"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7" w:name="page58"/>
    <w:bookmarkEnd w:id="57"/>
    <w:p>
      <w:pPr>
        <w:ind w:right="300" w:firstLine="509"/>
        <w:spacing w:after="0" w:line="275" w:lineRule="auto"/>
        <w:rPr>
          <w:sz w:val="20"/>
          <w:szCs w:val="20"/>
          <w:color w:val="auto"/>
        </w:rPr>
      </w:pPr>
      <w:r>
        <w:rPr>
          <w:rFonts w:ascii="Arial" w:cs="Arial" w:eastAsia="Arial" w:hAnsi="Arial"/>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00" w:lineRule="exact"/>
        <w:rPr>
          <w:sz w:val="20"/>
          <w:szCs w:val="20"/>
          <w:color w:val="auto"/>
        </w:rPr>
      </w:pPr>
    </w:p>
    <w:p>
      <w:pPr>
        <w:spacing w:after="0" w:line="242" w:lineRule="exact"/>
        <w:rPr>
          <w:sz w:val="20"/>
          <w:szCs w:val="20"/>
          <w:color w:val="auto"/>
        </w:rPr>
      </w:pPr>
    </w:p>
    <w:p>
      <w:pPr>
        <w:jc w:val="both"/>
        <w:ind w:right="140"/>
        <w:spacing w:after="0" w:line="30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6"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right="60" w:firstLine="509"/>
        <w:spacing w:after="0" w:line="304"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78"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5" w:lineRule="exact"/>
        <w:rPr>
          <w:sz w:val="20"/>
          <w:szCs w:val="20"/>
          <w:color w:val="auto"/>
        </w:rPr>
      </w:pPr>
    </w:p>
    <w:p>
      <w:pPr>
        <w:ind w:right="140" w:firstLine="509"/>
        <w:spacing w:after="0" w:line="287"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recognition based on our trademarks and trade names, we may not be able to compete effectively and our business may be adversely affected.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31"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64"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9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1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1"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ind w:right="40"/>
        <w:spacing w:after="0" w:line="290" w:lineRule="auto"/>
        <w:rPr>
          <w:sz w:val="20"/>
          <w:szCs w:val="20"/>
          <w:color w:val="auto"/>
        </w:rPr>
      </w:pPr>
      <w:r>
        <w:rPr>
          <w:rFonts w:ascii="Arial" w:cs="Arial" w:eastAsia="Arial" w:hAnsi="Arial"/>
          <w:sz w:val="17"/>
          <w:szCs w:val="17"/>
          <w:color w:val="auto"/>
        </w:rPr>
        <w:t>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0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9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8"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77"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0" w:name="page61"/>
    <w:bookmarkEnd w:id="60"/>
    <w:p>
      <w:pPr>
        <w:ind w:right="40"/>
        <w:spacing w:after="0" w:line="285" w:lineRule="auto"/>
        <w:rPr>
          <w:sz w:val="20"/>
          <w:szCs w:val="20"/>
          <w:color w:val="auto"/>
        </w:rPr>
      </w:pPr>
      <w:r>
        <w:rPr>
          <w:rFonts w:ascii="Arial" w:cs="Arial" w:eastAsia="Arial" w:hAnsi="Arial"/>
          <w:sz w:val="17"/>
          <w:szCs w:val="17"/>
          <w:color w:val="auto"/>
        </w:rPr>
        <w:t xml:space="preserve">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7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2" w:lineRule="exact"/>
        <w:rPr>
          <w:sz w:val="20"/>
          <w:szCs w:val="20"/>
          <w:color w:val="auto"/>
        </w:rPr>
      </w:pPr>
    </w:p>
    <w:p>
      <w:pPr>
        <w:ind w:right="740" w:firstLine="509"/>
        <w:spacing w:after="0" w:line="293"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1100" w:right="160"/>
        <w:spacing w:after="0" w:line="293" w:lineRule="auto"/>
        <w:rPr>
          <w:sz w:val="20"/>
          <w:szCs w:val="20"/>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sz w:val="20"/>
          <w:szCs w:val="20"/>
          <w:color w:val="auto"/>
        </w:rPr>
      </w:pPr>
    </w:p>
    <w:p>
      <w:pPr>
        <w:jc w:val="both"/>
        <w:ind w:left="1100" w:right="280"/>
        <w:spacing w:after="0" w:line="279" w:lineRule="auto"/>
        <w:rPr>
          <w:sz w:val="20"/>
          <w:szCs w:val="20"/>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75" w:lineRule="exact"/>
        <w:rPr>
          <w:sz w:val="20"/>
          <w:szCs w:val="20"/>
          <w:color w:val="auto"/>
        </w:rPr>
      </w:pPr>
    </w:p>
    <w:p>
      <w:pPr>
        <w:ind w:left="1100" w:right="260"/>
        <w:spacing w:after="0" w:line="279" w:lineRule="auto"/>
        <w:rPr>
          <w:sz w:val="20"/>
          <w:szCs w:val="20"/>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sz w:val="20"/>
          <w:szCs w:val="20"/>
          <w:color w:val="auto"/>
        </w:rPr>
      </w:pPr>
    </w:p>
    <w:p>
      <w:pPr>
        <w:ind w:left="1100" w:right="20"/>
        <w:spacing w:after="0" w:line="288" w:lineRule="auto"/>
        <w:rPr>
          <w:sz w:val="20"/>
          <w:szCs w:val="20"/>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ind w:right="20" w:firstLine="509"/>
        <w:spacing w:after="0" w:line="271"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1"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168"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9"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5" w:lineRule="exact"/>
        <w:rPr>
          <w:sz w:val="20"/>
          <w:szCs w:val="20"/>
          <w:color w:val="auto"/>
        </w:rPr>
      </w:pPr>
    </w:p>
    <w:p>
      <w:pPr>
        <w:ind w:right="100" w:firstLine="509"/>
        <w:spacing w:after="0" w:line="270" w:lineRule="auto"/>
        <w:rPr>
          <w:sz w:val="20"/>
          <w:szCs w:val="20"/>
          <w:color w:val="auto"/>
        </w:rPr>
      </w:pPr>
      <w:r>
        <w:rPr>
          <w:rFonts w:ascii="Arial" w:cs="Arial" w:eastAsia="Arial" w:hAnsi="Arial"/>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ind w:right="20"/>
        <w:spacing w:after="0" w:line="272" w:lineRule="auto"/>
        <w:rPr>
          <w:sz w:val="20"/>
          <w:szCs w:val="20"/>
          <w:color w:val="auto"/>
        </w:rPr>
      </w:pPr>
      <w:r>
        <w:rPr>
          <w:rFonts w:ascii="Arial" w:cs="Arial" w:eastAsia="Arial" w:hAnsi="Arial"/>
          <w:sz w:val="18"/>
          <w:szCs w:val="18"/>
          <w:color w:val="auto"/>
        </w:rPr>
        <w:t>further, may export otherwise infringing products to territories where we have patent protection, but where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3" w:lineRule="exact"/>
        <w:rPr>
          <w:sz w:val="20"/>
          <w:szCs w:val="20"/>
          <w:color w:val="auto"/>
        </w:rPr>
      </w:pPr>
    </w:p>
    <w:p>
      <w:pPr>
        <w:ind w:right="40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63"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1" w:lineRule="exact"/>
        <w:rPr>
          <w:sz w:val="20"/>
          <w:szCs w:val="20"/>
          <w:color w:val="auto"/>
        </w:rPr>
      </w:pPr>
    </w:p>
    <w:p>
      <w:pPr>
        <w:ind w:left="1100" w:right="380"/>
        <w:spacing w:after="0" w:line="293"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priority of invention of any patented technology; and</w:t>
      </w:r>
    </w:p>
    <w:p>
      <w:pPr>
        <w:spacing w:after="0" w:line="131" w:lineRule="exact"/>
        <w:rPr>
          <w:sz w:val="20"/>
          <w:szCs w:val="20"/>
          <w:color w:val="auto"/>
        </w:rPr>
      </w:pPr>
    </w:p>
    <w:p>
      <w:pPr>
        <w:ind w:left="1100" w:right="4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345"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5"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8"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post grant review and equivalent proceedings in foreign jurisdictions (such as opposition proceedings). Such proceedings could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right="40" w:firstLine="509"/>
        <w:spacing w:after="0" w:line="269" w:lineRule="auto"/>
        <w:rPr>
          <w:sz w:val="20"/>
          <w:szCs w:val="20"/>
          <w:color w:val="auto"/>
        </w:rPr>
      </w:pPr>
      <w:r>
        <w:rPr>
          <w:rFonts w:ascii="Arial" w:cs="Arial" w:eastAsia="Arial" w:hAnsi="Arial"/>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6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An adverse determination in any such submission or proceeding could reduce the scope or enforceability of, or</w:t>
      </w:r>
      <w:r>
        <w:rPr>
          <w:rFonts w:ascii="Arial" w:cs="Arial" w:eastAsia="Arial" w:hAnsi="Arial"/>
          <w:sz w:val="16"/>
          <w:szCs w:val="16"/>
          <w:i w:val="1"/>
          <w:iCs w:val="1"/>
          <w:color w:val="auto"/>
        </w:rPr>
        <w:t xml:space="preserve"> </w:t>
      </w:r>
      <w:r>
        <w:rPr>
          <w:rFonts w:ascii="Arial" w:cs="Arial" w:eastAsia="Arial" w:hAnsi="Arial"/>
          <w:sz w:val="16"/>
          <w:szCs w:val="16"/>
          <w:color w:val="auto"/>
        </w:rPr>
        <w:t>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2"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10" w:lineRule="exact"/>
        <w:rPr>
          <w:sz w:val="20"/>
          <w:szCs w:val="20"/>
          <w:color w:val="auto"/>
        </w:rPr>
      </w:pPr>
    </w:p>
    <w:p>
      <w:pPr>
        <w:ind w:right="220" w:firstLine="509"/>
        <w:spacing w:after="0" w:line="290"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3" w:lineRule="exact"/>
        <w:rPr>
          <w:sz w:val="20"/>
          <w:szCs w:val="20"/>
          <w:color w:val="auto"/>
        </w:rPr>
      </w:pPr>
    </w:p>
    <w:p>
      <w:pPr>
        <w:ind w:right="380" w:firstLine="4"/>
        <w:spacing w:after="0" w:line="359"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ind w:right="220"/>
        <w:spacing w:after="0" w:line="270" w:lineRule="auto"/>
        <w:rPr>
          <w:sz w:val="20"/>
          <w:szCs w:val="20"/>
          <w:color w:val="auto"/>
        </w:rPr>
      </w:pPr>
      <w:r>
        <w:rPr>
          <w:rFonts w:ascii="Arial" w:cs="Arial" w:eastAsia="Arial" w:hAnsi="Arial"/>
          <w:sz w:val="18"/>
          <w:szCs w:val="18"/>
          <w:color w:val="auto"/>
        </w:rPr>
        <w:t>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25"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1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patent applications that we own or may in-license may not lead to issued patents;</w:t>
      </w:r>
    </w:p>
    <w:p>
      <w:pPr>
        <w:spacing w:after="0" w:line="131"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83" w:lineRule="exact"/>
        <w:rPr>
          <w:sz w:val="20"/>
          <w:szCs w:val="20"/>
          <w:color w:val="auto"/>
        </w:rPr>
      </w:pPr>
    </w:p>
    <w:p>
      <w:pPr>
        <w:ind w:left="1100" w:right="80"/>
        <w:spacing w:after="0" w:line="279" w:lineRule="auto"/>
        <w:rPr>
          <w:sz w:val="20"/>
          <w:szCs w:val="20"/>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31" w:lineRule="exact"/>
        <w:rPr>
          <w:sz w:val="20"/>
          <w:szCs w:val="20"/>
          <w:color w:val="auto"/>
        </w:rPr>
      </w:pPr>
    </w:p>
    <w:p>
      <w:pPr>
        <w:ind w:left="1100" w:right="20"/>
        <w:spacing w:after="0" w:line="293" w:lineRule="auto"/>
        <w:rPr>
          <w:sz w:val="20"/>
          <w:szCs w:val="20"/>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42" w:lineRule="exact"/>
        <w:rPr>
          <w:sz w:val="20"/>
          <w:szCs w:val="20"/>
          <w:color w:val="auto"/>
        </w:rPr>
      </w:pPr>
    </w:p>
    <w:p>
      <w:pPr>
        <w:ind w:left="1100" w:right="580"/>
        <w:spacing w:after="0" w:line="293" w:lineRule="auto"/>
        <w:rPr>
          <w:sz w:val="20"/>
          <w:szCs w:val="20"/>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sz w:val="20"/>
          <w:szCs w:val="20"/>
          <w:color w:val="auto"/>
        </w:rPr>
      </w:pPr>
    </w:p>
    <w:p>
      <w:pPr>
        <w:jc w:val="both"/>
        <w:ind w:left="1100" w:right="16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may not be able to obtain and/or maintain necessary licenses on reasonable terms or at all;</w:t>
      </w:r>
    </w:p>
    <w:p>
      <w:pPr>
        <w:spacing w:after="0" w:line="131" w:lineRule="exact"/>
        <w:rPr>
          <w:sz w:val="20"/>
          <w:szCs w:val="20"/>
          <w:color w:val="auto"/>
        </w:rPr>
      </w:pPr>
    </w:p>
    <w:p>
      <w:pPr>
        <w:jc w:val="both"/>
        <w:ind w:left="1100" w:right="180"/>
        <w:spacing w:after="0" w:line="293" w:lineRule="auto"/>
        <w:rPr>
          <w:sz w:val="20"/>
          <w:szCs w:val="20"/>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62" w:lineRule="exact"/>
        <w:rPr>
          <w:sz w:val="20"/>
          <w:szCs w:val="20"/>
          <w:color w:val="auto"/>
        </w:rPr>
      </w:pPr>
    </w:p>
    <w:p>
      <w:pPr>
        <w:ind w:left="1100" w:right="2700"/>
        <w:spacing w:after="0" w:line="404" w:lineRule="auto"/>
        <w:rPr>
          <w:sz w:val="20"/>
          <w:szCs w:val="20"/>
          <w:color w:val="auto"/>
        </w:rPr>
      </w:pPr>
      <w:r>
        <w:rPr>
          <w:rFonts w:ascii="Arial" w:cs="Arial" w:eastAsia="Arial" w:hAnsi="Arial"/>
          <w:sz w:val="18"/>
          <w:szCs w:val="18"/>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3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93"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8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72"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right="440"/>
        <w:spacing w:after="0" w:line="293" w:lineRule="auto"/>
        <w:rPr>
          <w:sz w:val="20"/>
          <w:szCs w:val="20"/>
          <w:color w:val="auto"/>
        </w:rPr>
      </w:pPr>
      <w:r>
        <w:rPr>
          <w:rFonts w:ascii="Arial" w:cs="Arial" w:eastAsia="Arial" w:hAnsi="Arial"/>
          <w:sz w:val="18"/>
          <w:szCs w:val="18"/>
          <w:color w:val="auto"/>
        </w:rPr>
        <w:t>Europe would be sufficient to justify the necessary investment in developing the drug. In Europe, orphan drug designation entitles a party to financial incentives such as reduction of fees or fee waivers.</w:t>
      </w:r>
    </w:p>
    <w:p>
      <w:pPr>
        <w:spacing w:after="0" w:line="170"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174"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3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3"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19" w:lineRule="exact"/>
        <w:rPr>
          <w:sz w:val="20"/>
          <w:szCs w:val="20"/>
          <w:color w:val="auto"/>
        </w:rPr>
      </w:pPr>
    </w:p>
    <w:p>
      <w:pPr>
        <w:ind w:right="440" w:firstLine="4"/>
        <w:spacing w:after="0" w:line="394"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8" w:name="page69"/>
    <w:bookmarkEnd w:id="68"/>
    <w:p>
      <w:pPr>
        <w:ind w:right="360"/>
        <w:spacing w:after="0" w:line="319" w:lineRule="auto"/>
        <w:rPr>
          <w:sz w:val="20"/>
          <w:szCs w:val="20"/>
          <w:color w:val="auto"/>
        </w:rPr>
      </w:pPr>
      <w:r>
        <w:rPr>
          <w:rFonts w:ascii="Arial" w:cs="Arial" w:eastAsia="Arial" w:hAnsi="Arial"/>
          <w:sz w:val="16"/>
          <w:szCs w:val="16"/>
          <w:color w:val="auto"/>
        </w:rPr>
        <w:t>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1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7" w:lineRule="exact"/>
        <w:rPr>
          <w:sz w:val="20"/>
          <w:szCs w:val="20"/>
          <w:color w:val="auto"/>
        </w:rPr>
      </w:pPr>
    </w:p>
    <w:p>
      <w:pPr>
        <w:ind w:right="320"/>
        <w:spacing w:after="0" w:line="296"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2" w:lineRule="exact"/>
        <w:rPr>
          <w:sz w:val="20"/>
          <w:szCs w:val="20"/>
          <w:color w:val="auto"/>
        </w:rPr>
      </w:pPr>
    </w:p>
    <w:p>
      <w:pPr>
        <w:jc w:val="both"/>
        <w:ind w:right="40" w:firstLine="509"/>
        <w:spacing w:after="0" w:line="296"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enact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16" w:lineRule="exact"/>
        <w:rPr>
          <w:sz w:val="20"/>
          <w:szCs w:val="20"/>
          <w:color w:val="auto"/>
        </w:rPr>
      </w:pPr>
    </w:p>
    <w:p>
      <w:pPr>
        <w:ind w:right="280" w:firstLine="513"/>
        <w:spacing w:after="0" w:line="293"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02" w:lineRule="exact"/>
        <w:rPr>
          <w:sz w:val="20"/>
          <w:szCs w:val="20"/>
          <w:color w:val="auto"/>
        </w:rPr>
      </w:pPr>
    </w:p>
    <w:p>
      <w:pPr>
        <w:ind w:right="80" w:firstLine="509"/>
        <w:spacing w:after="0" w:line="290"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9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w:t>
      </w:r>
    </w:p>
    <w:p>
      <w:pPr>
        <w:spacing w:after="0" w:line="114"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Further, if there is inadequate information to make a determination on the acceptability of a facility, the FDA may defer action on the application until an inspection can be completed. Additionally, 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the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right="140"/>
        <w:spacing w:after="0" w:line="275" w:lineRule="auto"/>
        <w:rPr>
          <w:sz w:val="20"/>
          <w:szCs w:val="20"/>
          <w:color w:val="auto"/>
        </w:rPr>
      </w:pPr>
      <w:r>
        <w:rPr>
          <w:rFonts w:ascii="Arial" w:cs="Arial" w:eastAsia="Arial" w:hAnsi="Arial"/>
          <w:sz w:val="18"/>
          <w:szCs w:val="18"/>
          <w:color w:val="auto"/>
        </w:rPr>
        <w:t>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in 2021, a number of companies announced receipt of complete response letters due to the FDA’s inability to complete required inspections for their applications.</w:t>
      </w:r>
    </w:p>
    <w:p>
      <w:pPr>
        <w:spacing w:after="0" w:line="104"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31" w:lineRule="exact"/>
        <w:rPr>
          <w:sz w:val="20"/>
          <w:szCs w:val="20"/>
          <w:color w:val="auto"/>
        </w:rPr>
      </w:pPr>
    </w:p>
    <w:p>
      <w:pPr>
        <w:jc w:val="both"/>
        <w:ind w:right="300" w:firstLine="509"/>
        <w:spacing w:after="0" w:line="32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80" w:lineRule="exact"/>
        <w:rPr>
          <w:sz w:val="20"/>
          <w:szCs w:val="20"/>
          <w:color w:val="auto"/>
        </w:rPr>
      </w:pPr>
    </w:p>
    <w:p>
      <w:pPr>
        <w:ind w:right="80" w:firstLine="509"/>
        <w:spacing w:after="0" w:line="30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73"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the Centers for Medicare &amp; Medicaid Services, or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We cannot predict what effect the healthcare reform measures of the Biden administration or other efforts, if any, to challenge, repeal or replace the ACA would have on our business.</w:t>
      </w:r>
    </w:p>
    <w:p>
      <w:pPr>
        <w:spacing w:after="0" w:line="185"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0" w:name="page71"/>
    <w:bookmarkEnd w:id="70"/>
    <w:p>
      <w:pPr>
        <w:ind w:right="160" w:firstLine="509"/>
        <w:spacing w:after="0" w:line="311"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78"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74" w:lineRule="exact"/>
        <w:rPr>
          <w:sz w:val="20"/>
          <w:szCs w:val="20"/>
          <w:color w:val="auto"/>
        </w:rPr>
      </w:pPr>
    </w:p>
    <w:p>
      <w:pPr>
        <w:ind w:right="40" w:firstLine="509"/>
        <w:spacing w:after="0" w:line="296" w:lineRule="auto"/>
        <w:rPr>
          <w:sz w:val="20"/>
          <w:szCs w:val="20"/>
          <w:color w:val="auto"/>
        </w:rPr>
      </w:pPr>
      <w:r>
        <w:rPr>
          <w:rFonts w:ascii="Arial" w:cs="Arial" w:eastAsia="Arial" w:hAnsi="Arial"/>
          <w:sz w:val="17"/>
          <w:szCs w:val="17"/>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0"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4"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1" w:name="page72"/>
    <w:bookmarkEnd w:id="71"/>
    <w:p>
      <w:pPr>
        <w:ind w:right="320"/>
        <w:spacing w:after="0" w:line="27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4" w:lineRule="exact"/>
        <w:rPr>
          <w:sz w:val="20"/>
          <w:szCs w:val="20"/>
          <w:color w:val="auto"/>
        </w:rPr>
      </w:pPr>
    </w:p>
    <w:p>
      <w:pPr>
        <w:ind w:left="1100" w:right="40"/>
        <w:spacing w:after="0" w:line="287" w:lineRule="auto"/>
        <w:rPr>
          <w:sz w:val="20"/>
          <w:szCs w:val="20"/>
          <w:color w:val="auto"/>
        </w:rPr>
      </w:pPr>
      <w:r>
        <w:rPr>
          <w:rFonts w:ascii="Arial" w:cs="Arial" w:eastAsia="Arial" w:hAnsi="Arial"/>
          <w:sz w:val="17"/>
          <w:szCs w:val="17"/>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0" w:lineRule="exact"/>
        <w:rPr>
          <w:sz w:val="20"/>
          <w:szCs w:val="20"/>
          <w:color w:val="auto"/>
        </w:rPr>
      </w:pPr>
    </w:p>
    <w:p>
      <w:pPr>
        <w:ind w:left="1100"/>
        <w:spacing w:after="0" w:line="288" w:lineRule="auto"/>
        <w:rPr>
          <w:sz w:val="20"/>
          <w:szCs w:val="20"/>
          <w:color w:val="auto"/>
        </w:rPr>
      </w:pPr>
      <w:r>
        <w:rPr>
          <w:rFonts w:ascii="Arial" w:cs="Arial" w:eastAsia="Arial" w:hAnsi="Arial"/>
          <w:sz w:val="17"/>
          <w:szCs w:val="17"/>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FCA;</w:t>
      </w:r>
    </w:p>
    <w:p>
      <w:pPr>
        <w:spacing w:after="0" w:line="73" w:lineRule="exact"/>
        <w:rPr>
          <w:sz w:val="20"/>
          <w:szCs w:val="20"/>
          <w:color w:val="auto"/>
        </w:rPr>
      </w:pPr>
    </w:p>
    <w:p>
      <w:pPr>
        <w:ind w:left="1100" w:right="20"/>
        <w:spacing w:after="0" w:line="272" w:lineRule="auto"/>
        <w:rPr>
          <w:sz w:val="20"/>
          <w:szCs w:val="20"/>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sz w:val="20"/>
          <w:szCs w:val="20"/>
          <w:color w:val="auto"/>
        </w:rPr>
      </w:pPr>
    </w:p>
    <w:p>
      <w:pPr>
        <w:ind w:left="1100"/>
        <w:spacing w:after="0" w:line="290" w:lineRule="auto"/>
        <w:rPr>
          <w:sz w:val="20"/>
          <w:szCs w:val="20"/>
          <w:color w:val="auto"/>
        </w:rPr>
      </w:pPr>
      <w:r>
        <w:rPr>
          <w:rFonts w:ascii="Arial" w:cs="Arial" w:eastAsia="Arial" w:hAnsi="Arial"/>
          <w:sz w:val="17"/>
          <w:szCs w:val="17"/>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68" w:lineRule="exact"/>
        <w:rPr>
          <w:sz w:val="20"/>
          <w:szCs w:val="20"/>
          <w:color w:val="auto"/>
        </w:rPr>
      </w:pPr>
    </w:p>
    <w:p>
      <w:pPr>
        <w:ind w:left="1100" w:right="80"/>
        <w:spacing w:after="0" w:line="269"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8" w:lineRule="exact"/>
        <w:rPr>
          <w:sz w:val="20"/>
          <w:szCs w:val="20"/>
          <w:color w:val="auto"/>
        </w:rPr>
      </w:pPr>
    </w:p>
    <w:p>
      <w:pPr>
        <w:ind w:left="1100" w:right="140"/>
        <w:spacing w:after="0" w:line="293"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2" w:name="page73"/>
    <w:bookmarkEnd w:id="72"/>
    <w:p>
      <w:pPr>
        <w:ind w:left="1100" w:right="220"/>
        <w:spacing w:after="0" w:line="324" w:lineRule="auto"/>
        <w:rPr>
          <w:sz w:val="20"/>
          <w:szCs w:val="20"/>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39" w:lineRule="exact"/>
        <w:rPr>
          <w:sz w:val="20"/>
          <w:szCs w:val="20"/>
          <w:color w:val="auto"/>
        </w:rPr>
      </w:pPr>
    </w:p>
    <w:p>
      <w:pPr>
        <w:ind w:left="1100" w:right="20"/>
        <w:spacing w:after="0" w:line="270" w:lineRule="auto"/>
        <w:rPr>
          <w:sz w:val="20"/>
          <w:szCs w:val="20"/>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9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90"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100"/>
        <w:spacing w:after="0" w:line="293" w:lineRule="auto"/>
        <w:rPr>
          <w:sz w:val="20"/>
          <w:szCs w:val="20"/>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ind w:left="1100"/>
        <w:spacing w:after="0"/>
        <w:rPr>
          <w:sz w:val="20"/>
          <w:szCs w:val="20"/>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154"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imposition of a REMS which may include distribution or use restrictions;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requirements to conduct additional post-market clinical trials to assess the safety of the product;</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clinical trial holds;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fines, warning letters or other regulatory enforcement action;</w:t>
      </w:r>
    </w:p>
    <w:p>
      <w:pPr>
        <w:spacing w:after="0" w:line="131" w:lineRule="exact"/>
        <w:rPr>
          <w:sz w:val="20"/>
          <w:szCs w:val="20"/>
          <w:color w:val="auto"/>
        </w:rPr>
      </w:pPr>
    </w:p>
    <w:p>
      <w:pPr>
        <w:ind w:left="1100" w:right="400"/>
        <w:spacing w:after="0" w:line="293"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sz w:val="20"/>
          <w:szCs w:val="20"/>
          <w:color w:val="auto"/>
        </w:rPr>
      </w:pPr>
    </w:p>
    <w:p>
      <w:pPr>
        <w:ind w:left="1100" w:right="3920"/>
        <w:spacing w:after="0" w:line="399" w:lineRule="auto"/>
        <w:rPr>
          <w:sz w:val="20"/>
          <w:szCs w:val="20"/>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ind w:right="60" w:firstLine="509"/>
        <w:spacing w:after="0" w:line="27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54"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86"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9"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jc w:val="both"/>
        <w:ind w:right="20" w:firstLine="509"/>
        <w:spacing w:after="0" w:line="296"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4" w:name="page75"/>
    <w:bookmarkEnd w:id="74"/>
    <w:p>
      <w:pPr>
        <w:ind w:right="100"/>
        <w:spacing w:after="0" w:line="293" w:lineRule="auto"/>
        <w:rPr>
          <w:sz w:val="20"/>
          <w:szCs w:val="20"/>
          <w:color w:val="auto"/>
        </w:rPr>
      </w:pPr>
      <w:r>
        <w:rPr>
          <w:rFonts w:ascii="Arial" w:cs="Arial" w:eastAsia="Arial" w:hAnsi="Arial"/>
          <w:sz w:val="18"/>
          <w:szCs w:val="18"/>
          <w:color w:val="auto"/>
        </w:rPr>
        <w:t>comply with these laws, and these laws may preclude us from developing, manufacturing, or selling certain products and product candidates outside of the United States, which could limit our growth potential and increase our development costs.</w:t>
      </w:r>
    </w:p>
    <w:p>
      <w:pPr>
        <w:spacing w:after="0" w:line="170"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65"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94" w:lineRule="exact"/>
        <w:rPr>
          <w:sz w:val="20"/>
          <w:szCs w:val="20"/>
          <w:color w:val="auto"/>
        </w:rPr>
      </w:pPr>
    </w:p>
    <w:p>
      <w:pPr>
        <w:ind w:right="140" w:firstLine="509"/>
        <w:spacing w:after="0" w:line="314"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8"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9"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ind w:right="120"/>
        <w:spacing w:after="0" w:line="293" w:lineRule="auto"/>
        <w:rPr>
          <w:sz w:val="20"/>
          <w:szCs w:val="20"/>
          <w:color w:val="auto"/>
        </w:rPr>
      </w:pPr>
      <w:r>
        <w:rPr>
          <w:rFonts w:ascii="Arial" w:cs="Arial" w:eastAsia="Arial" w:hAnsi="Arial"/>
          <w:sz w:val="18"/>
          <w:szCs w:val="18"/>
          <w:color w:val="auto"/>
        </w:rPr>
        <w:t>HITECH), and international law (e.g., the GDPR) and may cause a material adverse impact to our reputation, affect our ability to conduct new studies and potentially disrupt our business.</w:t>
      </w:r>
    </w:p>
    <w:p>
      <w:pPr>
        <w:spacing w:after="0" w:line="170"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7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84"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240" w:firstLine="509"/>
        <w:spacing w:after="0" w:line="309" w:lineRule="auto"/>
        <w:rPr>
          <w:sz w:val="20"/>
          <w:szCs w:val="20"/>
          <w:color w:val="auto"/>
        </w:rPr>
      </w:pPr>
      <w:r>
        <w:rPr>
          <w:rFonts w:ascii="Arial" w:cs="Arial" w:eastAsia="Arial" w:hAnsi="Arial"/>
          <w:sz w:val="16"/>
          <w:szCs w:val="16"/>
          <w:color w:val="auto"/>
        </w:rPr>
        <w:t>As of September 30, 2021, we had 83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34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Based on our common stock outstanding as of August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ind w:right="220"/>
        <w:spacing w:after="0" w:line="292" w:lineRule="auto"/>
        <w:rPr>
          <w:sz w:val="20"/>
          <w:szCs w:val="20"/>
          <w:color w:val="auto"/>
        </w:rPr>
      </w:pPr>
      <w:r>
        <w:rPr>
          <w:rFonts w:ascii="Arial" w:cs="Arial" w:eastAsia="Arial" w:hAnsi="Arial"/>
          <w:sz w:val="17"/>
          <w:szCs w:val="17"/>
          <w:color w:val="auto"/>
        </w:rPr>
        <w:t>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31" w:lineRule="exact"/>
        <w:rPr>
          <w:sz w:val="20"/>
          <w:szCs w:val="20"/>
          <w:color w:val="auto"/>
        </w:rPr>
      </w:pPr>
    </w:p>
    <w:p>
      <w:pPr>
        <w:ind w:right="20" w:firstLine="509"/>
        <w:spacing w:after="0" w:line="302" w:lineRule="auto"/>
        <w:rPr>
          <w:sz w:val="20"/>
          <w:szCs w:val="20"/>
          <w:color w:val="auto"/>
        </w:rPr>
      </w:pPr>
      <w:r>
        <w:rPr>
          <w:rFonts w:ascii="Arial" w:cs="Arial" w:eastAsia="Arial" w:hAnsi="Arial"/>
          <w:sz w:val="16"/>
          <w:szCs w:val="16"/>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We have not yet conducted a study to assess whether a change of control has occurred as a result of the Business Combination. A study will be conducted in the near term. If we experience a change of control, as defined by Section 382 of the Code, as a result of the Business Combination or otherwise, utilization of net operating loss carryforwards or research and development tax credit carryforwards could be subject to an annual limitation under Sections 382 and 383 of the Code, as applicable. Any limitation may result in expiration of a portion of the net operating loss carryforwards or research and development tax credit carryforwards before utilization. Moreover, our ability to utilize our net operating loss carryforwards or credits is conditioned upon our attaining profitability and generating U.S. federal and state taxable income. As a result, the amount of the net operating loss and tax credit carryforwards presented in our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generated after December 31, 2017. For these reasons, we may not be able to utilize some portion of our net operating loss carryforwards, none of which are currently reflected on our balance sheet, even if we attain profitability.</w:t>
      </w:r>
    </w:p>
    <w:p>
      <w:pPr>
        <w:spacing w:after="0" w:line="200" w:lineRule="exact"/>
        <w:rPr>
          <w:sz w:val="20"/>
          <w:szCs w:val="20"/>
          <w:color w:val="auto"/>
        </w:rPr>
      </w:pPr>
    </w:p>
    <w:p>
      <w:pPr>
        <w:spacing w:after="0" w:line="313" w:lineRule="exact"/>
        <w:rPr>
          <w:sz w:val="20"/>
          <w:szCs w:val="20"/>
          <w:color w:val="auto"/>
        </w:rPr>
      </w:pPr>
    </w:p>
    <w:p>
      <w:pPr>
        <w:ind w:right="840"/>
        <w:spacing w:after="0" w:line="359"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2" w:lineRule="exact"/>
        <w:rPr>
          <w:sz w:val="20"/>
          <w:szCs w:val="20"/>
          <w:color w:val="auto"/>
        </w:rPr>
      </w:pPr>
    </w:p>
    <w:p>
      <w:pPr>
        <w:ind w:left="1100" w:right="240"/>
        <w:spacing w:after="0" w:line="293" w:lineRule="auto"/>
        <w:rPr>
          <w:sz w:val="20"/>
          <w:szCs w:val="20"/>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sz w:val="20"/>
          <w:szCs w:val="20"/>
          <w:color w:val="auto"/>
        </w:rPr>
      </w:pPr>
    </w:p>
    <w:p>
      <w:pPr>
        <w:ind w:left="1100" w:right="680"/>
        <w:spacing w:after="0" w:line="293" w:lineRule="auto"/>
        <w:rPr>
          <w:sz w:val="20"/>
          <w:szCs w:val="20"/>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sz w:val="20"/>
          <w:szCs w:val="20"/>
          <w:color w:val="auto"/>
        </w:rPr>
      </w:pPr>
    </w:p>
    <w:p>
      <w:pPr>
        <w:ind w:left="1100" w:right="20"/>
        <w:spacing w:after="0" w:line="279" w:lineRule="auto"/>
        <w:rPr>
          <w:sz w:val="20"/>
          <w:szCs w:val="20"/>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1" w:lineRule="exact"/>
        <w:rPr>
          <w:sz w:val="20"/>
          <w:szCs w:val="20"/>
          <w:color w:val="auto"/>
        </w:rPr>
      </w:pPr>
    </w:p>
    <w:p>
      <w:pPr>
        <w:ind w:left="1100"/>
        <w:spacing w:after="0" w:line="279" w:lineRule="auto"/>
        <w:rPr>
          <w:sz w:val="20"/>
          <w:szCs w:val="20"/>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75" w:lineRule="exact"/>
        <w:rPr>
          <w:sz w:val="20"/>
          <w:szCs w:val="20"/>
          <w:color w:val="auto"/>
        </w:rPr>
      </w:pPr>
    </w:p>
    <w:p>
      <w:pPr>
        <w:ind w:left="1100" w:right="80"/>
        <w:spacing w:after="0" w:line="293" w:lineRule="auto"/>
        <w:rPr>
          <w:sz w:val="20"/>
          <w:szCs w:val="20"/>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62" w:lineRule="exact"/>
        <w:rPr>
          <w:sz w:val="20"/>
          <w:szCs w:val="20"/>
          <w:color w:val="auto"/>
        </w:rPr>
      </w:pPr>
    </w:p>
    <w:p>
      <w:pPr>
        <w:ind w:left="1100" w:right="200"/>
        <w:spacing w:after="0" w:line="293" w:lineRule="auto"/>
        <w:rPr>
          <w:sz w:val="20"/>
          <w:szCs w:val="20"/>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ind w:right="60" w:firstLine="509"/>
        <w:spacing w:after="0" w:line="314"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8"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200" w:firstLine="509"/>
        <w:spacing w:after="0" w:line="306"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8"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spacing w:after="0" w:line="304" w:lineRule="auto"/>
        <w:rPr>
          <w:sz w:val="20"/>
          <w:szCs w:val="20"/>
          <w:color w:val="auto"/>
        </w:rPr>
      </w:pPr>
      <w:r>
        <w:rPr>
          <w:rFonts w:ascii="Arial" w:cs="Arial" w:eastAsia="Arial" w:hAnsi="Arial"/>
          <w:sz w:val="16"/>
          <w:szCs w:val="16"/>
          <w:color w:val="auto"/>
        </w:rPr>
        <w:t>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78"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20" w:firstLine="509"/>
        <w:spacing w:after="0" w:line="303"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success of competitive products or technologies;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advancement of our preclinical programs, such as our targeted oncology programs, into clinical testing;</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results of clinical trials of our product candidates or those of our competitors;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79" w:name="page80"/>
    <w:bookmarkEnd w:id="79"/>
    <w:p>
      <w:pPr>
        <w:ind w:right="420"/>
        <w:spacing w:after="0" w:line="29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3"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3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3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be sustained, and you may not be able to resell your shares at the price you paid.</w:t>
      </w:r>
    </w:p>
    <w:p>
      <w:pPr>
        <w:spacing w:after="0" w:line="142"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Concurrently with the execution of the Business Combination, we entered into subscription agreements, or the “Subscription Agreements”, with each of the PIPE Investors, pursuant to which the PIPE Investors subscribed for and purchased an aggregate of 18,610,000 shares of Common Stock at a price of $10.00 per share for aggregate gross proceeds of $186,100,000. These shares were issued to the PIPE Investors immediately following the closing of the Business Combination on August 10, 2021.</w:t>
      </w:r>
    </w:p>
    <w:p>
      <w:pPr>
        <w:spacing w:after="0" w:line="7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Originally, the shares of Common Stock issued pursuant to the Subscription Agreements, or the “PIPE Financing Shares”, had not been registered under the Securities Act in reliance upon the exemption provided in Section 4(a)(2) of the Securities Act. Pursuant to the Subscription Agreements, on September 9, 2021, we filed with the SEC (at our sole cost and expense) a registration statement, or the “Resale Registration Statement”, registering the resale of the PIPE Financing Shares.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our Initial Public Offering</w:t>
      </w:r>
    </w:p>
    <w:p>
      <w:pPr>
        <w:spacing w:after="0" w:line="360"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gridSpan w:val="22"/>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14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25"/>
          </w:tcPr>
          <w:p>
            <w:pPr>
              <w:spacing w:after="0" w:line="182" w:lineRule="exact"/>
              <w:rPr>
                <w:rFonts w:ascii="Arial" w:cs="Arial" w:eastAsia="Arial" w:hAnsi="Arial"/>
                <w:sz w:val="18"/>
                <w:szCs w:val="18"/>
                <w:color w:val="0000FF"/>
                <w:w w:val="91"/>
              </w:rPr>
            </w:pPr>
            <w:hyperlink r:id="rId365">
              <w:r>
                <w:rPr>
                  <w:rFonts w:ascii="Arial" w:cs="Arial" w:eastAsia="Arial" w:hAnsi="Arial"/>
                  <w:sz w:val="18"/>
                  <w:szCs w:val="18"/>
                  <w:color w:val="0000FF"/>
                  <w:w w:val="91"/>
                </w:rPr>
                <w:t>Agreement and Plan of Merger, dated as of April 13, 2021, by and among BCTG Acquisition Corp., BCTG Merger Sub Inc. and Tango</w:t>
              </w:r>
            </w:hyperlink>
          </w:p>
        </w:tc>
        <w:tc>
          <w:tcPr>
            <w:tcW w:w="180" w:type="dxa"/>
            <w:vAlign w:val="bottom"/>
            <w:gridSpan w:val="5"/>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Borders>
              <w:bottom w:val="single" w:sz="8" w:color="0000FF"/>
            </w:tcBorders>
            <w:gridSpan w:val="15"/>
          </w:tcPr>
          <w:p>
            <w:pPr>
              <w:spacing w:after="0"/>
              <w:rPr>
                <w:rFonts w:ascii="Arial" w:cs="Arial" w:eastAsia="Arial" w:hAnsi="Arial"/>
                <w:sz w:val="18"/>
                <w:szCs w:val="18"/>
                <w:color w:val="0000FF"/>
                <w:w w:val="90"/>
              </w:rPr>
            </w:pPr>
            <w:hyperlink r:id="rId365">
              <w:r>
                <w:rPr>
                  <w:rFonts w:ascii="Arial" w:cs="Arial" w:eastAsia="Arial" w:hAnsi="Arial"/>
                  <w:sz w:val="18"/>
                  <w:szCs w:val="18"/>
                  <w:color w:val="0000FF"/>
                  <w:w w:val="90"/>
                </w:rPr>
                <w:t>Therapeutics, Inc. (incorporated by reference to Annex A to the Proxy Statement/ Prospectus).</w:t>
              </w:r>
            </w:hyperlink>
          </w:p>
        </w:tc>
        <w:tc>
          <w:tcPr>
            <w:tcW w:w="20" w:type="dxa"/>
            <w:vAlign w:val="bottom"/>
            <w:tcBorders>
              <w:bottom w:val="single" w:sz="8" w:color="0000EE"/>
            </w:tcBorders>
          </w:tcPr>
          <w:p>
            <w:pPr>
              <w:spacing w:after="0"/>
              <w:rPr>
                <w:sz w:val="18"/>
                <w:szCs w:val="18"/>
                <w:color w:val="auto"/>
              </w:rPr>
            </w:pPr>
          </w:p>
        </w:tc>
        <w:tc>
          <w:tcPr>
            <w:tcW w:w="3140" w:type="dxa"/>
            <w:vAlign w:val="bottom"/>
            <w:gridSpan w:val="14"/>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bottom w:val="single" w:sz="8" w:color="0000FF"/>
            </w:tcBorders>
            <w:gridSpan w:val="24"/>
          </w:tcPr>
          <w:p>
            <w:pPr>
              <w:spacing w:after="0"/>
              <w:rPr>
                <w:rFonts w:ascii="Arial" w:cs="Arial" w:eastAsia="Arial" w:hAnsi="Arial"/>
                <w:sz w:val="18"/>
                <w:szCs w:val="18"/>
                <w:color w:val="0000FF"/>
                <w:w w:val="90"/>
              </w:rPr>
            </w:pPr>
            <w:hyperlink r:id="rId366">
              <w:r>
                <w:rPr>
                  <w:rFonts w:ascii="Arial" w:cs="Arial" w:eastAsia="Arial" w:hAnsi="Arial"/>
                  <w:sz w:val="18"/>
                  <w:szCs w:val="18"/>
                  <w:color w:val="0000FF"/>
                  <w:w w:val="90"/>
                </w:rPr>
                <w:t>Second Amended and Restated Certificate of Incorporation of Tango Therapeutics, Inc. (incorporated by reference to Exhibit 3.1 to the</w:t>
              </w:r>
            </w:hyperlink>
          </w:p>
        </w:tc>
        <w:tc>
          <w:tcPr>
            <w:tcW w:w="200" w:type="dxa"/>
            <w:vAlign w:val="bottom"/>
            <w:gridSpan w:val="6"/>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66">
              <w:r>
                <w:rPr>
                  <w:rFonts w:ascii="Arial" w:cs="Arial" w:eastAsia="Arial" w:hAnsi="Arial"/>
                  <w:sz w:val="18"/>
                  <w:szCs w:val="18"/>
                  <w:color w:val="0000FF"/>
                </w:rPr>
                <w:t>Registrant’s registration statement on Form S-1 filed with the SEC on September 10,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bottom w:val="single" w:sz="8" w:color="0000FF"/>
            </w:tcBorders>
            <w:gridSpan w:val="18"/>
          </w:tcPr>
          <w:p>
            <w:pPr>
              <w:spacing w:after="0"/>
              <w:rPr>
                <w:rFonts w:ascii="Arial" w:cs="Arial" w:eastAsia="Arial" w:hAnsi="Arial"/>
                <w:sz w:val="18"/>
                <w:szCs w:val="18"/>
                <w:color w:val="0000FF"/>
                <w:w w:val="91"/>
              </w:rPr>
            </w:pPr>
            <w:hyperlink r:id="rId367">
              <w:r>
                <w:rPr>
                  <w:rFonts w:ascii="Arial" w:cs="Arial" w:eastAsia="Arial" w:hAnsi="Arial"/>
                  <w:sz w:val="18"/>
                  <w:szCs w:val="18"/>
                  <w:color w:val="0000FF"/>
                  <w:w w:val="91"/>
                </w:rPr>
                <w:t>Amended and Restated By-laws of Tango Therapeutics, Inc. (incorporated by reference to Exhibit 4.2 to the Registrant’s registration</w:t>
              </w:r>
            </w:hyperlink>
          </w:p>
        </w:tc>
        <w:tc>
          <w:tcPr>
            <w:tcW w:w="380" w:type="dxa"/>
            <w:vAlign w:val="bottom"/>
            <w:gridSpan w:val="12"/>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67">
              <w:r>
                <w:rPr>
                  <w:rFonts w:ascii="Arial" w:cs="Arial" w:eastAsia="Arial" w:hAnsi="Arial"/>
                  <w:sz w:val="18"/>
                  <w:szCs w:val="18"/>
                  <w:color w:val="0000FF"/>
                </w:rPr>
                <w:t>statement on Form S-8 filed with the SEC on October 14,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30"/>
          </w:tcPr>
          <w:p>
            <w:pPr>
              <w:spacing w:after="0"/>
              <w:rPr>
                <w:rFonts w:ascii="Arial" w:cs="Arial" w:eastAsia="Arial" w:hAnsi="Arial"/>
                <w:sz w:val="18"/>
                <w:szCs w:val="18"/>
                <w:color w:val="0000FF"/>
              </w:rPr>
            </w:pPr>
            <w:hyperlink r:id="rId365">
              <w:r>
                <w:rPr>
                  <w:rFonts w:ascii="Arial" w:cs="Arial" w:eastAsia="Arial" w:hAnsi="Arial"/>
                  <w:sz w:val="18"/>
                  <w:szCs w:val="18"/>
                  <w:color w:val="0000FF"/>
                </w:rPr>
                <w:t>Form of Lock-Up Agreement (incorporated by reference to Exhibit D to Exhibit 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tcBorders>
              <w:bottom w:val="single" w:sz="8" w:color="0000FF"/>
            </w:tcBorders>
            <w:gridSpan w:val="27"/>
          </w:tcPr>
          <w:p>
            <w:pPr>
              <w:spacing w:after="0"/>
              <w:rPr>
                <w:rFonts w:ascii="Arial" w:cs="Arial" w:eastAsia="Arial" w:hAnsi="Arial"/>
                <w:sz w:val="18"/>
                <w:szCs w:val="18"/>
                <w:color w:val="0000FF"/>
                <w:w w:val="90"/>
              </w:rPr>
            </w:pPr>
            <w:hyperlink r:id="rId368">
              <w:r>
                <w:rPr>
                  <w:rFonts w:ascii="Arial" w:cs="Arial" w:eastAsia="Arial" w:hAnsi="Arial"/>
                  <w:sz w:val="18"/>
                  <w:szCs w:val="18"/>
                  <w:color w:val="0000FF"/>
                  <w:w w:val="90"/>
                </w:rPr>
                <w:t>Amended and Restated Registration and Stockholder Rights Agreement, dated August 10, 2021, by and among Tango Therapeutics, Inc.</w:t>
              </w:r>
            </w:hyperlink>
          </w:p>
        </w:tc>
        <w:tc>
          <w:tcPr>
            <w:tcW w:w="80" w:type="dxa"/>
            <w:vAlign w:val="bottom"/>
            <w:gridSpan w:val="3"/>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tcBorders>
              <w:bottom w:val="single" w:sz="8" w:color="0000FF"/>
            </w:tcBorders>
            <w:gridSpan w:val="30"/>
          </w:tcPr>
          <w:p>
            <w:pPr>
              <w:spacing w:after="0"/>
              <w:rPr>
                <w:rFonts w:ascii="Arial" w:cs="Arial" w:eastAsia="Arial" w:hAnsi="Arial"/>
                <w:sz w:val="18"/>
                <w:szCs w:val="18"/>
                <w:color w:val="0000FF"/>
                <w:w w:val="91"/>
              </w:rPr>
            </w:pPr>
            <w:hyperlink r:id="rId368">
              <w:r>
                <w:rPr>
                  <w:rFonts w:ascii="Arial" w:cs="Arial" w:eastAsia="Arial" w:hAnsi="Arial"/>
                  <w:sz w:val="18"/>
                  <w:szCs w:val="18"/>
                  <w:color w:val="0000FF"/>
                  <w:w w:val="91"/>
                </w:rPr>
                <w:t>and the stockholders party thereto (incorporated by reference to Exhibit 10.2 to the Current Report on Form 8-K filed by the Registrant on</w:t>
              </w:r>
            </w:hyperlink>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bottom w:val="single" w:sz="8" w:color="0000FF"/>
            </w:tcBorders>
          </w:tcPr>
          <w:p>
            <w:pPr>
              <w:spacing w:after="0"/>
              <w:rPr>
                <w:rFonts w:ascii="Arial" w:cs="Arial" w:eastAsia="Arial" w:hAnsi="Arial"/>
                <w:sz w:val="18"/>
                <w:szCs w:val="18"/>
                <w:color w:val="0000FF"/>
                <w:w w:val="90"/>
              </w:rPr>
            </w:pPr>
            <w:hyperlink r:id="rId368">
              <w:r>
                <w:rPr>
                  <w:rFonts w:ascii="Arial" w:cs="Arial" w:eastAsia="Arial" w:hAnsi="Arial"/>
                  <w:sz w:val="18"/>
                  <w:szCs w:val="18"/>
                  <w:color w:val="0000FF"/>
                  <w:w w:val="90"/>
                </w:rPr>
                <w:t>August 13, 2021).</w:t>
              </w:r>
            </w:hyperlink>
          </w:p>
        </w:tc>
        <w:tc>
          <w:tcPr>
            <w:tcW w:w="20" w:type="dxa"/>
            <w:vAlign w:val="bottom"/>
            <w:tcBorders>
              <w:bottom w:val="single" w:sz="8" w:color="0000EE"/>
            </w:tcBorders>
          </w:tcPr>
          <w:p>
            <w:pPr>
              <w:spacing w:after="0"/>
              <w:rPr>
                <w:sz w:val="18"/>
                <w:szCs w:val="18"/>
                <w:color w:val="auto"/>
              </w:rPr>
            </w:pPr>
          </w:p>
        </w:tc>
        <w:tc>
          <w:tcPr>
            <w:tcW w:w="8640" w:type="dxa"/>
            <w:vAlign w:val="bottom"/>
            <w:gridSpan w:val="28"/>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tcBorders>
              <w:bottom w:val="single" w:sz="8" w:color="0000FF"/>
            </w:tcBorders>
            <w:gridSpan w:val="29"/>
          </w:tcPr>
          <w:p>
            <w:pPr>
              <w:spacing w:after="0"/>
              <w:rPr>
                <w:rFonts w:ascii="Arial" w:cs="Arial" w:eastAsia="Arial" w:hAnsi="Arial"/>
                <w:sz w:val="18"/>
                <w:szCs w:val="18"/>
                <w:color w:val="0000FF"/>
                <w:w w:val="91"/>
              </w:rPr>
            </w:pPr>
            <w:hyperlink r:id="rId369">
              <w:r>
                <w:rPr>
                  <w:rFonts w:ascii="Arial" w:cs="Arial" w:eastAsia="Arial" w:hAnsi="Arial"/>
                  <w:sz w:val="18"/>
                  <w:szCs w:val="18"/>
                  <w:color w:val="0000FF"/>
                  <w:w w:val="91"/>
                </w:rPr>
                <w:t>Tango Therapeutics, Inc. 2021 Stock Option and Incentive Plan (incorporated by reference to Exhibit 10.4 to the Current Report on Form</w:t>
              </w:r>
            </w:hyperlink>
          </w:p>
        </w:tc>
        <w:tc>
          <w:tcPr>
            <w:tcW w:w="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bottom w:val="single" w:sz="8" w:color="0000FF"/>
            </w:tcBorders>
            <w:gridSpan w:val="7"/>
          </w:tcPr>
          <w:p>
            <w:pPr>
              <w:spacing w:after="0"/>
              <w:rPr>
                <w:rFonts w:ascii="Arial" w:cs="Arial" w:eastAsia="Arial" w:hAnsi="Arial"/>
                <w:sz w:val="18"/>
                <w:szCs w:val="18"/>
                <w:color w:val="0000FF"/>
                <w:w w:val="91"/>
              </w:rPr>
            </w:pPr>
            <w:hyperlink r:id="rId369">
              <w:r>
                <w:rPr>
                  <w:rFonts w:ascii="Arial" w:cs="Arial" w:eastAsia="Arial" w:hAnsi="Arial"/>
                  <w:sz w:val="18"/>
                  <w:szCs w:val="18"/>
                  <w:color w:val="0000FF"/>
                  <w:w w:val="91"/>
                </w:rPr>
                <w:t>8-K filed by the Registrant on August 13, 2021).</w:t>
              </w:r>
            </w:hyperlink>
          </w:p>
        </w:tc>
        <w:tc>
          <w:tcPr>
            <w:tcW w:w="20" w:type="dxa"/>
            <w:vAlign w:val="bottom"/>
            <w:tcBorders>
              <w:bottom w:val="single" w:sz="8" w:color="0000EE"/>
            </w:tcBorders>
          </w:tcPr>
          <w:p>
            <w:pPr>
              <w:spacing w:after="0"/>
              <w:rPr>
                <w:sz w:val="18"/>
                <w:szCs w:val="18"/>
                <w:color w:val="auto"/>
              </w:rPr>
            </w:pPr>
          </w:p>
        </w:tc>
        <w:tc>
          <w:tcPr>
            <w:tcW w:w="6440" w:type="dxa"/>
            <w:vAlign w:val="bottom"/>
            <w:gridSpan w:val="22"/>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000FF"/>
            </w:tcBorders>
            <w:gridSpan w:val="20"/>
          </w:tcPr>
          <w:p>
            <w:pPr>
              <w:spacing w:after="0"/>
              <w:rPr>
                <w:rFonts w:ascii="Arial" w:cs="Arial" w:eastAsia="Arial" w:hAnsi="Arial"/>
                <w:sz w:val="18"/>
                <w:szCs w:val="18"/>
                <w:color w:val="0000FF"/>
                <w:w w:val="90"/>
              </w:rPr>
            </w:pPr>
            <w:hyperlink r:id="rId370">
              <w:r>
                <w:rPr>
                  <w:rFonts w:ascii="Arial" w:cs="Arial" w:eastAsia="Arial" w:hAnsi="Arial"/>
                  <w:sz w:val="18"/>
                  <w:szCs w:val="18"/>
                  <w:color w:val="0000FF"/>
                  <w:w w:val="90"/>
                </w:rPr>
                <w:t>Forms of Award Agreements under the Tango Therapeutics, Inc. 2021 Stock Option and Incentive Plan (incorporated by reference to</w:t>
              </w:r>
            </w:hyperlink>
          </w:p>
        </w:tc>
        <w:tc>
          <w:tcPr>
            <w:tcW w:w="340" w:type="dxa"/>
            <w:vAlign w:val="bottom"/>
            <w:gridSpan w:val="10"/>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70">
              <w:r>
                <w:rPr>
                  <w:rFonts w:ascii="Arial" w:cs="Arial" w:eastAsia="Arial" w:hAnsi="Arial"/>
                  <w:sz w:val="18"/>
                  <w:szCs w:val="18"/>
                  <w:color w:val="0000FF"/>
                </w:rPr>
                <w:t>Exhibit 10.5 to the Current Report on Form 8-K filed by the Registrant on August 13,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0"/>
              </w:rPr>
            </w:pPr>
            <w:hyperlink r:id="rId371">
              <w:r>
                <w:rPr>
                  <w:rFonts w:ascii="Arial" w:cs="Arial" w:eastAsia="Arial" w:hAnsi="Arial"/>
                  <w:sz w:val="18"/>
                  <w:szCs w:val="18"/>
                  <w:color w:val="0000FF"/>
                  <w:w w:val="90"/>
                </w:rPr>
                <w:t>Tango Therapeutics, Inc. 2021 Employee Stock Purchase Plan (incorporated by reference to Exhibit 10.6 to the Current Report on Form</w:t>
              </w:r>
            </w:hyperlink>
          </w:p>
        </w:tc>
        <w:tc>
          <w:tcPr>
            <w:tcW w:w="120" w:type="dxa"/>
            <w:vAlign w:val="bottom"/>
            <w:gridSpan w:val="4"/>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bottom w:val="single" w:sz="8" w:color="0000FF"/>
            </w:tcBorders>
            <w:gridSpan w:val="7"/>
          </w:tcPr>
          <w:p>
            <w:pPr>
              <w:spacing w:after="0"/>
              <w:rPr>
                <w:rFonts w:ascii="Arial" w:cs="Arial" w:eastAsia="Arial" w:hAnsi="Arial"/>
                <w:sz w:val="18"/>
                <w:szCs w:val="18"/>
                <w:color w:val="0000FF"/>
                <w:w w:val="91"/>
              </w:rPr>
            </w:pPr>
            <w:hyperlink r:id="rId371">
              <w:r>
                <w:rPr>
                  <w:rFonts w:ascii="Arial" w:cs="Arial" w:eastAsia="Arial" w:hAnsi="Arial"/>
                  <w:sz w:val="18"/>
                  <w:szCs w:val="18"/>
                  <w:color w:val="0000FF"/>
                  <w:w w:val="91"/>
                </w:rPr>
                <w:t>8-K filed by the Registrant on August 13, 2021).</w:t>
              </w:r>
            </w:hyperlink>
          </w:p>
        </w:tc>
        <w:tc>
          <w:tcPr>
            <w:tcW w:w="20" w:type="dxa"/>
            <w:vAlign w:val="bottom"/>
            <w:tcBorders>
              <w:bottom w:val="single" w:sz="8" w:color="0000EE"/>
            </w:tcBorders>
          </w:tcPr>
          <w:p>
            <w:pPr>
              <w:spacing w:after="0"/>
              <w:rPr>
                <w:sz w:val="18"/>
                <w:szCs w:val="18"/>
                <w:color w:val="auto"/>
              </w:rPr>
            </w:pPr>
          </w:p>
        </w:tc>
        <w:tc>
          <w:tcPr>
            <w:tcW w:w="6440" w:type="dxa"/>
            <w:vAlign w:val="bottom"/>
            <w:gridSpan w:val="22"/>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bottom w:val="single" w:sz="8" w:color="0000FF"/>
            </w:tcBorders>
            <w:gridSpan w:val="22"/>
          </w:tcPr>
          <w:p>
            <w:pPr>
              <w:spacing w:after="0"/>
              <w:rPr>
                <w:rFonts w:ascii="Arial" w:cs="Arial" w:eastAsia="Arial" w:hAnsi="Arial"/>
                <w:sz w:val="18"/>
                <w:szCs w:val="18"/>
                <w:color w:val="0000FF"/>
                <w:w w:val="92"/>
              </w:rPr>
            </w:pPr>
            <w:hyperlink r:id="rId372">
              <w:r>
                <w:rPr>
                  <w:rFonts w:ascii="Arial" w:cs="Arial" w:eastAsia="Arial" w:hAnsi="Arial"/>
                  <w:sz w:val="18"/>
                  <w:szCs w:val="18"/>
                  <w:color w:val="0000FF"/>
                  <w:w w:val="92"/>
                </w:rPr>
                <w:t>Form of Executive Employment Agreement (incorporated by reference to Exhibit 10.7 to the Current Report on Form 8-K filed by the</w:t>
              </w:r>
            </w:hyperlink>
          </w:p>
        </w:tc>
        <w:tc>
          <w:tcPr>
            <w:tcW w:w="240" w:type="dxa"/>
            <w:vAlign w:val="bottom"/>
            <w:gridSpan w:val="8"/>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72">
              <w:r>
                <w:rPr>
                  <w:rFonts w:ascii="Arial" w:cs="Arial" w:eastAsia="Arial" w:hAnsi="Arial"/>
                  <w:sz w:val="18"/>
                  <w:szCs w:val="18"/>
                  <w:color w:val="0000FF"/>
                </w:rPr>
                <w:t>Registrant on August 13,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tcBorders>
              <w:bottom w:val="single" w:sz="8" w:color="0000FF"/>
            </w:tcBorders>
            <w:gridSpan w:val="27"/>
          </w:tcPr>
          <w:p>
            <w:pPr>
              <w:spacing w:after="0"/>
              <w:rPr>
                <w:rFonts w:ascii="Arial" w:cs="Arial" w:eastAsia="Arial" w:hAnsi="Arial"/>
                <w:sz w:val="18"/>
                <w:szCs w:val="18"/>
                <w:color w:val="0000FF"/>
                <w:w w:val="92"/>
              </w:rPr>
            </w:pPr>
            <w:hyperlink r:id="rId373">
              <w:r>
                <w:rPr>
                  <w:rFonts w:ascii="Arial" w:cs="Arial" w:eastAsia="Arial" w:hAnsi="Arial"/>
                  <w:sz w:val="18"/>
                  <w:szCs w:val="18"/>
                  <w:color w:val="0000FF"/>
                  <w:w w:val="92"/>
                </w:rPr>
                <w:t>Non-Employee Director Compensation Policy (incorporated by reference to Exhibit 10.8 to the Current Report on Form 8-K filed by the</w:t>
              </w:r>
            </w:hyperlink>
          </w:p>
        </w:tc>
        <w:tc>
          <w:tcPr>
            <w:tcW w:w="80" w:type="dxa"/>
            <w:vAlign w:val="bottom"/>
            <w:gridSpan w:val="3"/>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73">
              <w:r>
                <w:rPr>
                  <w:rFonts w:ascii="Arial" w:cs="Arial" w:eastAsia="Arial" w:hAnsi="Arial"/>
                  <w:sz w:val="18"/>
                  <w:szCs w:val="18"/>
                  <w:color w:val="0000FF"/>
                </w:rPr>
                <w:t>Registrant on August 13,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23"/>
          </w:tcPr>
          <w:p>
            <w:pPr>
              <w:spacing w:after="0"/>
              <w:rPr>
                <w:rFonts w:ascii="Arial" w:cs="Arial" w:eastAsia="Arial" w:hAnsi="Arial"/>
                <w:sz w:val="18"/>
                <w:szCs w:val="18"/>
                <w:color w:val="0000FF"/>
                <w:w w:val="92"/>
              </w:rPr>
            </w:pPr>
            <w:hyperlink r:id="rId374">
              <w:r>
                <w:rPr>
                  <w:rFonts w:ascii="Arial" w:cs="Arial" w:eastAsia="Arial" w:hAnsi="Arial"/>
                  <w:sz w:val="18"/>
                  <w:szCs w:val="18"/>
                  <w:color w:val="0000FF"/>
                  <w:w w:val="92"/>
                </w:rPr>
                <w:t>Form of Indemnification Agreement (Directors) (incorporated by reference to Exhibit 10.9 to the Current Report on Form 8-K filed by</w:t>
              </w:r>
            </w:hyperlink>
          </w:p>
        </w:tc>
        <w:tc>
          <w:tcPr>
            <w:tcW w:w="220" w:type="dxa"/>
            <w:vAlign w:val="bottom"/>
            <w:gridSpan w:val="7"/>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bottom w:val="single" w:sz="8" w:color="0000FF"/>
            </w:tcBorders>
            <w:gridSpan w:val="5"/>
          </w:tcPr>
          <w:p>
            <w:pPr>
              <w:spacing w:after="0"/>
              <w:rPr>
                <w:rFonts w:ascii="Arial" w:cs="Arial" w:eastAsia="Arial" w:hAnsi="Arial"/>
                <w:sz w:val="18"/>
                <w:szCs w:val="18"/>
                <w:color w:val="0000FF"/>
                <w:w w:val="90"/>
              </w:rPr>
            </w:pPr>
            <w:hyperlink r:id="rId374">
              <w:r>
                <w:rPr>
                  <w:rFonts w:ascii="Arial" w:cs="Arial" w:eastAsia="Arial" w:hAnsi="Arial"/>
                  <w:sz w:val="18"/>
                  <w:szCs w:val="18"/>
                  <w:color w:val="0000FF"/>
                  <w:w w:val="90"/>
                </w:rPr>
                <w:t>the Registrant on August 13, 2021).</w:t>
              </w:r>
            </w:hyperlink>
          </w:p>
        </w:tc>
        <w:tc>
          <w:tcPr>
            <w:tcW w:w="20" w:type="dxa"/>
            <w:vAlign w:val="bottom"/>
            <w:tcBorders>
              <w:bottom w:val="single" w:sz="8" w:color="0000EE"/>
            </w:tcBorders>
          </w:tcPr>
          <w:p>
            <w:pPr>
              <w:spacing w:after="0"/>
              <w:rPr>
                <w:sz w:val="18"/>
                <w:szCs w:val="18"/>
                <w:color w:val="auto"/>
              </w:rPr>
            </w:pPr>
          </w:p>
        </w:tc>
        <w:tc>
          <w:tcPr>
            <w:tcW w:w="7360" w:type="dxa"/>
            <w:vAlign w:val="bottom"/>
            <w:gridSpan w:val="24"/>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23"/>
          </w:tcPr>
          <w:p>
            <w:pPr>
              <w:spacing w:after="0"/>
              <w:rPr>
                <w:rFonts w:ascii="Arial" w:cs="Arial" w:eastAsia="Arial" w:hAnsi="Arial"/>
                <w:sz w:val="18"/>
                <w:szCs w:val="18"/>
                <w:color w:val="0000FF"/>
                <w:w w:val="92"/>
              </w:rPr>
            </w:pPr>
            <w:hyperlink r:id="rId375">
              <w:r>
                <w:rPr>
                  <w:rFonts w:ascii="Arial" w:cs="Arial" w:eastAsia="Arial" w:hAnsi="Arial"/>
                  <w:sz w:val="18"/>
                  <w:szCs w:val="18"/>
                  <w:color w:val="0000FF"/>
                  <w:w w:val="92"/>
                </w:rPr>
                <w:t>Form of Indemnification Agreement (Officers) (incorporated by reference to Exhibit 10.10 to the Current Report on Form 8-K filed by</w:t>
              </w:r>
            </w:hyperlink>
          </w:p>
        </w:tc>
        <w:tc>
          <w:tcPr>
            <w:tcW w:w="220" w:type="dxa"/>
            <w:vAlign w:val="bottom"/>
            <w:gridSpan w:val="7"/>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bottom w:val="single" w:sz="8" w:color="0000FF"/>
            </w:tcBorders>
            <w:gridSpan w:val="5"/>
          </w:tcPr>
          <w:p>
            <w:pPr>
              <w:spacing w:after="0"/>
              <w:rPr>
                <w:rFonts w:ascii="Arial" w:cs="Arial" w:eastAsia="Arial" w:hAnsi="Arial"/>
                <w:sz w:val="18"/>
                <w:szCs w:val="18"/>
                <w:color w:val="0000FF"/>
                <w:w w:val="90"/>
              </w:rPr>
            </w:pPr>
            <w:hyperlink r:id="rId375">
              <w:r>
                <w:rPr>
                  <w:rFonts w:ascii="Arial" w:cs="Arial" w:eastAsia="Arial" w:hAnsi="Arial"/>
                  <w:sz w:val="18"/>
                  <w:szCs w:val="18"/>
                  <w:color w:val="0000FF"/>
                  <w:w w:val="90"/>
                </w:rPr>
                <w:t>the Registrant on August 13, 2021).</w:t>
              </w:r>
            </w:hyperlink>
          </w:p>
        </w:tc>
        <w:tc>
          <w:tcPr>
            <w:tcW w:w="20" w:type="dxa"/>
            <w:vAlign w:val="bottom"/>
            <w:tcBorders>
              <w:bottom w:val="single" w:sz="8" w:color="0000EE"/>
            </w:tcBorders>
          </w:tcPr>
          <w:p>
            <w:pPr>
              <w:spacing w:after="0"/>
              <w:rPr>
                <w:sz w:val="18"/>
                <w:szCs w:val="18"/>
                <w:color w:val="auto"/>
              </w:rPr>
            </w:pPr>
          </w:p>
        </w:tc>
        <w:tc>
          <w:tcPr>
            <w:tcW w:w="7360" w:type="dxa"/>
            <w:vAlign w:val="bottom"/>
            <w:gridSpan w:val="24"/>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tcBorders>
              <w:bottom w:val="single" w:sz="8" w:color="0000FF"/>
            </w:tcBorders>
            <w:gridSpan w:val="28"/>
          </w:tcPr>
          <w:p>
            <w:pPr>
              <w:spacing w:after="0"/>
              <w:rPr>
                <w:rFonts w:ascii="Arial" w:cs="Arial" w:eastAsia="Arial" w:hAnsi="Arial"/>
                <w:sz w:val="18"/>
                <w:szCs w:val="18"/>
                <w:color w:val="0000FF"/>
                <w:w w:val="91"/>
              </w:rPr>
            </w:pPr>
            <w:hyperlink r:id="rId376">
              <w:r>
                <w:rPr>
                  <w:rFonts w:ascii="Arial" w:cs="Arial" w:eastAsia="Arial" w:hAnsi="Arial"/>
                  <w:sz w:val="18"/>
                  <w:szCs w:val="18"/>
                  <w:color w:val="0000FF"/>
                  <w:w w:val="91"/>
                </w:rPr>
                <w:t>Senior Executive Cash Annual Incentive Plan (incorporated by reference to Exhibit 10.11 to the Current Report on Form 8-K filed by the</w:t>
              </w:r>
            </w:hyperlink>
          </w:p>
        </w:tc>
        <w:tc>
          <w:tcPr>
            <w:tcW w:w="40" w:type="dxa"/>
            <w:vAlign w:val="bottom"/>
            <w:gridSpan w:val="2"/>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r:id="rId376">
              <w:r>
                <w:rPr>
                  <w:rFonts w:ascii="Arial" w:cs="Arial" w:eastAsia="Arial" w:hAnsi="Arial"/>
                  <w:sz w:val="18"/>
                  <w:szCs w:val="18"/>
                  <w:color w:val="0000FF"/>
                </w:rPr>
                <w:t>Registrant on August 13,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300" w:type="dxa"/>
            <w:vAlign w:val="bottom"/>
            <w:gridSpan w:val="9"/>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4960" w:type="dxa"/>
            <w:vAlign w:val="bottom"/>
            <w:gridSpan w:val="19"/>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bottom w:val="single" w:sz="8" w:color="0000FF"/>
            </w:tcBorders>
            <w:gridSpan w:val="20"/>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340" w:type="dxa"/>
            <w:vAlign w:val="bottom"/>
            <w:gridSpan w:val="10"/>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Adopted Pursuant to Section 302 of the Sarbanes-Oxley Act of 2002.</w:t>
              </w:r>
            </w:hyperlink>
          </w:p>
        </w:tc>
        <w:tc>
          <w:tcPr>
            <w:tcW w:w="20" w:type="dxa"/>
            <w:vAlign w:val="bottom"/>
            <w:tcBorders>
              <w:bottom w:val="single" w:sz="8" w:color="0000EE"/>
            </w:tcBorders>
          </w:tcPr>
          <w:p>
            <w:pPr>
              <w:spacing w:after="0"/>
              <w:rPr>
                <w:sz w:val="18"/>
                <w:szCs w:val="18"/>
                <w:color w:val="auto"/>
              </w:rPr>
            </w:pPr>
          </w:p>
        </w:tc>
        <w:tc>
          <w:tcPr>
            <w:tcW w:w="4960" w:type="dxa"/>
            <w:vAlign w:val="bottom"/>
            <w:gridSpan w:val="19"/>
          </w:tcPr>
          <w:p>
            <w:pPr>
              <w:spacing w:after="0"/>
              <w:rPr>
                <w:sz w:val="18"/>
                <w:szCs w:val="18"/>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30"/>
          </w:tcPr>
          <w:p>
            <w:pPr>
              <w:spacing w:after="0"/>
              <w:rPr>
                <w:rFonts w:ascii="Arial" w:cs="Arial" w:eastAsia="Arial" w:hAnsi="Arial"/>
                <w:sz w:val="18"/>
                <w:szCs w:val="18"/>
                <w:color w:val="0000FF"/>
                <w:w w:val="94"/>
              </w:rPr>
            </w:pPr>
            <w:hyperlink w:anchor="page89">
              <w:r>
                <w:rPr>
                  <w:rFonts w:ascii="Arial" w:cs="Arial" w:eastAsia="Arial" w:hAnsi="Arial"/>
                  <w:sz w:val="18"/>
                  <w:szCs w:val="18"/>
                  <w:color w:val="0000FF"/>
                  <w:w w:val="94"/>
                </w:rPr>
                <w:t>Certification of Principal Executive Officer Pursuant to 18 U.S.C. Section 1350, as Adopted Pursuant to Section 906 of the Sarbanes-</w:t>
              </w:r>
            </w:hyperlink>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top w:val="single" w:sz="8" w:color="0000FF"/>
            </w:tcBorders>
            <w:gridSpan w:val="19"/>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Oxley Act of 2002.</w:t>
              </w:r>
            </w:hyperlink>
          </w:p>
        </w:tc>
        <w:tc>
          <w:tcPr>
            <w:tcW w:w="360" w:type="dxa"/>
            <w:vAlign w:val="bottom"/>
            <w:gridSpan w:val="11"/>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223"/>
        </w:trPr>
        <w:tc>
          <w:tcPr>
            <w:tcW w:w="114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Certification of Principal Financial Officer Pursuant to 18 U.S.C. Section 1350, as Adopted Pursuant to Section 906 of the Sarbanes-</w:t>
              </w:r>
            </w:hyperlink>
          </w:p>
        </w:tc>
        <w:tc>
          <w:tcPr>
            <w:tcW w:w="400" w:type="dxa"/>
            <w:vAlign w:val="bottom"/>
            <w:gridSpan w:val="13"/>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Oxley Act of 2002.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8560" w:type="dxa"/>
            <w:vAlign w:val="bottom"/>
            <w:gridSpan w:val="27"/>
          </w:tcPr>
          <w:p>
            <w:pPr>
              <w:spacing w:after="0" w:line="20" w:lineRule="exact"/>
              <w:rPr>
                <w:sz w:val="1"/>
                <w:szCs w:val="1"/>
                <w:color w:val="auto"/>
              </w:rPr>
            </w:pPr>
          </w:p>
        </w:tc>
      </w:tr>
      <w:tr>
        <w:trPr>
          <w:trHeight w:val="263"/>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p>
    <w:p>
      <w:pPr>
        <w:ind w:right="4180" w:firstLine="21"/>
        <w:spacing w:after="0" w:line="430" w:lineRule="auto"/>
        <w:tabs>
          <w:tab w:leader="none" w:pos="12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Furnished herewith.</w:t>
      </w:r>
    </w:p>
    <w:p>
      <w:pPr>
        <w:spacing w:after="0" w:line="1" w:lineRule="exact"/>
        <w:rPr>
          <w:rFonts w:ascii="Arial" w:cs="Arial" w:eastAsia="Arial" w:hAnsi="Arial"/>
          <w:sz w:val="18"/>
          <w:szCs w:val="18"/>
          <w:color w:val="auto"/>
        </w:rPr>
      </w:pPr>
    </w:p>
    <w:p>
      <w:pPr>
        <w:ind w:left="520" w:right="100" w:hanging="512"/>
        <w:spacing w:after="0" w:line="279" w:lineRule="auto"/>
        <w:tabs>
          <w:tab w:leader="none" w:pos="4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9512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5" w:lineRule="exact"/>
        <w:rPr>
          <w:sz w:val="20"/>
          <w:szCs w:val="20"/>
          <w:color w:val="auto"/>
        </w:rPr>
      </w:pPr>
    </w:p>
    <w:p>
      <w:pPr>
        <w:ind w:left="520" w:right="20" w:hanging="512"/>
        <w:spacing w:after="0" w:line="293" w:lineRule="auto"/>
        <w:tabs>
          <w:tab w:leader="none" w:pos="4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601(b)(2) of Regulation S-K. A copy of any omitted schedule and/or exhibit will be furnished to the SEC upon request.</w:t>
      </w:r>
    </w:p>
    <w:p>
      <w:pPr>
        <w:spacing w:after="0" w:line="18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Barbara Weber, MD</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Tango Therapeutics, Inc.</w:t>
      </w:r>
    </w:p>
    <w:p>
      <w:pPr>
        <w:spacing w:after="0" w:line="279"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Daniella Beckman</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84" w:name="page85"/>
    <w:bookmarkEnd w:id="84"/>
    <w:p>
      <w:pPr>
        <w:ind w:left="10260"/>
        <w:spacing w:after="0"/>
        <w:rPr>
          <w:sz w:val="20"/>
          <w:szCs w:val="20"/>
          <w:color w:val="auto"/>
        </w:rPr>
      </w:pPr>
      <w:r>
        <w:rPr>
          <w:rFonts w:ascii="Arial" w:cs="Arial" w:eastAsia="Arial" w:hAnsi="Arial"/>
          <w:sz w:val="18"/>
          <w:szCs w:val="18"/>
          <w:color w:val="auto"/>
        </w:rPr>
        <w:t>Exhibit 31.1</w:t>
      </w:r>
    </w:p>
    <w:p>
      <w:pPr>
        <w:spacing w:after="0" w:line="300" w:lineRule="exact"/>
        <w:rPr>
          <w:sz w:val="20"/>
          <w:szCs w:val="20"/>
          <w:color w:val="auto"/>
        </w:rPr>
      </w:pPr>
    </w:p>
    <w:p>
      <w:pPr>
        <w:jc w:val="center"/>
        <w:ind w:right="40"/>
        <w:spacing w:after="0" w:line="295" w:lineRule="auto"/>
        <w:rPr>
          <w:sz w:val="20"/>
          <w:szCs w:val="20"/>
          <w:color w:val="auto"/>
        </w:rPr>
      </w:pPr>
      <w:r>
        <w:rPr>
          <w:rFonts w:ascii="Arial" w:cs="Arial" w:eastAsia="Arial" w:hAnsi="Arial"/>
          <w:sz w:val="20"/>
          <w:szCs w:val="20"/>
          <w:b w:val="1"/>
          <w:bCs w:val="1"/>
          <w:color w:val="auto"/>
        </w:rPr>
        <w:t>CERTIFICATION OF PRINCIPAL EXECUTIVE OFFICER PURSUANT TO RULE 13a-14(a) / RULE 15d-14(a) OF THE SECURITIES EXCHANGE ACT OF 1934, AS AMENDED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 Barbara Weber, M.D., certify that:</w:t>
      </w:r>
    </w:p>
    <w:p>
      <w:pPr>
        <w:spacing w:after="0" w:line="28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83" w:lineRule="exact"/>
        <w:rPr>
          <w:rFonts w:ascii="Arial" w:cs="Arial" w:eastAsia="Arial" w:hAnsi="Arial"/>
          <w:sz w:val="20"/>
          <w:szCs w:val="20"/>
          <w:color w:val="auto"/>
        </w:rPr>
      </w:pPr>
    </w:p>
    <w:p>
      <w:pPr>
        <w:jc w:val="both"/>
        <w:ind w:left="340" w:hanging="332"/>
        <w:spacing w:after="0" w:line="278"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8" w:lineRule="exact"/>
        <w:rPr>
          <w:rFonts w:ascii="Arial" w:cs="Arial" w:eastAsia="Arial" w:hAnsi="Arial"/>
          <w:sz w:val="20"/>
          <w:szCs w:val="20"/>
          <w:color w:val="auto"/>
        </w:rPr>
      </w:pPr>
    </w:p>
    <w:p>
      <w:pPr>
        <w:ind w:left="340" w:right="20" w:hanging="332"/>
        <w:spacing w:after="0" w:line="34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9" w:lineRule="exact"/>
        <w:rPr>
          <w:rFonts w:ascii="Arial" w:cs="Arial" w:eastAsia="Arial" w:hAnsi="Arial"/>
          <w:sz w:val="18"/>
          <w:szCs w:val="18"/>
          <w:color w:val="auto"/>
        </w:rPr>
      </w:pPr>
    </w:p>
    <w:p>
      <w:pPr>
        <w:ind w:left="340" w:hanging="332"/>
        <w:spacing w:after="0" w:line="288"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218" w:lineRule="exact"/>
        <w:rPr>
          <w:sz w:val="20"/>
          <w:szCs w:val="20"/>
          <w:color w:val="auto"/>
        </w:rPr>
      </w:pPr>
    </w:p>
    <w:p>
      <w:pPr>
        <w:jc w:val="both"/>
        <w:ind w:left="340" w:hanging="332"/>
        <w:spacing w:after="0" w:line="278"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(Paragraph omitted pursuant to SEC Release Nos. 33-8238/34-47986 and 33-8392/34-49313);</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340" w:hanging="332"/>
        <w:spacing w:after="0" w:line="34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2" w:lineRule="exact"/>
        <w:rPr>
          <w:rFonts w:ascii="Arial" w:cs="Arial" w:eastAsia="Arial" w:hAnsi="Arial"/>
          <w:sz w:val="18"/>
          <w:szCs w:val="18"/>
          <w:color w:val="auto"/>
        </w:rPr>
      </w:pPr>
    </w:p>
    <w:p>
      <w:pPr>
        <w:jc w:val="both"/>
        <w:ind w:left="340" w:hanging="332"/>
        <w:spacing w:after="0" w:line="278" w:lineRule="auto"/>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5" w:name="page86"/>
    <w:bookmarkEnd w:id="85"/>
    <w:p>
      <w:pPr>
        <w:jc w:val="both"/>
        <w:ind w:left="340" w:hanging="332"/>
        <w:spacing w:after="0" w:line="278"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7" w:lineRule="exact"/>
        <w:rPr>
          <w:sz w:val="20"/>
          <w:szCs w:val="20"/>
          <w:color w:val="auto"/>
        </w:rPr>
      </w:pPr>
    </w:p>
    <w:p>
      <w:pPr>
        <w:ind w:left="340" w:hanging="332"/>
        <w:spacing w:after="0" w:line="316" w:lineRule="auto"/>
        <w:tabs>
          <w:tab w:leader="none" w:pos="3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9"/>
          <w:szCs w:val="19"/>
          <w:color w:val="auto"/>
        </w:rPr>
      </w:pPr>
    </w:p>
    <w:p>
      <w:pPr>
        <w:ind w:left="340" w:hanging="332"/>
        <w:spacing w:after="0" w:line="288"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Dated: November 9, 2021</w:t>
      </w:r>
      <w:r>
        <w:rPr>
          <w:sz w:val="20"/>
          <w:szCs w:val="20"/>
          <w:color w:val="auto"/>
        </w:rPr>
        <w:tab/>
      </w:r>
      <w:r>
        <w:rPr>
          <w:rFonts w:ascii="Arial" w:cs="Arial" w:eastAsia="Arial" w:hAnsi="Arial"/>
          <w:sz w:val="16"/>
          <w:szCs w:val="16"/>
          <w:u w:val="single" w:color="auto"/>
          <w:color w:val="auto"/>
        </w:rPr>
        <w:t>/s/ Barbara Weber, M.D.</w:t>
      </w:r>
    </w:p>
    <w:p>
      <w:pPr>
        <w:spacing w:after="0" w:line="16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Barbara Weber, M.D.</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6" w:name="page87"/>
    <w:bookmarkEnd w:id="86"/>
    <w:p>
      <w:pPr>
        <w:ind w:left="10260"/>
        <w:spacing w:after="0"/>
        <w:rPr>
          <w:sz w:val="20"/>
          <w:szCs w:val="20"/>
          <w:color w:val="auto"/>
        </w:rPr>
      </w:pPr>
      <w:r>
        <w:rPr>
          <w:rFonts w:ascii="Arial" w:cs="Arial" w:eastAsia="Arial" w:hAnsi="Arial"/>
          <w:sz w:val="18"/>
          <w:szCs w:val="18"/>
          <w:color w:val="auto"/>
        </w:rPr>
        <w:t>Exhibit 31.2</w:t>
      </w:r>
    </w:p>
    <w:p>
      <w:pPr>
        <w:spacing w:after="0" w:line="300" w:lineRule="exact"/>
        <w:rPr>
          <w:sz w:val="20"/>
          <w:szCs w:val="20"/>
          <w:color w:val="auto"/>
        </w:rPr>
      </w:pPr>
    </w:p>
    <w:p>
      <w:pPr>
        <w:jc w:val="center"/>
        <w:ind w:right="40"/>
        <w:spacing w:after="0" w:line="295" w:lineRule="auto"/>
        <w:rPr>
          <w:sz w:val="20"/>
          <w:szCs w:val="20"/>
          <w:color w:val="auto"/>
        </w:rPr>
      </w:pPr>
      <w:r>
        <w:rPr>
          <w:rFonts w:ascii="Arial" w:cs="Arial" w:eastAsia="Arial" w:hAnsi="Arial"/>
          <w:sz w:val="20"/>
          <w:szCs w:val="20"/>
          <w:b w:val="1"/>
          <w:bCs w:val="1"/>
          <w:color w:val="auto"/>
        </w:rPr>
        <w:t>CERTIFICATION OF PRINCIPAL FINANCIAL OFFICER PURSUANT TO RULE 13a-14(a) / RULE 15d-14(a) OF THE SECURITIES EXCHANGE ACT OF 1934, AS AMENDED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 Daniella Beckman, certify that:</w:t>
      </w:r>
    </w:p>
    <w:p>
      <w:pPr>
        <w:spacing w:after="0" w:line="28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Tango Therapeutics, Inc.;</w:t>
      </w:r>
    </w:p>
    <w:p>
      <w:pPr>
        <w:spacing w:after="0" w:line="283" w:lineRule="exact"/>
        <w:rPr>
          <w:rFonts w:ascii="Arial" w:cs="Arial" w:eastAsia="Arial" w:hAnsi="Arial"/>
          <w:sz w:val="20"/>
          <w:szCs w:val="20"/>
          <w:color w:val="auto"/>
        </w:rPr>
      </w:pPr>
    </w:p>
    <w:p>
      <w:pPr>
        <w:jc w:val="both"/>
        <w:ind w:left="340" w:hanging="332"/>
        <w:spacing w:after="0" w:line="278"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8" w:lineRule="exact"/>
        <w:rPr>
          <w:rFonts w:ascii="Arial" w:cs="Arial" w:eastAsia="Arial" w:hAnsi="Arial"/>
          <w:sz w:val="20"/>
          <w:szCs w:val="20"/>
          <w:color w:val="auto"/>
        </w:rPr>
      </w:pPr>
    </w:p>
    <w:p>
      <w:pPr>
        <w:ind w:left="340" w:right="20" w:hanging="332"/>
        <w:spacing w:after="0" w:line="34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9" w:lineRule="exact"/>
        <w:rPr>
          <w:rFonts w:ascii="Arial" w:cs="Arial" w:eastAsia="Arial" w:hAnsi="Arial"/>
          <w:sz w:val="18"/>
          <w:szCs w:val="18"/>
          <w:color w:val="auto"/>
        </w:rPr>
      </w:pPr>
    </w:p>
    <w:p>
      <w:pPr>
        <w:ind w:left="340" w:hanging="332"/>
        <w:spacing w:after="0" w:line="288"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218" w:lineRule="exact"/>
        <w:rPr>
          <w:sz w:val="20"/>
          <w:szCs w:val="20"/>
          <w:color w:val="auto"/>
        </w:rPr>
      </w:pPr>
    </w:p>
    <w:p>
      <w:pPr>
        <w:jc w:val="both"/>
        <w:ind w:left="340" w:hanging="332"/>
        <w:spacing w:after="0" w:line="278" w:lineRule="auto"/>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0"/>
          <w:szCs w:val="20"/>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(Paragraph omitted pursuant to SEC Release Nos. 33-8238/34-47986 and 33-8392/34-49313);</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340" w:hanging="332"/>
        <w:spacing w:after="0" w:line="34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2" w:lineRule="exact"/>
        <w:rPr>
          <w:rFonts w:ascii="Arial" w:cs="Arial" w:eastAsia="Arial" w:hAnsi="Arial"/>
          <w:sz w:val="18"/>
          <w:szCs w:val="18"/>
          <w:color w:val="auto"/>
        </w:rPr>
      </w:pPr>
    </w:p>
    <w:p>
      <w:pPr>
        <w:jc w:val="both"/>
        <w:ind w:left="340" w:hanging="332"/>
        <w:spacing w:after="0" w:line="278" w:lineRule="auto"/>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7" w:name="page88"/>
    <w:bookmarkEnd w:id="87"/>
    <w:p>
      <w:pPr>
        <w:jc w:val="both"/>
        <w:ind w:left="340" w:hanging="332"/>
        <w:spacing w:after="0" w:line="278"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7" w:lineRule="exact"/>
        <w:rPr>
          <w:sz w:val="20"/>
          <w:szCs w:val="20"/>
          <w:color w:val="auto"/>
        </w:rPr>
      </w:pPr>
    </w:p>
    <w:p>
      <w:pPr>
        <w:ind w:left="340" w:hanging="332"/>
        <w:spacing w:after="0" w:line="316"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9"/>
          <w:szCs w:val="19"/>
          <w:color w:val="auto"/>
        </w:rPr>
      </w:pPr>
    </w:p>
    <w:p>
      <w:pPr>
        <w:ind w:left="340" w:hanging="332"/>
        <w:spacing w:after="0" w:line="288"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Dated: November 9, 2021</w:t>
      </w:r>
      <w:r>
        <w:rPr>
          <w:sz w:val="20"/>
          <w:szCs w:val="20"/>
          <w:color w:val="auto"/>
        </w:rPr>
        <w:tab/>
      </w:r>
      <w:r>
        <w:rPr>
          <w:rFonts w:ascii="Arial" w:cs="Arial" w:eastAsia="Arial" w:hAnsi="Arial"/>
          <w:sz w:val="18"/>
          <w:szCs w:val="18"/>
          <w:u w:val="single" w:color="auto"/>
          <w:color w:val="auto"/>
        </w:rPr>
        <w:t>/s/ Daniella Beckman</w:t>
      </w:r>
    </w:p>
    <w:p>
      <w:pPr>
        <w:spacing w:after="0" w:line="16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Daniella Beckman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color w:val="auto"/>
        </w:rPr>
        <w:t>Exhibit 32.1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89" w:lineRule="exact"/>
        <w:rPr>
          <w:sz w:val="20"/>
          <w:szCs w:val="20"/>
          <w:color w:val="auto"/>
        </w:rPr>
      </w:pPr>
    </w:p>
    <w:p>
      <w:pPr>
        <w:ind w:right="140" w:firstLine="749"/>
        <w:spacing w:after="0" w:line="274" w:lineRule="auto"/>
        <w:rPr>
          <w:sz w:val="20"/>
          <w:szCs w:val="20"/>
          <w:color w:val="auto"/>
        </w:rPr>
      </w:pPr>
      <w:r>
        <w:rPr>
          <w:rFonts w:ascii="Arial" w:cs="Arial" w:eastAsia="Arial" w:hAnsi="Arial"/>
          <w:sz w:val="20"/>
          <w:szCs w:val="20"/>
          <w:color w:val="auto"/>
        </w:rPr>
        <w:t>In connection with the quarterly report on Form 10-Q of Tango Therapeutics, Inc. (the “Company”) for the fiscal quarter ended September 30, 2021 as filed with the Securities and Exchange Commission (the “Report”), I, Barbara Weber, M.D., Chief Executive Officer of the Company, certify, pursuant to 18 U.S.C. § 1350, as adopted pursuant to § 906 of the Sarbanes-Oxley Act of 2002, to my knowledge, that:</w:t>
      </w:r>
    </w:p>
    <w:p>
      <w:pPr>
        <w:spacing w:after="0" w:line="232" w:lineRule="exact"/>
        <w:rPr>
          <w:sz w:val="20"/>
          <w:szCs w:val="20"/>
          <w:color w:val="auto"/>
        </w:rPr>
      </w:pPr>
    </w:p>
    <w:p>
      <w:pPr>
        <w:ind w:left="700" w:hanging="318"/>
        <w:spacing w:after="0"/>
        <w:tabs>
          <w:tab w:leader="none" w:pos="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83" w:lineRule="exact"/>
        <w:rPr>
          <w:rFonts w:ascii="Arial" w:cs="Arial" w:eastAsia="Arial" w:hAnsi="Arial"/>
          <w:sz w:val="20"/>
          <w:szCs w:val="20"/>
          <w:color w:val="auto"/>
        </w:rPr>
      </w:pPr>
    </w:p>
    <w:p>
      <w:pPr>
        <w:ind w:left="700" w:right="260" w:hanging="318"/>
        <w:spacing w:after="0" w:line="288" w:lineRule="auto"/>
        <w:tabs>
          <w:tab w:leader="none" w:pos="7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Dated:  November 9, 2021</w:t>
      </w:r>
      <w:r>
        <w:rPr>
          <w:sz w:val="20"/>
          <w:szCs w:val="20"/>
          <w:color w:val="auto"/>
        </w:rPr>
        <w:tab/>
      </w:r>
      <w:r>
        <w:rPr>
          <w:rFonts w:ascii="Arial" w:cs="Arial" w:eastAsia="Arial" w:hAnsi="Arial"/>
          <w:sz w:val="16"/>
          <w:szCs w:val="16"/>
          <w:u w:val="single" w:color="auto"/>
          <w:color w:val="auto"/>
        </w:rPr>
        <w:t>/s/ Barbara Weber, M.D._____</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Barbara Weber, M.D.</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340" w:lineRule="exact"/>
        <w:rPr>
          <w:sz w:val="20"/>
          <w:szCs w:val="20"/>
          <w:color w:val="auto"/>
        </w:rPr>
      </w:pPr>
    </w:p>
    <w:p>
      <w:pPr>
        <w:ind w:right="180"/>
        <w:spacing w:after="0" w:line="288"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color w:val="auto"/>
        </w:rPr>
        <w:t>Exhibit 32.2</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89" w:lineRule="exact"/>
        <w:rPr>
          <w:sz w:val="20"/>
          <w:szCs w:val="20"/>
          <w:color w:val="auto"/>
        </w:rPr>
      </w:pPr>
    </w:p>
    <w:p>
      <w:pPr>
        <w:ind w:right="60" w:firstLine="749"/>
        <w:spacing w:after="0" w:line="377" w:lineRule="auto"/>
        <w:rPr>
          <w:sz w:val="20"/>
          <w:szCs w:val="20"/>
          <w:color w:val="auto"/>
        </w:rPr>
      </w:pPr>
      <w:r>
        <w:rPr>
          <w:rFonts w:ascii="Arial" w:cs="Arial" w:eastAsia="Arial" w:hAnsi="Arial"/>
          <w:sz w:val="16"/>
          <w:szCs w:val="16"/>
          <w:color w:val="auto"/>
        </w:rPr>
        <w:t>In connection with the quarterly report on Form 10-Q of Tango Therapeutics, Inc. (the “Company”) for the fiscal quarter ended September 30, 2021 as filed with the Securities and Exchange Commission (the “Report”), I, Daniella Beckman, Chief Financial Officer of the Company, certify, pursuant to 18 U.S.C. § 1350, as adopted pursuant to § 906 of the Sarbanes-Oxley Act of 2002, to my knowledge, that:</w:t>
      </w:r>
    </w:p>
    <w:p>
      <w:pPr>
        <w:spacing w:after="0" w:line="159" w:lineRule="exact"/>
        <w:rPr>
          <w:sz w:val="20"/>
          <w:szCs w:val="20"/>
          <w:color w:val="auto"/>
        </w:rPr>
      </w:pPr>
    </w:p>
    <w:p>
      <w:pPr>
        <w:ind w:left="700" w:hanging="318"/>
        <w:spacing w:after="0"/>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83" w:lineRule="exact"/>
        <w:rPr>
          <w:rFonts w:ascii="Arial" w:cs="Arial" w:eastAsia="Arial" w:hAnsi="Arial"/>
          <w:sz w:val="20"/>
          <w:szCs w:val="20"/>
          <w:color w:val="auto"/>
        </w:rPr>
      </w:pPr>
    </w:p>
    <w:p>
      <w:pPr>
        <w:ind w:left="700" w:right="260" w:hanging="318"/>
        <w:spacing w:after="0" w:line="288" w:lineRule="auto"/>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tabs>
          <w:tab w:leader="none" w:pos="3160" w:val="left"/>
        </w:tabs>
        <w:rPr>
          <w:sz w:val="20"/>
          <w:szCs w:val="20"/>
          <w:color w:val="auto"/>
        </w:rPr>
      </w:pPr>
      <w:r>
        <w:rPr>
          <w:rFonts w:ascii="Arial" w:cs="Arial" w:eastAsia="Arial" w:hAnsi="Arial"/>
          <w:sz w:val="20"/>
          <w:szCs w:val="20"/>
          <w:color w:val="auto"/>
        </w:rPr>
        <w:t>Dated:  November 9, 2021</w:t>
      </w:r>
      <w:r>
        <w:rPr>
          <w:sz w:val="20"/>
          <w:szCs w:val="20"/>
          <w:color w:val="auto"/>
        </w:rPr>
        <w:tab/>
      </w:r>
      <w:r>
        <w:rPr>
          <w:rFonts w:ascii="Arial" w:cs="Arial" w:eastAsia="Arial" w:hAnsi="Arial"/>
          <w:sz w:val="18"/>
          <w:szCs w:val="18"/>
          <w:u w:val="single" w:color="auto"/>
          <w:color w:val="auto"/>
        </w:rPr>
        <w:t>/s/ Daniella Beckman_____</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Daniella Beckman</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(Principal Financial Officer)</w:t>
      </w:r>
    </w:p>
    <w:p>
      <w:pPr>
        <w:spacing w:after="0" w:line="200" w:lineRule="exact"/>
        <w:rPr>
          <w:sz w:val="20"/>
          <w:szCs w:val="20"/>
          <w:color w:val="auto"/>
        </w:rPr>
      </w:pPr>
    </w:p>
    <w:p>
      <w:pPr>
        <w:spacing w:after="0" w:line="340" w:lineRule="exact"/>
        <w:rPr>
          <w:sz w:val="20"/>
          <w:szCs w:val="20"/>
          <w:color w:val="auto"/>
        </w:rPr>
      </w:pPr>
    </w:p>
    <w:p>
      <w:pPr>
        <w:ind w:right="180"/>
        <w:spacing w:after="0" w:line="288"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lvl w:ilvl="1">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emdash "/>
      <w:numFmt w:val="bullet"/>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5"/>
    </w:lvl>
  </w:abstractNum>
  <w:abstractNum w:abstractNumId="12">
    <w:nsid w:val="75A2A8D4"/>
    <w:multiLevelType w:val="hybridMultilevel"/>
    <w:lvl w:ilvl="0">
      <w:lvlJc w:val="left"/>
      <w:lvlText w:val="%1."/>
      <w:numFmt w:val="decimal"/>
      <w:start w:val="6"/>
    </w:lvl>
  </w:abstractNum>
  <w:abstractNum w:abstractNumId="13">
    <w:nsid w:val="8EDBDAB"/>
    <w:multiLevelType w:val="hybridMultilevel"/>
    <w:lvl w:ilvl="0">
      <w:lvlJc w:val="left"/>
      <w:lvlText w:val="%1."/>
      <w:numFmt w:val="decimal"/>
      <w:start w:val="7"/>
    </w:lvl>
  </w:abstractNum>
  <w:abstractNum w:abstractNumId="14">
    <w:nsid w:val="79838CB2"/>
    <w:multiLevelType w:val="hybridMultilevel"/>
    <w:lvl w:ilvl="0">
      <w:lvlJc w:val="left"/>
      <w:lvlText w:val="%1."/>
      <w:numFmt w:val="decimal"/>
      <w:start w:val="8"/>
    </w:lvl>
  </w:abstractNum>
  <w:abstractNum w:abstractNumId="15">
    <w:nsid w:val="4353D0CD"/>
    <w:multiLevelType w:val="hybridMultilevel"/>
    <w:lvl w:ilvl="0">
      <w:lvlJc w:val="left"/>
      <w:lvlText w:val="%1."/>
      <w:numFmt w:val="decimal"/>
      <w:start w:val="9"/>
    </w:lvl>
  </w:abstractNum>
  <w:abstractNum w:abstractNumId="16">
    <w:nsid w:val="B03E0C6"/>
    <w:multiLevelType w:val="hybridMultilevel"/>
    <w:lvl w:ilvl="0">
      <w:lvlJc w:val="left"/>
      <w:lvlText w:val="%1."/>
      <w:numFmt w:val="decimal"/>
      <w:start w:val="10"/>
    </w:lvl>
  </w:abstractNum>
  <w:abstractNum w:abstractNumId="17">
    <w:nsid w:val="189A769B"/>
    <w:multiLevelType w:val="hybridMultilevel"/>
    <w:lvl w:ilvl="0">
      <w:lvlJc w:val="left"/>
      <w:lvlText w:val="%1."/>
      <w:numFmt w:val="decimal"/>
      <w:start w:val="11"/>
    </w:lvl>
  </w:abstractNum>
  <w:abstractNum w:abstractNumId="18">
    <w:nsid w:val="54E49EB4"/>
    <w:multiLevelType w:val="hybridMultilevel"/>
    <w:lvl w:ilvl="0">
      <w:lvlJc w:val="left"/>
      <w:lvlText w:val="%1."/>
      <w:numFmt w:val="decimal"/>
      <w:start w:val="12"/>
    </w:lvl>
  </w:abstractNum>
  <w:abstractNum w:abstractNumId="19">
    <w:nsid w:val="71F32454"/>
    <w:multiLevelType w:val="hybridMultilevel"/>
    <w:lvl w:ilvl="0">
      <w:lvlJc w:val="left"/>
      <w:lvlText w:val="%1."/>
      <w:numFmt w:val="decimal"/>
      <w:start w:val="13"/>
    </w:lvl>
  </w:abstractNum>
  <w:abstractNum w:abstractNumId="20">
    <w:nsid w:val="2CA88611"/>
    <w:multiLevelType w:val="hybridMultilevel"/>
    <w:lvl w:ilvl="0">
      <w:lvlJc w:val="left"/>
      <w:lvlText w:val="(%1)"/>
      <w:numFmt w:val="lowerLetter"/>
      <w:start w:val="4"/>
    </w:lvl>
  </w:abstractNum>
  <w:abstractNum w:abstractNumId="21">
    <w:nsid w:val="836C40E"/>
    <w:multiLevelType w:val="hybridMultilevel"/>
    <w:lvl w:ilvl="0">
      <w:lvlJc w:val="left"/>
      <w:lvlText w:val="*"/>
      <w:numFmt w:val="bullet"/>
      <w:start w:val="1"/>
    </w:lvl>
    <w:lvl w:ilvl="1">
      <w:lvlJc w:val="left"/>
      <w:lvlText w:val="%2"/>
      <w:numFmt w:val="decimal"/>
      <w:start w:val="104"/>
    </w:lvl>
  </w:abstractNum>
  <w:abstractNum w:abstractNumId="22">
    <w:nsid w:val="2901D82"/>
    <w:multiLevelType w:val="hybridMultilevel"/>
    <w:lvl w:ilvl="0">
      <w:lvlJc w:val="left"/>
      <w:lvlText w:val="**"/>
      <w:numFmt w:val="bullet"/>
      <w:start w:val="1"/>
    </w:lvl>
    <w:lvl w:ilvl="1">
      <w:lvlJc w:val="left"/>
      <w:lvlText w:val="%2"/>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65" Type="http://schemas.openxmlformats.org/officeDocument/2006/relationships/hyperlink" Target="https://www.sec.gov/Archives/edgar/data/1819133/000121390021021456/ea139433ex2-1_bctgacq.htm" TargetMode="External"/><Relationship Id="rId366" Type="http://schemas.openxmlformats.org/officeDocument/2006/relationships/hyperlink" Target="https://www.sec.gov/Archives/edgar/data/1819133/000119312521269987/d118907dex31.htm" TargetMode="External"/><Relationship Id="rId367" Type="http://schemas.openxmlformats.org/officeDocument/2006/relationships/hyperlink" Target="https://www.sec.gov/Archives/edgar/data/1819133/000119312521298942/d211731dex42.htm" TargetMode="External"/><Relationship Id="rId368" Type="http://schemas.openxmlformats.org/officeDocument/2006/relationships/hyperlink" Target="https://www.sec.gov/Archives/edgar/data/1819133/000119312521246234/d203347dex102.htm" TargetMode="External"/><Relationship Id="rId369" Type="http://schemas.openxmlformats.org/officeDocument/2006/relationships/hyperlink" Target="https://www.sec.gov/Archives/edgar/data/1819133/000119312521246234/d203347dex104.htm" TargetMode="External"/><Relationship Id="rId370" Type="http://schemas.openxmlformats.org/officeDocument/2006/relationships/hyperlink" Target="https://www.sec.gov/Archives/edgar/data/1819133/000119312521246234/d203347dex105.htm" TargetMode="External"/><Relationship Id="rId371" Type="http://schemas.openxmlformats.org/officeDocument/2006/relationships/hyperlink" Target="https://www.sec.gov/Archives/edgar/data/1819133/000119312521246234/d203347dex106.htm" TargetMode="External"/><Relationship Id="rId372" Type="http://schemas.openxmlformats.org/officeDocument/2006/relationships/hyperlink" Target="https://www.sec.gov/Archives/edgar/data/1819133/000119312521246234/d203347dex107.htm" TargetMode="External"/><Relationship Id="rId373" Type="http://schemas.openxmlformats.org/officeDocument/2006/relationships/hyperlink" Target="https://www.sec.gov/Archives/edgar/data/1819133/000119312521246234/d203347dex108.htm" TargetMode="External"/><Relationship Id="rId374" Type="http://schemas.openxmlformats.org/officeDocument/2006/relationships/hyperlink" Target="https://www.sec.gov/Archives/edgar/data/1819133/000119312521246234/d203347dex109.htm" TargetMode="External"/><Relationship Id="rId375" Type="http://schemas.openxmlformats.org/officeDocument/2006/relationships/hyperlink" Target="https://www.sec.gov/Archives/edgar/data/1819133/000119312521246234/d203347dex1010.htm" TargetMode="External"/><Relationship Id="rId376" Type="http://schemas.openxmlformats.org/officeDocument/2006/relationships/hyperlink" Target="https://www.sec.gov/Archives/edgar/data/1819133/000119312521246234/d20334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2021-11-09T15:28:55Z</dcterms:created>
  <dcterms:modified xsi:type="dcterms:W3CDTF">2021-11-09T15:28:55Z</dcterms:modified>
</cp:coreProperties>
</file>