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2780" w:type="dxa"/>
            <w:vAlign w:val="bottom"/>
          </w:tcPr>
          <w:p>
            <w:pPr>
              <w:jc w:val="center"/>
              <w:ind w:right="12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40" w:type="dxa"/>
            <w:vAlign w:val="bottom"/>
          </w:tcPr>
          <w:p>
            <w:pPr>
              <w:jc w:val="center"/>
              <w:ind w:left="139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8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4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23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9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189" w:lineRule="exact"/>
        <w:rPr>
          <w:sz w:val="24"/>
          <w:szCs w:val="24"/>
          <w:color w:val="auto"/>
        </w:rPr>
      </w:pPr>
    </w:p>
    <w:p>
      <w:pPr>
        <w:sectPr>
          <w:pgSz w:w="11900" w:h="16838" w:orient="portrait"/>
          <w:cols w:equalWidth="0" w:num="1">
            <w:col w:w="11240"/>
          </w:cols>
          <w:pgMar w:left="320" w:top="1019" w:right="339" w:bottom="1440" w:gutter="0" w:footer="0" w:header="0"/>
        </w:sect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10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08"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24" w:lineRule="exact"/>
        <w:rPr>
          <w:sz w:val="24"/>
          <w:szCs w:val="24"/>
          <w:color w:val="auto"/>
        </w:rPr>
      </w:pPr>
    </w:p>
    <w:p>
      <w:pPr>
        <w:ind w:left="9260"/>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55" w:lineRule="exact"/>
        <w:rPr>
          <w:sz w:val="24"/>
          <w:szCs w:val="24"/>
          <w:color w:val="auto"/>
        </w:rPr>
      </w:pPr>
    </w:p>
    <w:p>
      <w:pPr>
        <w:ind w:right="56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February 27, 2025, Tango Therapeutics, Inc. (“Tango” or the “Company”) issued a press release relating to its results of operations and financial condition for the quarter and full year ended December 31, 2024.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80" w:type="dxa"/>
            <w:vAlign w:val="bottom"/>
          </w:tcPr>
          <w:p>
            <w:pPr>
              <w:spacing w:after="0"/>
              <w:rPr>
                <w:sz w:val="22"/>
                <w:szCs w:val="22"/>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Press Release issued by Tango Therapeutics, Inc. on February 27, 2025 relating to its results of operations and financial</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0000FF"/>
              </w:rPr>
              <w:t>condition for the quarter ended December 31, 2024.</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378"/>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189"/>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20" w:type="dxa"/>
            <w:vAlign w:val="bottom"/>
          </w:tcPr>
          <w:p>
            <w:pPr>
              <w:spacing w:after="0"/>
              <w:rPr>
                <w:sz w:val="24"/>
                <w:szCs w:val="24"/>
                <w:color w:val="auto"/>
              </w:rPr>
            </w:pPr>
          </w:p>
        </w:tc>
        <w:tc>
          <w:tcPr>
            <w:tcW w:w="8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Dated: February 27, 2025</w:t>
            </w:r>
          </w:p>
        </w:tc>
        <w:tc>
          <w:tcPr>
            <w:tcW w:w="8320" w:type="dxa"/>
            <w:vAlign w:val="bottom"/>
            <w:gridSpan w:val="3"/>
          </w:tcPr>
          <w:p>
            <w:pPr>
              <w:ind w:left="1460"/>
              <w:spacing w:after="0"/>
              <w:rPr>
                <w:sz w:val="20"/>
                <w:szCs w:val="20"/>
                <w:color w:val="auto"/>
              </w:rPr>
            </w:pPr>
            <w:r>
              <w:rPr>
                <w:rFonts w:ascii="Times New Roman" w:cs="Times New Roman" w:eastAsia="Times New Roman" w:hAnsi="Times New Roman"/>
                <w:sz w:val="22"/>
                <w:szCs w:val="22"/>
                <w:color w:val="auto"/>
              </w:rPr>
              <w:t>By: /s/ Douglas Barry</w:t>
            </w:r>
          </w:p>
        </w:tc>
      </w:tr>
      <w:tr>
        <w:trPr>
          <w:trHeight w:val="236"/>
        </w:trPr>
        <w:tc>
          <w:tcPr>
            <w:tcW w:w="2920" w:type="dxa"/>
            <w:vAlign w:val="bottom"/>
          </w:tcPr>
          <w:p>
            <w:pPr>
              <w:spacing w:after="0"/>
              <w:rPr>
                <w:sz w:val="20"/>
                <w:szCs w:val="20"/>
                <w:color w:val="auto"/>
              </w:rPr>
            </w:pPr>
          </w:p>
        </w:tc>
        <w:tc>
          <w:tcPr>
            <w:tcW w:w="1880" w:type="dxa"/>
            <w:vAlign w:val="bottom"/>
          </w:tcPr>
          <w:p>
            <w:pPr>
              <w:ind w:left="620"/>
              <w:spacing w:after="0" w:line="236" w:lineRule="exact"/>
              <w:rPr>
                <w:sz w:val="20"/>
                <w:szCs w:val="20"/>
                <w:color w:val="auto"/>
              </w:rPr>
            </w:pPr>
            <w:r>
              <w:rPr>
                <w:rFonts w:ascii="Times New Roman" w:cs="Times New Roman" w:eastAsia="Times New Roman" w:hAnsi="Times New Roman"/>
                <w:sz w:val="22"/>
                <w:szCs w:val="22"/>
                <w:color w:val="auto"/>
                <w:w w:val="90"/>
              </w:rPr>
              <w:t>Name: Douglas</w:t>
            </w:r>
          </w:p>
        </w:tc>
        <w:tc>
          <w:tcPr>
            <w:tcW w:w="152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Barry</w:t>
            </w:r>
          </w:p>
        </w:tc>
        <w:tc>
          <w:tcPr>
            <w:tcW w:w="4920" w:type="dxa"/>
            <w:vAlign w:val="bottom"/>
          </w:tcPr>
          <w:p>
            <w:pPr>
              <w:spacing w:after="0"/>
              <w:rPr>
                <w:sz w:val="20"/>
                <w:szCs w:val="20"/>
                <w:color w:val="auto"/>
              </w:rPr>
            </w:pPr>
          </w:p>
        </w:tc>
      </w:tr>
      <w:tr>
        <w:trPr>
          <w:trHeight w:val="282"/>
        </w:trPr>
        <w:tc>
          <w:tcPr>
            <w:tcW w:w="2920" w:type="dxa"/>
            <w:vAlign w:val="bottom"/>
          </w:tcPr>
          <w:p>
            <w:pPr>
              <w:spacing w:after="0"/>
              <w:rPr>
                <w:sz w:val="24"/>
                <w:szCs w:val="24"/>
                <w:color w:val="auto"/>
              </w:rPr>
            </w:pPr>
          </w:p>
        </w:tc>
        <w:tc>
          <w:tcPr>
            <w:tcW w:w="8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Title: Chief Legal Officer</w:t>
            </w:r>
          </w:p>
        </w:tc>
      </w:tr>
      <w:tr>
        <w:trPr>
          <w:trHeight w:val="967"/>
        </w:trPr>
        <w:tc>
          <w:tcPr>
            <w:tcW w:w="2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20"/>
        <w:spacing w:after="0"/>
        <w:rPr>
          <w:sz w:val="20"/>
          <w:szCs w:val="20"/>
          <w:color w:val="auto"/>
        </w:rPr>
      </w:pPr>
      <w:r>
        <w:rPr>
          <w:rFonts w:ascii="Calibri" w:cs="Calibri" w:eastAsia="Calibri" w:hAnsi="Calibri"/>
          <w:sz w:val="22"/>
          <w:szCs w:val="22"/>
          <w:b w:val="1"/>
          <w:bCs w:val="1"/>
          <w:color w:val="auto"/>
        </w:rPr>
        <w:t>Tango Therapeutcs Reports Fourth Quarter and Full Year 2024 Financial Results</w:t>
      </w:r>
    </w:p>
    <w:p>
      <w:pPr>
        <w:spacing w:after="0" w:line="1"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b w:val="1"/>
          <w:bCs w:val="1"/>
          <w:color w:val="auto"/>
        </w:rPr>
        <w:t>and Provides Business Highlights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 TNG462 granted Orphan Drug Designaton for treatment of pancreatc cancer –</w:t>
      </w:r>
    </w:p>
    <w:p>
      <w:pPr>
        <w:spacing w:after="0" w:line="273" w:lineRule="exact"/>
        <w:rPr>
          <w:sz w:val="20"/>
          <w:szCs w:val="20"/>
          <w:color w:val="auto"/>
        </w:rPr>
      </w:pPr>
    </w:p>
    <w:p>
      <w:pPr>
        <w:ind w:left="20"/>
        <w:spacing w:after="0"/>
        <w:rPr>
          <w:sz w:val="20"/>
          <w:szCs w:val="20"/>
          <w:color w:val="auto"/>
        </w:rPr>
      </w:pPr>
      <w:r>
        <w:rPr>
          <w:rFonts w:ascii="Calibri" w:cs="Calibri" w:eastAsia="Calibri" w:hAnsi="Calibri"/>
          <w:sz w:val="22"/>
          <w:szCs w:val="22"/>
          <w:i w:val="1"/>
          <w:iCs w:val="1"/>
          <w:color w:val="auto"/>
        </w:rPr>
        <w:t>– Investgatonal New Drug (IND) applicaton for TNG456, a next-generaton brain-penetrant MTA-cooperatve PRMT5 inhibitor,</w:t>
      </w:r>
    </w:p>
    <w:p>
      <w:pPr>
        <w:spacing w:after="0" w:line="1" w:lineRule="exact"/>
        <w:rPr>
          <w:sz w:val="20"/>
          <w:szCs w:val="20"/>
          <w:color w:val="auto"/>
        </w:rPr>
      </w:pPr>
    </w:p>
    <w:p>
      <w:pPr>
        <w:ind w:left="2720"/>
        <w:spacing w:after="0"/>
        <w:rPr>
          <w:sz w:val="20"/>
          <w:szCs w:val="20"/>
          <w:color w:val="auto"/>
        </w:rPr>
      </w:pPr>
      <w:r>
        <w:rPr>
          <w:rFonts w:ascii="Calibri" w:cs="Calibri" w:eastAsia="Calibri" w:hAnsi="Calibri"/>
          <w:sz w:val="22"/>
          <w:szCs w:val="22"/>
          <w:i w:val="1"/>
          <w:iCs w:val="1"/>
          <w:color w:val="auto"/>
        </w:rPr>
        <w:t>cleared by FDA. Phase 1/2 enrollment expected to begin 1H 2025 –</w:t>
      </w:r>
    </w:p>
    <w:p>
      <w:pPr>
        <w:spacing w:after="0" w:line="130" w:lineRule="exact"/>
        <w:rPr>
          <w:sz w:val="20"/>
          <w:szCs w:val="20"/>
          <w:color w:val="auto"/>
        </w:rPr>
      </w:pPr>
    </w:p>
    <w:p>
      <w:pPr>
        <w:ind w:left="480"/>
        <w:spacing w:after="0"/>
        <w:rPr>
          <w:sz w:val="20"/>
          <w:szCs w:val="20"/>
          <w:color w:val="auto"/>
        </w:rPr>
      </w:pPr>
      <w:r>
        <w:rPr>
          <w:rFonts w:ascii="Calibri" w:cs="Calibri" w:eastAsia="Calibri" w:hAnsi="Calibri"/>
          <w:sz w:val="22"/>
          <w:szCs w:val="22"/>
          <w:i w:val="1"/>
          <w:iCs w:val="1"/>
          <w:color w:val="auto"/>
        </w:rPr>
        <w:t>– Clinical collaboraton with Eli Lilly to evaluate TNG456 in combinaton with CDK4/6 inhibitor Verzenio</w:t>
      </w:r>
      <w:r>
        <w:rPr>
          <w:rFonts w:ascii="Calibri" w:cs="Calibri" w:eastAsia="Calibri" w:hAnsi="Calibri"/>
          <w:sz w:val="28"/>
          <w:szCs w:val="28"/>
          <w:i w:val="1"/>
          <w:iCs w:val="1"/>
          <w:color w:val="auto"/>
          <w:vertAlign w:val="superscript"/>
        </w:rPr>
        <w:t>®</w:t>
      </w:r>
      <w:r>
        <w:rPr>
          <w:rFonts w:ascii="Calibri" w:cs="Calibri" w:eastAsia="Calibri" w:hAnsi="Calibri"/>
          <w:sz w:val="22"/>
          <w:szCs w:val="22"/>
          <w:i w:val="1"/>
          <w:iCs w:val="1"/>
          <w:color w:val="auto"/>
        </w:rPr>
        <w:t xml:space="preserve"> (abemaciclib)</w:t>
      </w:r>
    </w:p>
    <w:p>
      <w:pPr>
        <w:ind w:left="5060"/>
        <w:spacing w:after="0" w:line="191" w:lineRule="auto"/>
        <w:rPr>
          <w:sz w:val="20"/>
          <w:szCs w:val="20"/>
          <w:color w:val="auto"/>
        </w:rPr>
      </w:pPr>
      <w:r>
        <w:rPr>
          <w:rFonts w:ascii="Calibri" w:cs="Calibri" w:eastAsia="Calibri" w:hAnsi="Calibri"/>
          <w:sz w:val="22"/>
          <w:szCs w:val="22"/>
          <w:i w:val="1"/>
          <w:iCs w:val="1"/>
          <w:color w:val="auto"/>
        </w:rPr>
        <w:t>established –</w:t>
      </w:r>
    </w:p>
    <w:p>
      <w:pPr>
        <w:spacing w:after="0" w:line="271" w:lineRule="exact"/>
        <w:rPr>
          <w:sz w:val="20"/>
          <w:szCs w:val="20"/>
          <w:color w:val="auto"/>
        </w:rPr>
      </w:pPr>
    </w:p>
    <w:p>
      <w:pPr>
        <w:ind w:left="540"/>
        <w:spacing w:after="0"/>
        <w:rPr>
          <w:sz w:val="20"/>
          <w:szCs w:val="20"/>
          <w:color w:val="auto"/>
        </w:rPr>
      </w:pPr>
      <w:r>
        <w:rPr>
          <w:rFonts w:ascii="Calibri" w:cs="Calibri" w:eastAsia="Calibri" w:hAnsi="Calibri"/>
          <w:sz w:val="22"/>
          <w:szCs w:val="22"/>
          <w:i w:val="1"/>
          <w:iCs w:val="1"/>
          <w:color w:val="auto"/>
        </w:rPr>
        <w:t>– Data update from ongoing TNG462 monotherapy trial expected in 2025 with focus on pancreatc and lung cancer –</w:t>
      </w:r>
    </w:p>
    <w:p>
      <w:pPr>
        <w:spacing w:after="0" w:line="273" w:lineRule="exact"/>
        <w:rPr>
          <w:sz w:val="20"/>
          <w:szCs w:val="20"/>
          <w:color w:val="auto"/>
        </w:rPr>
      </w:pPr>
    </w:p>
    <w:p>
      <w:pPr>
        <w:ind w:left="440"/>
        <w:spacing w:after="0"/>
        <w:rPr>
          <w:sz w:val="20"/>
          <w:szCs w:val="20"/>
          <w:color w:val="auto"/>
        </w:rPr>
      </w:pPr>
      <w:r>
        <w:rPr>
          <w:rFonts w:ascii="Calibri" w:cs="Calibri" w:eastAsia="Calibri" w:hAnsi="Calibri"/>
          <w:sz w:val="22"/>
          <w:szCs w:val="22"/>
          <w:i w:val="1"/>
          <w:iCs w:val="1"/>
          <w:color w:val="auto"/>
        </w:rPr>
        <w:t>– Cash positon of $258 million as of December 31, 2024, with cash runway expected to fund operatons into 3Q 2026 –</w:t>
      </w:r>
    </w:p>
    <w:p>
      <w:pPr>
        <w:spacing w:after="0" w:line="200" w:lineRule="exact"/>
        <w:rPr>
          <w:sz w:val="20"/>
          <w:szCs w:val="20"/>
          <w:color w:val="auto"/>
        </w:rPr>
      </w:pPr>
    </w:p>
    <w:p>
      <w:pPr>
        <w:spacing w:after="0" w:line="217" w:lineRule="exact"/>
        <w:rPr>
          <w:sz w:val="20"/>
          <w:szCs w:val="20"/>
          <w:color w:val="auto"/>
        </w:rPr>
      </w:pPr>
    </w:p>
    <w:p>
      <w:pPr>
        <w:ind w:right="100"/>
        <w:spacing w:after="0" w:line="237" w:lineRule="auto"/>
        <w:rPr>
          <w:sz w:val="20"/>
          <w:szCs w:val="20"/>
          <w:color w:val="auto"/>
        </w:rPr>
      </w:pPr>
      <w:r>
        <w:rPr>
          <w:rFonts w:ascii="Calibri" w:cs="Calibri" w:eastAsia="Calibri" w:hAnsi="Calibri"/>
          <w:sz w:val="22"/>
          <w:szCs w:val="22"/>
          <w:color w:val="auto"/>
        </w:rPr>
        <w:t>BOSTON – (BUSINESS WIRE) – February 27, 2025 – Tango Therapeutcs, Inc. (NASDAQ: TNGX), a clinical-stage biotechnology company commited to discovering and delivering the next generaton of precision cancer medicines, reported fnancial results for the fourth quarter and full year ended December 31, 2024, and provided business highlights.</w:t>
      </w:r>
    </w:p>
    <w:p>
      <w:pPr>
        <w:spacing w:after="0" w:line="284"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“We are startng 2025 with momentum in TNG462, our lead PRMT5 program, with fulsome data focused on pancreatc and lung cancer expected before the end of the year,” said Barbara Weber, M.D., President and Chief Executve Ofcer of Tango Therapeutcs. “PRMT5 is a clinically well-validated target, and we believe that TNG462 and TNG456 are both potentally best-in-class oral small molecules for multple MTAP-deleted cancers. We expect that the TNG462 data we plan to disclose in 2025 will provide meaningful diferentaton and solidify our clinical development plan, with a goal of initatng our frst TNG462 monotherapy registratonal study in pancreatc cancer next year.”</w:t>
      </w:r>
    </w:p>
    <w:p>
      <w:pPr>
        <w:spacing w:after="0" w:line="275"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Pipeline Update</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TNG462, a potentally best-in-class MTA-cooperatve PRMT5 inhibitor</w:t>
      </w:r>
    </w:p>
    <w:p>
      <w:pPr>
        <w:spacing w:after="0" w:line="120" w:lineRule="exact"/>
        <w:rPr>
          <w:sz w:val="20"/>
          <w:szCs w:val="20"/>
          <w:color w:val="auto"/>
        </w:rPr>
      </w:pPr>
    </w:p>
    <w:p>
      <w:pPr>
        <w:ind w:left="1020" w:right="460" w:hanging="503"/>
        <w:spacing w:after="0" w:line="235"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U.S. Food and Drug Administraton (FDA) granted Orphan Drug Designaton (ODD) to TNG462 in November 2024 for the treatment of pancreatc cancer. ODD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9" w:lineRule="exact"/>
        <w:rPr>
          <w:sz w:val="20"/>
          <w:szCs w:val="20"/>
          <w:color w:val="auto"/>
        </w:rPr>
      </w:pPr>
    </w:p>
    <w:p>
      <w:pPr>
        <w:ind w:left="1020" w:right="180"/>
        <w:spacing w:after="0" w:line="237" w:lineRule="auto"/>
        <w:rPr>
          <w:sz w:val="20"/>
          <w:szCs w:val="20"/>
          <w:color w:val="auto"/>
        </w:rPr>
      </w:pPr>
      <w:r>
        <w:rPr>
          <w:rFonts w:ascii="Calibri" w:cs="Calibri" w:eastAsia="Calibri" w:hAnsi="Calibri"/>
          <w:sz w:val="22"/>
          <w:szCs w:val="22"/>
          <w:color w:val="auto"/>
        </w:rPr>
        <w:t>granted to investgatonal therapies addressing medical diseases or conditons that afect fewer than 200,000 people per year in the United States. This designaton provides for a seven-year marketng exclusivity period upon regulatory approval, as well as certain incentves, including federal grants and tax credits.</w:t>
      </w:r>
    </w:p>
    <w:p>
      <w:pPr>
        <w:spacing w:after="0" w:line="122" w:lineRule="exact"/>
        <w:rPr>
          <w:sz w:val="20"/>
          <w:szCs w:val="20"/>
          <w:color w:val="auto"/>
        </w:rPr>
      </w:pPr>
    </w:p>
    <w:p>
      <w:pPr>
        <w:ind w:left="1020" w:right="180" w:hanging="503"/>
        <w:spacing w:after="0" w:line="235"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Patents are being enrolled in the TNG462 monotherapy Phase 1/2 clinical trial, with an emphasis on patents with pancreatc and lung cancer.</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8"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November 2024, the Company reported positve early data for TNG462, demonstratng durable clinical responses across multple cancer types, including RECIST partal responses in pancreatc and lung cancer, with a safety and tolerability profle that the Company believes is superior to compettors. Additonal clinical data are expected in 2025 with a focus on pancreatc and lung cancer.</w:t>
      </w:r>
    </w:p>
    <w:p>
      <w:pPr>
        <w:spacing w:after="0" w:line="122" w:lineRule="exact"/>
        <w:rPr>
          <w:rFonts w:ascii="Times New Roman" w:cs="Times New Roman" w:eastAsia="Times New Roman" w:hAnsi="Times New Roman"/>
          <w:sz w:val="22"/>
          <w:szCs w:val="22"/>
          <w:color w:val="auto"/>
        </w:rPr>
      </w:pPr>
    </w:p>
    <w:p>
      <w:pPr>
        <w:ind w:left="1020" w:right="40" w:hanging="503"/>
        <w:spacing w:after="0" w:line="238"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Based on these promising early clinical data, the Company plans to initate multple targeted and standard of care combinaton studies with TNG462, including with daraxonrasib (RMC-6236), a RAS(ON) mult-selectve inhibitor and zoldonrasib (RMC-9805), a RAS(ON) G12D-selectve inhibitor (Revoluton Medicines) and pembrolizumab. These trials are expected to begin enrolling in the frst half of 2025.</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TNG456, a next-generaton brain-penetrant MTA-cooperatve PRMT5 inhibitor</w:t>
      </w:r>
    </w:p>
    <w:p>
      <w:pPr>
        <w:spacing w:after="0" w:line="120" w:lineRule="exact"/>
        <w:rPr>
          <w:sz w:val="20"/>
          <w:szCs w:val="20"/>
          <w:color w:val="auto"/>
        </w:rPr>
      </w:pPr>
    </w:p>
    <w:p>
      <w:pPr>
        <w:ind w:left="1020" w:right="100" w:hanging="503"/>
        <w:spacing w:after="0" w:line="238"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January 2025, the FDA cleared the TNG456 IND. Preclinical studies suggest that TNG456 will have improved actvity to treat glioblastoma compared to TNG908 based on increased exposure in the brain aforded by the increased potency and MTAP-selectvity. The Company expects to begin enrolling patents in a phase 1/2 trial in 1H 2025.</w:t>
      </w:r>
    </w:p>
    <w:p>
      <w:pPr>
        <w:spacing w:after="0" w:line="122" w:lineRule="exact"/>
        <w:rPr>
          <w:rFonts w:ascii="Times New Roman" w:cs="Times New Roman" w:eastAsia="Times New Roman" w:hAnsi="Times New Roman"/>
          <w:sz w:val="22"/>
          <w:szCs w:val="22"/>
          <w:color w:val="auto"/>
        </w:rPr>
      </w:pPr>
    </w:p>
    <w:p>
      <w:pPr>
        <w:ind w:left="1020" w:right="40" w:hanging="503"/>
        <w:spacing w:after="0" w:line="238"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the fourth quarter of 2024, the Company entered into a clinical collaboraton with Eli Lilly and Company (Lilly) for the supply of the CDK4/6 inhibitor abemaciclib for use in combinaton with TNG456 for treatment of patents with MTAP-deleted solid tumors, with a focus on glioblastoma. The agreement provides that Lilly will supply abemaciclib at no cost to Tango and that Tango will be the sponsor of the combinaton trials. Each company will retain commercial rights to their respectve compounds and the agreement is mutually non-exclusive.</w:t>
      </w:r>
    </w:p>
    <w:p>
      <w:pPr>
        <w:spacing w:after="0" w:line="126" w:lineRule="exact"/>
        <w:rPr>
          <w:rFonts w:ascii="Times New Roman" w:cs="Times New Roman" w:eastAsia="Times New Roman" w:hAnsi="Times New Roman"/>
          <w:sz w:val="22"/>
          <w:szCs w:val="22"/>
          <w:color w:val="auto"/>
        </w:rPr>
      </w:pPr>
    </w:p>
    <w:p>
      <w:pPr>
        <w:ind w:left="1020" w:hanging="503"/>
        <w:spacing w:after="0" w:line="253" w:lineRule="auto"/>
        <w:tabs>
          <w:tab w:leader="none" w:pos="1020" w:val="left"/>
        </w:tabs>
        <w:numPr>
          <w:ilvl w:val="0"/>
          <w:numId w:val="5"/>
        </w:numPr>
        <w:rPr>
          <w:rFonts w:ascii="Times New Roman" w:cs="Times New Roman" w:eastAsia="Times New Roman" w:hAnsi="Times New Roman"/>
          <w:sz w:val="21"/>
          <w:szCs w:val="21"/>
          <w:color w:val="auto"/>
        </w:rPr>
      </w:pPr>
      <w:r>
        <w:rPr>
          <w:rFonts w:ascii="Calibri" w:cs="Calibri" w:eastAsia="Calibri" w:hAnsi="Calibri"/>
          <w:sz w:val="21"/>
          <w:szCs w:val="21"/>
          <w:color w:val="auto"/>
        </w:rPr>
        <w:t>In February 2025, the FDA granted Fast Track Designaton (FTD) to TNG456 for the treatment of solid tumors with MTAP deleton, as well as TNG456 in combinaton with abemaciclib for the treatment of NSCLC with MTAP deleton. FTD is designed to facilitate the development and expedite the review of drugs to treat serious conditons and fulfll an unmet medical need, with the potental to allow important new drugs to reach patents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TNG260, a frst-in-class, highly selectve CoREST complex inhibitor</w:t>
      </w:r>
    </w:p>
    <w:p>
      <w:pPr>
        <w:spacing w:after="0" w:line="120" w:lineRule="exact"/>
        <w:rPr>
          <w:sz w:val="20"/>
          <w:szCs w:val="20"/>
          <w:color w:val="auto"/>
        </w:rPr>
      </w:pPr>
    </w:p>
    <w:p>
      <w:pPr>
        <w:jc w:val="both"/>
        <w:ind w:left="1020" w:right="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Proof-of-mechanism has been established for TNG260 based on pharmacodynamic data from on-treatment patent biopsies, with favorable safety, tolerability and pharmacokinetc profles shown at the expansion dose of 80 mg QD to date.</w:t>
      </w:r>
    </w:p>
    <w:p>
      <w:pPr>
        <w:spacing w:after="0" w:line="122" w:lineRule="exact"/>
        <w:rPr>
          <w:rFonts w:ascii="Times New Roman" w:cs="Times New Roman" w:eastAsia="Times New Roman" w:hAnsi="Times New Roman"/>
          <w:sz w:val="22"/>
          <w:szCs w:val="22"/>
          <w:color w:val="auto"/>
        </w:rPr>
      </w:pPr>
    </w:p>
    <w:p>
      <w:pPr>
        <w:ind w:left="1020" w:right="5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dose expansion phase of the TNG260 phase 1/2 trial is ongoing in lung cancer. The study is evaluatng the pharmacokinetcs, pharmacodynamics, safety and efcacy of TNG260 in combinaton with pembrolizumab in patents with an STK11 loss-of-functon mutaton.</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Company plans to provide a clinical update on TNG260 in 2025.</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Upcoming Milestones</w:t>
      </w:r>
    </w:p>
    <w:p>
      <w:pPr>
        <w:spacing w:after="0" w:line="10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TNG462 clinical data update expected in 2025</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Enrollment in multple TNG462 combinaton trials expected to begin 2025</w:t>
      </w:r>
    </w:p>
    <w:p>
      <w:pPr>
        <w:spacing w:after="0" w:line="10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TNG456 phase 1/2 trial enrollment expected to begin 1H 2025</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TNG260 clinical data update expected in 2025</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82" w:lineRule="exact"/>
        <w:rPr>
          <w:sz w:val="20"/>
          <w:szCs w:val="20"/>
          <w:color w:val="auto"/>
        </w:rPr>
      </w:pPr>
    </w:p>
    <w:p>
      <w:pPr>
        <w:ind w:right="460"/>
        <w:spacing w:after="0" w:line="235" w:lineRule="auto"/>
        <w:rPr>
          <w:sz w:val="20"/>
          <w:szCs w:val="20"/>
          <w:color w:val="auto"/>
        </w:rPr>
      </w:pPr>
      <w:r>
        <w:rPr>
          <w:rFonts w:ascii="Calibri" w:cs="Calibri" w:eastAsia="Calibri" w:hAnsi="Calibri"/>
          <w:sz w:val="22"/>
          <w:szCs w:val="22"/>
          <w:color w:val="auto"/>
        </w:rPr>
        <w:t>As of December 31, 2024, the Company held $257.9 million in cash, cash equivalents and marketable securites, which the Company expects to be sufcient to fund operatons into the third quarter of 2026.</w:t>
      </w:r>
    </w:p>
    <w:p>
      <w:pPr>
        <w:spacing w:after="0" w:line="284"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auto"/>
        </w:rPr>
        <w:t>Collaboraton revenue was $4.1 million for the three months ended December 31, 2024, compared to $5.4 million for the same period in 2023, and $30.0 million for the twelve months ended December 31, 2024 compared to $31.5 million for the same period in 2023. Collaboraton revenue decreased due to lower research costs incurred under the collaboraton during the three and twelve months ended December 31, 2024.</w:t>
      </w:r>
    </w:p>
    <w:p>
      <w:pPr>
        <w:spacing w:after="0" w:line="285" w:lineRule="exact"/>
        <w:rPr>
          <w:sz w:val="20"/>
          <w:szCs w:val="20"/>
          <w:color w:val="auto"/>
        </w:rPr>
      </w:pPr>
    </w:p>
    <w:p>
      <w:pPr>
        <w:ind w:right="80"/>
        <w:spacing w:after="0" w:line="238" w:lineRule="auto"/>
        <w:rPr>
          <w:sz w:val="20"/>
          <w:szCs w:val="20"/>
          <w:color w:val="auto"/>
        </w:rPr>
      </w:pPr>
      <w:r>
        <w:rPr>
          <w:rFonts w:ascii="Calibri" w:cs="Calibri" w:eastAsia="Calibri" w:hAnsi="Calibri"/>
          <w:sz w:val="22"/>
          <w:szCs w:val="22"/>
          <w:color w:val="auto"/>
        </w:rPr>
        <w:t>License revenue was $0 and $12.1 million for the three and twelve months ended December 31, 2024, respectvely, compared to $0 and $5.0 million for the three and twelve months ended December 31, 2023, respectvely. The year-to-date increase is primarily due to licensing a drug discovery program to Gilead for $12.0 million during the second quarter of 2024 as compared to Gilead licensing an earlier stage program for $5.0 million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p>
      <w:pPr>
        <w:ind w:right="200"/>
        <w:spacing w:after="0" w:line="238" w:lineRule="auto"/>
        <w:rPr>
          <w:sz w:val="20"/>
          <w:szCs w:val="20"/>
          <w:color w:val="auto"/>
        </w:rPr>
      </w:pPr>
      <w:r>
        <w:rPr>
          <w:rFonts w:ascii="Calibri" w:cs="Calibri" w:eastAsia="Calibri" w:hAnsi="Calibri"/>
          <w:sz w:val="22"/>
          <w:szCs w:val="22"/>
          <w:color w:val="auto"/>
        </w:rPr>
        <w:t>Research and development expenses were $33.9 million for the three months ended December 31, 2024, compared to $31.3 million for the same period in 2023, and $143.9 million for the twelve months ended December 31, 2024 compared to $115.2 million for the same period in 2023. The increase is due to the advancement of TNG462 and TNG456 and personnel-related costs to support our research and development actvites.</w:t>
      </w:r>
    </w:p>
    <w:p>
      <w:pPr>
        <w:spacing w:after="0" w:line="285" w:lineRule="exact"/>
        <w:rPr>
          <w:sz w:val="20"/>
          <w:szCs w:val="20"/>
          <w:color w:val="auto"/>
        </w:rPr>
      </w:pPr>
    </w:p>
    <w:p>
      <w:pPr>
        <w:jc w:val="both"/>
        <w:ind w:right="360"/>
        <w:spacing w:after="0" w:line="237" w:lineRule="auto"/>
        <w:rPr>
          <w:sz w:val="20"/>
          <w:szCs w:val="20"/>
          <w:color w:val="auto"/>
        </w:rPr>
      </w:pPr>
      <w:r>
        <w:rPr>
          <w:rFonts w:ascii="Calibri" w:cs="Calibri" w:eastAsia="Calibri" w:hAnsi="Calibri"/>
          <w:sz w:val="22"/>
          <w:szCs w:val="22"/>
          <w:color w:val="auto"/>
        </w:rPr>
        <w:t>General and administratve expenses were $11.1 million for the three months ended December 31, 2024, compared to $9.1 million for the same period in 2023, and $43.7 million for the twelve months ended December 31, 2024 compared to $35.5 million for the same period in 2023. The changes were primarily due to increases in personnel-related costs.</w:t>
      </w:r>
    </w:p>
    <w:p>
      <w:pPr>
        <w:spacing w:after="0" w:line="284"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color w:val="auto"/>
        </w:rPr>
        <w:t>Net loss for the three months ended December 31, 2024 was $37.7 million, or $0.35 per share, compared to a net loss of $30.8 million, or $0.32 per share, in the same period in 2023. Net loss for the twelve months ended December 31, 2024 was $130.3 million, or $1.19 per share, compared to a net loss of $101.7 million, or $1.08 per share, in the same period in 2023.</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82" w:lineRule="exact"/>
        <w:rPr>
          <w:sz w:val="20"/>
          <w:szCs w:val="20"/>
          <w:color w:val="auto"/>
        </w:rPr>
      </w:pPr>
    </w:p>
    <w:p>
      <w:pPr>
        <w:ind w:right="40"/>
        <w:spacing w:after="0" w:line="238" w:lineRule="auto"/>
        <w:rPr>
          <w:sz w:val="20"/>
          <w:szCs w:val="20"/>
          <w:color w:val="auto"/>
        </w:rPr>
      </w:pPr>
      <w:r>
        <w:rPr>
          <w:rFonts w:ascii="Calibri" w:cs="Calibri" w:eastAsia="Calibri" w:hAnsi="Calibri"/>
          <w:sz w:val="22"/>
          <w:szCs w:val="22"/>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For more informaton, please visit www.tangotx.com.</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84" w:lineRule="exact"/>
        <w:rPr>
          <w:sz w:val="20"/>
          <w:szCs w:val="20"/>
          <w:color w:val="auto"/>
        </w:rPr>
      </w:pPr>
    </w:p>
    <w:p>
      <w:pPr>
        <w:spacing w:after="0"/>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the Company is advancing TNG462 into clinical trials as a monotherapy and with multple targeted and standard of care combinatons, including with a RAS(ON) mult-selectve inhibitor and a RAS(ON) G12-selectve inhibitor from Revoluton Medicines, Inc.; potental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7" w:name="page8"/>
    <w:bookmarkEnd w:id="7"/>
    <w:p>
      <w:pPr>
        <w:spacing w:after="0" w:line="252" w:lineRule="auto"/>
        <w:rPr>
          <w:sz w:val="20"/>
          <w:szCs w:val="20"/>
          <w:color w:val="auto"/>
        </w:rPr>
      </w:pPr>
      <w:r>
        <w:rPr>
          <w:rFonts w:ascii="Calibri" w:cs="Calibri" w:eastAsia="Calibri" w:hAnsi="Calibri"/>
          <w:sz w:val="21"/>
          <w:szCs w:val="21"/>
          <w:color w:val="auto"/>
        </w:rPr>
        <w:t>combinaton strategies for PRMT5 inhibitors; the Company’s view that TNG462 and TNG456 have the potental to be a best-in-class small molecules in multple tumor types, including pancreatc and lung cancers; the Company's plans to release TNG462 data in 2025, solidify its clinical development plan, and initate its frst TNG462 monotherapy registratonal study in pancreatc cancer next year; the Company plans to provide a clinical update on TNG260 in 2025; the Company expects cash runway into the third quarter of 2026; the Company’s planned and ongoing clinical trials, including the antcipated tming for enrollment and the tming to report results and updates of such trials; the Company’s understanding of the central nervous system exposure required to provide meaningful efcacy in glioblastoma and brain metastases; the Company’s plans to enroll patents in a planned phase 1/2 clinical trial for TNG456 in the frst half of 2025; the Company contnues to advance TNG260 for cancers with STK11 loss-of-functon mutatons, with the phase 1/2 clinical trial ongoing; Dr. Weber’s statements in this press release; and the expected tming of: (i) development candidate declaraton for certain targets; (ii) initatng IND-enabling studies; (iii) fling INDs;</w:t>
      </w:r>
    </w:p>
    <w:p>
      <w:pPr>
        <w:spacing w:after="0" w:line="8" w:lineRule="exact"/>
        <w:rPr>
          <w:sz w:val="20"/>
          <w:szCs w:val="20"/>
          <w:color w:val="auto"/>
        </w:rPr>
      </w:pPr>
    </w:p>
    <w:p>
      <w:pPr>
        <w:ind w:right="20" w:firstLine="8"/>
        <w:spacing w:after="0"/>
        <w:tabs>
          <w:tab w:leader="none" w:pos="327" w:val="left"/>
        </w:tabs>
        <w:numPr>
          <w:ilvl w:val="0"/>
          <w:numId w:val="8"/>
        </w:numPr>
        <w:rPr>
          <w:rFonts w:ascii="Calibri" w:cs="Calibri" w:eastAsia="Calibri" w:hAnsi="Calibri"/>
          <w:sz w:val="22"/>
          <w:szCs w:val="22"/>
          <w:color w:val="auto"/>
        </w:rPr>
      </w:pPr>
      <w:r>
        <w:rPr>
          <w:rFonts w:ascii="Calibri" w:cs="Calibri" w:eastAsia="Calibri" w:hAnsi="Calibri"/>
          <w:sz w:val="22"/>
          <w:szCs w:val="22"/>
          <w:color w:val="auto"/>
        </w:rPr>
        <w:t>clinical trial initaton, dose escalaton and dose expansion (including for combinaton studies); (v) disclosing inital, interim, updated, additonal and fnal clinical trial results (including for combinaton studies); and (vi) the expected benefts of the Company's development candidates and other product candidates.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the benefts of product candidates seen in preclinical tests and analyses may not be evident when tested in later preclinical studies or in clinical trials or when used in broader patent populatons (if approved for commercial sale); Tango has limited experience conductng clinical trials (and does and will contnue to rely on a third party to operate its clinical trials) and may not be able to commence its clinical trials (including opening clinical trial sites, dosing the frst patent, and contnued enrollment and dosing of an adequate number of clinical trial partcipants) when expected, may not be able to contnue dosing, initate dose escalaton and/or dose expansion on antcipated tmelines, and may not generate or report clinical trial results (including fnal, inital or additonal safety, efcacy data and proof-of-mechanism and proof-of-concept) in the antcipated tmeframe (or at all); future clinical trial data releases may difer materially from inital or interim data from our current and future clinical trials;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color w:val="auto"/>
        </w:rPr>
        <w:t>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initaton of dose expansion,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orphan drug or Fast Track designaton (and such designatons may not advance any antcipated approval tmelines); the expected benefts of our product candidates in patents as single agents and/or in combinaton may not be realized; the Company may experience delays or difcultes in the initaton, enrollment, or dosing of patents in clinical trials or the announcement of clinical trial results,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one or a limited number third partes for conductng clinical trials and producing drug substance and drug product (including drug substance, which is currently sole sourced); government regulaton may negatvely impact the Company’s business, including the potental approval of the BIOSECURE Act; and our ability to obtain and maintain patent and other intellectual property protecton for our technology and product candidates or the scope of intellectual property protecton obtained is not sufciently broad. Additonal informaton concerning risks, uncertaintes and assumptons can be found in Tango’s flings with the Securites and Exchange Commission (SEC), including the risk factors referenced in Tango’s Annual Report on Form 10-K for the fscal year ended December 31, 2023, as supplemented and/or modifed by its most recent Quarterly 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915035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9" w:name="page10"/>
    <w:bookmarkEnd w:id="9"/>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Daniella Beckman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Chief Financial Ofcer, Tango Therapeutcs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467886"/>
        </w:rPr>
        <w:t>IR@tangotx.com</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Daniella Beckman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Chief Financial Ofcer, Tango Therapeutcs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467886"/>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 except share and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8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2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8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187,664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(40,910 )</w:t>
            </w: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(35,013 )</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(145,595 )</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(114,173 )</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8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(37,621 )</w:t>
            </w:r>
          </w:p>
        </w:tc>
        <w:tc>
          <w:tcPr>
            <w:tcW w:w="3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(30,716 )</w:t>
            </w: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(130,094 )</w:t>
            </w: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(101,610 )</w:t>
            </w:r>
          </w:p>
        </w:tc>
        <w:tc>
          <w:tcPr>
            <w:tcW w:w="0" w:type="dxa"/>
            <w:vAlign w:val="bottom"/>
          </w:tcPr>
          <w:p>
            <w:pPr>
              <w:spacing w:after="0"/>
              <w:rPr>
                <w:sz w:val="1"/>
                <w:szCs w:val="1"/>
                <w:color w:val="auto"/>
              </w:rPr>
            </w:pPr>
          </w:p>
        </w:tc>
      </w:tr>
      <w:tr>
        <w:trPr>
          <w:trHeight w:val="229"/>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(208 )</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(37,670 )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(30,763 )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(130,302 )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(101,744 )</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198"/>
        </w:trPr>
        <w:tc>
          <w:tcPr>
            <w:tcW w:w="53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108,683,920</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97,223,183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109,226,731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47"/>
        </w:trPr>
        <w:tc>
          <w:tcPr>
            <w:tcW w:w="5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-4208145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-4208145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-4208145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-3590925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-3590925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-3590925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-3282315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-3282315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-3282315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-2665095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-2665095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-2665095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7100" w:type="dxa"/>
            <w:vAlign w:val="bottom"/>
          </w:tcPr>
          <w:p>
            <w:pPr>
              <w:spacing w:after="0"/>
              <w:rPr>
                <w:sz w:val="11"/>
                <w:szCs w:val="11"/>
                <w:color w:val="auto"/>
              </w:rPr>
            </w:pPr>
          </w:p>
        </w:tc>
        <w:tc>
          <w:tcPr>
            <w:tcW w:w="1200" w:type="dxa"/>
            <w:vAlign w:val="bottom"/>
            <w:tcBorders>
              <w:bottom w:val="single" w:sz="8" w:color="auto"/>
            </w:tcBorders>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2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r>
      <w:tr>
        <w:trPr>
          <w:trHeight w:val="19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shd w:val="clear" w:color="auto" w:fill="CFF0FC"/>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69,530</w:t>
            </w:r>
          </w:p>
        </w:tc>
        <w:tc>
          <w:tcPr>
            <w:tcW w:w="8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66,385</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188,387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270,500</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266,343</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346,538</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43,508</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shd w:val="clear" w:color="auto" w:fill="CFF0FC"/>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8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15,401</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38,170</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45,938</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34,039</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36,838</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44,766</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116,975</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149,459</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199,517</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253,108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402,567</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7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-2785110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-1473835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-1207770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2025-02-27T06:13:02Z</dcterms:created>
  <dcterms:modified xsi:type="dcterms:W3CDTF">2025-02-27T06:13:02Z</dcterms:modified>
</cp:coreProperties>
</file>