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80580d8k.htm"/>
      <w:bookmarkStart w:id="1" w:name="ksd8058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October 23, 2025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TANGO THERAPEUTICS,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880" w:type="dxa"/>
        <w:jc w:val="left"/>
        <w:tblInd w:w="0" w:type="dxa"/>
        <w:tblLayout w:type="fixed"/>
        <w:tblCellMar>
          <w:top w:w="0" w:type="dxa"/>
          <w:left w:w="0" w:type="dxa"/>
          <w:bottom w:w="0" w:type="dxa"/>
          <w:right w:w="0" w:type="dxa"/>
        </w:tblCellMar>
      </w:tblPr>
      <w:tblGrid>
        <w:gridCol w:w="2825"/>
        <w:gridCol w:w="60"/>
        <w:gridCol w:w="1055"/>
        <w:gridCol w:w="60"/>
        <w:gridCol w:w="1880"/>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001-39485</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85-1195036</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201 Brookline Avenue</w:t>
            </w:r>
          </w:p>
          <w:p>
            <w:pPr>
              <w:pStyle w:val="TableContents"/>
              <w:bidi w:val="0"/>
              <w:spacing w:before="0" w:after="20"/>
              <w:jc w:val="center"/>
              <w:rPr>
                <w:rFonts w:ascii="Times New Roman" w:hAnsi="Times New Roman"/>
                <w:b/>
                <w:sz w:val="20"/>
              </w:rPr>
            </w:pPr>
            <w:r>
              <w:rPr>
                <w:rFonts w:ascii="Times New Roman" w:hAnsi="Times New Roman"/>
                <w:b/>
                <w:sz w:val="20"/>
              </w:rPr>
              <w:t>Suite 901</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Boston, MA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02215</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(857) 320-4900</w:t>
      </w:r>
    </w:p>
    <w:p>
      <w:pPr>
        <w:pStyle w:val="TextBody"/>
        <w:bidi w:val="0"/>
        <w:spacing w:before="16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7635" w:type="dxa"/>
        <w:jc w:val="left"/>
        <w:tblInd w:w="0" w:type="dxa"/>
        <w:tblLayout w:type="fixed"/>
        <w:tblCellMar>
          <w:top w:w="0" w:type="dxa"/>
          <w:left w:w="0" w:type="dxa"/>
          <w:bottom w:w="0" w:type="dxa"/>
          <w:right w:w="0" w:type="dxa"/>
        </w:tblCellMar>
      </w:tblPr>
      <w:tblGrid>
        <w:gridCol w:w="4145"/>
        <w:gridCol w:w="60"/>
        <w:gridCol w:w="740"/>
        <w:gridCol w:w="60"/>
        <w:gridCol w:w="2630"/>
      </w:tblGrid>
      <w:tr>
        <w:trPr/>
        <w:tc>
          <w:tcPr>
            <w:tcW w:w="4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41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b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145" w:type="dxa"/>
            <w:tcBorders/>
            <w:vAlign w:val="center"/>
          </w:tcPr>
          <w:p>
            <w:pPr>
              <w:pStyle w:val="TableContents"/>
              <w:bidi w:val="0"/>
              <w:spacing w:before="0" w:after="283"/>
              <w:jc w:val="center"/>
              <w:rPr/>
            </w:pPr>
            <w:r>
              <w:rPr/>
              <w:t>Common Stock, par value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TNGX</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pPr>
            <w:r>
              <w:rPr/>
              <w:t>The Nasdaq Global Market</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1.01 Entry into a Material Definitive Agreement. </w:t>
      </w:r>
    </w:p>
    <w:p>
      <w:pPr>
        <w:pStyle w:val="TextBody"/>
        <w:bidi w:val="0"/>
        <w:spacing w:before="120" w:after="0"/>
        <w:jc w:val="left"/>
        <w:rPr>
          <w:rFonts w:ascii="Times New Roman" w:hAnsi="Times New Roman"/>
          <w:b/>
          <w:i/>
          <w:sz w:val="20"/>
        </w:rPr>
      </w:pPr>
      <w:r>
        <w:rPr>
          <w:rFonts w:ascii="Times New Roman" w:hAnsi="Times New Roman"/>
          <w:b/>
          <w:i/>
          <w:sz w:val="20"/>
        </w:rPr>
        <w:t xml:space="preserve">(a) Registered Direct Offering </w:t>
      </w:r>
    </w:p>
    <w:p>
      <w:pPr>
        <w:pStyle w:val="TextBody"/>
        <w:bidi w:val="0"/>
        <w:spacing w:before="120" w:after="0"/>
        <w:jc w:val="left"/>
        <w:rPr>
          <w:rFonts w:ascii="Times New Roman" w:hAnsi="Times New Roman"/>
          <w:sz w:val="20"/>
        </w:rPr>
      </w:pPr>
      <w:r>
        <w:rPr>
          <w:rFonts w:ascii="Times New Roman" w:hAnsi="Times New Roman"/>
          <w:sz w:val="20"/>
        </w:rPr>
        <w:t>On October 23, 2025, Tango Therapeutics, Inc. (the “Company”) entered into an underwriting agreement (the “Underwriting Agreement”) with Leerink Partners LLC, as representative to the several underwriters named in the Underwriting Agreement (collectively, the “Underwriters”), relating to an underwritten offering (the “Registered Direct Offering”) of (i) 21,023,337 shares (the “Shares”) of the Company’s common stock, $0.001 par value per share (the “Common Stock”) and (ii) pre-funded warrants (the “Pre-Funded Warrants”) to purchase up to 3,226,458 shares of Common Stock (such shares issuable upon exercise of the Pre-Funded Warrants, the “Pre-Funded Warrant Shares”, and together with the Shares and the Pre-Funded Warrants, the “Securities”). All of the Shares and the Pre-Funded Warrants in the Offering were sold by the Company. Each Share was offered and sold at an offering price of $8.66 before deducting underwriting discounts and commissions and each Pre-Funded Warrant was offered and sold at an offering price of $8.659 which is equal to the offering price per share less the $0.001 exercise price of each Pre-Funded Warrant, before deducting underwriting discounts and commissions.</w:t>
      </w:r>
    </w:p>
    <w:p>
      <w:pPr>
        <w:pStyle w:val="TextBody"/>
        <w:bidi w:val="0"/>
        <w:spacing w:before="240" w:after="0"/>
        <w:jc w:val="left"/>
        <w:rPr>
          <w:rFonts w:ascii="Times New Roman" w:hAnsi="Times New Roman"/>
          <w:sz w:val="20"/>
        </w:rPr>
      </w:pPr>
      <w:r>
        <w:rPr>
          <w:rFonts w:ascii="Times New Roman" w:hAnsi="Times New Roman"/>
          <w:sz w:val="20"/>
        </w:rPr>
        <w:t xml:space="preserve">Each Pre-Funded Warrant has an initial exercise price per share of $0.001, subject to certain adjustments. The Pre-Funded Warrants are exercisable immediately and may be exercised at any time until all of the Pre-Funded Warrants are exercised in full. The pre-funded warrants do not expire. </w:t>
      </w:r>
    </w:p>
    <w:p>
      <w:pPr>
        <w:pStyle w:val="TextBody"/>
        <w:bidi w:val="0"/>
        <w:spacing w:before="240" w:after="0"/>
        <w:jc w:val="left"/>
        <w:rPr>
          <w:rFonts w:ascii="Times New Roman" w:hAnsi="Times New Roman"/>
          <w:sz w:val="20"/>
        </w:rPr>
      </w:pPr>
      <w:r>
        <w:rPr>
          <w:rFonts w:ascii="Times New Roman" w:hAnsi="Times New Roman"/>
          <w:sz w:val="20"/>
        </w:rPr>
        <w:t xml:space="preserve">Under the Pre-Funded Warrants, the Company may not effect the exercise of any Pre-Funded Warrant, and a holder will not be entitled to exercise any portion of any Warrant (i) if immediately prior to the exercise, a holder (together with its affiliates), beneficially owns an aggregate number of shares of Common Stock greater than 4.99% or 9.99%, as applicable (the “Maximum Percentage”) of the total number of issued and outstanding shares of Common Stock of the Company without taking into account any Pre-Funded Warrant Shares, or (ii) to the extent that immediately following the exercise, the holder (together with its affiliates) would beneficially own in excess of the Maximum Percentage of the number of shares of Common Stock outstanding immediately after giving effect to the issuance of such shares of Common Stock, which such percentage may be changed at the holder’s election to a higher or lower percentage not in excess of 19.99% upon 61 days’ notice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Registered Direct Offering is expected to close on October 24, 2025, and is subject to the satisfaction of customary closing conditions. The Company estimates that the net proceeds to the Company from the Registered Direct Offering, after deducting underwriting discounts and commissions and estimated offering expenses payable by the Company are approximately $197 million. The Company intends to use the net proceeds from the Registered Direct Offering to advance its pipeline and for working capital and general corporate purposes. Based upon the Company’s current operating plan, it believes that the net proceeds from this Registered Direct Offering and the Private Placement (defined below), together with its existing cash, cash equivalents and investments, will enable it to fund its operating expenses and capital expenditure requirements into 2028. </w:t>
      </w:r>
    </w:p>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contains customary representations, warranties and agreements by the Company, customary conditions to closing, indemnification obligations of the Company and the Underwriters, including for liabilities under the Securities Act of 1933, as amended (the “Securities Act”),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such parties.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were issued pursuant to the Company’s Registration Statement on Form S-3 (File No. 333-287202) (the “Registration Statement”), as supplemented by a prospectus supplement dated October 23, 2025. </w:t>
      </w:r>
    </w:p>
    <w:p>
      <w:pPr>
        <w:pStyle w:val="TextBody"/>
        <w:bidi w:val="0"/>
        <w:spacing w:before="240" w:after="0"/>
        <w:jc w:val="left"/>
        <w:rPr>
          <w:rFonts w:ascii="Times New Roman" w:hAnsi="Times New Roman"/>
          <w:sz w:val="20"/>
        </w:rPr>
      </w:pPr>
      <w:r>
        <w:rPr>
          <w:rFonts w:ascii="Times New Roman" w:hAnsi="Times New Roman"/>
          <w:sz w:val="20"/>
        </w:rPr>
        <w:t xml:space="preserve">A copy of the legal opinion of Goodwin Procter LLP relating to the legality of the issuance and sale of the Securities issued in the Registered Direct Offering is filed as Exhibit 5.1 to this Current Report on Form 8-K and incorporated by reference into the Registration Statement.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(b) Private Placement </w:t>
      </w:r>
    </w:p>
    <w:p>
      <w:pPr>
        <w:pStyle w:val="TextBody"/>
        <w:bidi w:val="0"/>
        <w:spacing w:before="120" w:after="0"/>
        <w:jc w:val="left"/>
        <w:rPr>
          <w:rFonts w:ascii="Times New Roman" w:hAnsi="Times New Roman"/>
          <w:sz w:val="20"/>
        </w:rPr>
      </w:pPr>
      <w:r>
        <w:rPr>
          <w:rFonts w:ascii="Times New Roman" w:hAnsi="Times New Roman"/>
          <w:sz w:val="20"/>
        </w:rPr>
        <w:t xml:space="preserve">On October 23, 2025, the Company also entered into a securities purchase agreement (the “Purchase Agreement”) with a certain accredited investor (the “Purchaser”), for the private investment in public equity (the “Private Placement”) of 1,732,101 shares (the “PIPE Shares”) of the Company’s Common Stock, at a purchase price of $8.66 per share. The aggregate gross proceeds for the Private Placement will be approximately $15 million, before deducting offering commissions and estimated offering expenses payable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closing of the Private Placement is anticipated to occur on October 24, 2025, subject to the satisfaction of customary closing conditions. Pursuant to the Purchase Agreement, the Company also agreed to file a registration statement with the Commission no later than 30 calendar days following the date of the agreement to register the resale of the PIPE Shares, to use its commercially reasonable efforts to have such registration statement to be declared effective within the time period set forth in the Purchase Agreement and to keep such registration statement effective for up to three years. The Company will also agree among other things, to indemnify the Purchasers and the Purchaser’s affiliates under the registration statement from certain liabilities and pay all fees and expenses (excluding any legal fees of the selling holder(s), and any underwriting discounts and selling commissions) incident to the Company’s obligation to file such registration statement.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Private Placement is exempt from registration pursuant to Section 4(a)(2) of the Securities Act of 1933, as amended (the “Securities Act”) and Rule 506(b) of Regulation D promulgated by the SEC thereunder, as a transaction by an issuer not involving a public offering. The Purchasers will acquire the securities for investment only and not with a view to or for sale in connection with any distribution thereof, and appropriate legends will be affixed to the securities issued in this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descriptions of the Underwriting Agreement, the Pre-Funded Warrants and the Purchase Agreement, are subject to, and qualified in their entirety by, such documents (or forms thereof), which are attached hereto as Exhibits 1.1, 4.1 and 10.1, respectively, and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3.02 Unregistered Sales of Equity Securities. </w:t>
      </w:r>
    </w:p>
    <w:p>
      <w:pPr>
        <w:pStyle w:val="TextBody"/>
        <w:bidi w:val="0"/>
        <w:spacing w:before="120" w:after="0"/>
        <w:jc w:val="left"/>
        <w:rPr>
          <w:rFonts w:ascii="Times New Roman" w:hAnsi="Times New Roman"/>
          <w:sz w:val="20"/>
        </w:rPr>
      </w:pPr>
      <w:r>
        <w:rPr>
          <w:rFonts w:ascii="Times New Roman" w:hAnsi="Times New Roman"/>
          <w:sz w:val="20"/>
        </w:rPr>
        <w:t xml:space="preserve">To the extent required by Item 3.02 of Form 8-K, the information regarding the Private Placement set forth under Item 1.01 of this Current Report on Form 8-K is incorporated by reference in this Item 3.02. The PIPE Shares issued and sold in the Private Placement are being offered pursuant to Section 4(a)(2) of the Securities Act, and Rule 506(b) of Regulation D as promulgated by the SEC under the Securities Act. The Company relied on this exemption from registration for the Private Placement based in part on the representations made by the Purchaser, including the representations with respect to the Purchaser’s investment intent. The securities were not issued through any general solicitation or advertisement. A Form D filing will be made following the closing of the Private Placement in accordance with the requirements of Regulation D. </w:t>
      </w:r>
    </w:p>
    <w:p>
      <w:pPr>
        <w:pStyle w:val="TextBody"/>
        <w:bidi w:val="0"/>
        <w:spacing w:before="240" w:after="0"/>
        <w:jc w:val="left"/>
        <w:rPr>
          <w:rFonts w:ascii="Times New Roman" w:hAnsi="Times New Roman"/>
          <w:sz w:val="20"/>
        </w:rPr>
      </w:pPr>
      <w:r>
        <w:rPr>
          <w:rFonts w:ascii="Times New Roman" w:hAnsi="Times New Roman"/>
          <w:sz w:val="20"/>
        </w:rPr>
        <w:t xml:space="preserve">Neither this Current Report on Form 8-K nor any exhibit attached hereto is an offer to sell or the solicitation of an offer to buy shares of Common Stock or other securities of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Note Regarding Forward 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and certain of the materials filed herewith contain forward-looking statements within the meaning of the Private Securities Litigation Reform Act of 1995, as amended, including, without limitation, statements regarding the Registered Direct Offering and the Private Placement, and expectations regarding the Company’s cash runway, use of capital, expenses and other future financial results. The words “may,” “might,” “will,” “could,” “would,” “should,” “expect,” “plan,” “anticipate,” “intend,” “believe,” “expect,” “estimate,” “seek,” “predict,” “future,” “project,” “potential,” “continue,” “target” and similar words or expressions are intended to identify forward-looking statements, although not all forward-looking statements contain these identifying words. Any forward-looking statements, such as those related to the anticipated closing of the Registered Direct Offering and the Private Placement, are subject to a number of risks, uncertainties and important factors that may cause actual events or results to differ materially from those expressed or implied by any forward-looking statements contained in this Current Report on Form 8-K or the materials furnished or filed herewith, including, without limitation, uncertainties related to market conditions and the completion of the Registered Direct Offering and the Private Placement on the anticipated terms or at all. These and other risks and uncertainties are described in greater detail in the section entitled “Risk Factors” in the Company’s Annual Report on Form 10-K for the year ended December 31, 2024 and the Company’s Quarterly Report on Form 10-Q for the quarters ended March 31, 2025 and June 30, 2025, as well as any subsequent filings with the SEC. In addition, any forward-looking statements represent the Company’s views only as of today and should not be relied upon as representing its views as of any subsequent date. The Company explicitly disclaims any obligation to update any forward-looking statements. No representations or warranties (expressed or implied) are made about the accuracy of any such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55"/>
        <w:gridCol w:w="120"/>
        <w:gridCol w:w="9630"/>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30"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80580dex11.htm">
              <w:r>
                <w:rPr>
                  <w:rStyle w:val="InternetLink"/>
                </w:rPr>
                <w:t>Underwriting Agreement, dated October 23, 2025, between Tango Therapeutics, Inc. and Leerink Partners LLC.</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4.1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80580dex41.htm">
              <w:r>
                <w:rPr>
                  <w:rStyle w:val="InternetLink"/>
                </w:rPr>
                <w:t>Form of Pre-Funded Warrant</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5.1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80580dex51.htm">
              <w:r>
                <w:rPr>
                  <w:rStyle w:val="InternetLink"/>
                </w:rPr>
                <w:t>Opinion of Goodwin Procter LLP.</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80580dex101.htm">
              <w:r>
                <w:rPr>
                  <w:rStyle w:val="InternetLink"/>
                </w:rPr>
                <w:t>Securities Purchase Agreement, dated as of October 23, 2025, by and between Tango Therapeutics, Inc. and the Purchaser.</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80580dex51.htm">
              <w:r>
                <w:rPr>
                  <w:rStyle w:val="InternetLink"/>
                </w:rPr>
                <w:t>Consent of Goodwin Procter LLP (contained in Exhibit 5.1)</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r>
              <w:rPr/>
              <w:t>Cover Page Interactive Data File (embedded within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623" w:type="dxa"/>
        <w:jc w:val="left"/>
        <w:tblInd w:w="0" w:type="dxa"/>
        <w:tblLayout w:type="fixed"/>
        <w:tblCellMar>
          <w:top w:w="0" w:type="dxa"/>
          <w:left w:w="0" w:type="dxa"/>
          <w:bottom w:w="0" w:type="dxa"/>
          <w:right w:w="0" w:type="dxa"/>
        </w:tblCellMar>
      </w:tblPr>
      <w:tblGrid>
        <w:gridCol w:w="2510"/>
        <w:gridCol w:w="60"/>
        <w:gridCol w:w="23"/>
        <w:gridCol w:w="60"/>
        <w:gridCol w:w="365"/>
        <w:gridCol w:w="60"/>
        <w:gridCol w:w="3545"/>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45"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b/>
              </w:rPr>
            </w:pPr>
            <w:r>
              <w:rPr>
                <w:b/>
              </w:rPr>
              <w:t>TANGO THERAPEUTICS, INC.</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605"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Date:  October 24, 2025</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Daniella Beckman</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Name: Daniella Beckman</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Title: Chief Financial Officer</w:t>
            </w:r>
          </w:p>
        </w:tc>
      </w:tr>
    </w:tbl>
    <w:p>
      <w:pPr>
        <w:pStyle w:val="TextBody"/>
        <w:bidi w:val="0"/>
        <w:spacing w:before="0" w:after="0"/>
        <w:jc w:val="right"/>
        <w:rPr>
          <w:rFonts w:ascii="Times New Roman" w:hAnsi="Times New Roman"/>
          <w:b/>
          <w:sz w:val="20"/>
        </w:rPr>
      </w:pPr>
      <w:bookmarkStart w:id="2" w:name="d80580dex11.htm"/>
      <w:bookmarkStart w:id="3" w:name="ksd80580dex11"/>
      <w:bookmarkEnd w:id="2"/>
      <w:bookmarkEnd w:id="3"/>
      <w:r>
        <w:rPr>
          <w:rFonts w:ascii="Times New Roman" w:hAnsi="Times New Roman"/>
          <w:b/>
          <w:sz w:val="20"/>
        </w:rPr>
        <w:t xml:space="preserve">Exhibit 1.1 </w:t>
      </w:r>
      <w:r>
        <w:br w:type="page"/>
      </w:r>
    </w:p>
    <w:p>
      <w:pPr>
        <w:pStyle w:val="TextBody"/>
        <w:bidi w:val="0"/>
        <w:spacing w:before="12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TANGO THERAPEUTICS, INC. </w:t>
      </w:r>
    </w:p>
    <w:p>
      <w:pPr>
        <w:pStyle w:val="TextBody"/>
        <w:bidi w:val="0"/>
        <w:spacing w:before="240" w:after="0"/>
        <w:jc w:val="center"/>
        <w:rPr>
          <w:rFonts w:ascii="Times New Roman" w:hAnsi="Times New Roman"/>
          <w:sz w:val="20"/>
        </w:rPr>
      </w:pPr>
      <w:r>
        <w:rPr>
          <w:rFonts w:ascii="Times New Roman" w:hAnsi="Times New Roman"/>
          <w:sz w:val="20"/>
        </w:rPr>
        <w:t xml:space="preserve">(a Delaware corporation) </w:t>
      </w:r>
    </w:p>
    <w:p>
      <w:pPr>
        <w:pStyle w:val="TextBody"/>
        <w:bidi w:val="0"/>
        <w:spacing w:before="240" w:after="0"/>
        <w:jc w:val="center"/>
        <w:rPr>
          <w:rFonts w:ascii="Times New Roman" w:hAnsi="Times New Roman"/>
          <w:sz w:val="20"/>
        </w:rPr>
      </w:pPr>
      <w:r>
        <w:rPr>
          <w:rFonts w:ascii="Times New Roman" w:hAnsi="Times New Roman"/>
          <w:sz w:val="20"/>
        </w:rPr>
        <w:t xml:space="preserve">21,023,337 Shares of Common Stock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Pre-Funded Warrants to Purchase 3,226,458 of Common Stock </w:t>
      </w:r>
    </w:p>
    <w:p>
      <w:pPr>
        <w:pStyle w:val="TextBody"/>
        <w:bidi w:val="0"/>
        <w:spacing w:before="240" w:after="0"/>
        <w:jc w:val="center"/>
        <w:rPr>
          <w:rFonts w:ascii="Times New Roman" w:hAnsi="Times New Roman"/>
          <w:b/>
          <w:sz w:val="20"/>
        </w:rPr>
      </w:pPr>
      <w:r>
        <w:rPr>
          <w:rFonts w:ascii="Times New Roman" w:hAnsi="Times New Roman"/>
          <w:b/>
          <w:sz w:val="20"/>
        </w:rPr>
        <w:t xml:space="preserve">UNDERWRITING AGREEMENT </w:t>
      </w:r>
    </w:p>
    <w:p>
      <w:pPr>
        <w:pStyle w:val="TextBody"/>
        <w:bidi w:val="0"/>
        <w:spacing w:before="240" w:after="0"/>
        <w:jc w:val="right"/>
        <w:rPr>
          <w:rFonts w:ascii="Times New Roman" w:hAnsi="Times New Roman"/>
          <w:sz w:val="20"/>
        </w:rPr>
      </w:pPr>
      <w:r>
        <w:rPr>
          <w:rFonts w:ascii="Times New Roman" w:hAnsi="Times New Roman"/>
          <w:sz w:val="20"/>
        </w:rPr>
        <w:t xml:space="preserve">October 23, 2025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LLC </w:t>
      </w:r>
    </w:p>
    <w:p>
      <w:pPr>
        <w:pStyle w:val="TextBody"/>
        <w:bidi w:val="0"/>
        <w:spacing w:before="0" w:after="0"/>
        <w:jc w:val="left"/>
        <w:rPr>
          <w:rFonts w:ascii="Times New Roman" w:hAnsi="Times New Roman"/>
          <w:sz w:val="20"/>
        </w:rPr>
      </w:pPr>
      <w:r>
        <w:rPr>
          <w:rFonts w:ascii="Times New Roman" w:hAnsi="Times New Roman"/>
          <w:sz w:val="20"/>
        </w:rPr>
        <w:t xml:space="preserve">as Representative of the several Underwriters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1"/>
        <w:gridCol w:w="120"/>
        <w:gridCol w:w="9754"/>
      </w:tblGrid>
      <w:tr>
        <w:trPr/>
        <w:tc>
          <w:tcPr>
            <w:tcW w:w="33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754" w:type="dxa"/>
            <w:tcBorders/>
            <w:vAlign w:val="center"/>
          </w:tcPr>
          <w:p>
            <w:pPr>
              <w:pStyle w:val="TableContents"/>
              <w:bidi w:val="0"/>
              <w:spacing w:before="0" w:after="283"/>
              <w:jc w:val="left"/>
              <w:rPr>
                <w:sz w:val="4"/>
                <w:szCs w:val="4"/>
              </w:rPr>
            </w:pPr>
            <w:r>
              <w:rPr>
                <w:sz w:val="4"/>
                <w:szCs w:val="4"/>
              </w:rPr>
            </w:r>
          </w:p>
        </w:tc>
      </w:tr>
      <w:tr>
        <w:trPr/>
        <w:tc>
          <w:tcPr>
            <w:tcW w:w="331" w:type="dxa"/>
            <w:tcBorders/>
          </w:tcPr>
          <w:p>
            <w:pPr>
              <w:pStyle w:val="TableContents"/>
              <w:bidi w:val="0"/>
              <w:spacing w:before="0" w:after="283"/>
              <w:jc w:val="left"/>
              <w:rPr/>
            </w:pPr>
            <w:r>
              <w:rPr/>
              <w:t>c/o</w:t>
            </w:r>
          </w:p>
        </w:tc>
        <w:tc>
          <w:tcPr>
            <w:tcW w:w="120" w:type="dxa"/>
            <w:tcBorders/>
            <w:vAlign w:val="bottom"/>
          </w:tcPr>
          <w:p>
            <w:pPr>
              <w:pStyle w:val="TableContents"/>
              <w:bidi w:val="0"/>
              <w:spacing w:before="0" w:after="283"/>
              <w:jc w:val="left"/>
              <w:rPr/>
            </w:pPr>
            <w:r>
              <w:rPr/>
              <w:t>  </w:t>
            </w:r>
          </w:p>
        </w:tc>
        <w:tc>
          <w:tcPr>
            <w:tcW w:w="9754" w:type="dxa"/>
            <w:tcBorders/>
          </w:tcPr>
          <w:p>
            <w:pPr>
              <w:pStyle w:val="TableContents"/>
              <w:bidi w:val="0"/>
              <w:spacing w:before="0" w:after="0"/>
              <w:jc w:val="left"/>
              <w:rPr>
                <w:rFonts w:ascii="Times New Roman" w:hAnsi="Times New Roman"/>
                <w:sz w:val="20"/>
              </w:rPr>
            </w:pPr>
            <w:r>
              <w:rPr>
                <w:rFonts w:ascii="Times New Roman" w:hAnsi="Times New Roman"/>
                <w:sz w:val="20"/>
              </w:rPr>
              <w:t>Leerink Partners LLC</w:t>
            </w:r>
          </w:p>
          <w:p>
            <w:pPr>
              <w:pStyle w:val="TableContents"/>
              <w:bidi w:val="0"/>
              <w:spacing w:before="0" w:after="0"/>
              <w:jc w:val="left"/>
              <w:rPr>
                <w:rFonts w:ascii="Times New Roman" w:hAnsi="Times New Roman"/>
                <w:sz w:val="20"/>
              </w:rPr>
            </w:pPr>
            <w:r>
              <w:rPr>
                <w:rFonts w:ascii="Times New Roman" w:hAnsi="Times New Roman"/>
                <w:sz w:val="20"/>
              </w:rPr>
              <w:t>53 State Street, 40th Floor</w:t>
            </w:r>
          </w:p>
          <w:p>
            <w:pPr>
              <w:pStyle w:val="TableContents"/>
              <w:bidi w:val="0"/>
              <w:spacing w:before="0" w:after="20"/>
              <w:jc w:val="left"/>
              <w:rPr>
                <w:rFonts w:ascii="Times New Roman" w:hAnsi="Times New Roman"/>
                <w:sz w:val="20"/>
              </w:rPr>
            </w:pPr>
            <w:r>
              <w:rPr>
                <w:rFonts w:ascii="Times New Roman" w:hAnsi="Times New Roman"/>
                <w:sz w:val="20"/>
              </w:rPr>
              <w:t>Boston, Massachusetts 02109</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Tango Therapeutics, Inc., a Delaware corporation (the “</w:t>
      </w:r>
      <w:r>
        <w:rPr>
          <w:rFonts w:ascii="Times New Roman" w:hAnsi="Times New Roman"/>
          <w:sz w:val="20"/>
          <w:u w:val="single"/>
        </w:rPr>
        <w:t>Company</w:t>
      </w:r>
      <w:r>
        <w:rPr>
          <w:rFonts w:ascii="Times New Roman" w:hAnsi="Times New Roman"/>
          <w:sz w:val="20"/>
        </w:rPr>
        <w:t>”), confirms its agreement with Leerink Partners LLC (“</w:t>
      </w:r>
      <w:r>
        <w:rPr>
          <w:rFonts w:ascii="Times New Roman" w:hAnsi="Times New Roman"/>
          <w:sz w:val="20"/>
          <w:u w:val="single"/>
        </w:rPr>
        <w:t>Leerink Partners</w:t>
      </w:r>
      <w:r>
        <w:rPr>
          <w:rFonts w:ascii="Times New Roman" w:hAnsi="Times New Roman"/>
          <w:sz w:val="20"/>
        </w:rPr>
        <w:t xml:space="preserve">”) and each of the other Underwriters named in </w:t>
      </w:r>
      <w:r>
        <w:rPr>
          <w:rFonts w:ascii="Times New Roman" w:hAnsi="Times New Roman"/>
          <w:sz w:val="20"/>
          <w:u w:val="single"/>
        </w:rPr>
        <w:t>Schedule A</w:t>
      </w:r>
      <w:r>
        <w:rPr>
          <w:rFonts w:ascii="Times New Roman" w:hAnsi="Times New Roman"/>
          <w:sz w:val="20"/>
        </w:rPr>
        <w:t xml:space="preserve"> hereto (collectively, the “</w:t>
      </w:r>
      <w:r>
        <w:rPr>
          <w:rFonts w:ascii="Times New Roman" w:hAnsi="Times New Roman"/>
          <w:sz w:val="20"/>
          <w:u w:val="single"/>
        </w:rPr>
        <w:t>Underwriters</w:t>
      </w:r>
      <w:r>
        <w:rPr>
          <w:rFonts w:ascii="Times New Roman" w:hAnsi="Times New Roman"/>
          <w:sz w:val="20"/>
        </w:rPr>
        <w:t>,” which term shall also include any underwriter substituted as hereinafter provided in Section 10 hereof), for which Leerink Partners is acting as representative (in such capacity, the “</w:t>
      </w:r>
      <w:r>
        <w:rPr>
          <w:rFonts w:ascii="Times New Roman" w:hAnsi="Times New Roman"/>
          <w:sz w:val="20"/>
          <w:u w:val="single"/>
        </w:rPr>
        <w:t>Representative</w:t>
      </w:r>
      <w:r>
        <w:rPr>
          <w:rFonts w:ascii="Times New Roman" w:hAnsi="Times New Roman"/>
          <w:sz w:val="20"/>
        </w:rPr>
        <w:t>”), with respect to the sale by the Company and the purchase by the Underwriters, acting severally and not jointly, of (i) an aggregate of 21,023,337 shares (the “</w:t>
      </w:r>
      <w:r>
        <w:rPr>
          <w:rFonts w:ascii="Times New Roman" w:hAnsi="Times New Roman"/>
          <w:sz w:val="20"/>
          <w:u w:val="single"/>
        </w:rPr>
        <w:t>Shares</w:t>
      </w:r>
      <w:r>
        <w:rPr>
          <w:rFonts w:ascii="Times New Roman" w:hAnsi="Times New Roman"/>
          <w:sz w:val="20"/>
        </w:rPr>
        <w:t>”) of its common stock, par value $0.001 per share (the “</w:t>
      </w:r>
      <w:r>
        <w:rPr>
          <w:rFonts w:ascii="Times New Roman" w:hAnsi="Times New Roman"/>
          <w:sz w:val="20"/>
          <w:u w:val="single"/>
        </w:rPr>
        <w:t>Common Stock</w:t>
      </w:r>
      <w:r>
        <w:rPr>
          <w:rFonts w:ascii="Times New Roman" w:hAnsi="Times New Roman"/>
          <w:sz w:val="20"/>
        </w:rPr>
        <w:t>”), and (ii) pre-funded warrants of the Company to purchase up to an aggregate of 3,226,458 shares of common stock (the “</w:t>
      </w:r>
      <w:r>
        <w:rPr>
          <w:rFonts w:ascii="Times New Roman" w:hAnsi="Times New Roman"/>
          <w:sz w:val="20"/>
          <w:u w:val="single"/>
        </w:rPr>
        <w:t>Pre-Funded Warrants</w:t>
      </w:r>
      <w:r>
        <w:rPr>
          <w:rFonts w:ascii="Times New Roman" w:hAnsi="Times New Roman"/>
          <w:sz w:val="20"/>
        </w:rPr>
        <w:t xml:space="preserve">”) as set forth in </w:t>
      </w:r>
      <w:r>
        <w:rPr>
          <w:rFonts w:ascii="Times New Roman" w:hAnsi="Times New Roman"/>
          <w:sz w:val="20"/>
          <w:u w:val="single"/>
        </w:rPr>
        <w:t>Schedule A</w:t>
      </w:r>
      <w:r>
        <w:rPr>
          <w:rFonts w:ascii="Times New Roman" w:hAnsi="Times New Roman"/>
          <w:sz w:val="20"/>
        </w:rPr>
        <w:t xml:space="preserve"> hereto. The Shares and Pre-Funded Warrants are hereinafter called the “</w:t>
      </w:r>
      <w:r>
        <w:rPr>
          <w:rFonts w:ascii="Times New Roman" w:hAnsi="Times New Roman"/>
          <w:sz w:val="20"/>
          <w:u w:val="single"/>
        </w:rPr>
        <w:t>Securities</w:t>
      </w:r>
      <w:r>
        <w:rPr>
          <w:rFonts w:ascii="Times New Roman" w:hAnsi="Times New Roman"/>
          <w:sz w:val="20"/>
        </w:rPr>
        <w:t>”. As used herein, “</w:t>
      </w:r>
      <w:r>
        <w:rPr>
          <w:rFonts w:ascii="Times New Roman" w:hAnsi="Times New Roman"/>
          <w:sz w:val="20"/>
          <w:u w:val="single"/>
        </w:rPr>
        <w:t>Warrant Shares</w:t>
      </w:r>
      <w:r>
        <w:rPr>
          <w:rFonts w:ascii="Times New Roman" w:hAnsi="Times New Roman"/>
          <w:sz w:val="20"/>
        </w:rPr>
        <w:t xml:space="preserve">” means the shares of common stock issuable upon exercise of the Pre-Funded Warrants. </w:t>
      </w:r>
    </w:p>
    <w:p>
      <w:pPr>
        <w:pStyle w:val="TextBody"/>
        <w:bidi w:val="0"/>
        <w:spacing w:before="240" w:after="0"/>
        <w:jc w:val="left"/>
        <w:rPr>
          <w:rFonts w:ascii="Times New Roman" w:hAnsi="Times New Roman"/>
          <w:sz w:val="20"/>
        </w:rPr>
      </w:pPr>
      <w:r>
        <w:rPr>
          <w:rFonts w:ascii="Times New Roman" w:hAnsi="Times New Roman"/>
          <w:sz w:val="20"/>
        </w:rPr>
        <w:t>The Company understands that the Underwriters propose to make an offering of the Securities as soon as the Representative deems advisable after this Underwriting Agreement (this “</w:t>
      </w:r>
      <w:r>
        <w:rPr>
          <w:rFonts w:ascii="Times New Roman" w:hAnsi="Times New Roman"/>
          <w:sz w:val="20"/>
          <w:u w:val="single"/>
        </w:rPr>
        <w:t>Agreement</w:t>
      </w:r>
      <w:r>
        <w:rPr>
          <w:rFonts w:ascii="Times New Roman" w:hAnsi="Times New Roman"/>
          <w:sz w:val="20"/>
        </w:rPr>
        <w:t xml:space="preserve">”) has been executed and delivered. </w:t>
      </w:r>
    </w:p>
    <w:p>
      <w:pPr>
        <w:pStyle w:val="TextBody"/>
        <w:bidi w:val="0"/>
        <w:spacing w:before="240" w:after="0"/>
        <w:jc w:val="left"/>
        <w:rPr>
          <w:rFonts w:ascii="Times New Roman" w:hAnsi="Times New Roman"/>
          <w:sz w:val="20"/>
        </w:rPr>
      </w:pPr>
      <w:r>
        <w:rPr>
          <w:rFonts w:ascii="Times New Roman" w:hAnsi="Times New Roman"/>
          <w:sz w:val="20"/>
        </w:rPr>
        <w:t>The Company has filed with the Securities and Exchange Commission (the “</w:t>
      </w:r>
      <w:r>
        <w:rPr>
          <w:rFonts w:ascii="Times New Roman" w:hAnsi="Times New Roman"/>
          <w:sz w:val="20"/>
          <w:u w:val="single"/>
        </w:rPr>
        <w:t>Commission</w:t>
      </w:r>
      <w:r>
        <w:rPr>
          <w:rFonts w:ascii="Times New Roman" w:hAnsi="Times New Roman"/>
          <w:sz w:val="20"/>
        </w:rPr>
        <w:t>”) a shelf registration statement on Form S-3 (No. 333-287202), covering the public offering and sale of certain securities, including the Securities, under the Securities Act of 1933, as amended (the “</w:t>
      </w:r>
      <w:r>
        <w:rPr>
          <w:rFonts w:ascii="Times New Roman" w:hAnsi="Times New Roman"/>
          <w:sz w:val="20"/>
          <w:u w:val="single"/>
        </w:rPr>
        <w:t>1933 Act</w:t>
      </w:r>
      <w:r>
        <w:rPr>
          <w:rFonts w:ascii="Times New Roman" w:hAnsi="Times New Roman"/>
          <w:sz w:val="20"/>
        </w:rPr>
        <w:t>”) and the rules and regulations of the Commission promulgated thereunder (the “</w:t>
      </w:r>
      <w:r>
        <w:rPr>
          <w:rFonts w:ascii="Times New Roman" w:hAnsi="Times New Roman"/>
          <w:sz w:val="20"/>
          <w:u w:val="single"/>
        </w:rPr>
        <w:t>1933 Act Regulations</w:t>
      </w:r>
      <w:r>
        <w:rPr>
          <w:rFonts w:ascii="Times New Roman" w:hAnsi="Times New Roman"/>
          <w:sz w:val="20"/>
        </w:rPr>
        <w:t>”), which shelf registration statement was declared effective on May 21, 2025. Such registration statement, as of any time, means such registration statement as amended by any post-effective amendments thereto to such time, including the exhibits and any schedules thereto at such time, the documents incorporated or deemed to be incorporated by reference therein at such time pursuant to Item 12 of Form S-3 under the 1933 Act and the documents otherwise deemed to be a part thereof as of such time pursuant to Rule 430B under the 1933 Act Regulations (“</w:t>
      </w:r>
      <w:r>
        <w:rPr>
          <w:rFonts w:ascii="Times New Roman" w:hAnsi="Times New Roman"/>
          <w:sz w:val="20"/>
          <w:u w:val="single"/>
        </w:rPr>
        <w:t>Rule 430B</w:t>
      </w:r>
      <w:r>
        <w:rPr>
          <w:rFonts w:ascii="Times New Roman" w:hAnsi="Times New Roman"/>
          <w:sz w:val="20"/>
        </w:rPr>
        <w:t xml:space="preserve">”), is referred to herein as the “Registration Statement;” provided, however, that the “Registration Statement” without reference to a time means such registration statement as amended by any post-effective amendments thereto as of the time of the first contract of sale for the Securities, which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time shall be considered the “new effective date” of such registration statement with respect to the Securities within the meaning of paragraph (f)(2) of Rule 430B, including the exhibits and schedules thereto as of such time, the documents incorporated or deemed incorporated by reference therein at such time pursuant to Item 12 of Form S-3 under the 1933 Act and the documents otherwise deemed to be a part thereof as of such time pursuant to the Rule 430B. Any registration statement filed pursuant to Rule 462(b) of the 1933 Act Regulations is herein called the “</w:t>
      </w:r>
      <w:r>
        <w:rPr>
          <w:rFonts w:ascii="Times New Roman" w:hAnsi="Times New Roman"/>
          <w:sz w:val="20"/>
          <w:u w:val="single"/>
        </w:rPr>
        <w:t>Rule 462(b) Registration Statement</w:t>
      </w:r>
      <w:r>
        <w:rPr>
          <w:rFonts w:ascii="Times New Roman" w:hAnsi="Times New Roman"/>
          <w:sz w:val="20"/>
        </w:rPr>
        <w:t xml:space="preserve">” and, after such filing, the term “Registration Statement” shall include the Rule 462(b) Registration Statement. Each preliminary prospectus used in connection with the offering of the Securities, including the documents incorporated or deemed to be incorporated by reference therein pursuant to Item 12 of Form S-3 under the 1933 Act, are collectively referred to herein as a “preliminary prospectus.” If no preliminary prospectus supplement is filed and distributed to investors in connection with the offering, the “preliminary prospectus” shall be deemed to be the prospectus included in the Registration Statement (including any documents incorporated therein by reference) as such as been filed with the Commission at the Applicable Time. Promptly after execution and delivery of this Agreement, the Company will prepare and file a final prospectus relating to the Securities in accordance with the provisions of Rule 424(b) under the 1933 Act Regulations (“Rule 424(b)”). The final prospectus, in the form first furnished or made available to the Underwriters for use in connection with the offering of the Securities, including the documents incorporated or deemed to be incorporated by reference therein pursuant to Item 12 of Form S-3 under the 1933 Act, are collectively referred to herein as the “Prospectus.” For purposes of this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(or any successor system) (“EDGAR”).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Agreement: </w:t>
      </w:r>
    </w:p>
    <w:p>
      <w:pPr>
        <w:pStyle w:val="TextBody"/>
        <w:bidi w:val="0"/>
        <w:spacing w:before="120" w:after="0"/>
        <w:jc w:val="left"/>
        <w:rPr/>
      </w:pPr>
      <w:r>
        <w:rPr/>
        <w:t>“</w:t>
      </w:r>
      <w:r>
        <w:rPr>
          <w:rFonts w:ascii="Times New Roman" w:hAnsi="Times New Roman"/>
          <w:sz w:val="20"/>
        </w:rPr>
        <w:t xml:space="preserve">Applicable Time” means 7:05 A.M., New York City time, on October 23, 2025 or such other time as agreed by the Company and the Representative. </w:t>
      </w:r>
    </w:p>
    <w:p>
      <w:pPr>
        <w:pStyle w:val="TextBody"/>
        <w:bidi w:val="0"/>
        <w:spacing w:before="120" w:after="0"/>
        <w:jc w:val="left"/>
        <w:rPr/>
      </w:pPr>
      <w:r>
        <w:rPr/>
        <w:t>“</w:t>
      </w:r>
      <w:r>
        <w:rPr>
          <w:rFonts w:ascii="Times New Roman" w:hAnsi="Times New Roman"/>
          <w:sz w:val="20"/>
        </w:rPr>
        <w:t xml:space="preserve">General Disclosure Package” means any Issuer General Use Free Writing Prospectuses issued at or prior to the Applicable Time, the most recent preliminary prospectus (including any documents incorporated therein by reference) that is distributed to investors prior to the Applicable Time and the information included on </w:t>
      </w:r>
      <w:r>
        <w:rPr>
          <w:rFonts w:ascii="Times New Roman" w:hAnsi="Times New Roman"/>
          <w:sz w:val="20"/>
          <w:u w:val="single"/>
        </w:rPr>
        <w:t>Schedule B-1</w:t>
      </w:r>
      <w:r>
        <w:rPr>
          <w:rFonts w:ascii="Times New Roman" w:hAnsi="Times New Roman"/>
          <w:sz w:val="20"/>
        </w:rPr>
        <w:t xml:space="preserve"> hereto, all considered together. </w:t>
      </w:r>
    </w:p>
    <w:p>
      <w:pPr>
        <w:pStyle w:val="TextBody"/>
        <w:bidi w:val="0"/>
        <w:spacing w:before="120" w:after="0"/>
        <w:jc w:val="left"/>
        <w:rPr/>
      </w:pPr>
      <w:r>
        <w:rPr/>
        <w:t>“</w:t>
      </w:r>
      <w:r>
        <w:rPr>
          <w:rFonts w:ascii="Times New Roman" w:hAnsi="Times New Roman"/>
          <w:sz w:val="20"/>
        </w:rPr>
        <w:t>Issuer Free Writing Prospectus” means any “issuer free writing prospectus,” as defined in Rule 433 of the 1933 Act Regulations (“</w:t>
      </w:r>
      <w:r>
        <w:rPr>
          <w:rFonts w:ascii="Times New Roman" w:hAnsi="Times New Roman"/>
          <w:sz w:val="20"/>
          <w:u w:val="single"/>
        </w:rPr>
        <w:t>Rule 433</w:t>
      </w:r>
      <w:r>
        <w:rPr>
          <w:rFonts w:ascii="Times New Roman" w:hAnsi="Times New Roman"/>
          <w:sz w:val="20"/>
        </w:rPr>
        <w:t>”), including without limitation any “free writing prospectus” (as defined in Rule 405 of the 1933 Act Regulations (“</w:t>
      </w:r>
      <w:r>
        <w:rPr>
          <w:rFonts w:ascii="Times New Roman" w:hAnsi="Times New Roman"/>
          <w:sz w:val="20"/>
          <w:u w:val="single"/>
        </w:rPr>
        <w:t>Rule 405</w:t>
      </w:r>
      <w:r>
        <w:rPr>
          <w:rFonts w:ascii="Times New Roman" w:hAnsi="Times New Roman"/>
          <w:sz w:val="20"/>
        </w:rPr>
        <w:t xml:space="preserve">”)) relating to the Securities that is (i) required to be filed with the Commission by the Company, (ii) a “road show for an offering that is a written communication” within the meaning of Rule 433(d)(8)(i), whether or not required to be filed with the Commission, or (iii) exempt from filing with the Commission pursuant to Rule 433(d)(5)(i) because it contains a description of the Securities or of the offering that does not reflect the final terms, in each case in the form filed or required to be filed with the Commission or, if not required to be filed, in the form retained in the Company’s records pursuant to Rule 433(g). </w:t>
      </w:r>
    </w:p>
    <w:p>
      <w:pPr>
        <w:pStyle w:val="TextBody"/>
        <w:bidi w:val="0"/>
        <w:spacing w:before="120" w:after="0"/>
        <w:jc w:val="left"/>
        <w:rPr/>
      </w:pPr>
      <w:r>
        <w:rPr/>
        <w:t>“</w:t>
      </w:r>
      <w:r>
        <w:rPr>
          <w:rFonts w:ascii="Times New Roman" w:hAnsi="Times New Roman"/>
          <w:sz w:val="20"/>
        </w:rPr>
        <w:t>Issuer General Use Free Writing Prospectus” means any Issuer Free Writing Prospectus that is intended for general distribution to prospective investors (other than a “</w:t>
      </w:r>
      <w:r>
        <w:rPr>
          <w:rFonts w:ascii="Times New Roman" w:hAnsi="Times New Roman"/>
          <w:i/>
          <w:sz w:val="20"/>
        </w:rPr>
        <w:t>bona fide</w:t>
      </w:r>
      <w:r>
        <w:rPr>
          <w:rFonts w:ascii="Times New Roman" w:hAnsi="Times New Roman"/>
          <w:sz w:val="20"/>
        </w:rPr>
        <w:t xml:space="preserve"> electronic road show,” as defined in Rule 433 (a “</w:t>
      </w:r>
      <w:r>
        <w:rPr>
          <w:rFonts w:ascii="Times New Roman" w:hAnsi="Times New Roman"/>
          <w:sz w:val="20"/>
          <w:u w:val="single"/>
        </w:rPr>
        <w:t>Bona Fide Electronic Road Show</w:t>
      </w:r>
      <w:r>
        <w:rPr>
          <w:rFonts w:ascii="Times New Roman" w:hAnsi="Times New Roman"/>
          <w:sz w:val="20"/>
        </w:rPr>
        <w:t xml:space="preserve">”)), as evidenced by its being specified in </w:t>
      </w:r>
      <w:r>
        <w:rPr>
          <w:rFonts w:ascii="Times New Roman" w:hAnsi="Times New Roman"/>
          <w:sz w:val="20"/>
          <w:u w:val="single"/>
        </w:rPr>
        <w:t>Schedule B-2</w:t>
      </w:r>
      <w:r>
        <w:rPr>
          <w:rFonts w:ascii="Times New Roman" w:hAnsi="Times New Roman"/>
          <w:sz w:val="20"/>
        </w:rPr>
        <w:t xml:space="preserve"> hereto. </w:t>
      </w:r>
    </w:p>
    <w:p>
      <w:pPr>
        <w:pStyle w:val="TextBody"/>
        <w:bidi w:val="0"/>
        <w:spacing w:before="120" w:after="0"/>
        <w:jc w:val="left"/>
        <w:rPr/>
      </w:pPr>
      <w:r>
        <w:rPr/>
        <w:t>“</w:t>
      </w:r>
      <w:r>
        <w:rPr>
          <w:rFonts w:ascii="Times New Roman" w:hAnsi="Times New Roman"/>
          <w:sz w:val="20"/>
        </w:rPr>
        <w:t xml:space="preserve">Issuer Limited Use Free Writing Prospectus” means any Issuer Free Writing Prospectus that is not an Issuer General Use Free Writing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Testing-the-Waters Communication” means any oral or written communication with potential investors undertaken in reliance on Section 5(d) of the 1933 Act. </w:t>
      </w:r>
    </w:p>
    <w:p>
      <w:pPr>
        <w:pStyle w:val="TextBody"/>
        <w:bidi w:val="0"/>
        <w:spacing w:before="120" w:after="0"/>
        <w:jc w:val="left"/>
        <w:rPr/>
      </w:pPr>
      <w:r>
        <w:rPr/>
        <w:t>“</w:t>
      </w:r>
      <w:r>
        <w:rPr>
          <w:rFonts w:ascii="Times New Roman" w:hAnsi="Times New Roman"/>
          <w:sz w:val="20"/>
        </w:rPr>
        <w:t xml:space="preserve">Written Testing-the-Waters Communication” means any Testing-the-Waters Communication that is a written communication within the meaning of Rule 405 under the 1933 Act. </w:t>
      </w:r>
    </w:p>
    <w:p>
      <w:pPr>
        <w:pStyle w:val="TextBody"/>
        <w:bidi w:val="0"/>
        <w:spacing w:before="240" w:after="0"/>
        <w:jc w:val="left"/>
        <w:rPr>
          <w:rFonts w:ascii="Times New Roman" w:hAnsi="Times New Roman"/>
          <w:sz w:val="20"/>
        </w:rPr>
      </w:pPr>
      <w:r>
        <w:rPr>
          <w:rFonts w:ascii="Times New Roman" w:hAnsi="Times New Roman"/>
          <w:sz w:val="20"/>
        </w:rPr>
        <w:t xml:space="preserve">All references in this Agreement to financial statements and schedules and other information which is “contained,” “included” or “stated” (or other references of like import) in the Registration Statement, any preliminary prospectus or the Prospectus shall be deemed to include all such financial statements and schedules and other information incorporated or deemed incorporated by reference in the Registration Statement, any preliminary prospectus or the Prospectus, as the case may be, prior to the execution and delivery of this Agreement; and all references in this Agreement to amendments or supplements to the Registration Statement, any preliminary prospectus or the Prospectus shall be deemed to include the filing of any document under the Securities Exchange Act of 1934, as amended, and the rules and regulations promulgated thereunder (collectively, the “1934 Act”), incorporated or deemed to be incorporated by reference in the Registration Statement, such preliminary prospectus or the Prospectus, as the case may be, at or after the execution and delivery of this Agreement. </w:t>
      </w:r>
    </w:p>
    <w:p>
      <w:pPr>
        <w:pStyle w:val="TextBody"/>
        <w:bidi w:val="0"/>
        <w:spacing w:before="240" w:after="0"/>
        <w:jc w:val="left"/>
        <w:rPr>
          <w:rFonts w:ascii="Times New Roman" w:hAnsi="Times New Roman"/>
          <w:sz w:val="20"/>
        </w:rPr>
      </w:pPr>
      <w:r>
        <w:rPr>
          <w:rFonts w:ascii="Times New Roman" w:hAnsi="Times New Roman"/>
          <w:sz w:val="20"/>
        </w:rPr>
        <w:t>SECTION 1. </w:t>
      </w:r>
      <w:r>
        <w:rPr>
          <w:rFonts w:ascii="Times New Roman" w:hAnsi="Times New Roman"/>
          <w:sz w:val="20"/>
          <w:u w:val="single"/>
        </w:rPr>
        <w:t>Representations and Warranties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i/>
          <w:sz w:val="20"/>
        </w:rPr>
        <w:t>Representations and Warranties by the Company</w:t>
      </w:r>
      <w:r>
        <w:rPr>
          <w:rFonts w:ascii="Times New Roman" w:hAnsi="Times New Roman"/>
          <w:sz w:val="20"/>
        </w:rPr>
        <w:t xml:space="preserve">. The Company represents and warrants to each Underwriter as of the date hereof, the Applicable Time and the Closing Time (as defined below), and agrees with each Underwriter, as follows: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sz w:val="20"/>
          <w:u w:val="single"/>
        </w:rPr>
        <w:t>Registration Statement and Prospectuses</w:t>
      </w:r>
      <w:r>
        <w:rPr>
          <w:rFonts w:ascii="Times New Roman" w:hAnsi="Times New Roman"/>
          <w:sz w:val="20"/>
        </w:rPr>
        <w:t xml:space="preserve">. The Company meets the requirements for use of Form S-3 under the 1933 Act. Each of the Registration Statement and any amendment thereto has become effective under the 1933 Act. No stop order suspending the effectiveness of the Registration Statement or any post-effective amendment thereto has been issued by the Commission under the 1933 Act, no order preventing or suspending the use of any preliminary prospectus or the Prospectus has been issued by the Commission and no proceedings for any of those purposes have been instituted by the Commission or are pending or, to the Company’s knowledge, contemplated by the Commission. The Company has complied with each request (if any) from the Commission for additional information. </w:t>
      </w:r>
    </w:p>
    <w:p>
      <w:pPr>
        <w:pStyle w:val="TextBody"/>
        <w:bidi w:val="0"/>
        <w:spacing w:before="120" w:after="0"/>
        <w:jc w:val="left"/>
        <w:rPr>
          <w:rFonts w:ascii="Times New Roman" w:hAnsi="Times New Roman"/>
          <w:sz w:val="20"/>
        </w:rPr>
      </w:pPr>
      <w:r>
        <w:rPr>
          <w:rFonts w:ascii="Times New Roman" w:hAnsi="Times New Roman"/>
          <w:sz w:val="20"/>
        </w:rPr>
        <w:t xml:space="preserve">Each of the Registration Statement and any post-effective amendment thereto, at the time of its effectiveness and at each deemed effective date with respect to the Underwriters pursuant to Rule 430B(f)(2) under the 1933 Act Regulations, complied in all material respects with the requirements of the 1933 Act and the 1933 Act Regulations. Each preliminary prospectus, the Prospectus and any amendment or supplement thereto, at the time each was filed with the Commission, complied in all material respects with the requirements of the 1933 Act and the 1933 Act Regulations. Each preliminary prospectus delivered to the Underwriters for use in connection with the offering and the Prospectus was or will be identical to the electronically transmitted copies thereof filed with the Commission pursuant to EDGAR, except to the extent permitted by Regulation S-T. </w:t>
      </w:r>
    </w:p>
    <w:p>
      <w:pPr>
        <w:pStyle w:val="TextBody"/>
        <w:bidi w:val="0"/>
        <w:spacing w:before="120" w:after="0"/>
        <w:jc w:val="left"/>
        <w:rPr>
          <w:rFonts w:ascii="Times New Roman" w:hAnsi="Times New Roman"/>
          <w:sz w:val="20"/>
        </w:rPr>
      </w:pPr>
      <w:r>
        <w:rPr>
          <w:rFonts w:ascii="Times New Roman" w:hAnsi="Times New Roman"/>
          <w:sz w:val="20"/>
        </w:rPr>
        <w:t xml:space="preserve">The documents incorporated or deemed to be incorporated by reference in the Registration Statement and the Prospectus, when they became effective or at the time they were or hereafter are filed with the Commission, complied and will comply in all material respects with the requirements of the 1934 Act and the rules and regulations of the Commission under the 1934 Act (the “1934 Act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Registration Statement, any preliminary prospectus and the Prospectus, and the filing of the Registration Statement, any preliminary prospectus and the Prospectus with the Commission have been duly authorized by and on behalf of the Company, and the Registration Statement has been duly executed pursuant to such authorization. </w:t>
      </w:r>
    </w:p>
    <w:p>
      <w:pPr>
        <w:pStyle w:val="TextBody"/>
        <w:bidi w:val="0"/>
        <w:spacing w:before="12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Accurate Disclosure</w:t>
      </w:r>
      <w:r>
        <w:rPr>
          <w:rFonts w:ascii="Times New Roman" w:hAnsi="Times New Roman"/>
          <w:sz w:val="20"/>
        </w:rPr>
        <w:t xml:space="preserve">. Neither the Registration Statement nor any amendment thereto, at its effective time, at the Closing Time, contained, contains or will contain an untrue statement of a material fact or omitted, omits or will omit to state a material fact required to be stated therein or necessary to make the statements therein not misleading. As of the Applicable Time, none of (A) the General Disclosure Package, (B) any individual Issuer Limited Use Free Writing Prospectus, when considered together with the General Disclosure Package, nor (C) any individual Written Testing-the-Waters Communication, when considered together with the General Disclosure Package, included, includes or will include an untrue statement of a material fact or omitted, omits or will omit to state a material fact necessary in order to make the statements therein, in the light of the circumstances under which they were made, not misleading. Neither the Prospectus nor any amendment or supplement thereto (including any prospectus wrapper), as of its issue date, at the time of any filing with the Commission pursuant to Rule 424(b), at the Closing Time, included, includes or will include an untrue statement of a material fact or omitted, omits or will omit to state a material fact necessary in order to make the statements therein, in the light of the circumstances under which they were made, not misleading. The documents incorporated or deemed to be incorporated by reference in the Registration Statement, the General Disclosure Package and the Prospectus, at the time the Registration Statement became effective or when such documents incorporated by reference were filed with the Commission, as the case may be, when read together with the other information in the Registration Statement, the General Disclosure Package or the Prospectus, as the case may be, did not and will not include an untrue statement of a material fact or omit to state a material fact required to be stated therein or necessary to make the statements therein, in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The representations and warranties in this subsection shall not apply to statements in or omissions from the Registration Statement (or any amendment thereto), the General Disclosure Package or the Prospectus (or any amendment or supplement thereto, including any prospectus wrapper) made in reliance upon and in conformity with written information furnished to the Company by any Underwriter through the Representative expressly for use therein. For purposes of this Agreement, the only information so furnished shall be the information in (i) the sentences and figure relating to selling concession appearing under the heading “Underwriting” and (ii) the statements concerning the Underwriters contained in the paragraphs related to price stabilization, short positions and penalty binds under the heading “Underwriting,” in each case contained in the Prospectus (collectively, the “</w:t>
      </w:r>
      <w:r>
        <w:rPr>
          <w:rFonts w:ascii="Times New Roman" w:hAnsi="Times New Roman"/>
          <w:sz w:val="20"/>
          <w:u w:val="single"/>
        </w:rPr>
        <w:t>Underwriter Information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(iii) </w:t>
      </w:r>
      <w:r>
        <w:rPr>
          <w:rFonts w:ascii="Times New Roman" w:hAnsi="Times New Roman"/>
          <w:sz w:val="20"/>
          <w:u w:val="single"/>
        </w:rPr>
        <w:t>Issuer Free Writing Prospectuses</w:t>
      </w:r>
      <w:r>
        <w:rPr>
          <w:rFonts w:ascii="Times New Roman" w:hAnsi="Times New Roman"/>
          <w:sz w:val="20"/>
        </w:rPr>
        <w:t xml:space="preserve">. No Issuer Free Writing Prospectus conflicts or will conflict with the information contained in the Registration Statement or the Prospectus, including any document incorporated by reference therein, and any preliminary or other prospectus deemed to be a part thereof that has not been superseded or modified. No filing of any “road show” (as defined in Rule 433(h)) is required in connection with the offering of the Securities. Any Issuer Free Writing Prospectus that the Company is required to file pursuant to Rule 433(d) under the 1933 Act has been, or will be, filed with the Commission in accordance with the requirements of the 1933 Act and the 1933 Act Regulations. Each Issuer Free Writing Prospectus that the Company has filed, or is required to file, pursuant to Rule 433(d) under the 1933 Act or that was prepared by or behalf of or used or referred to by the Company complies or will comply in all material respects with the requirements of the 1933 Act and the 1933 Act Regulations. Except for the Issuer Free Writing Prospectuses, if any, identified in </w:t>
      </w:r>
      <w:r>
        <w:rPr>
          <w:rFonts w:ascii="Times New Roman" w:hAnsi="Times New Roman"/>
          <w:sz w:val="20"/>
          <w:u w:val="single"/>
        </w:rPr>
        <w:t>Schedule B-2</w:t>
      </w:r>
      <w:r>
        <w:rPr>
          <w:rFonts w:ascii="Times New Roman" w:hAnsi="Times New Roman"/>
          <w:sz w:val="20"/>
        </w:rPr>
        <w:t xml:space="preserve"> hereto, and electronic road shows, if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furnished to the Representative before first use, the Company has not prepared, used or referred to, and will not, without the prior consent of the Representative, prepare, use or refer to, any issuer free writing prospectus. </w:t>
      </w:r>
    </w:p>
    <w:p>
      <w:pPr>
        <w:pStyle w:val="TextBody"/>
        <w:bidi w:val="0"/>
        <w:spacing w:before="120" w:after="0"/>
        <w:jc w:val="left"/>
        <w:rPr>
          <w:rFonts w:ascii="Times New Roman" w:hAnsi="Times New Roman"/>
          <w:sz w:val="20"/>
        </w:rPr>
      </w:pPr>
      <w:r>
        <w:rPr>
          <w:rFonts w:ascii="Times New Roman" w:hAnsi="Times New Roman"/>
          <w:sz w:val="20"/>
        </w:rPr>
        <w:t>(iv) </w:t>
      </w:r>
      <w:r>
        <w:rPr>
          <w:rFonts w:ascii="Times New Roman" w:hAnsi="Times New Roman"/>
          <w:sz w:val="20"/>
          <w:u w:val="single"/>
        </w:rPr>
        <w:t>Testing-the-Waters Materials</w:t>
      </w:r>
      <w:r>
        <w:rPr>
          <w:rFonts w:ascii="Times New Roman" w:hAnsi="Times New Roman"/>
          <w:sz w:val="20"/>
        </w:rPr>
        <w:t xml:space="preserve">. The Company (A) has not engaged in any Testing-the-Waters Communication other than Testing-the-Waters Communications with the consent of the Representative with entities that are qualified institutional buyers within the meaning of Rule 144A under the 1933 Act or institutions that are accredited investors within the meaning of Rule 501 under the 1933 Act and (B) has not authorized anyone other than the Representative to engage in Testing-the-Waters Communications. The Company reconfirms that the Representative has been authorized to act on its behalf in undertaking Testing-the-Waters Communications. The Company has not distributed any Written Testing-the-Waters Communications other than those listed on </w:t>
      </w:r>
      <w:r>
        <w:rPr>
          <w:rFonts w:ascii="Times New Roman" w:hAnsi="Times New Roman"/>
          <w:sz w:val="20"/>
          <w:u w:val="single"/>
        </w:rPr>
        <w:t>Schedule B-3</w:t>
      </w:r>
      <w:r>
        <w:rPr>
          <w:rFonts w:ascii="Times New Roman" w:hAnsi="Times New Roman"/>
          <w:sz w:val="20"/>
        </w:rPr>
        <w:t xml:space="preserve"> hereto. </w:t>
      </w:r>
    </w:p>
    <w:p>
      <w:pPr>
        <w:pStyle w:val="TextBody"/>
        <w:bidi w:val="0"/>
        <w:spacing w:before="120" w:after="0"/>
        <w:jc w:val="left"/>
        <w:rPr>
          <w:rFonts w:ascii="Times New Roman" w:hAnsi="Times New Roman"/>
          <w:sz w:val="20"/>
        </w:rPr>
      </w:pPr>
      <w:r>
        <w:rPr>
          <w:rFonts w:ascii="Times New Roman" w:hAnsi="Times New Roman"/>
          <w:sz w:val="20"/>
        </w:rPr>
        <w:t>(v) </w:t>
      </w:r>
      <w:r>
        <w:rPr>
          <w:rFonts w:ascii="Times New Roman" w:hAnsi="Times New Roman"/>
          <w:sz w:val="20"/>
          <w:u w:val="single"/>
        </w:rPr>
        <w:t>Company Not Ineligible Issuer</w:t>
      </w:r>
      <w:r>
        <w:rPr>
          <w:rFonts w:ascii="Times New Roman" w:hAnsi="Times New Roman"/>
          <w:sz w:val="20"/>
        </w:rPr>
        <w:t xml:space="preserve">. At the time of filing the Registration Statement and any post-effective amendment thereto, at the earliest time thereafter that the Company or another offering participant made a </w:t>
      </w:r>
      <w:r>
        <w:rPr>
          <w:rFonts w:ascii="Times New Roman" w:hAnsi="Times New Roman"/>
          <w:i/>
          <w:sz w:val="20"/>
        </w:rPr>
        <w:t>bona fide</w:t>
      </w:r>
      <w:r>
        <w:rPr>
          <w:rFonts w:ascii="Times New Roman" w:hAnsi="Times New Roman"/>
          <w:sz w:val="20"/>
        </w:rPr>
        <w:t xml:space="preserve"> offer (within the meaning of Rule 164(h)(2) of the 1933 Act Regulations) of the Securities and at the date hereof, the Company was not and is not an “ineligible issuer,” as defined in Rule 405, without taking account of any determination by the Commission pursuant to Rule 405 that it is not necessary that the Company be considered an ineligible issuer. </w:t>
      </w:r>
    </w:p>
    <w:p>
      <w:pPr>
        <w:pStyle w:val="TextBody"/>
        <w:bidi w:val="0"/>
        <w:spacing w:before="120" w:after="0"/>
        <w:jc w:val="left"/>
        <w:rPr>
          <w:rFonts w:ascii="Times New Roman" w:hAnsi="Times New Roman"/>
          <w:sz w:val="20"/>
        </w:rPr>
      </w:pPr>
      <w:r>
        <w:rPr>
          <w:rFonts w:ascii="Times New Roman" w:hAnsi="Times New Roman"/>
          <w:sz w:val="20"/>
        </w:rPr>
        <w:t>(vi) </w:t>
      </w:r>
      <w:r>
        <w:rPr>
          <w:rFonts w:ascii="Times New Roman" w:hAnsi="Times New Roman"/>
          <w:sz w:val="20"/>
          <w:u w:val="single"/>
        </w:rPr>
        <w:t>Independent Accountants</w:t>
      </w:r>
      <w:r>
        <w:rPr>
          <w:rFonts w:ascii="Times New Roman" w:hAnsi="Times New Roman"/>
          <w:sz w:val="20"/>
        </w:rPr>
        <w:t>. To the knowledge of the Company, PricewaterhouseCoopers LLP, which has expressed its opinion with respect to the financial statements (which term as used in this Agreement includes the related notes thereto) filed with the Commission as a part of the Registration Statement, the General Disclosure Package and the Prospectus, is (i) an independent registered public accounting firm as required by the 1933 Act, the 1934 Act, and the rules of the Public Company Accounting Oversight Board (“</w:t>
      </w:r>
      <w:r>
        <w:rPr>
          <w:rFonts w:ascii="Times New Roman" w:hAnsi="Times New Roman"/>
          <w:sz w:val="20"/>
          <w:u w:val="single"/>
        </w:rPr>
        <w:t>PCAOB</w:t>
      </w:r>
      <w:r>
        <w:rPr>
          <w:rFonts w:ascii="Times New Roman" w:hAnsi="Times New Roman"/>
          <w:sz w:val="20"/>
        </w:rPr>
        <w:t xml:space="preserve">”), (ii) in compliance with the applicable requirements relating to the qualification of accountants under Rule 2-01 of Regulation S-X under the 1933 Act and (iii) is a registered public accounting firm as defined by the PCAOB whose registration has not been suspended or revoked and who has not requested such registration to be withdrawn. </w:t>
      </w:r>
    </w:p>
    <w:p>
      <w:pPr>
        <w:pStyle w:val="TextBody"/>
        <w:bidi w:val="0"/>
        <w:spacing w:before="120" w:after="0"/>
        <w:jc w:val="left"/>
        <w:rPr>
          <w:rFonts w:ascii="Times New Roman" w:hAnsi="Times New Roman"/>
          <w:sz w:val="20"/>
        </w:rPr>
      </w:pPr>
      <w:r>
        <w:rPr>
          <w:rFonts w:ascii="Times New Roman" w:hAnsi="Times New Roman"/>
          <w:sz w:val="20"/>
        </w:rPr>
        <w:t>(vii) </w:t>
      </w:r>
      <w:r>
        <w:rPr>
          <w:rFonts w:ascii="Times New Roman" w:hAnsi="Times New Roman"/>
          <w:sz w:val="20"/>
          <w:u w:val="single"/>
        </w:rPr>
        <w:t>Financial Statements</w:t>
      </w:r>
      <w:r>
        <w:rPr>
          <w:rFonts w:ascii="Times New Roman" w:hAnsi="Times New Roman"/>
          <w:sz w:val="20"/>
        </w:rPr>
        <w:t>. The financial statements filed with the Commission as a part of the Registration Statement, the General Disclosure Package and the Prospectus present fairly in all material respects the financial position of the Company and its subsidiaries as of the dates indicated and the results of their operations and cash flows for the periods specified. Such financial statements have been prepared in conformity with U.S. generally accepted accounting principles (“</w:t>
      </w:r>
      <w:r>
        <w:rPr>
          <w:rFonts w:ascii="Times New Roman" w:hAnsi="Times New Roman"/>
          <w:sz w:val="20"/>
          <w:u w:val="single"/>
        </w:rPr>
        <w:t>GAAP</w:t>
      </w:r>
      <w:r>
        <w:rPr>
          <w:rFonts w:ascii="Times New Roman" w:hAnsi="Times New Roman"/>
          <w:sz w:val="20"/>
        </w:rPr>
        <w:t xml:space="preserve">”) applied on a consistent basis throughout the periods involved, except as may be expressly stated in the related notes thereto and except in the case of unaudited financial statements, which are subject to normal and recurring year-end adjustments and do not contain certain footnotes as permitted by the applicable rules of the Commission.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No other financial statements or supporting schedules are required to be included in the Registration Statement, the General Disclosure Package or the Prospectus. All disclosures contained in the Registration Statement, the General Disclosure Package, the Prospectus and any free writing prospectus that constitute non-GAAP financial measures (as defined by the rules and regulations under the 1933 Act and the 1934 Act) comply in all material respects with Regulation G under the 1934 Act and Item 10 of Regulation S-K under the 1933 Act, as applicable. To the Company’s knowledge, no person who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a part of the Registration Statement, the General Disclosure Package and the Prospectus. </w:t>
      </w:r>
    </w:p>
    <w:p>
      <w:pPr>
        <w:pStyle w:val="TextBody"/>
        <w:bidi w:val="0"/>
        <w:spacing w:before="120" w:after="0"/>
        <w:jc w:val="left"/>
        <w:rPr>
          <w:rFonts w:ascii="Times New Roman" w:hAnsi="Times New Roman"/>
          <w:sz w:val="20"/>
        </w:rPr>
      </w:pPr>
      <w:r>
        <w:rPr>
          <w:rFonts w:ascii="Times New Roman" w:hAnsi="Times New Roman"/>
          <w:sz w:val="20"/>
        </w:rPr>
        <w:t>(viii) </w:t>
      </w:r>
      <w:r>
        <w:rPr>
          <w:rFonts w:ascii="Times New Roman" w:hAnsi="Times New Roman"/>
          <w:sz w:val="20"/>
          <w:u w:val="single"/>
        </w:rPr>
        <w:t>Company’s Accounting System</w:t>
      </w:r>
      <w:r>
        <w:rPr>
          <w:rFonts w:ascii="Times New Roman" w:hAnsi="Times New Roman"/>
          <w:sz w:val="20"/>
        </w:rPr>
        <w:t xml:space="preserve">. The Company and each of its subsidiaries make and keep books and records that are accurate in all material respects and maintain a system of internal accounting controls designed to provide reasonable assurance that: (i) transactions are executed in accordance with management’s general or specific authorization; (ii) transactions are recorded as necessary to permit preparation of financial statements in conformity with GAAP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included or incorporated by reference in the Registration Statement and the Prospectus fairly presents the information called for in all material respects and is prepared in accordance with the Commission’s rules and guidelines applicable thereto. </w:t>
      </w:r>
    </w:p>
    <w:p>
      <w:pPr>
        <w:pStyle w:val="TextBody"/>
        <w:bidi w:val="0"/>
        <w:spacing w:before="120" w:after="0"/>
        <w:jc w:val="left"/>
        <w:rPr>
          <w:rFonts w:ascii="Times New Roman" w:hAnsi="Times New Roman"/>
          <w:sz w:val="20"/>
        </w:rPr>
      </w:pPr>
      <w:r>
        <w:rPr>
          <w:rFonts w:ascii="Times New Roman" w:hAnsi="Times New Roman"/>
          <w:sz w:val="20"/>
        </w:rPr>
        <w:t>(ix) </w:t>
      </w:r>
      <w:r>
        <w:rPr>
          <w:rFonts w:ascii="Times New Roman" w:hAnsi="Times New Roman"/>
          <w:sz w:val="20"/>
          <w:u w:val="single"/>
        </w:rPr>
        <w:t>Disclosure Controls and Procedures; Deficiencies in or Changes to Internal Control Over Financial Reporting</w:t>
      </w:r>
      <w:r>
        <w:rPr>
          <w:rFonts w:ascii="Times New Roman" w:hAnsi="Times New Roman"/>
          <w:sz w:val="20"/>
        </w:rPr>
        <w:t xml:space="preserve">. The Company has established and maintains disclosure controls and procedures (as defined in Rules 13a-15 and 15d-15 under the 1934 Act), which (i) are designed to ensure that material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1934 Act are being prepared; (ii) have been evaluated by management of the Company for effectiveness as of the end of the Company’s most recent fiscal quarter; and (iii) are effective in all material respects to perform the functions for which they were established. Since the end of the Company’s most recent audited fiscal year, there have been no significant deficiencies or material weakness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The Company is not aware of any change in its internal control over financial reporting that has occurred during its most recent fiscal quarter that has materially affected, or is reasonably likely to materially affect, the Company’s internal control over financial reporting. </w:t>
      </w:r>
    </w:p>
    <w:p>
      <w:pPr>
        <w:pStyle w:val="TextBody"/>
        <w:bidi w:val="0"/>
        <w:spacing w:before="120" w:after="0"/>
        <w:jc w:val="left"/>
        <w:rPr>
          <w:rFonts w:ascii="Times New Roman" w:hAnsi="Times New Roman"/>
          <w:sz w:val="20"/>
        </w:rPr>
      </w:pPr>
      <w:r>
        <w:rPr>
          <w:rFonts w:ascii="Times New Roman" w:hAnsi="Times New Roman"/>
          <w:sz w:val="20"/>
        </w:rPr>
        <w:t>(x) </w:t>
      </w:r>
      <w:r>
        <w:rPr>
          <w:rFonts w:ascii="Times New Roman" w:hAnsi="Times New Roman"/>
          <w:sz w:val="20"/>
          <w:u w:val="single"/>
        </w:rPr>
        <w:t>Sarbanes-Oxley</w:t>
      </w:r>
      <w:r>
        <w:rPr>
          <w:rFonts w:ascii="Times New Roman" w:hAnsi="Times New Roman"/>
          <w:sz w:val="20"/>
        </w:rPr>
        <w:t xml:space="preserve">. There is, and has been, no failure on the part of the Company or any of the Company’s directors or officers, in their capacities as such, to comply with applicable provision of the Sarbanes-Oxley Act of 2002 and the rules and regulations promulgated thereunder. </w:t>
      </w:r>
    </w:p>
    <w:p>
      <w:pPr>
        <w:pStyle w:val="TextBody"/>
        <w:bidi w:val="0"/>
        <w:spacing w:before="120" w:after="0"/>
        <w:jc w:val="left"/>
        <w:rPr>
          <w:rFonts w:ascii="Times New Roman" w:hAnsi="Times New Roman"/>
          <w:sz w:val="20"/>
        </w:rPr>
      </w:pPr>
      <w:r>
        <w:rPr>
          <w:rFonts w:ascii="Times New Roman" w:hAnsi="Times New Roman"/>
          <w:sz w:val="20"/>
        </w:rPr>
        <w:t>(xi) </w:t>
      </w:r>
      <w:r>
        <w:rPr>
          <w:rFonts w:ascii="Times New Roman" w:hAnsi="Times New Roman"/>
          <w:sz w:val="20"/>
          <w:u w:val="single"/>
        </w:rPr>
        <w:t>No Material Adverse Change</w:t>
      </w:r>
      <w:r>
        <w:rPr>
          <w:rFonts w:ascii="Times New Roman" w:hAnsi="Times New Roman"/>
          <w:sz w:val="20"/>
        </w:rPr>
        <w:t>. Except as otherwise disclosed in the Registration Statement, the General Disclosure Package and the Prospectus, subsequent to the respective dates as of which information is given in the Registration Statement and the Prospectus: (i) there has been no material adverse change, or any development that would reasonably be expected to result in a material adverse change, in (A) the condition, financial or otherwise, or in the earnings, business, properties, operations, operating results, assets, liabilities or prospects, whether or not arising from transactions in the ordinary course of business, of the Company and its subsidiaries, considered as one entity or (B) the ability of the Company to consummate the transactions contemplated by this Agreement or perform its obligations hereunder (any such change being referred to herein as a “</w:t>
      </w:r>
      <w:r>
        <w:rPr>
          <w:rFonts w:ascii="Times New Roman" w:hAnsi="Times New Roman"/>
          <w:sz w:val="20"/>
          <w:u w:val="single"/>
        </w:rPr>
        <w:t>Material Adverse Change</w:t>
      </w:r>
      <w:r>
        <w:rPr>
          <w:rFonts w:ascii="Times New Roman" w:hAnsi="Times New Roman"/>
          <w:sz w:val="20"/>
        </w:rPr>
        <w:t xml:space="preserve">”); (ii) the Company and its subsidiaries, considered as one entity, have not incurred any material liability or obligation, indirect, direct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contingent, including without limitation any losses or interference with their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and have not entered into any material transactions that are not in the ordinary course of business; and (iii) there has not been any material decrease in the outstanding capital stock (other than (a) the issuance of shares of Common Stock upon exercise of stock options and warrants or vesting of restricted stock units, or settlement of restricted stock units (including any “net” or “cashless” exercises or settlements), if any, the grant of options and other awards under existing equity incentive plans or the issuance or Common Stock pursuant to offerings under an employee stock purchase plan described in the Registration Statement, the General Disclosure Package and the Prospectus and (b) the expected issuance and sale by the Company in a private placement to occur concurrently with the offering of the Securities contemplated hereby to Nextech Crossover I SCP and Company described in the Registration Statement, the General Disclosure Package and the Prospectus) or any material increase in any short-term or long-term indebtedness of the Company or its subsidiaries and there has been no dividend or distribution of any kind declared, paid or made by the Company or, except for dividends paid to the Company or other subsidiaries, by any of the Company’s subsidiaries on any class of capital stock, or any repurchase or redemption by the Company or any of its subsidiaries of any class of capital stock. </w:t>
      </w:r>
    </w:p>
    <w:p>
      <w:pPr>
        <w:pStyle w:val="TextBody"/>
        <w:bidi w:val="0"/>
        <w:spacing w:before="120" w:after="0"/>
        <w:jc w:val="left"/>
        <w:rPr>
          <w:rFonts w:ascii="Times New Roman" w:hAnsi="Times New Roman"/>
          <w:sz w:val="20"/>
        </w:rPr>
      </w:pPr>
      <w:r>
        <w:rPr>
          <w:rFonts w:ascii="Times New Roman" w:hAnsi="Times New Roman"/>
          <w:sz w:val="20"/>
        </w:rPr>
        <w:t>(xii) </w:t>
      </w:r>
      <w:r>
        <w:rPr>
          <w:rFonts w:ascii="Times New Roman" w:hAnsi="Times New Roman"/>
          <w:sz w:val="20"/>
          <w:u w:val="single"/>
        </w:rPr>
        <w:t>Incorporation and Good Standing of the Company</w:t>
      </w:r>
      <w:r>
        <w:rPr>
          <w:rFonts w:ascii="Times New Roman" w:hAnsi="Times New Roman"/>
          <w:sz w:val="20"/>
        </w:rPr>
        <w:t xml:space="preserve">. The Company has been duly incorporated and is validly existing as a corporation in good standing under the laws of the jurisdiction of its incorporation and has the corporate power and authority to own, lease and operate its properties and to conduct its business as described in the Registration Statement, the General Disclosure Package and the Prospectus and to enter into and perform its obligations under this Agreement. The Company is duly qualified as a foreign corporation to transact business and is in good standing in the Commonwealth of Massachusetts and each other jurisdiction in which such qualification is required, whether by reason of the ownership or leasing of property or the conduct of business except where the failure to so qualify or to be in good standing would not reasonably be expected, individually or in the aggregate, to result in a Material Adverse Change. </w:t>
      </w:r>
    </w:p>
    <w:p>
      <w:pPr>
        <w:pStyle w:val="TextBody"/>
        <w:bidi w:val="0"/>
        <w:spacing w:before="120" w:after="0"/>
        <w:jc w:val="left"/>
        <w:rPr>
          <w:rFonts w:ascii="Times New Roman" w:hAnsi="Times New Roman"/>
          <w:sz w:val="20"/>
        </w:rPr>
      </w:pPr>
      <w:r>
        <w:rPr>
          <w:rFonts w:ascii="Times New Roman" w:hAnsi="Times New Roman"/>
          <w:sz w:val="20"/>
        </w:rPr>
        <w:t>(xiii) </w:t>
      </w:r>
      <w:r>
        <w:rPr>
          <w:rFonts w:ascii="Times New Roman" w:hAnsi="Times New Roman"/>
          <w:sz w:val="20"/>
          <w:u w:val="single"/>
        </w:rPr>
        <w:t>Good Standing of the Company’s Subsidiaries</w:t>
      </w:r>
      <w:r>
        <w:rPr>
          <w:rFonts w:ascii="Times New Roman" w:hAnsi="Times New Roman"/>
          <w:sz w:val="20"/>
        </w:rPr>
        <w:t>. Each subsidiary of the Company (each, a “</w:t>
      </w:r>
      <w:r>
        <w:rPr>
          <w:rFonts w:ascii="Times New Roman" w:hAnsi="Times New Roman"/>
          <w:sz w:val="20"/>
          <w:u w:val="single"/>
        </w:rPr>
        <w:t>Subsidiary</w:t>
      </w:r>
      <w:r>
        <w:rPr>
          <w:rFonts w:ascii="Times New Roman" w:hAnsi="Times New Roman"/>
          <w:sz w:val="20"/>
        </w:rPr>
        <w:t>” and, collectively, the “</w:t>
      </w:r>
      <w:r>
        <w:rPr>
          <w:rFonts w:ascii="Times New Roman" w:hAnsi="Times New Roman"/>
          <w:sz w:val="20"/>
          <w:u w:val="single"/>
        </w:rPr>
        <w:t>Subsidiaries</w:t>
      </w:r>
      <w:r>
        <w:rPr>
          <w:rFonts w:ascii="Times New Roman" w:hAnsi="Times New Roman"/>
          <w:sz w:val="20"/>
        </w:rPr>
        <w:t xml:space="preserve">”) has been duly organized and is validly existing in good standing under the laws of the jurisdiction of its incorporation or organization, has corporate or similar power and authority to own, lease and operate its properties and to conduct its business as described in the Registration Statement, the General Disclosure Package and the Prospectus and is duly qualified to transact business and is in good standing in each jurisdiction in which such qualification is required, whether by reason of the ownership or leasing of property or the conduct of business, except where the failure to be so qualified or to be in good standing would not reasonably be expected to result in a Material Adverse Change. Except as otherwise disclosed in the Registration Statement, the General Disclosure Package and the Prospectus, all of the issued and outstanding capital stock of each Subsidiary has been duly authorized and validly issued, is fully paid and non-assessable and is owned by the Company, directly or through Subsidiaries, free and clear of any security interest, mortgage, pledge, lien, encumbrance, claim or equity. None of the outstanding shares of capital stock of any Subsidiary was issued in violation of the preemptive or similar rights of any securityholder of such Subsidiary. The only Subsidiaries of the Company are the entities listed on Exhibit 21 to the Company’s most recent Annual report on Form 10-K. </w:t>
      </w:r>
    </w:p>
    <w:p>
      <w:pPr>
        <w:pStyle w:val="TextBody"/>
        <w:bidi w:val="0"/>
        <w:spacing w:before="120" w:after="0"/>
        <w:jc w:val="left"/>
        <w:rPr>
          <w:rFonts w:ascii="Times New Roman" w:hAnsi="Times New Roman"/>
          <w:sz w:val="20"/>
        </w:rPr>
      </w:pPr>
      <w:r>
        <w:rPr>
          <w:rFonts w:ascii="Times New Roman" w:hAnsi="Times New Roman"/>
          <w:sz w:val="20"/>
        </w:rPr>
        <w:t>(xiv) </w:t>
      </w:r>
      <w:r>
        <w:rPr>
          <w:rFonts w:ascii="Times New Roman" w:hAnsi="Times New Roman"/>
          <w:sz w:val="20"/>
          <w:u w:val="single"/>
        </w:rPr>
        <w:t>Capitalization and Other Capital Stock Matters</w:t>
      </w:r>
      <w:r>
        <w:rPr>
          <w:rFonts w:ascii="Times New Roman" w:hAnsi="Times New Roman"/>
          <w:sz w:val="20"/>
        </w:rPr>
        <w:t xml:space="preserve">. The authorized, issued and outstanding capital stock of the Company is as set forth in the Registration Statement, the General Disclosure Package and the Prospectus under the caption “Capitalization” (other than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subsequent issuances, if any, pursuant to employee benefit plans or upon the exercise of outstanding options or warrants, in each case described in the Registration Statement, the General Disclosure Package and the Prospectus). The Securities conform in all material respects to the description thereof contained in the Prospectus. All of the issued and outstanding Securities have been duly authorized and validly issued, are fully paid and nonassessable and have been issued in compliance with all applicable federal and state securities laws. None of the outstanding Securities were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described in the Registration Statement, the General Disclosure Package and the Prospectus. The descriptions of the Company’s stock option, stock bonus and other stock plans or arrangements, and the options or other rights granted thereunder, set forth in the Registration Statement, the General Disclosure Package and the Prospectus accurately and fairly presents in all material respects the information required to be shown with respect to such plans, arrangements, options and rights. </w:t>
      </w:r>
    </w:p>
    <w:p>
      <w:pPr>
        <w:pStyle w:val="TextBody"/>
        <w:bidi w:val="0"/>
        <w:spacing w:before="120" w:after="0"/>
        <w:jc w:val="left"/>
        <w:rPr>
          <w:rFonts w:ascii="Times New Roman" w:hAnsi="Times New Roman"/>
          <w:sz w:val="20"/>
        </w:rPr>
      </w:pPr>
      <w:r>
        <w:rPr>
          <w:rFonts w:ascii="Times New Roman" w:hAnsi="Times New Roman"/>
          <w:sz w:val="20"/>
        </w:rPr>
        <w:t>(xv) </w:t>
      </w:r>
      <w:r>
        <w:rPr>
          <w:rFonts w:ascii="Times New Roman" w:hAnsi="Times New Roman"/>
          <w:sz w:val="20"/>
          <w:u w:val="single"/>
        </w:rPr>
        <w:t>The Underwriting Agreement</w:t>
      </w:r>
      <w:r>
        <w:rPr>
          <w:rFonts w:ascii="Times New Roman" w:hAnsi="Times New Roman"/>
          <w:sz w:val="20"/>
        </w:rPr>
        <w:t xml:space="preserve">. This Agreement has been duly authorized, executed and delivered by the Company. </w:t>
      </w:r>
    </w:p>
    <w:p>
      <w:pPr>
        <w:pStyle w:val="TextBody"/>
        <w:bidi w:val="0"/>
        <w:spacing w:before="120" w:after="0"/>
        <w:jc w:val="left"/>
        <w:rPr>
          <w:rFonts w:ascii="Times New Roman" w:hAnsi="Times New Roman"/>
          <w:sz w:val="20"/>
        </w:rPr>
      </w:pPr>
      <w:r>
        <w:rPr>
          <w:rFonts w:ascii="Times New Roman" w:hAnsi="Times New Roman"/>
          <w:sz w:val="20"/>
        </w:rPr>
        <w:t>(xvi) </w:t>
      </w:r>
      <w:r>
        <w:rPr>
          <w:rFonts w:ascii="Times New Roman" w:hAnsi="Times New Roman"/>
          <w:sz w:val="20"/>
          <w:u w:val="single"/>
        </w:rPr>
        <w:t>Authorization and Description of the Securities</w:t>
      </w:r>
      <w:r>
        <w:rPr>
          <w:rFonts w:ascii="Times New Roman" w:hAnsi="Times New Roman"/>
          <w:sz w:val="20"/>
        </w:rPr>
        <w:t xml:space="preserve">. The Securities to be purchased by the Underwriters from the Company have been duly authorized for issuance and sale to the Underwriters pursuant to this Agreement and, when issued and delivered by the Company pursuant to this Agreement against payment of the consideration set forth herein, will be validly issued and fully paid and non-assessable; and the issuance of the Securities is not subject to the preemptive or other similar rights of any securityholder of the Company. The Pre-Funded Warrants have been duly authorized for issuance and sales pursuant to this Agreement and, when executed and delivered by the Company against payment therefor pursuant to this Agreement, will be valid and binding agreements of the Company, enforceable against the Company in accordance with their terms, except as the enforcement thereof may be limited by bankruptcy, insolvency, reorganization, moratorium or other similar laws relating to or affecting the rights and remedies of creditors or by general equitable principles. The Warrant Shares have been duly authorized and validly reserved for issuance upon exercise of the Pre-Funded Warrants in a number sufficient to meet the current exercise requirements. The Warrant Shares, when issued and delivered upon exercise of the Pre-Funded Warrants in accordance therewith, will be validly issued, fully paid and nonassessable, and the issuance of the Warrant Shares is not subject to any preemptive rights, rights of first refusal or other similar rights to subscribe for or purchase the Warrant Shares. The Common Stock, the Pre-Funded Warrants and the Warrant Shares conform to all statements relating thereto contained in the Registration Statement, the General Disclosure Package and the Prospectus and such description conforms to the rights set forth in the instruments defining the same. No holder of Securities will be subject to personal liability by reason of being such a holder. </w:t>
      </w:r>
    </w:p>
    <w:p>
      <w:pPr>
        <w:pStyle w:val="TextBody"/>
        <w:bidi w:val="0"/>
        <w:spacing w:before="120" w:after="0"/>
        <w:jc w:val="left"/>
        <w:rPr>
          <w:rFonts w:ascii="Times New Roman" w:hAnsi="Times New Roman"/>
          <w:sz w:val="20"/>
        </w:rPr>
      </w:pPr>
      <w:r>
        <w:rPr>
          <w:rFonts w:ascii="Times New Roman" w:hAnsi="Times New Roman"/>
          <w:sz w:val="20"/>
        </w:rPr>
        <w:t>(xvii) </w:t>
      </w:r>
      <w:r>
        <w:rPr>
          <w:rFonts w:ascii="Times New Roman" w:hAnsi="Times New Roman"/>
          <w:sz w:val="20"/>
          <w:u w:val="single"/>
        </w:rPr>
        <w:t>Registration Rights</w:t>
      </w:r>
      <w:r>
        <w:rPr>
          <w:rFonts w:ascii="Times New Roman" w:hAnsi="Times New Roman"/>
          <w:sz w:val="20"/>
        </w:rPr>
        <w:t xml:space="preserve">. There are no persons with registration rights or other similar rights to have any securities registered for sale pursuant to the Registration Statement or otherwise registered for sale or sold by the Company under the 1933 Act pursuant to this Agreement, other than those rights that have been disclosed in the Registration Statement, the General Disclosure Package and the Prospectus and have been waived. </w:t>
      </w:r>
    </w:p>
    <w:p>
      <w:pPr>
        <w:pStyle w:val="TextBody"/>
        <w:bidi w:val="0"/>
        <w:spacing w:before="120" w:after="0"/>
        <w:jc w:val="left"/>
        <w:rPr>
          <w:rFonts w:ascii="Times New Roman" w:hAnsi="Times New Roman"/>
          <w:sz w:val="20"/>
        </w:rPr>
      </w:pPr>
      <w:r>
        <w:rPr>
          <w:rFonts w:ascii="Times New Roman" w:hAnsi="Times New Roman"/>
          <w:sz w:val="20"/>
        </w:rPr>
        <w:t>(xviii) </w:t>
      </w:r>
      <w:r>
        <w:rPr>
          <w:rFonts w:ascii="Times New Roman" w:hAnsi="Times New Roman"/>
          <w:sz w:val="20"/>
          <w:u w:val="single"/>
        </w:rPr>
        <w:t>Non-Contravention of Existing Instruments; No Further Authorizations or Approvals Required</w:t>
      </w:r>
      <w:r>
        <w:rPr>
          <w:rFonts w:ascii="Times New Roman" w:hAnsi="Times New Roman"/>
          <w:sz w:val="20"/>
        </w:rPr>
        <w:t xml:space="preserve">. Neither the Company nor any of its subsidiaries is in violation of its charter or by laws or similar organizational documents, as applicable, or is in default (or, with the giving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of notice or lapse of time, would be in default) (“</w:t>
      </w:r>
      <w:r>
        <w:rPr>
          <w:rFonts w:ascii="Times New Roman" w:hAnsi="Times New Roman"/>
          <w:sz w:val="20"/>
          <w:u w:val="single"/>
        </w:rPr>
        <w:t>Default</w:t>
      </w:r>
      <w:r>
        <w:rPr>
          <w:rFonts w:ascii="Times New Roman" w:hAnsi="Times New Roman"/>
          <w:sz w:val="20"/>
        </w:rPr>
        <w: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or any of its subsidiaries is a party or by which it or any of them may be bound, or to which any of their respective properties or assets are subject (each, an “</w:t>
      </w:r>
      <w:r>
        <w:rPr>
          <w:rFonts w:ascii="Times New Roman" w:hAnsi="Times New Roman"/>
          <w:sz w:val="20"/>
          <w:u w:val="single"/>
        </w:rPr>
        <w:t>Existing Instrument</w:t>
      </w:r>
      <w:r>
        <w:rPr>
          <w:rFonts w:ascii="Times New Roman" w:hAnsi="Times New Roman"/>
          <w:sz w:val="20"/>
        </w:rPr>
        <w:t>”), except for such Defaults as would not be reasonably expected, individually or in the aggregate, to result in a Material Adverse Change. The Company’s execution, delivery and performance of this Agreement, the Pre-Funded Warrants, consummation of the transactions contemplated hereby and by the Registration Statement, the General Disclosure Package and the Prospectus and the issuance and sale of the Securities (including the use of proceeds from the sale of the Securities as described in the Registration Statement, the General Disclosure Package and the Prospectus under the caption “Use of Proceeds”) (i) have been duly authorized by all necessary corporate action and will not result in any violation of the provisions of the charter or by laws, partnership agreement or operating agreement or similar organizational documents, as applicable, of the Company or any subsidiary (ii) will not conflict with or constitute a breach of, or Default or a Debt Repayment Triggering Event (as defined below) under, or result in the creation or imposition of any lien, charge or encumbrance upon any property or assets of the Company or any of its subsidiaries pursuant to, or require the consent of any other party to, any Existing Instrument and (iii) will not result in any violation of any law, administrative regulation or administrative or court decree applicable to the Company or any of its subsidiaries, except for such conflicts, breaches, Defaults, liens, charges, encumbrances or violations specified to subsections (ii) and (iii) above that would not reasonably be expected, individually or in the aggregate, to have a Material Adverse Change. No consent, approval, authorization or other order of, or registration or filing with, any court or other governmental or regulatory authority or agency, is required for the Company’s execution, delivery and performance of this Agreement, the Pre-Funded Warrants and consummation of the transactions contemplated hereby and by the Registration Statement, the General Disclosure Package and the Prospectus, except such as have been obtained or made by the Company and are in full force and effect under the 1933 Act and such as may be required under applicable state securities or blue sky laws or the Financial Industry Regulatory Authority, Inc. (“</w:t>
      </w:r>
      <w:r>
        <w:rPr>
          <w:rFonts w:ascii="Times New Roman" w:hAnsi="Times New Roman"/>
          <w:sz w:val="20"/>
          <w:u w:val="single"/>
        </w:rPr>
        <w:t>FINRA</w:t>
      </w:r>
      <w:r>
        <w:rPr>
          <w:rFonts w:ascii="Times New Roman" w:hAnsi="Times New Roman"/>
          <w:sz w:val="20"/>
        </w:rPr>
        <w:t>”). As used herein, a “</w:t>
      </w:r>
      <w:r>
        <w:rPr>
          <w:rFonts w:ascii="Times New Roman" w:hAnsi="Times New Roman"/>
          <w:sz w:val="20"/>
          <w:u w:val="single"/>
        </w:rPr>
        <w:t>Debt Repayment Triggering Event</w:t>
      </w:r>
      <w:r>
        <w:rPr>
          <w:rFonts w:ascii="Times New Roman" w:hAnsi="Times New Roman"/>
          <w:sz w:val="20"/>
        </w:rPr>
        <w:t xml:space="preserve">” 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(xix) </w:t>
      </w:r>
      <w:r>
        <w:rPr>
          <w:rFonts w:ascii="Times New Roman" w:hAnsi="Times New Roman"/>
          <w:sz w:val="20"/>
          <w:u w:val="single"/>
        </w:rPr>
        <w:t>Stock Exchange Listing</w:t>
      </w:r>
      <w:r>
        <w:rPr>
          <w:rFonts w:ascii="Times New Roman" w:hAnsi="Times New Roman"/>
          <w:sz w:val="20"/>
        </w:rPr>
        <w:t xml:space="preserve">. The Shares and Warrant Shares are registered pursuant to Section 12(b) or 12(g) of the 1934 Act and are listed on the NASDAQ Global Market, and the Company has taken no action designed to, or likely to have the effect of, terminating the registration of the Securities under the 1934 Act or delisting the Securities from the NASDAQ Global Market, nor has the Company received any notification that the Commission or the NASDAQ Global Market is contemplating terminating such registration or listing. To the Company’s knowledge, it is in compliance with all applicable listing requirements of the NASDAQ Global Market. </w:t>
      </w:r>
    </w:p>
    <w:p>
      <w:pPr>
        <w:pStyle w:val="TextBody"/>
        <w:bidi w:val="0"/>
        <w:spacing w:before="120" w:after="0"/>
        <w:jc w:val="left"/>
        <w:rPr>
          <w:rFonts w:ascii="Times New Roman" w:hAnsi="Times New Roman"/>
          <w:sz w:val="20"/>
        </w:rPr>
      </w:pPr>
      <w:r>
        <w:rPr>
          <w:rFonts w:ascii="Times New Roman" w:hAnsi="Times New Roman"/>
          <w:sz w:val="20"/>
        </w:rPr>
        <w:t>(xx) </w:t>
      </w:r>
      <w:r>
        <w:rPr>
          <w:rFonts w:ascii="Times New Roman" w:hAnsi="Times New Roman"/>
          <w:sz w:val="20"/>
          <w:u w:val="single"/>
        </w:rPr>
        <w:t>No Material Actions or Proceedings</w:t>
      </w:r>
      <w:r>
        <w:rPr>
          <w:rFonts w:ascii="Times New Roman" w:hAnsi="Times New Roman"/>
          <w:sz w:val="20"/>
        </w:rPr>
        <w:t xml:space="preserve">. There is no action, suit, proceeding, inquiry or investigation brought by or before any legal or governmental entity now pending or, to the knowledge of the Company, threatened, against or affecting the Company or any of its subsidiaries, which could be expected, individually or in the aggregate, to result in a Material Adverse Change. No material labor dispute with the employees of the Company or any of its subsidiaries, or with the employees of any principal supplier, manufacturer, customer or contractor of the Company, exists or, to the knowledge of the Company, is threatened or imminent.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(xxi) </w:t>
      </w:r>
      <w:r>
        <w:rPr>
          <w:rFonts w:ascii="Times New Roman" w:hAnsi="Times New Roman"/>
          <w:sz w:val="20"/>
          <w:u w:val="single"/>
        </w:rPr>
        <w:t>Accuracy of Exhibits</w:t>
      </w:r>
      <w:r>
        <w:rPr>
          <w:rFonts w:ascii="Times New Roman" w:hAnsi="Times New Roman"/>
          <w:sz w:val="20"/>
        </w:rPr>
        <w:t xml:space="preserve">. There are no contracts or documents which are required to be described in the Registration Statement, the General Disclosure Package or the Prospectus or to be filed as exhibits to the Registration Statement which have not been so described and filed as required. </w:t>
      </w:r>
    </w:p>
    <w:p>
      <w:pPr>
        <w:pStyle w:val="TextBody"/>
        <w:bidi w:val="0"/>
        <w:spacing w:before="120" w:after="0"/>
        <w:jc w:val="left"/>
        <w:rPr>
          <w:rFonts w:ascii="Times New Roman" w:hAnsi="Times New Roman"/>
          <w:sz w:val="20"/>
        </w:rPr>
      </w:pPr>
      <w:r>
        <w:rPr>
          <w:rFonts w:ascii="Times New Roman" w:hAnsi="Times New Roman"/>
          <w:sz w:val="20"/>
        </w:rPr>
        <w:t>(xxii) </w:t>
      </w:r>
      <w:r>
        <w:rPr>
          <w:rFonts w:ascii="Times New Roman" w:hAnsi="Times New Roman"/>
          <w:sz w:val="20"/>
          <w:u w:val="single"/>
        </w:rPr>
        <w:t>Absence of Further Requirements</w:t>
      </w:r>
      <w:r>
        <w:rPr>
          <w:rFonts w:ascii="Times New Roman" w:hAnsi="Times New Roman"/>
          <w:sz w:val="20"/>
        </w:rPr>
        <w:t xml:space="preserve">. No filing with, or authorization, approval, consent, license, order, registration, qualification or decree of, any Governmental Entity is necessary or required for the performance by the Company of its obligations hereunder, in connection with the offering, issuance or sale of the Securities hereunder or the consummation of the transactions contemplated by this Agreement, except such as have been already obtained or as may be required under the 1933 Act, the 1933 Act Regulations, the rules of the NASDAQ Stock Market LLC, state securities laws or the rules of FINRA. </w:t>
      </w:r>
    </w:p>
    <w:p>
      <w:pPr>
        <w:pStyle w:val="TextBody"/>
        <w:bidi w:val="0"/>
        <w:spacing w:before="120" w:after="0"/>
        <w:jc w:val="left"/>
        <w:rPr>
          <w:rFonts w:ascii="Times New Roman" w:hAnsi="Times New Roman"/>
          <w:sz w:val="20"/>
        </w:rPr>
      </w:pPr>
      <w:r>
        <w:rPr>
          <w:rFonts w:ascii="Times New Roman" w:hAnsi="Times New Roman"/>
          <w:sz w:val="20"/>
        </w:rPr>
        <w:t>(xxiii) </w:t>
      </w:r>
      <w:r>
        <w:rPr>
          <w:rFonts w:ascii="Times New Roman" w:hAnsi="Times New Roman"/>
          <w:sz w:val="20"/>
          <w:u w:val="single"/>
        </w:rPr>
        <w:t>All Necessary Permits, etc</w:t>
      </w:r>
      <w:r>
        <w:rPr>
          <w:rFonts w:ascii="Times New Roman" w:hAnsi="Times New Roman"/>
          <w:sz w:val="20"/>
        </w:rPr>
        <w:t>. The Company and each subsidiary possess such valid and current certificates, authorizations or permits required by state, federal or foreign regulatory agencies or bodies to conduct their respective businesses as currently conducted and as described in the Registration Statement, the General Disclosure Package or the Prospectus (“</w:t>
      </w:r>
      <w:r>
        <w:rPr>
          <w:rFonts w:ascii="Times New Roman" w:hAnsi="Times New Roman"/>
          <w:sz w:val="20"/>
          <w:u w:val="single"/>
        </w:rPr>
        <w:t>Permits</w:t>
      </w:r>
      <w:r>
        <w:rPr>
          <w:rFonts w:ascii="Times New Roman" w:hAnsi="Times New Roman"/>
          <w:sz w:val="20"/>
        </w:rPr>
        <w:t xml:space="preserve">”), except where the failure to possess or obtain the same or so qualify would not reasonably be expected, individually or in the aggregate, to have a Material Adverse Change. Neither the Company nor any of its subsidiaries is in violation of, or in default under, any of the Permits or has received any notice of proceedings relating to the revocation or modification of, or noncompliance with, any of the Permits, except for any such violations, defaults, or proceedings relating to the revocation or modification of, or non-compliance with, any such Permits that would not reasonably be expected, individually or in the aggregate, if the subject of an unfavorable decision, ruling or finding, to have a Material Adverse Change. </w:t>
      </w:r>
    </w:p>
    <w:p>
      <w:pPr>
        <w:pStyle w:val="TextBody"/>
        <w:bidi w:val="0"/>
        <w:spacing w:before="120" w:after="0"/>
        <w:jc w:val="left"/>
        <w:rPr>
          <w:rFonts w:ascii="Times New Roman" w:hAnsi="Times New Roman"/>
          <w:sz w:val="20"/>
        </w:rPr>
      </w:pPr>
      <w:r>
        <w:rPr>
          <w:rFonts w:ascii="Times New Roman" w:hAnsi="Times New Roman"/>
          <w:sz w:val="20"/>
        </w:rPr>
        <w:t>(xxiv) </w:t>
      </w:r>
      <w:r>
        <w:rPr>
          <w:rFonts w:ascii="Times New Roman" w:hAnsi="Times New Roman"/>
          <w:sz w:val="20"/>
          <w:u w:val="single"/>
        </w:rPr>
        <w:t>Title to Properties</w:t>
      </w:r>
      <w:r>
        <w:rPr>
          <w:rFonts w:ascii="Times New Roman" w:hAnsi="Times New Roman"/>
          <w:sz w:val="20"/>
        </w:rPr>
        <w:t xml:space="preserve">. The Company and its subsidiaries have good and marketable title to all of the real and personal property and other assets reflected as owned in the financial statements referred to in </w:t>
      </w:r>
      <w:r>
        <w:rPr>
          <w:rFonts w:ascii="Times New Roman" w:hAnsi="Times New Roman"/>
          <w:sz w:val="20"/>
          <w:u w:val="single"/>
        </w:rPr>
        <w:t>Section vii</w:t>
      </w:r>
      <w:r>
        <w:rPr>
          <w:rFonts w:ascii="Times New Roman" w:hAnsi="Times New Roman"/>
          <w:sz w:val="20"/>
        </w:rPr>
        <w:t xml:space="preserve"> above (or elsewhere in the Registration Statement, the General Disclosure Package or the Prospectus, in each case free and clear of any security interests, mortgages, liens, encumbrances, equities, adverse claims and other defects except such as would not reasonably be expected, individually or in the aggregate, to have a Material Adverse Change. The real property, improvements, equipment and personal property held under lease by the Company or any of its subsidiaries are held under valid and enforceable leases, with such exceptions as are not material and do not materially interfere with the use made or proposed to be made of such real property, improvements, equipment or personal property by the Company or such subsidiary. </w:t>
      </w:r>
    </w:p>
    <w:p>
      <w:pPr>
        <w:pStyle w:val="TextBody"/>
        <w:bidi w:val="0"/>
        <w:spacing w:before="120" w:after="0"/>
        <w:jc w:val="left"/>
        <w:rPr>
          <w:rFonts w:ascii="Times New Roman" w:hAnsi="Times New Roman"/>
          <w:sz w:val="20"/>
        </w:rPr>
      </w:pPr>
      <w:r>
        <w:rPr>
          <w:rFonts w:ascii="Times New Roman" w:hAnsi="Times New Roman"/>
          <w:sz w:val="20"/>
        </w:rPr>
        <w:t>(xxv) </w:t>
      </w:r>
      <w:r>
        <w:rPr>
          <w:rFonts w:ascii="Times New Roman" w:hAnsi="Times New Roman"/>
          <w:sz w:val="20"/>
          <w:u w:val="single"/>
        </w:rPr>
        <w:t>Intellectual Property Rights</w:t>
      </w:r>
      <w:r>
        <w:rPr>
          <w:rFonts w:ascii="Times New Roman" w:hAnsi="Times New Roman"/>
          <w:sz w:val="20"/>
        </w:rPr>
        <w:t xml:space="preserve">. Except as otherwise disclosed in the Registration Statement, the General Disclosure Package or the Prospectus, the Company and its subsidiaries own, or have obtained licenses the Company believes to be valid and enforceablefor, the inventions, patent applications, patents, trademarks, trade names, service names, copyrights, trade secrets and other intellectual property described in the Registration Statement, the General Disclosure Package and the Prospectus as being owned or licensed by them or which are necessary for the conduct of their respective businesses as currently conducted </w:t>
      </w:r>
      <w:r>
        <w:rPr>
          <w:rFonts w:ascii="Times New Roman" w:hAnsi="Times New Roman"/>
          <w:sz w:val="20"/>
          <w:u w:val="single"/>
        </w:rPr>
        <w:t xml:space="preserve">or as currently proposed to be conducted </w:t>
      </w:r>
      <w:r>
        <w:rPr>
          <w:rFonts w:ascii="Times New Roman" w:hAnsi="Times New Roman"/>
          <w:sz w:val="20"/>
        </w:rPr>
        <w:t>(including upon the commercialization of products or services described in the Registration Statement, the General Disclosure Package or the Prospectus as under development) and as described in the Registration Statement, the General Disclosure Package and the Prospectus (collectively, “</w:t>
      </w:r>
      <w:r>
        <w:rPr>
          <w:rFonts w:ascii="Times New Roman" w:hAnsi="Times New Roman"/>
          <w:sz w:val="20"/>
          <w:u w:val="single"/>
        </w:rPr>
        <w:t>Intellectual Property</w:t>
      </w:r>
      <w:r>
        <w:rPr>
          <w:rFonts w:ascii="Times New Roman" w:hAnsi="Times New Roman"/>
          <w:sz w:val="20"/>
        </w:rPr>
        <w:t xml:space="preserve">”) and to the Company’s knowledge the conduct of their respective businesses does not and will not infringe, misappropriate or otherwise conflict in any material respect with any such rights of others. The Intellectual Property of the Company has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been adjudged by a court of competent jurisdiction to be invalid or unenforceable, in whole or in part, and to the Company’s knowledge, there are no facts which would form a reasonable basis for any such adjudication. To the Company’s knowledge: (i) except as otherwise disclosed in documents filed with the Commission, there are no third parties who have rights to any Intellectual Property, including no liens, security interests, or other encumbrances, except for customary reversionary rights of third-party licensors with respect to Intellectual Property that is disclosed in the Registration Statement, the General Disclosure Package and the Prospectus as licensed to the Company or one or more of its subsidiaries; and (ii) there is no infringement by third parties of any Intellectual Property, that would reasonably be expected, individually or in the aggregate, to have a Material Adverse Change. There is no pending or, to the Company’s knowledge, threatened action, suit, proceeding or claim by others: (A) challenging the Company’s rights in or to any Intellectual Property, and the Company is unaware of any facts which would form a reasonable basis for any such action, suit, proceeding or claim; (B) challenging the validity, enforceability or scope of any Intellectual Property, and the Company is unaware of any facts which would form a reasonable basis for any such action, suit, proceeding or claim; or (C) asserting that the Company or any of its subsidiaries infringes or otherwise violates, or would, upon the commercialization of any product or service described in the Registration Statement, the General Disclosure Package or the Prospectus as under development, infringe or violate, any patent, trademark, trade name, service name, copyright, trade secret or other proprietary rights of others, and the Company is unaware of any facts which would form a reasonable basis for any such action, suit, proceeding or claim that, in each case, would reasonably be expected, individually or in the aggregate, to have a Material Adverse Change. The Company and its subsidiaries have complied in all material respects with the terms of each agreement pursuant to which Intellectual Property has been licensed to the Company or any subsidiary, and all such agreements are in full force and effect. To the Company’s knowledge, there are no material defects in any of the patents or patent applications included in the Intellectual Property, the patents included in the Intellectual Property are subsisting and have not lapsed, and the patent applications in the Intellectual Property are subsisting and have not been abandoned. The Company and its subsidiaries have taken all reasonable steps to protect, maintain and safeguard their material Intellectual Property, including the execution of appropriate nondisclosure, confidentiality agreements and invention assignment agreements and invention assignments with their employees, and to the Company’s knowledge, no employee of the Company is in or has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except where such violations would not reasonably be expected, individually or in the aggregate, to have a Material Adverse Change. To the Company’s knowledge, the duty of candor and good faith as required by the United States Patent and Trademark Office during the prosecution of the United States patents and patent applications included in the Intellectual Property have been complied with in all material respects; and to the Company’s knowledge, in all foreign offices having similar requirements, all such requirements have been complied with in all material respects. None of the Company owned Intellectual Property or technology (including information technology and outsourced arrangements) employed by the Company or its subsidiaries has been obtained or is being used by the Company or its subsidiary in violation of any contractual obligation binding on the Company or its subsidiaries or any of their respective officers, directors or employees or otherwise in violation of the rights of any persons, except where such violations would not reasonably be expected, individually or in the aggregate, to have a Material Adverse Change. The product candidates that constitute development candidates as described in the Registration Statement, the General Disclosure Package and the Prospectus as under development by the Company or any subsidiary fall within the scope of the claims of one or more patents or patent applications owned by, or exclusively licensed to, the Company or any subsidiary. To the Company’s knowledge, there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is no patent or published patent application, in the U.S. or other jurisdiction, which, in the case of a patent, contains claims, or in the case of a published patent application contains patentable claims, that dominate or may dominate any of the Company’s Intellectual Property described in the Registration Statement, the General Disclosure Package or the Prospectus as being owned by or licensed to the Company or that interferes with the issued or pending claims of any of the Company’s Intellectual Property. </w:t>
      </w:r>
    </w:p>
    <w:p>
      <w:pPr>
        <w:pStyle w:val="TextBody"/>
        <w:bidi w:val="0"/>
        <w:spacing w:before="120" w:after="0"/>
        <w:jc w:val="left"/>
        <w:rPr>
          <w:rFonts w:ascii="Times New Roman" w:hAnsi="Times New Roman"/>
          <w:sz w:val="20"/>
        </w:rPr>
      </w:pPr>
      <w:r>
        <w:rPr>
          <w:rFonts w:ascii="Times New Roman" w:hAnsi="Times New Roman"/>
          <w:sz w:val="20"/>
        </w:rPr>
        <w:t>(xxvi) </w:t>
      </w:r>
      <w:r>
        <w:rPr>
          <w:rFonts w:ascii="Times New Roman" w:hAnsi="Times New Roman"/>
          <w:sz w:val="20"/>
          <w:u w:val="single"/>
        </w:rPr>
        <w:t>Clinical Data and Regulatory Compliance</w:t>
      </w:r>
      <w:r>
        <w:rPr>
          <w:rFonts w:ascii="Times New Roman" w:hAnsi="Times New Roman"/>
          <w:sz w:val="20"/>
        </w:rPr>
        <w:t>. The preclinical trials, and other studies (collectively, “</w:t>
      </w:r>
      <w:r>
        <w:rPr>
          <w:rFonts w:ascii="Times New Roman" w:hAnsi="Times New Roman"/>
          <w:sz w:val="20"/>
          <w:u w:val="single"/>
        </w:rPr>
        <w:t>Studies</w:t>
      </w:r>
      <w:r>
        <w:rPr>
          <w:rFonts w:ascii="Times New Roman" w:hAnsi="Times New Roman"/>
          <w:sz w:val="20"/>
        </w:rPr>
        <w:t>”) of the product candidates of the Company and its subsidiaries that are described in the Registration Statement, the General Disclosure Package or the Prospectus were and, if still pending, are being conducted in all material respects in accordance with the protocols, procedures and controls designed for such Studies and with standard medical and scientific research procedures; each description of the results of such Studies is accurate in all material respects and fairly presents the data derived from such Studies, and the Company and its subsidiaries have no knowledge of any other studies the results of which are inconsistent with, or otherwise call into question, the results of such Studies described or referred to in the Registration Statement, the General Disclosure Package or the Prospectus; the Company and its subsidiaries have made all such filings and obtained all such approvals and authorizations to conduct such Studies as may be required by the Food and Drug Administration of the U.S. Department of Health and Human Services or from any other U.S. or foreign government or drug or medical device regulatory agency, or health care facility Institutional Review Board (collectively, the “</w:t>
      </w:r>
      <w:r>
        <w:rPr>
          <w:rFonts w:ascii="Times New Roman" w:hAnsi="Times New Roman"/>
          <w:sz w:val="20"/>
          <w:u w:val="single"/>
        </w:rPr>
        <w:t>Regulatory Agencies</w:t>
      </w:r>
      <w:r>
        <w:rPr>
          <w:rFonts w:ascii="Times New Roman" w:hAnsi="Times New Roman"/>
          <w:sz w:val="20"/>
        </w:rPr>
        <w:t xml:space="preserve">”); neither the Company nor any of its subsidiaries has received any notice of, or correspondence from, any Regulatory Agency requiring the termination, suspension or material modification of any clinical trials of the product candidates of the Company and its subsidiaries that are described or referred to in the Registration Statement, the General Disclosure Package or the Prospectus; and the Company and its subsidiaries have each operated and currently are in compliance in all material respects with all applicable rules and regulations of the Regulatory Agencies. </w:t>
      </w:r>
    </w:p>
    <w:p>
      <w:pPr>
        <w:pStyle w:val="TextBody"/>
        <w:bidi w:val="0"/>
        <w:spacing w:before="120" w:after="0"/>
        <w:jc w:val="left"/>
        <w:rPr>
          <w:rFonts w:ascii="Times New Roman" w:hAnsi="Times New Roman"/>
          <w:sz w:val="20"/>
        </w:rPr>
      </w:pPr>
      <w:r>
        <w:rPr>
          <w:rFonts w:ascii="Times New Roman" w:hAnsi="Times New Roman"/>
          <w:sz w:val="20"/>
        </w:rPr>
        <w:t>(xxvii) </w:t>
      </w:r>
      <w:r>
        <w:rPr>
          <w:rFonts w:ascii="Times New Roman" w:hAnsi="Times New Roman"/>
          <w:sz w:val="20"/>
          <w:u w:val="single"/>
        </w:rPr>
        <w:t>Compliance with Health Care Laws</w:t>
      </w:r>
      <w:r>
        <w:rPr>
          <w:rFonts w:ascii="Times New Roman" w:hAnsi="Times New Roman"/>
          <w:sz w:val="20"/>
        </w:rPr>
        <w:t>. The Company has operated at all prior times and currently is in compliance in all material respects with all applicable health care laws, rules and regulations, including, without limitation, (i) the Federal, Food, Drug and Cosmetic Act (21 U.S.C. §§ 301 et seq.); (ii) all applicable federal, state, local and all applicable foreign healthcare related fraud and abuse laws, including, without limitation, the federal Anti-kickback Statute (42 U.S.C. § 1320a-7b(b)), the civil False Claims Act (31 U.S.C. §§ 3729 et seq.), the criminal False Claims Law (42 U.S.C. § 1320a-7b(a)), all criminal laws relating to healthcare fraud and abuse, including but not limited to 18 U.S.C. Sections 286 and 287, the healthcare fraud criminal provisions under the U.S. Health Insurance Portability and Accountability Act of 1996 (“</w:t>
      </w:r>
      <w:r>
        <w:rPr>
          <w:rFonts w:ascii="Times New Roman" w:hAnsi="Times New Roman"/>
          <w:sz w:val="20"/>
          <w:u w:val="single"/>
        </w:rPr>
        <w:t>HIPAA</w:t>
      </w:r>
      <w:r>
        <w:rPr>
          <w:rFonts w:ascii="Times New Roman" w:hAnsi="Times New Roman"/>
          <w:sz w:val="20"/>
        </w:rPr>
        <w:t>”) (42 U.S.C. Section 1320d et seq.), the exclusion laws (42 U.S.C. § 1320a-7), and the civil monetary penalties law (42 U.S.C. § 1320a-7a); (iii) HIPAA, as amended by the Health Information Technology for Economic Clinical Health Act (42 U.S.C. Section 17921 et seq.); (iv) the regulations promulgated pursuant to such laws; and (v) any other similar local, state, federal, or foreign laws (collectively, the “</w:t>
      </w:r>
      <w:r>
        <w:rPr>
          <w:rFonts w:ascii="Times New Roman" w:hAnsi="Times New Roman"/>
          <w:sz w:val="20"/>
          <w:u w:val="single"/>
        </w:rPr>
        <w:t>Health Care Laws</w:t>
      </w:r>
      <w:r>
        <w:rPr>
          <w:rFonts w:ascii="Times New Roman" w:hAnsi="Times New Roman"/>
          <w:sz w:val="20"/>
        </w:rPr>
        <w:t>”). Neither the Company, nor to the Company’s knowledge, any of its officers, directors, employees or agents have engaged in activities which are, as applicable, cause for false claims liability, civil penalties, or mandatory or permissive exclusion from Medicare, Medicaid, or any other state or federal healthcare program. The Company has not received written notice or other correspondence of any claim, action, suit, audit, survey, proceeding, hearing, enforcement, investigation, arbitration or other action (“</w:t>
      </w:r>
      <w:r>
        <w:rPr>
          <w:rFonts w:ascii="Times New Roman" w:hAnsi="Times New Roman"/>
          <w:sz w:val="20"/>
          <w:u w:val="single"/>
        </w:rPr>
        <w:t>Action</w:t>
      </w:r>
      <w:r>
        <w:rPr>
          <w:rFonts w:ascii="Times New Roman" w:hAnsi="Times New Roman"/>
          <w:sz w:val="20"/>
        </w:rPr>
        <w:t xml:space="preserve">”) from any court or arbitrator or governmental or regulatory authority or third party alleging that any product operation or activity is in violation of any Health Care Laws, and, to the Company’s knowledge, no such claim, action, suit, proceeding, hearing, enforcement, investigation, arbitration or other action is threatened. The Company is not a party to and does not have any ongoing reporting obligations pursuant to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corporate integrity agreement, deferred prosecution agreement, monitoring agreement, consent decree, settlement order, plan of correction or similar agreement imposed by any governmental or regulatory authority. Additionally, neither the Company, nor to the Company’s knowledge, any of its employees, officers or directors, has been excluded, suspended or debarred from participation in any U.S. state or federal health care program or human clinical research or, to the knowledge of the Company, is subject to a governmental inquiry, investigation, proceeding, or other similar action that could reasonably be expected to result in debarment, suspension, or exclusion. </w:t>
      </w:r>
    </w:p>
    <w:p>
      <w:pPr>
        <w:pStyle w:val="TextBody"/>
        <w:bidi w:val="0"/>
        <w:spacing w:before="120" w:after="0"/>
        <w:jc w:val="left"/>
        <w:rPr>
          <w:rFonts w:ascii="Times New Roman" w:hAnsi="Times New Roman"/>
          <w:sz w:val="20"/>
        </w:rPr>
      </w:pPr>
      <w:r>
        <w:rPr>
          <w:rFonts w:ascii="Times New Roman" w:hAnsi="Times New Roman"/>
          <w:sz w:val="20"/>
        </w:rPr>
        <w:t>(xxviii) </w:t>
      </w:r>
      <w:r>
        <w:rPr>
          <w:rFonts w:ascii="Times New Roman" w:hAnsi="Times New Roman"/>
          <w:sz w:val="20"/>
          <w:u w:val="single"/>
        </w:rPr>
        <w:t>Compliance with Environmental Laws</w:t>
      </w:r>
      <w:r>
        <w:rPr>
          <w:rFonts w:ascii="Times New Roman" w:hAnsi="Times New Roman"/>
          <w:sz w:val="20"/>
        </w:rPr>
        <w:t>. Except as would not reasonably be expected, individually or in the aggregate, to result in a Material Adverse Change; (i)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to the Company’s knowledge, threatened release of chemicals, pollutants, contaminants, wastes, toxic substances, hazardous substances, petroleum or petroleum products (collectively, “</w:t>
      </w:r>
      <w:r>
        <w:rPr>
          <w:rFonts w:ascii="Times New Roman" w:hAnsi="Times New Roman"/>
          <w:sz w:val="20"/>
          <w:u w:val="single"/>
        </w:rPr>
        <w:t>Hazardous Materials</w:t>
      </w:r>
      <w:r>
        <w:rPr>
          <w:rFonts w:ascii="Times New Roman" w:hAnsi="Times New Roman"/>
          <w:sz w:val="20"/>
        </w:rPr>
        <w:t>”) or to the manufacture, processing, distribution, use, treatment, storage, disposal, transport or handling of Hazardous Materials (collectively, “</w:t>
      </w:r>
      <w:r>
        <w:rPr>
          <w:rFonts w:ascii="Times New Roman" w:hAnsi="Times New Roman"/>
          <w:sz w:val="20"/>
          <w:u w:val="single"/>
        </w:rPr>
        <w:t>Environmental Laws</w:t>
      </w:r>
      <w:r>
        <w:rPr>
          <w:rFonts w:ascii="Times New Roman" w:hAnsi="Times New Roman"/>
          <w:sz w:val="20"/>
        </w:rPr>
        <w:t xml:space="preserve">”), (ii) the Company and its subsidiaries have all permits, authorizations and approvals required under any applicable Environmental Laws and are each in compliance with their requirements, (iii) there are no pending or, to the Company’s knowledge, threatened administrative, regulatory or judicial actions, suits, demands, demand letters, claims, liens, notices of noncompliance or violation, investigation or proceedings relating to any Environmental Law against the Company or any of its subsidiaries and (iv) there are no events or circumstances that might reasonably be expected to form the basis of an order for clean-up or remediation, or an action, suit or proceeding by any private party or governmental body or agency, against or affecting the Company or any of its subsidiaries relating to Hazardous Materials or any Environmental Laws. </w:t>
      </w:r>
    </w:p>
    <w:p>
      <w:pPr>
        <w:pStyle w:val="TextBody"/>
        <w:bidi w:val="0"/>
        <w:spacing w:before="120" w:after="0"/>
        <w:jc w:val="left"/>
        <w:rPr>
          <w:rFonts w:ascii="Times New Roman" w:hAnsi="Times New Roman"/>
          <w:sz w:val="20"/>
        </w:rPr>
      </w:pPr>
      <w:r>
        <w:rPr>
          <w:rFonts w:ascii="Times New Roman" w:hAnsi="Times New Roman"/>
          <w:sz w:val="20"/>
        </w:rPr>
        <w:t>(xxix) </w:t>
      </w:r>
      <w:r>
        <w:rPr>
          <w:rFonts w:ascii="Times New Roman" w:hAnsi="Times New Roman"/>
          <w:sz w:val="20"/>
          <w:u w:val="single"/>
        </w:rPr>
        <w:t>ERISA Compliance</w:t>
      </w:r>
      <w:r>
        <w:rPr>
          <w:rFonts w:ascii="Times New Roman" w:hAnsi="Times New Roman"/>
          <w:sz w:val="20"/>
        </w:rPr>
        <w:t>. The Company and its subsidiaries and any “employee benefit plan” (as defined under the Employee Retirement Income Security Act of 1974, as amended, and the regulations and published interpretations thereunder (collectively, “</w:t>
      </w:r>
      <w:r>
        <w:rPr>
          <w:rFonts w:ascii="Times New Roman" w:hAnsi="Times New Roman"/>
          <w:sz w:val="20"/>
          <w:u w:val="single"/>
        </w:rPr>
        <w:t>ERISA</w:t>
      </w:r>
      <w:r>
        <w:rPr>
          <w:rFonts w:ascii="Times New Roman" w:hAnsi="Times New Roman"/>
          <w:sz w:val="20"/>
        </w:rPr>
        <w:t>”)) established or maintained by the Company, its subsidiaries or their “ERISA Affiliates” (as defined below) are in compliance in all material respects with ERISA. “</w:t>
      </w:r>
      <w:r>
        <w:rPr>
          <w:rFonts w:ascii="Times New Roman" w:hAnsi="Times New Roman"/>
          <w:sz w:val="20"/>
          <w:u w:val="single"/>
        </w:rPr>
        <w:t>ERISA Affiliate</w:t>
      </w:r>
      <w:r>
        <w:rPr>
          <w:rFonts w:ascii="Times New Roman" w:hAnsi="Times New Roman"/>
          <w:sz w:val="20"/>
        </w:rPr>
        <w:t>” means, with respect to the Company or any of its subsidiaries, any member of any group of organizations described in Sections 414(b), (c), (m) or (o) of the Internal Revenue Code of 1986, as amended, and the regulations and published interpretations thereunder (the “</w:t>
      </w:r>
      <w:r>
        <w:rPr>
          <w:rFonts w:ascii="Times New Roman" w:hAnsi="Times New Roman"/>
          <w:sz w:val="20"/>
          <w:u w:val="single"/>
        </w:rPr>
        <w:t>Code</w:t>
      </w:r>
      <w:r>
        <w:rPr>
          <w:rFonts w:ascii="Times New Roman" w:hAnsi="Times New Roman"/>
          <w:sz w:val="20"/>
        </w:rPr>
        <w:t xml:space="preserve">”) of which the Company or such subsidiary is a member. Except as would not reasonably be expected, individually or in the aggregate, to have a Material Adverse Event, (i) no “reportable event” (as defined under ERISA) has occurred or is reasonably expected to occur with respect to any “employee benefit plan” established or maintained by the Company, its subsidiaries or any of their ERISA Affiliates, (ii)no “employee benefit plan” established or maintained by the Company, its subsidiaries or any of their ERISA Affiliates, if such “employee benefit plan” were terminated, would have any “amount of unfunded benefit liabilities” (as defined under ERISA), and (iii) neither the Company, its subsidiaries nor any of their ERISA Affiliates has incurred or reasonably expects to incur any liability under (i) Title IV of ERISA with respect to termination of, or withdrawal from, any employee benefit plan or (ii) Sections 412, 4971, 4975 or 4980B of the Code. Each “employee benefit plan” established or maintained by the Company, its subsidiaries or any of their ERISA Affiliates that is intended to be qualified under Section 401(a) of the Code, to the knowledge of the Company, is so qualified and nothing has occurred, whether by action or failure to act, which would cause the loss of such qualification.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(xxx) </w:t>
      </w:r>
      <w:r>
        <w:rPr>
          <w:rFonts w:ascii="Times New Roman" w:hAnsi="Times New Roman"/>
          <w:sz w:val="20"/>
          <w:u w:val="single"/>
        </w:rPr>
        <w:t>Tax Law Compliance</w:t>
      </w:r>
      <w:r>
        <w:rPr>
          <w:rFonts w:ascii="Times New Roman" w:hAnsi="Times New Roman"/>
          <w:sz w:val="20"/>
        </w:rPr>
        <w:t xml:space="preserve">. The Company and each of its subsidiaries have filed all necessary U.S. federal, state, local and non-U.S. tax returns or have properly requested extensions thereof and have paid all taxes required to be paid whether or not reported thereon and, if due and payable, any related or similar assessment, fine or penalty levied against any of them except as may be being contested in good faith and by appropriate proceedings and for which adequate reserves have been established in the financial statements. The Company has made adequate charges, accruals and reserves in the applicable financial statements referred to in </w:t>
      </w:r>
      <w:r>
        <w:rPr>
          <w:rFonts w:ascii="Times New Roman" w:hAnsi="Times New Roman"/>
          <w:sz w:val="20"/>
          <w:u w:val="single"/>
        </w:rPr>
        <w:t>Section (vii)</w:t>
      </w:r>
      <w:r>
        <w:rPr>
          <w:rFonts w:ascii="Times New Roman" w:hAnsi="Times New Roman"/>
          <w:sz w:val="20"/>
        </w:rPr>
        <w:t xml:space="preserve"> above in respect of all federal, state and non-U.S. taxes for all periods as to which the tax liability of the Company or any of its subsidiaries has not been finally determined. No tax deficiency has been, or could reasonably be expected to be, asserted against the Company or any of its subsidiaries that could reasonably be expected to result in a Material Adverse Change. To the Company’s knowledge, none of the tax returns or taxes of the Company or any of its Subsidiaries is currently under audit or other examination and there are no outstanding agreements or waivers extending the statutory period of limitation applicable to any U.S. federal, state, local or non-U.S. tax return for any period. </w:t>
      </w:r>
    </w:p>
    <w:p>
      <w:pPr>
        <w:pStyle w:val="TextBody"/>
        <w:bidi w:val="0"/>
        <w:spacing w:before="120" w:after="0"/>
        <w:jc w:val="left"/>
        <w:rPr>
          <w:rFonts w:ascii="Times New Roman" w:hAnsi="Times New Roman"/>
          <w:sz w:val="20"/>
        </w:rPr>
      </w:pPr>
      <w:r>
        <w:rPr>
          <w:rFonts w:ascii="Times New Roman" w:hAnsi="Times New Roman"/>
          <w:sz w:val="20"/>
        </w:rPr>
        <w:t>(xxxi) </w:t>
      </w:r>
      <w:r>
        <w:rPr>
          <w:rFonts w:ascii="Times New Roman" w:hAnsi="Times New Roman"/>
          <w:sz w:val="20"/>
          <w:u w:val="single"/>
        </w:rPr>
        <w:t>Insurance</w:t>
      </w:r>
      <w:r>
        <w:rPr>
          <w:rFonts w:ascii="Times New Roman" w:hAnsi="Times New Roman"/>
          <w:sz w:val="20"/>
        </w:rPr>
        <w:t xml:space="preserve">. Each of the Company and its subsidiaries are insured by recognized, financially sound and reputable institutions with policies in such amounts and with such deductibles and covering such risks as the Company reasonably believes are generally deemed adequate and customary for their businesses including, but not limited to, policies covering real and personal property owned or leased by the Company and its subsidiaries against theft, damage, destruction, acts of vandalism and earthquakes and policies covering the Company and its subsidiaries for product liability claims and clinical trial liability claims. The Company has no reason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would not reasonably be expected to result in a Material Adverse Change. Neither the Company nor any of its subsidiaries has been denied any insurance coverage which it has sought or for which it has applied. </w:t>
      </w:r>
    </w:p>
    <w:p>
      <w:pPr>
        <w:pStyle w:val="TextBody"/>
        <w:bidi w:val="0"/>
        <w:spacing w:before="120" w:after="0"/>
        <w:jc w:val="left"/>
        <w:rPr>
          <w:rFonts w:ascii="Times New Roman" w:hAnsi="Times New Roman"/>
          <w:sz w:val="20"/>
        </w:rPr>
      </w:pPr>
      <w:r>
        <w:rPr>
          <w:rFonts w:ascii="Times New Roman" w:hAnsi="Times New Roman"/>
          <w:sz w:val="20"/>
        </w:rPr>
        <w:t>(xxxii) </w:t>
      </w:r>
      <w:r>
        <w:rPr>
          <w:rFonts w:ascii="Times New Roman" w:hAnsi="Times New Roman"/>
          <w:sz w:val="20"/>
          <w:u w:val="single"/>
        </w:rPr>
        <w:t>Company Not an “Investment Company”</w:t>
      </w:r>
      <w:r>
        <w:rPr>
          <w:rFonts w:ascii="Times New Roman" w:hAnsi="Times New Roman"/>
          <w:sz w:val="20"/>
        </w:rPr>
        <w:t>. The Company is not, and will not be, either after receipt of payment for the Shares or after the application of the proceeds therefrom as described under “Use of Proceeds” in the Registration Statement, the General Disclosure Package or the Prospectus, required to register as an “investment company” under the Investment Company Act of 1940, as amended (the “</w:t>
      </w:r>
      <w:r>
        <w:rPr>
          <w:rFonts w:ascii="Times New Roman" w:hAnsi="Times New Roman"/>
          <w:sz w:val="20"/>
          <w:u w:val="single"/>
        </w:rPr>
        <w:t>Investment Company 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(xxxiii) </w:t>
      </w:r>
      <w:r>
        <w:rPr>
          <w:rFonts w:ascii="Times New Roman" w:hAnsi="Times New Roman"/>
          <w:sz w:val="20"/>
          <w:u w:val="single"/>
        </w:rPr>
        <w:t>No Price Stabilization or Manipulation; Compliance with Regulation M</w:t>
      </w:r>
      <w:r>
        <w:rPr>
          <w:rFonts w:ascii="Times New Roman" w:hAnsi="Times New Roman"/>
          <w:sz w:val="20"/>
        </w:rPr>
        <w:t>. Neither the Company nor any of its subsidiaries has taken, directly or indirectly, without giving effect to activities by the Representative, any action designed to or that might reasonably be expected to cause or result in stabilization or manipulation of the price of the Common Shares or of any “reference security” (as defined in Rule 100 of Regulation M under the 1934 Act (“</w:t>
      </w:r>
      <w:r>
        <w:rPr>
          <w:rFonts w:ascii="Times New Roman" w:hAnsi="Times New Roman"/>
          <w:sz w:val="20"/>
          <w:u w:val="single"/>
        </w:rPr>
        <w:t>Regulation M</w:t>
      </w:r>
      <w:r>
        <w:rPr>
          <w:rFonts w:ascii="Times New Roman" w:hAnsi="Times New Roman"/>
          <w:sz w:val="20"/>
        </w:rPr>
        <w:t xml:space="preserve">”)) with respect to the Common Shares, whether to facilitate the sale or resale of the Shares or otherwise, and has taken no action which would directly or indirectly violate Regulation M. </w:t>
      </w:r>
    </w:p>
    <w:p>
      <w:pPr>
        <w:pStyle w:val="TextBody"/>
        <w:bidi w:val="0"/>
        <w:spacing w:before="120" w:after="0"/>
        <w:jc w:val="left"/>
        <w:rPr>
          <w:rFonts w:ascii="Times New Roman" w:hAnsi="Times New Roman"/>
          <w:sz w:val="20"/>
        </w:rPr>
      </w:pPr>
      <w:r>
        <w:rPr>
          <w:rFonts w:ascii="Times New Roman" w:hAnsi="Times New Roman"/>
          <w:sz w:val="20"/>
        </w:rPr>
        <w:t>(xxxiv) </w:t>
      </w:r>
      <w:r>
        <w:rPr>
          <w:rFonts w:ascii="Times New Roman" w:hAnsi="Times New Roman"/>
          <w:sz w:val="20"/>
          <w:u w:val="single"/>
        </w:rPr>
        <w:t>Related-Party Transactions</w:t>
      </w:r>
      <w:r>
        <w:rPr>
          <w:rFonts w:ascii="Times New Roman" w:hAnsi="Times New Roman"/>
          <w:sz w:val="20"/>
        </w:rPr>
        <w:t xml:space="preserve">. There are no business relationships or related-party transactions involving the Company or any of its subsidiaries or any other person required to be described in the Registration Statement, the General Disclosure Package or the Prospectus that have not been described as required.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(xxxv) </w:t>
      </w:r>
      <w:r>
        <w:rPr>
          <w:rFonts w:ascii="Times New Roman" w:hAnsi="Times New Roman"/>
          <w:sz w:val="20"/>
          <w:u w:val="single"/>
        </w:rPr>
        <w:t>FINRA Matters</w:t>
      </w:r>
      <w:r>
        <w:rPr>
          <w:rFonts w:ascii="Times New Roman" w:hAnsi="Times New Roman"/>
          <w:sz w:val="20"/>
        </w:rPr>
        <w:t xml:space="preserve">. All of the information provided to the Underwriters or to counsel for the Underwriters by the Company, its counsel, its officers and directors and the holders of any securities (debt or equity) or options to acquire any securities of the Company in connection with the offering of the Securities is true, complete, correct and compliant with FINRA’s rules and any letters, filings or other supplemental information provided to FINRA pursuant to FINRA Rules or NASD Conduct Rules is true, complete and correct. The Company meets the definition of the term “experienced issuer” specified in FINRA Rule 5110(j)(6). </w:t>
      </w:r>
    </w:p>
    <w:p>
      <w:pPr>
        <w:pStyle w:val="TextBody"/>
        <w:bidi w:val="0"/>
        <w:spacing w:before="120" w:after="0"/>
        <w:jc w:val="left"/>
        <w:rPr>
          <w:rFonts w:ascii="Times New Roman" w:hAnsi="Times New Roman"/>
          <w:sz w:val="20"/>
        </w:rPr>
      </w:pPr>
      <w:r>
        <w:rPr>
          <w:rFonts w:ascii="Times New Roman" w:hAnsi="Times New Roman"/>
          <w:sz w:val="20"/>
        </w:rPr>
        <w:t>(xxxvi) </w:t>
      </w:r>
      <w:r>
        <w:rPr>
          <w:rFonts w:ascii="Times New Roman" w:hAnsi="Times New Roman"/>
          <w:sz w:val="20"/>
          <w:u w:val="single"/>
        </w:rPr>
        <w:t>Parties to Lock-Up Agreements</w:t>
      </w:r>
      <w:r>
        <w:rPr>
          <w:rFonts w:ascii="Times New Roman" w:hAnsi="Times New Roman"/>
          <w:sz w:val="20"/>
        </w:rPr>
        <w:t>. The Company has furnished to the Underwriters a letter agreement in the form attached hereto as Exhibit A (the “</w:t>
      </w:r>
      <w:r>
        <w:rPr>
          <w:rFonts w:ascii="Times New Roman" w:hAnsi="Times New Roman"/>
          <w:sz w:val="20"/>
          <w:u w:val="single"/>
        </w:rPr>
        <w:t>Lock-up Agreement</w:t>
      </w:r>
      <w:r>
        <w:rPr>
          <w:rFonts w:ascii="Times New Roman" w:hAnsi="Times New Roman"/>
          <w:sz w:val="20"/>
        </w:rPr>
        <w:t xml:space="preserve">”) from each of the persons listed on Exhibit B. Such Exhibit B lists under an appropriate caption the directors, officers and affiliated securityholders of the Company. If any additional persons shall become directors or officers of the Company prior to the end of the Company Lock-up Period (as defined below), the Company shall cause each such person, prior to or contemporaneously with their appointment or election as a director or officer of the Company, to execute and deliver to Leerink Partners a Lock-up Agreement. </w:t>
      </w:r>
    </w:p>
    <w:p>
      <w:pPr>
        <w:pStyle w:val="TextBody"/>
        <w:bidi w:val="0"/>
        <w:spacing w:before="120" w:after="0"/>
        <w:jc w:val="left"/>
        <w:rPr>
          <w:rFonts w:ascii="Times New Roman" w:hAnsi="Times New Roman"/>
          <w:sz w:val="20"/>
        </w:rPr>
      </w:pPr>
      <w:r>
        <w:rPr>
          <w:rFonts w:ascii="Times New Roman" w:hAnsi="Times New Roman"/>
          <w:sz w:val="20"/>
        </w:rPr>
        <w:t>(xxxvii) </w:t>
      </w:r>
      <w:r>
        <w:rPr>
          <w:rFonts w:ascii="Times New Roman" w:hAnsi="Times New Roman"/>
          <w:sz w:val="20"/>
          <w:u w:val="single"/>
        </w:rPr>
        <w:t>Anti-Corruption and Anti-Bribery Laws</w:t>
      </w:r>
      <w:r>
        <w:rPr>
          <w:rFonts w:ascii="Times New Roman" w:hAnsi="Times New Roman"/>
          <w:sz w:val="20"/>
        </w:rPr>
        <w:t>. Neither the Company nor any of its subsidiaries nor any director or officer of the Company or any of its subsidiaries, nor to the knowledge of the Company, any employee, agent, affiliate or other person acting on behalf of the Company or any of its subsidiaries has, in the course of its actions for, or on behalf of, the Company or any of its subsidiaries (i) used any corporate funds for any unlawful contribution, gift, entertainment or other unlawful expenses relating to political activity; (ii) made or taken any act in furtherance of an offer, promise, or authorization of any direct or indirect unlawful payment or benefit to any domestic government official or “foreign official” as defined in the U.S. Foreign Corrupt Practices Act of 1977, as amended (the “</w:t>
      </w:r>
      <w:r>
        <w:rPr>
          <w:rFonts w:ascii="Times New Roman" w:hAnsi="Times New Roman"/>
          <w:sz w:val="20"/>
          <w:u w:val="single"/>
        </w:rPr>
        <w:t>FCPA</w:t>
      </w:r>
      <w:r>
        <w:rPr>
          <w:rFonts w:ascii="Times New Roman" w:hAnsi="Times New Roman"/>
          <w:sz w:val="20"/>
        </w:rPr>
        <w:t xml:space="preserve">”); (iii) violated or is in violation of any provision of the FCPA, the UK Bribery Act 2010, or any other applicable anti-bribery or anti-corruption law; or (iv) made, offered, authorized, requested, or taken an act in furtherance of any unlawful bribe, rebate, payoff, influence payment, kickback or other unlawful payment or benefit. The Company and its subsidiaries and, to the knowledge of the Company, the Company’s affiliates have conducted their respective businesses in compliance with the FCPA and have instituted and maintain policies and procedures which it believes is reasonably designed to ensure, and which are reasonably expected to continue to ensure, continued compliance therewith. </w:t>
      </w:r>
    </w:p>
    <w:p>
      <w:pPr>
        <w:pStyle w:val="TextBody"/>
        <w:bidi w:val="0"/>
        <w:spacing w:before="120" w:after="0"/>
        <w:jc w:val="left"/>
        <w:rPr>
          <w:rFonts w:ascii="Times New Roman" w:hAnsi="Times New Roman"/>
          <w:sz w:val="20"/>
        </w:rPr>
      </w:pPr>
      <w:r>
        <w:rPr>
          <w:rFonts w:ascii="Times New Roman" w:hAnsi="Times New Roman"/>
          <w:sz w:val="20"/>
        </w:rPr>
        <w:t xml:space="preserve">(xxxviii)  </w:t>
      </w:r>
      <w:r>
        <w:rPr>
          <w:rFonts w:ascii="Times New Roman" w:hAnsi="Times New Roman"/>
          <w:sz w:val="20"/>
          <w:u w:val="single"/>
        </w:rPr>
        <w:t>Money Laundering Laws</w:t>
      </w:r>
      <w:r>
        <w:rPr>
          <w:rFonts w:ascii="Times New Roman" w:hAnsi="Times New Roman"/>
          <w:sz w:val="20"/>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Times New Roman" w:hAnsi="Times New Roman"/>
          <w:sz w:val="20"/>
          <w:u w:val="single"/>
        </w:rPr>
        <w:t>Money Laundering Laws</w:t>
      </w:r>
      <w:r>
        <w:rPr>
          <w:rFonts w:ascii="Times New Roman" w:hAnsi="Times New Roman"/>
          <w:sz w:val="20"/>
        </w:rPr>
        <w:t xml:space="preserve">”) and no action, suit or proceeding by or before any court or governmental agency, authority or body or any arbitrator involving the Company or any of its subsidiaries with respect to the Money Laundering Laws is pending or, to the knowledge of the Company, threatened. </w:t>
      </w:r>
    </w:p>
    <w:p>
      <w:pPr>
        <w:pStyle w:val="TextBody"/>
        <w:bidi w:val="0"/>
        <w:spacing w:before="120" w:after="0"/>
        <w:jc w:val="left"/>
        <w:rPr>
          <w:rFonts w:ascii="Times New Roman" w:hAnsi="Times New Roman"/>
          <w:sz w:val="20"/>
        </w:rPr>
      </w:pPr>
      <w:r>
        <w:rPr>
          <w:rFonts w:ascii="Times New Roman" w:hAnsi="Times New Roman"/>
          <w:sz w:val="20"/>
        </w:rPr>
        <w:t>(xxxix) </w:t>
      </w:r>
      <w:r>
        <w:rPr>
          <w:rFonts w:ascii="Times New Roman" w:hAnsi="Times New Roman"/>
          <w:sz w:val="20"/>
          <w:u w:val="single"/>
        </w:rPr>
        <w:t>Sanctions</w:t>
      </w:r>
      <w:r>
        <w:rPr>
          <w:rFonts w:ascii="Times New Roman" w:hAnsi="Times New Roman"/>
          <w:sz w:val="20"/>
        </w:rPr>
        <w:t>. Neither the Company nor any of its subsidiaries, nor, to the knowledge of the Company, after due inquiry, any agent, affiliate, directors, officers, employees, or other person acting on behalf of the Company or any of its subsidiaries is currently the subject or the target of any U.S. sanctions administered by the Office of Foreign Assets Control of the U.S. Department of the Treasury (“</w:t>
      </w:r>
      <w:r>
        <w:rPr>
          <w:rFonts w:ascii="Times New Roman" w:hAnsi="Times New Roman"/>
          <w:sz w:val="20"/>
          <w:u w:val="single"/>
        </w:rPr>
        <w:t>OFAC</w:t>
      </w:r>
      <w:r>
        <w:rPr>
          <w:rFonts w:ascii="Times New Roman" w:hAnsi="Times New Roman"/>
          <w:sz w:val="20"/>
        </w:rPr>
        <w:t>”) or the U.S. Department of State, the United Nations Security Council, the European Union, His Majesty’s Treasury of the United Kingdom, or other relevant sanctions authority (collectively, “</w:t>
      </w:r>
      <w:r>
        <w:rPr>
          <w:rFonts w:ascii="Times New Roman" w:hAnsi="Times New Roman"/>
          <w:sz w:val="20"/>
          <w:u w:val="single"/>
        </w:rPr>
        <w:t>Sanctions</w:t>
      </w:r>
      <w:r>
        <w:rPr>
          <w:rFonts w:ascii="Times New Roman" w:hAnsi="Times New Roman"/>
          <w:sz w:val="20"/>
        </w:rPr>
        <w:t xml:space="preserve">”); nor is the Company or any of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located, organized or resident in a country or territory that is the subject or the target of Sanctions, including, without limitation, the Crimea region of Ukraine, Cuba, Iran, North Korea, Syria, the so-called Donetsk People’s Republic, and the so-called Luhansk People’s Republic;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at the time of such financing, is the subject or the target of Sanctions or in any other manner that will result in a violation by any person (including any person participating in the transaction whether as underwriter, advisor, investor or otherwise) of applicable Sanctions. Since April 24, 2019, the Company and its subsidiaries have not knowingly engaged in and are not now knowingly engaged in any dealings or transactions with any person that at the time of the dealing or transaction is or was the subject or the target of Sanctions or with any Sanctioned Country. </w:t>
      </w:r>
    </w:p>
    <w:p>
      <w:pPr>
        <w:pStyle w:val="TextBody"/>
        <w:bidi w:val="0"/>
        <w:spacing w:before="120" w:after="0"/>
        <w:jc w:val="left"/>
        <w:rPr>
          <w:rFonts w:ascii="Times New Roman" w:hAnsi="Times New Roman"/>
          <w:sz w:val="20"/>
        </w:rPr>
      </w:pPr>
      <w:r>
        <w:rPr>
          <w:rFonts w:ascii="Times New Roman" w:hAnsi="Times New Roman"/>
          <w:sz w:val="20"/>
        </w:rPr>
        <w:t>(xl) </w:t>
      </w:r>
      <w:r>
        <w:rPr>
          <w:rFonts w:ascii="Times New Roman" w:hAnsi="Times New Roman"/>
          <w:sz w:val="20"/>
          <w:u w:val="single"/>
        </w:rPr>
        <w:t>Brokers</w:t>
      </w:r>
      <w:r>
        <w:rPr>
          <w:rFonts w:ascii="Times New Roman" w:hAnsi="Times New Roman"/>
          <w:sz w:val="20"/>
        </w:rPr>
        <w:t xml:space="preserve">. Except pursuant to this Agreement, there is no broker, finder or other party that is entitled to receive from the Company any brokerage or finder’s fee or other fee or commission as a result of any transactions contemplated by this Agreement. </w:t>
      </w:r>
    </w:p>
    <w:p>
      <w:pPr>
        <w:pStyle w:val="TextBody"/>
        <w:bidi w:val="0"/>
        <w:spacing w:before="120" w:after="0"/>
        <w:jc w:val="left"/>
        <w:rPr>
          <w:rFonts w:ascii="Times New Roman" w:hAnsi="Times New Roman"/>
          <w:sz w:val="20"/>
        </w:rPr>
      </w:pPr>
      <w:r>
        <w:rPr>
          <w:rFonts w:ascii="Times New Roman" w:hAnsi="Times New Roman"/>
          <w:sz w:val="20"/>
        </w:rPr>
        <w:t>(xli) </w:t>
      </w:r>
      <w:r>
        <w:rPr>
          <w:rFonts w:ascii="Times New Roman" w:hAnsi="Times New Roman"/>
          <w:sz w:val="20"/>
          <w:u w:val="single"/>
        </w:rPr>
        <w:t>Forward-Looking Statements</w:t>
      </w:r>
      <w:r>
        <w:rPr>
          <w:rFonts w:ascii="Times New Roman" w:hAnsi="Times New Roman"/>
          <w:sz w:val="20"/>
        </w:rPr>
        <w:t xml:space="preserve">. No financial or operational projection or other “forward-looking statement” (as defined by Section 27A of the 1933 Act or Section 21E of the 1934 Act) contained in the Registration Statement, the General Disclosure Package or the Prospectus has been made without reasonable basis or has been disclosed other than in good faith. </w:t>
      </w:r>
    </w:p>
    <w:p>
      <w:pPr>
        <w:pStyle w:val="TextBody"/>
        <w:bidi w:val="0"/>
        <w:spacing w:before="120" w:after="0"/>
        <w:jc w:val="left"/>
        <w:rPr>
          <w:rFonts w:ascii="Times New Roman" w:hAnsi="Times New Roman"/>
          <w:sz w:val="20"/>
        </w:rPr>
      </w:pPr>
      <w:r>
        <w:rPr>
          <w:rFonts w:ascii="Times New Roman" w:hAnsi="Times New Roman"/>
          <w:sz w:val="20"/>
        </w:rPr>
        <w:t>(xlii) </w:t>
      </w:r>
      <w:r>
        <w:rPr>
          <w:rFonts w:ascii="Times New Roman" w:hAnsi="Times New Roman"/>
          <w:sz w:val="20"/>
          <w:u w:val="single"/>
        </w:rPr>
        <w:t>No Outstanding Loans or Other Extensions of Credit</w:t>
      </w:r>
      <w:r>
        <w:rPr>
          <w:rFonts w:ascii="Times New Roman" w:hAnsi="Times New Roman"/>
          <w:sz w:val="20"/>
        </w:rPr>
        <w:t xml:space="preserve">. The Company does not have any outstanding extension of credit, in the form of a personal loan, to or for any director or executive officer (or equivalent thereof) of the Company except for such extensions of credit as are expressly permitted by Section 13(k) of the 1934 Act. </w:t>
      </w:r>
    </w:p>
    <w:p>
      <w:pPr>
        <w:pStyle w:val="TextBody"/>
        <w:bidi w:val="0"/>
        <w:spacing w:before="120" w:after="0"/>
        <w:jc w:val="left"/>
        <w:rPr>
          <w:rFonts w:ascii="Times New Roman" w:hAnsi="Times New Roman"/>
          <w:sz w:val="20"/>
        </w:rPr>
      </w:pPr>
      <w:r>
        <w:rPr>
          <w:rFonts w:ascii="Times New Roman" w:hAnsi="Times New Roman"/>
          <w:sz w:val="20"/>
        </w:rPr>
        <w:t>(xliii) </w:t>
      </w:r>
      <w:r>
        <w:rPr>
          <w:rFonts w:ascii="Times New Roman" w:hAnsi="Times New Roman"/>
          <w:sz w:val="20"/>
          <w:u w:val="single"/>
        </w:rPr>
        <w:t>Statistical and Market-Related Data</w:t>
      </w:r>
      <w:r>
        <w:rPr>
          <w:rFonts w:ascii="Times New Roman" w:hAnsi="Times New Roman"/>
          <w:sz w:val="20"/>
        </w:rPr>
        <w:t xml:space="preserve">. All statistical, demographic and market-related data included in the Registration Statement, the General Disclosure Package or the Prospectus are based on or derived from sources that the Company believes, after reasonable inquiry, to be reliable and accurate. To the extent required, the Company has obtained the written consent to the use of such data from such sources. </w:t>
      </w:r>
    </w:p>
    <w:p>
      <w:pPr>
        <w:pStyle w:val="TextBody"/>
        <w:bidi w:val="0"/>
        <w:spacing w:before="120" w:after="0"/>
        <w:jc w:val="left"/>
        <w:rPr>
          <w:rFonts w:ascii="Times New Roman" w:hAnsi="Times New Roman"/>
          <w:sz w:val="20"/>
        </w:rPr>
      </w:pPr>
      <w:r>
        <w:rPr>
          <w:rFonts w:ascii="Times New Roman" w:hAnsi="Times New Roman"/>
          <w:sz w:val="20"/>
        </w:rPr>
        <w:t>(xliv) </w:t>
      </w:r>
      <w:r>
        <w:rPr>
          <w:rFonts w:ascii="Times New Roman" w:hAnsi="Times New Roman"/>
          <w:sz w:val="20"/>
          <w:u w:val="single"/>
        </w:rPr>
        <w:t>Cybersecurity</w:t>
      </w:r>
      <w:r>
        <w:rPr>
          <w:rFonts w:ascii="Times New Roman" w:hAnsi="Times New Roman"/>
          <w:sz w:val="20"/>
        </w:rPr>
        <w:t>. The Company’s and its subsidiaries’ information technology assets and equipment, computers, systems, networks, hardware, software, websites, applications, and databases (including any third party technology assets or services used by the Company and its subsidiaries but excluding any public networks) (collectively, “</w:t>
      </w:r>
      <w:r>
        <w:rPr>
          <w:rFonts w:ascii="Times New Roman" w:hAnsi="Times New Roman"/>
          <w:sz w:val="20"/>
          <w:u w:val="single"/>
        </w:rPr>
        <w:t>IT Systems</w:t>
      </w:r>
      <w:r>
        <w:rPr>
          <w:rFonts w:ascii="Times New Roman" w:hAnsi="Times New Roman"/>
          <w:sz w:val="20"/>
        </w:rPr>
        <w:t>”)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its subsidiaries have implemented, maintained, and complied with reasonable and appropriate physical, technical and administrative controls, policies, procedures, and safeguards to maintain and protect all “Personal Data” and other material confidential, sensitive, and regulated information used in connection with their businesses (collectively, “</w:t>
      </w:r>
      <w:r>
        <w:rPr>
          <w:rFonts w:ascii="Times New Roman" w:hAnsi="Times New Roman"/>
          <w:sz w:val="20"/>
          <w:u w:val="single"/>
        </w:rPr>
        <w:t>Sensitive Data</w:t>
      </w:r>
      <w:r>
        <w:rPr>
          <w:rFonts w:ascii="Times New Roman" w:hAnsi="Times New Roman"/>
          <w:sz w:val="20"/>
        </w:rPr>
        <w:t>”) and the integrity, continuous operation, redundancy and security of all IT Systems. “</w:t>
      </w:r>
      <w:r>
        <w:rPr>
          <w:rFonts w:ascii="Times New Roman" w:hAnsi="Times New Roman"/>
          <w:sz w:val="20"/>
          <w:u w:val="single"/>
        </w:rPr>
        <w:t>Personal Data</w:t>
      </w:r>
      <w:r>
        <w:rPr>
          <w:rFonts w:ascii="Times New Roman" w:hAnsi="Times New Roman"/>
          <w:sz w:val="20"/>
        </w:rPr>
        <w:t xml:space="preserve">” means (i) any information that relates to an identified or identifiable natural person, or that is reasonably capable of being used to identify, contact, or precisely locate a natural person, including a natural person’s name, street address, telephone number, e-mail address, photograph, social security number or tax identification number, driver’s license number, passport number, credit card number, bank information, or customer or account number; or (ii) any information which would qualify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personally identifying information,” “personal information,” or similar term under Privacy Laws. In the past three (3) years, there have been no breaches, violations, outages or unauthorized, unlawful, or accidental uses of, accesses to, or other processing of Sensitive Data, except for those that have been remedied without material cost or liability or the duty to notify any other person, nor any incidents or which would not reasonably be expected to result in a Material Adverse Change.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Sensitive Data and to the protection of such IT Systems and Sensitive Data from unauthorized, unlawful, or accidental use, access, misappropriation, modification, or other processing except as would not reasonably be expected to result in a Material Adverse Change. </w:t>
      </w:r>
    </w:p>
    <w:p>
      <w:pPr>
        <w:pStyle w:val="TextBody"/>
        <w:bidi w:val="0"/>
        <w:spacing w:before="120" w:after="0"/>
        <w:jc w:val="left"/>
        <w:rPr>
          <w:rFonts w:ascii="Times New Roman" w:hAnsi="Times New Roman"/>
          <w:sz w:val="20"/>
        </w:rPr>
      </w:pPr>
      <w:r>
        <w:rPr>
          <w:rFonts w:ascii="Times New Roman" w:hAnsi="Times New Roman"/>
          <w:sz w:val="20"/>
        </w:rPr>
        <w:t>(xlv) </w:t>
      </w:r>
      <w:r>
        <w:rPr>
          <w:rFonts w:ascii="Times New Roman" w:hAnsi="Times New Roman"/>
          <w:sz w:val="20"/>
          <w:u w:val="single"/>
        </w:rPr>
        <w:t>Compliance with Data Privacy Laws</w:t>
      </w:r>
      <w:r>
        <w:rPr>
          <w:rFonts w:ascii="Times New Roman" w:hAnsi="Times New Roman"/>
          <w:sz w:val="20"/>
        </w:rPr>
        <w:t>. The Company and its subsidiaries are, and in the past three (3) years were, in material compliance with all applicable state, federal, and foreign data privacy and security laws and regulations, including without limitation the Health Insurance Portability and Accountability Act of 1996, as amended by the Health Information Technology for Economic and Clinical Health Act (collectively, “</w:t>
      </w:r>
      <w:r>
        <w:rPr>
          <w:rFonts w:ascii="Times New Roman" w:hAnsi="Times New Roman"/>
          <w:sz w:val="20"/>
          <w:u w:val="single"/>
        </w:rPr>
        <w:t>HIPAA</w:t>
      </w:r>
      <w:r>
        <w:rPr>
          <w:rFonts w:ascii="Times New Roman" w:hAnsi="Times New Roman"/>
          <w:sz w:val="20"/>
        </w:rPr>
        <w:t>”), the European Union General Data Protection Regulation (“</w:t>
      </w:r>
      <w:r>
        <w:rPr>
          <w:rFonts w:ascii="Times New Roman" w:hAnsi="Times New Roman"/>
          <w:sz w:val="20"/>
          <w:u w:val="single"/>
        </w:rPr>
        <w:t>GDPR</w:t>
      </w:r>
      <w:r>
        <w:rPr>
          <w:rFonts w:ascii="Times New Roman" w:hAnsi="Times New Roman"/>
          <w:sz w:val="20"/>
        </w:rPr>
        <w:t>”) (EU 2016/679), the United Kingdom’s GDPR, and the California Consumer Privacy Act (“</w:t>
      </w:r>
      <w:r>
        <w:rPr>
          <w:rFonts w:ascii="Times New Roman" w:hAnsi="Times New Roman"/>
          <w:sz w:val="20"/>
          <w:u w:val="single"/>
        </w:rPr>
        <w:t>CCPA</w:t>
      </w:r>
      <w:r>
        <w:rPr>
          <w:rFonts w:ascii="Times New Roman" w:hAnsi="Times New Roman"/>
          <w:sz w:val="20"/>
        </w:rPr>
        <w:t>”) (collectively, the “</w:t>
      </w:r>
      <w:r>
        <w:rPr>
          <w:rFonts w:ascii="Times New Roman" w:hAnsi="Times New Roman"/>
          <w:sz w:val="20"/>
          <w:u w:val="single"/>
        </w:rPr>
        <w:t>Privacy Laws</w:t>
      </w:r>
      <w:r>
        <w:rPr>
          <w:rFonts w:ascii="Times New Roman" w:hAnsi="Times New Roman"/>
          <w:sz w:val="20"/>
        </w:rPr>
        <w:t>”) except as would not reasonably be expected to result in a Material Adverse Change. In furtherance of its efforts to comply with the applicable Privacy Laws, the Company and its subsidiaries have in place, comply with, and take appropriate steps reasonably designed to comply in all material respects with their policies and procedures relating to data privacy and security and the collection, storage, use, disclosure, handling, analysis, and other processing of Personal Data (the “</w:t>
      </w:r>
      <w:r>
        <w:rPr>
          <w:rFonts w:ascii="Times New Roman" w:hAnsi="Times New Roman"/>
          <w:sz w:val="20"/>
          <w:u w:val="single"/>
        </w:rPr>
        <w:t>Policies</w:t>
      </w:r>
      <w:r>
        <w:rPr>
          <w:rFonts w:ascii="Times New Roman" w:hAnsi="Times New Roman"/>
          <w:sz w:val="20"/>
        </w:rPr>
        <w:t xml:space="preserve">”) except as would not reasonably be expected to result in a Material Adverse Change. The Company and its subsidiaries have at all times made all disclosures to users or customers required by applicable Privacy Laws, and none of such disclosures made or contained in any Policy have, to the knowledge of the Company, been inaccurate or in violation of any applicable laws (including Privacy Laws) and regulatory rules or requirements in any material respect. The Company further certifies that neither it nor any subsidiary: (i) has received written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alleged violation of Privacy Law, except as would not reasonably be expected to result in a Material Adverse Change; or (iii) is a party to any order or decree that imposes any obligation or liability under any Privacy Law resulting from any alleged violation of Privacy Law against the Company. </w:t>
      </w:r>
    </w:p>
    <w:p>
      <w:pPr>
        <w:pStyle w:val="TextBody"/>
        <w:bidi w:val="0"/>
        <w:spacing w:before="120" w:after="0"/>
        <w:jc w:val="left"/>
        <w:rPr>
          <w:rFonts w:ascii="Times New Roman" w:hAnsi="Times New Roman"/>
          <w:sz w:val="20"/>
        </w:rPr>
      </w:pPr>
      <w:r>
        <w:rPr>
          <w:rFonts w:ascii="Times New Roman" w:hAnsi="Times New Roman"/>
          <w:sz w:val="20"/>
        </w:rPr>
        <w:t>(xlvi) </w:t>
      </w:r>
      <w:r>
        <w:rPr>
          <w:rFonts w:ascii="Times New Roman" w:hAnsi="Times New Roman"/>
          <w:sz w:val="20"/>
          <w:u w:val="single"/>
        </w:rPr>
        <w:t>Outbound Investment Security Program</w:t>
      </w:r>
      <w:r>
        <w:rPr>
          <w:rFonts w:ascii="Times New Roman" w:hAnsi="Times New Roman"/>
          <w:sz w:val="20"/>
        </w:rPr>
        <w:t>. Neither the Company nor any of its subsidiaries is a “covered foreign person”, as that term is defined in 31 C.F.R. § 850.209. Neither the Company nor any of its subsidiaries currently engages, or has plans to engage, directly or indirectly, in a “covered activity”, as that term is defined in in 31 C.F.R. § 850.208 (“</w:t>
      </w:r>
      <w:r>
        <w:rPr>
          <w:rFonts w:ascii="Times New Roman" w:hAnsi="Times New Roman"/>
          <w:sz w:val="20"/>
          <w:u w:val="single"/>
        </w:rPr>
        <w:t>Covered Activity</w:t>
      </w:r>
      <w:r>
        <w:rPr>
          <w:rFonts w:ascii="Times New Roman" w:hAnsi="Times New Roman"/>
          <w:sz w:val="20"/>
        </w:rPr>
        <w:t xml:space="preserve">”). The Company does not have any joint ventures that engages in or plans to engage in any Covered Activity. The Company also does not, directly or indirectly, hold a board seat on, have a voting or equity interest in, or have any contractual power to direct or cause the direction of the management or policies of any person or persons that engages or plans to engage in any Covered Activity.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w:t>
      </w:r>
      <w:r>
        <w:rPr>
          <w:rFonts w:ascii="Times New Roman" w:hAnsi="Times New Roman"/>
          <w:i/>
          <w:sz w:val="20"/>
        </w:rPr>
        <w:t>Officer’s Certificates</w:t>
      </w:r>
      <w:r>
        <w:rPr>
          <w:rFonts w:ascii="Times New Roman" w:hAnsi="Times New Roman"/>
          <w:sz w:val="20"/>
        </w:rPr>
        <w:t xml:space="preserve">. Any certificate signed by any officer of the Company or any of its Subsidiaries delivered to the Representative or to counsel for the Underwriters shall be deemed a representation and warranty by the Company to each Underwriter as to the matters covered thereby. </w:t>
      </w:r>
    </w:p>
    <w:p>
      <w:pPr>
        <w:pStyle w:val="TextBody"/>
        <w:bidi w:val="0"/>
        <w:spacing w:before="240" w:after="0"/>
        <w:jc w:val="left"/>
        <w:rPr>
          <w:rFonts w:ascii="Times New Roman" w:hAnsi="Times New Roman"/>
          <w:sz w:val="20"/>
        </w:rPr>
      </w:pPr>
      <w:r>
        <w:rPr>
          <w:rFonts w:ascii="Times New Roman" w:hAnsi="Times New Roman"/>
          <w:sz w:val="20"/>
        </w:rPr>
        <w:t>SECTION 2. </w:t>
      </w:r>
      <w:r>
        <w:rPr>
          <w:rFonts w:ascii="Times New Roman" w:hAnsi="Times New Roman"/>
          <w:sz w:val="20"/>
          <w:u w:val="single"/>
        </w:rPr>
        <w:t>Sale and Delivery to Underwriters; Closing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i/>
          <w:sz w:val="20"/>
        </w:rPr>
        <w:t>Securities</w:t>
      </w:r>
      <w:r>
        <w:rPr>
          <w:rFonts w:ascii="Times New Roman" w:hAnsi="Times New Roman"/>
          <w:sz w:val="20"/>
        </w:rPr>
        <w:t xml:space="preserve">. On the basis of the representations and warranties herein contained and subject to the terms and conditions herein set forth, the Company agrees to sell to each Underwriter, severally and not jointly, and each Underwriter, severally and not jointly, agrees to purchase from the Company, at the price per Share and the price per Pre-Funded Warrant, as applicable, set forth in </w:t>
      </w:r>
      <w:r>
        <w:rPr>
          <w:rFonts w:ascii="Times New Roman" w:hAnsi="Times New Roman"/>
          <w:sz w:val="20"/>
          <w:u w:val="single"/>
        </w:rPr>
        <w:t>Schedule A</w:t>
      </w:r>
      <w:r>
        <w:rPr>
          <w:rFonts w:ascii="Times New Roman" w:hAnsi="Times New Roman"/>
          <w:sz w:val="20"/>
        </w:rPr>
        <w:t xml:space="preserve">, that number of Securities set forth in </w:t>
      </w:r>
      <w:r>
        <w:rPr>
          <w:rFonts w:ascii="Times New Roman" w:hAnsi="Times New Roman"/>
          <w:sz w:val="20"/>
          <w:u w:val="single"/>
        </w:rPr>
        <w:t>Schedule A</w:t>
      </w:r>
      <w:r>
        <w:rPr>
          <w:rFonts w:ascii="Times New Roman" w:hAnsi="Times New Roman"/>
          <w:sz w:val="20"/>
        </w:rPr>
        <w:t xml:space="preserve"> opposite the name of such Underwriter, plus any additional number of Securities which such Underwriter may become obligated to purchase pursuant to the provisions of Section 10 hereof, subject, in each case, to such adjustments among the Underwriters as the Representative in its sole discretion shall make to eliminate any sales or purchases of fractional shares.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i/>
          <w:sz w:val="20"/>
        </w:rPr>
        <w:t>Payment</w:t>
      </w:r>
      <w:r>
        <w:rPr>
          <w:rFonts w:ascii="Times New Roman" w:hAnsi="Times New Roman"/>
          <w:sz w:val="20"/>
        </w:rPr>
        <w:t>. Payment of the purchase price for, and delivery of certificates or security entitlements for, the Securities shall be made at the offices of Cooley LLP, or at such other place as shall be agreed upon by the Representative and the Company, at 10:00 A.M. (New York City time) on October 24, 2025 (unless postponed in accordance with the provisions of Section 10), or such other time not later than ten business days after such date as shall be agreed upon by the Representative and the Company (such time and date of payment and delivery being herein called “</w:t>
      </w:r>
      <w:r>
        <w:rPr>
          <w:rFonts w:ascii="Times New Roman" w:hAnsi="Times New Roman"/>
          <w:sz w:val="20"/>
          <w:u w:val="single"/>
        </w:rPr>
        <w:t>Closing Time</w:t>
      </w:r>
      <w:r>
        <w:rPr>
          <w:rFonts w:ascii="Times New Roman" w:hAnsi="Times New Roman"/>
          <w:sz w:val="20"/>
        </w:rPr>
        <w:t xml:space="preserve">”). Delivery of the Shares at the Closing Time shall be made through the facilities of The Depository Trust Company unless the Representative shall otherwise instruct. </w:t>
      </w:r>
    </w:p>
    <w:p>
      <w:pPr>
        <w:pStyle w:val="TextBody"/>
        <w:bidi w:val="0"/>
        <w:spacing w:before="240" w:after="0"/>
        <w:jc w:val="left"/>
        <w:rPr>
          <w:rFonts w:ascii="Times New Roman" w:hAnsi="Times New Roman"/>
          <w:sz w:val="20"/>
        </w:rPr>
      </w:pPr>
      <w:r>
        <w:rPr>
          <w:rFonts w:ascii="Times New Roman" w:hAnsi="Times New Roman"/>
          <w:sz w:val="20"/>
        </w:rPr>
        <w:t xml:space="preserve">Payment shall be made to the Company by wire transfer of immediately available funds to a bank account designated by the Company, against delivery to the Representative for the respective accounts of the Underwriters of certificates or security entitlements for the Securities to be purchased by them. It is understood that each Underwriter has authorized the Representative, for its account, to accept delivery of, receipt for, and make payment of the purchase price for, the Securities, which it has agreed to purchase. Leerink Partners, individually and not as representative of the Underwriters, may (but shall not be obligated to) make payment of the purchase price for the Securities to be purchased by any Underwriter whose funds have not been received by the Closing Time, as the case may be, but such payment shall not relieve such Underwriter from its obligations hereunder.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i/>
          <w:sz w:val="20"/>
        </w:rPr>
        <w:t>Delivery of the Securities</w:t>
      </w:r>
      <w:r>
        <w:rPr>
          <w:rFonts w:ascii="Times New Roman" w:hAnsi="Times New Roman"/>
          <w:sz w:val="20"/>
        </w:rPr>
        <w:t xml:space="preserve">. Notwithstanding the foregoing, the Company and the Representative shall instruct purchasers of the Pre-Funded Warrants to make payment for the Pre-Funded Warrants on the Closing Time to the Company by wire transfer in immediately available funds to the account specified by the Company at a purchase price of $8.659 per Pre-Funded Warrant, in lieu of payment by the Underwriters for such Pre-Funded Warrants, and the Company shall deliver the Pre-Funded Warrants to such purchasers no later than one business day following the Closing Time (provided, that such purchasers have provided an address for such delivery) in definitive paper form against such payment, in lieu of the Company’s obligation to deliver the Pre-Funded Warrants to the Representative; provided that, the Underwriters shall withhold $0.5196 per Pre-Funded Warrant with respect to such Pre-Funded Warrants as an offset effected by the Company of its claim for payment by the Underwriters to the Company for the Shares against the Company’s obligation to pay the amount so withheld with respect to such Pre-Funded Warrants to the Underwriters. In the event that any purchaser of the Pre-Funded Warrants fails to make payment to the Company for all or part of the Pre-Funded Warrants on the Closing Time, the Representative shall either (i) make payment to the Company for such Pre-Funded Warrants at the purchase price specified to be paid by the Underwriters for such Pre-Funded Warrants in </w:t>
      </w:r>
      <w:r>
        <w:rPr>
          <w:rFonts w:ascii="Times New Roman" w:hAnsi="Times New Roman"/>
          <w:sz w:val="20"/>
          <w:u w:val="single"/>
        </w:rPr>
        <w:t>Schedule A</w:t>
      </w:r>
      <w:r>
        <w:rPr>
          <w:rFonts w:ascii="Times New Roman" w:hAnsi="Times New Roman"/>
          <w:sz w:val="20"/>
        </w:rPr>
        <w:t xml:space="preserve"> or (ii) elect, by written notice to the Company, to receive Shares at the purchase price specified to be paid by the Underwriters for such Shares in </w:t>
      </w:r>
      <w:r>
        <w:rPr>
          <w:rFonts w:ascii="Times New Roman" w:hAnsi="Times New Roman"/>
          <w:sz w:val="20"/>
          <w:u w:val="single"/>
        </w:rPr>
        <w:t>Schedule A</w:t>
      </w:r>
      <w:r>
        <w:rPr>
          <w:rFonts w:ascii="Times New Roman" w:hAnsi="Times New Roman"/>
          <w:sz w:val="20"/>
        </w:rPr>
        <w:t xml:space="preserve">, in lieu of all or a portion of such Pre-Funded Warrants contemplated to be sold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3. </w:t>
      </w:r>
      <w:r>
        <w:rPr>
          <w:rFonts w:ascii="Times New Roman" w:hAnsi="Times New Roman"/>
          <w:sz w:val="20"/>
          <w:u w:val="single"/>
        </w:rPr>
        <w:t>Covenants of the Company</w:t>
      </w:r>
      <w:r>
        <w:rPr>
          <w:rFonts w:ascii="Times New Roman" w:hAnsi="Times New Roman"/>
          <w:sz w:val="20"/>
        </w:rPr>
        <w:t xml:space="preserve">. The Company covenants with each Underwriter as follows: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i/>
          <w:sz w:val="20"/>
        </w:rPr>
        <w:t>Compliance with Securities Regulations and Commission Requests</w:t>
      </w:r>
      <w:r>
        <w:rPr>
          <w:rFonts w:ascii="Times New Roman" w:hAnsi="Times New Roman"/>
          <w:sz w:val="20"/>
        </w:rPr>
        <w:t xml:space="preserve">. The Company, subject to Section 3(b), will comply with the requirements of Rule 430B, and will notify the Representative as soon as practicable, and confirm the notice in writing, (i) when any post-effective amendment to the Registration Statement shall become effective or any amendment or supplement to the Prospectus shall have been filed, (ii) of the receipt of any comments from the Commission, (iii) of any request by the Commission for any amendment to the Registration Statement or any amendment or supplement to the Prospectus (including any document incorporated by reference therein) or for additional information, (iv) of the issuance by the Commission of any stop order suspending the effectiveness of the Registration Statement or any post-effective amendment or of any order preventing or suspending the use of any preliminary prospectus or the Prospectus, or of the suspension of the qualification of the Securities for offering or sale in any jurisdiction, or of the initiation or threatening of any proceedings for any of such purposes or of any examination pursuant to Section 8(d) or 8(e) of the 1933 Act concerning the Registration Statement and (v) if the Company becomes the subject of a proceeding under Section 8A of the 1933 Act in connection with the offering of the Securities. The Company will effect all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order, prevention or suspension and, if any such order is issued, to obtain the lifting thereof at the earliest possible moment. The Company shall pay the required Commission filing fees relating to the Securities within the time required by Rule 456(b)(1)(i) under the 1933 Act Regulations without regard to the proviso therein and otherwise in accordance with Rules 456(b) and 457(r) under the 1933 Act Regulations (including, if applicable, by updating the “Calculation of Registration Fee” table in accordance with Rule 456(b)(1)(ii) either in a post-effective amendment to the Registration Statement or on the cover page of a prospectus filed pursuant to Rule 424(b)).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i/>
          <w:sz w:val="20"/>
        </w:rPr>
        <w:t>Continued Compliance with Securities Laws</w:t>
      </w:r>
      <w:r>
        <w:rPr>
          <w:rFonts w:ascii="Times New Roman" w:hAnsi="Times New Roman"/>
          <w:sz w:val="20"/>
        </w:rPr>
        <w:t>. The Company will comply with the 1933 Act, the 1933 Act Regulations, the 1934 Act and the 1934 Act Regulations so as to permit the completion of the distribution of the Securities as contemplated in this Agreement and in the Registration Statement, the General Disclosure Package and the Prospectus. If at any time when a prospectus relating to the Securities is (or, but for the exception afforded by Rule 172 of the 1933 Act Regulations (“</w:t>
      </w:r>
      <w:r>
        <w:rPr>
          <w:rFonts w:ascii="Times New Roman" w:hAnsi="Times New Roman"/>
          <w:sz w:val="20"/>
          <w:u w:val="single"/>
        </w:rPr>
        <w:t>Rule 172</w:t>
      </w:r>
      <w:r>
        <w:rPr>
          <w:rFonts w:ascii="Times New Roman" w:hAnsi="Times New Roman"/>
          <w:sz w:val="20"/>
        </w:rPr>
        <w:t xml:space="preserve">”), would be) required by the 1933 Act to be delivered in connection with sales of the Securities, any event shall occur or condition shall exist as a result of which it is necessary, in the opinion of counsel for the Underwriters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General Disclosure Package or the Prospectus in order that the General Disclosure Package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General Disclosure Package or the Prospectus, as the case may be, in order to comply with the requirements of the 1933 Act or the 1933 Act Regulations, the Company will promptly (A) give the Representative notice of such event, (B) prepare any amendment or supplement as may be necessary to correct such statement or omission or to make the Registration Statement, the General Disclosure Package or the Prospectus comply with such requirements and, a reasonable amount of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prior to any proposed filing or use, furnish the Representative with copies of any such amendment or supplement and (C) file with the Commission any such amendment or supplement; provided that the Company shall not file or use any such amendment or supplement to which the Representative or counsel for the Underwriters reasonably object. The Company will furnish to the Underwriters such number of copies of such amendment or supplement as the Underwriters may reasonably request. The Company has given the Representative notice of any filings made pursuant to the 1934 Act or the 1934 Act Regulations within 48 hours prior to the Applicable Time; the Company will give the Representative notice of its intention to make any such filing from the Applicable Time to the Closing Time and will furnish the Representative with copies of any such documents a reasonable amount of time prior to such proposed filing, as the case may be, and will not file or use any such document to which the Representative or counsel for the Underwriters shall reasonably object.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i/>
          <w:sz w:val="20"/>
        </w:rPr>
        <w:t>Delivery of Registration Statements</w:t>
      </w:r>
      <w:r>
        <w:rPr>
          <w:rFonts w:ascii="Times New Roman" w:hAnsi="Times New Roman"/>
          <w:sz w:val="20"/>
        </w:rPr>
        <w:t xml:space="preserve">. Upon request of the Representative, the Company will deliver to the Representative and counsel for the Underwriters, without charge, signed copies of the Registration Statement as originally filed and each amendment thereto (including exhibits filed therewith or incorporated by reference therein and documents incorporated or deemed incorporated by reference therein) and signed copies of all consents and certificates of experts, and will also deliver to the Representative, without charge, a conformed copy of the Registration Statement as originally filed and each amendment thereto (without exhibits) for each of the Underwriters. The copies of the Registration Statement and each amendment thereto furnished to the Underwriters will be identical to the electronically transmitted copies thereof filed with the Commission pursuant to EDGAR, except to the extent permitted by Regulation S-T.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i/>
          <w:sz w:val="20"/>
        </w:rPr>
        <w:t>Delivery of Prospectuses</w:t>
      </w:r>
      <w:r>
        <w:rPr>
          <w:rFonts w:ascii="Times New Roman" w:hAnsi="Times New Roman"/>
          <w:sz w:val="20"/>
        </w:rPr>
        <w:t xml:space="preserve">. The Company has delivered to each Underwriter, without charge, as many copies of each preliminary prospectus as such Underwriter reasonably requested, and the Company hereby consents to the use of such copies for purposes permitted by the 1933 Act. The Company will furnish to each Underwriter, without charge, during the period when a prospectus relating to the Securities is (or, but for the exception afforded by Rule 172, would be) required to be delivered under the 1933 Act,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i/>
          <w:sz w:val="20"/>
        </w:rPr>
        <w:t>Blue Sky Qualifications</w:t>
      </w:r>
      <w:r>
        <w:rPr>
          <w:rFonts w:ascii="Times New Roman" w:hAnsi="Times New Roman"/>
          <w:sz w:val="20"/>
        </w:rPr>
        <w:t xml:space="preserve">. The Company will use its reasonable best efforts, in cooperation with the Underwriters, to qualify the Securities for offering and sale under the applicable securities laws of such states and other jurisdictions (domestic or foreign) as the Representative may designate and to maintain such qualifications in effect so long as required to complete the distribution of the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i/>
          <w:sz w:val="20"/>
        </w:rPr>
        <w:t>Rule 158</w:t>
      </w:r>
      <w:r>
        <w:rPr>
          <w:rFonts w:ascii="Times New Roman" w:hAnsi="Times New Roman"/>
          <w:sz w:val="20"/>
        </w:rPr>
        <w:t xml:space="preserve">. The Company will timely file such reports pursuant to the 1934 Act as are necessary in order to make generally available to its securityholders as soon as practicable (which may be satisfied by filing with EDGAR) an earning statement for the purposes of, and to provide to the Underwriters the benefits contemplated by, the last paragraph of Section 11(a) of the 1933 Act.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i/>
          <w:sz w:val="20"/>
        </w:rPr>
        <w:t>Use of Proceeds</w:t>
      </w:r>
      <w:r>
        <w:rPr>
          <w:rFonts w:ascii="Times New Roman" w:hAnsi="Times New Roman"/>
          <w:sz w:val="20"/>
        </w:rPr>
        <w:t xml:space="preserve">. The Company will use the net proceeds received by it from the sale of the Securities in all material respects in the manner specified in the Registration Statement, the General Disclosure Package and the Prospectus under the heading “Use of Proceeds.”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(h) </w:t>
      </w:r>
      <w:r>
        <w:rPr>
          <w:rFonts w:ascii="Times New Roman" w:hAnsi="Times New Roman"/>
          <w:i/>
          <w:sz w:val="20"/>
        </w:rPr>
        <w:t>Listing</w:t>
      </w:r>
      <w:r>
        <w:rPr>
          <w:rFonts w:ascii="Times New Roman" w:hAnsi="Times New Roman"/>
          <w:sz w:val="20"/>
        </w:rPr>
        <w:t xml:space="preserve">. The Company will use its best efforts to effect and maintain the listing of the Common Stock on the Nasdaq Global Market.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i/>
          <w:sz w:val="20"/>
        </w:rPr>
        <w:t>Restriction on Sale of Securities</w:t>
      </w:r>
      <w:r>
        <w:rPr>
          <w:rFonts w:ascii="Times New Roman" w:hAnsi="Times New Roman"/>
          <w:sz w:val="20"/>
        </w:rPr>
        <w:t xml:space="preserve">. During a period of 60 days from the date of the Prospectus, the Company will not, without the prior written consent of the Representative, (i) 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or file or confidentially submit any registration statement under the 1933 Act with respect to any of the foregoing, (ii) enter into any swap or any other agreement or any transaction that transfers, in whole or in part, directly or indirectly, the economic consequence of ownership of the Common Stock, whether any such swap or transaction described in clause (i) or (ii) above is to be settled by delivery of Common Stock or such other securities, in cash or otherwise or (iii) publicly announce an intention to effect any such swap, agreement or other transaction described in clauses (i) and (ii). The foregoing sentence shall not apply to (A) the Securities to be sold hereunder; (B) any shares of Common Stock issued by the Company upon the exercise (including any net exercise or exercise by delivery of already owned shares of Common Stock) of an option or warrant or the conversion of a convertible security or settlement of restricted stock units, outstanding on the date hereof and referred to in the Registration Statement, the General Disclosure Package and the Prospectus; (C) any shares of Common Stock issued or options to purchase Common Stock granted pursuant to existing employee benefit plans of the Company referred to in the Registration Statement, the General Disclosure Package and the Prospectus; (D) any shares of Common Stock issued or options to purchase shares of Common Stock or restricted stock units granted pursuant to any existing non-employee director stock plan or dividend reinvestment plan referred to in the Registration Statement, the General Disclosure Package and the Prospectus; (E) the filing by the Company of any registration statement on Form S-8 or a successor form thereto; or (F) shares of Common Stock sold on our about October 23, 2025 to a certain purchaser in accordance with the terms of a Securities Purchase Agreement dated as of the date hereof by and between the Company and Nextech Crossover I SCP. </w:t>
      </w:r>
    </w:p>
    <w:p>
      <w:pPr>
        <w:pStyle w:val="TextBody"/>
        <w:bidi w:val="0"/>
        <w:spacing w:before="240" w:after="0"/>
        <w:jc w:val="left"/>
        <w:rPr>
          <w:rFonts w:ascii="Times New Roman" w:hAnsi="Times New Roman"/>
          <w:sz w:val="20"/>
        </w:rPr>
      </w:pPr>
      <w:r>
        <w:rPr>
          <w:rFonts w:ascii="Times New Roman" w:hAnsi="Times New Roman"/>
          <w:sz w:val="20"/>
        </w:rPr>
        <w:t>(j) </w:t>
      </w:r>
      <w:r>
        <w:rPr>
          <w:rFonts w:ascii="Times New Roman" w:hAnsi="Times New Roman"/>
          <w:i/>
          <w:sz w:val="20"/>
        </w:rPr>
        <w:t>Reporting Requirements</w:t>
      </w:r>
      <w:r>
        <w:rPr>
          <w:rFonts w:ascii="Times New Roman" w:hAnsi="Times New Roman"/>
          <w:sz w:val="20"/>
        </w:rPr>
        <w:t xml:space="preserve">. The Company, during the period when a Prospectus relating to the Securities is (or, but for the exception afforded by Rule 172, would be) required to be delivered under the 1933 Act, will file all documents required to be filed with the Commission pursuant to the 1934 Act within the time periods required by the 1934 Act and 1934 Act Regulations. Additionally, the Company shall report the use of proceeds from the issuance of the Securities as may be required under Rule 463 under the 1933 Act. </w:t>
      </w:r>
    </w:p>
    <w:p>
      <w:pPr>
        <w:pStyle w:val="TextBody"/>
        <w:bidi w:val="0"/>
        <w:spacing w:before="240" w:after="0"/>
        <w:jc w:val="left"/>
        <w:rPr>
          <w:rFonts w:ascii="Times New Roman" w:hAnsi="Times New Roman"/>
          <w:sz w:val="20"/>
        </w:rPr>
      </w:pPr>
      <w:r>
        <w:rPr>
          <w:rFonts w:ascii="Times New Roman" w:hAnsi="Times New Roman"/>
          <w:sz w:val="20"/>
        </w:rPr>
        <w:t>(k) </w:t>
      </w:r>
      <w:r>
        <w:rPr>
          <w:rFonts w:ascii="Times New Roman" w:hAnsi="Times New Roman"/>
          <w:i/>
          <w:sz w:val="20"/>
        </w:rPr>
        <w:t>Issuer Free Writing Prospectuses</w:t>
      </w:r>
      <w:r>
        <w:rPr>
          <w:rFonts w:ascii="Times New Roman" w:hAnsi="Times New Roman"/>
          <w:sz w:val="20"/>
        </w:rPr>
        <w:t xml:space="preserve">. The Company agrees that, unless it obtains the prior written consent of the Representative, it will not make any offer relating to the Securities that would constitute an Issuer Free Writing Prospectus or that would otherwise constitute a “free writing prospectus,” or a portion thereof, required to be filed by the Company with the Commission or retained by the Company under Rule 433; provided that the Representative will be deemed to have consented to the Issuer Free Writing Prospectuses listed on </w:t>
      </w:r>
      <w:r>
        <w:rPr>
          <w:rFonts w:ascii="Times New Roman" w:hAnsi="Times New Roman"/>
          <w:sz w:val="20"/>
          <w:u w:val="single"/>
        </w:rPr>
        <w:t>Schedule B-2</w:t>
      </w:r>
      <w:r>
        <w:rPr>
          <w:rFonts w:ascii="Times New Roman" w:hAnsi="Times New Roman"/>
          <w:sz w:val="20"/>
        </w:rPr>
        <w:t xml:space="preserve"> hereto and any “road show that is a written communication” within the meaning of Rule 433(d)(8)(i) that has been reviewed by the Representative. The Company represents that it has treated or agrees that it will treat each such free writing prospectus consented to, or deemed consented to, by the Representative as an “issuer free writing prospectus,” as defined in Rule 433, and that it has complied and will comply with the applicable requirements of Rule 433 with respect thereto, including timely filing with the Commission where required, legending and record keeping. If at any time following issuance of an Issuer Free Writing Prospectus there occurred or occurs an event or development as a result of which such Issuer Free Writing Prospectus conflicted or would conflict with the information contained in the Registration Statement, any preliminary prospectus or the Prospectus or included or would include an untrue statement of a material fact or omitted or would omit to state a material fact necessary in order to make the statements therein, in the light of the circumstances existing at that subsequent time,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misleading, the Company will promptly notify the Representative and will promptly amend or supplement, at its own expense (except to the extent any such statements or omissions in an Issuer Free Writing Prospectus was made in reliance upon and in conformity with the Underwriter Information), such Issuer Free Writing Prospectus to eliminate or correct such conflict, untrue statement or omission. </w:t>
      </w:r>
    </w:p>
    <w:p>
      <w:pPr>
        <w:pStyle w:val="TextBody"/>
        <w:bidi w:val="0"/>
        <w:spacing w:before="240" w:after="0"/>
        <w:jc w:val="left"/>
        <w:rPr>
          <w:rFonts w:ascii="Times New Roman" w:hAnsi="Times New Roman"/>
          <w:sz w:val="20"/>
        </w:rPr>
      </w:pPr>
      <w:r>
        <w:rPr>
          <w:rFonts w:ascii="Times New Roman" w:hAnsi="Times New Roman"/>
          <w:sz w:val="20"/>
        </w:rPr>
        <w:t>(l) </w:t>
      </w:r>
      <w:r>
        <w:rPr>
          <w:rFonts w:ascii="Times New Roman" w:hAnsi="Times New Roman"/>
          <w:i/>
          <w:sz w:val="20"/>
        </w:rPr>
        <w:t>Testing-the-Waters Materials</w:t>
      </w:r>
      <w:r>
        <w:rPr>
          <w:rFonts w:ascii="Times New Roman" w:hAnsi="Times New Roman"/>
          <w:sz w:val="20"/>
        </w:rPr>
        <w:t xml:space="preserve">. If at any time following the distribution of any Written Testing-the-Waters Communication there occurred or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 and will promptly amend or supplement, at its own expense (except to the extent any such statements or omissions in a Written Testing-the-Waters Communication was made in reliance upon and in conformity with the Underwriter Information), such Written Testing-the-Waters Communication to eliminate or correct such untrue statement or omission. </w:t>
      </w:r>
    </w:p>
    <w:p>
      <w:pPr>
        <w:pStyle w:val="TextBody"/>
        <w:bidi w:val="0"/>
        <w:spacing w:before="240" w:after="0"/>
        <w:jc w:val="left"/>
        <w:rPr>
          <w:rFonts w:ascii="Times New Roman" w:hAnsi="Times New Roman"/>
          <w:sz w:val="20"/>
        </w:rPr>
      </w:pPr>
      <w:r>
        <w:rPr>
          <w:rFonts w:ascii="Times New Roman" w:hAnsi="Times New Roman"/>
          <w:sz w:val="20"/>
        </w:rPr>
        <w:t>(m) </w:t>
      </w:r>
      <w:r>
        <w:rPr>
          <w:rFonts w:ascii="Times New Roman" w:hAnsi="Times New Roman"/>
          <w:i/>
          <w:sz w:val="20"/>
        </w:rPr>
        <w:t>Warrant Shares Reserved</w:t>
      </w:r>
      <w:r>
        <w:rPr>
          <w:rFonts w:ascii="Times New Roman" w:hAnsi="Times New Roman"/>
          <w:sz w:val="20"/>
        </w:rPr>
        <w:t xml:space="preserve">. The Company shall, at all times while any Pre-Funded Warrants are outstanding, reserve and keep available out of its authorized but unissued and otherwise unreserved shares of Common Stock, solely for the purpose of enabling it to issue Warrant Shares upon exercise of such Pre-Funded Warrants, the number of Warrant Shares that are initially issuable and deliverable upon exercise of the then outstanding Pre-Funded Warrants. </w:t>
      </w:r>
    </w:p>
    <w:p>
      <w:pPr>
        <w:pStyle w:val="TextBody"/>
        <w:bidi w:val="0"/>
        <w:spacing w:before="240" w:after="0"/>
        <w:jc w:val="left"/>
        <w:rPr>
          <w:rFonts w:ascii="Times New Roman" w:hAnsi="Times New Roman"/>
          <w:sz w:val="20"/>
        </w:rPr>
      </w:pPr>
      <w:r>
        <w:rPr>
          <w:rFonts w:ascii="Times New Roman" w:hAnsi="Times New Roman"/>
          <w:sz w:val="20"/>
        </w:rPr>
        <w:t>(n) </w:t>
      </w:r>
      <w:r>
        <w:rPr>
          <w:rFonts w:ascii="Times New Roman" w:hAnsi="Times New Roman"/>
          <w:i/>
          <w:sz w:val="20"/>
        </w:rPr>
        <w:t>Registration Statement for the Pre-Funded Warrants</w:t>
      </w:r>
      <w:r>
        <w:rPr>
          <w:rFonts w:ascii="Times New Roman" w:hAnsi="Times New Roman"/>
          <w:sz w:val="20"/>
        </w:rPr>
        <w:t xml:space="preserve">. The Company shall, at all times while any Pre-Funded Warrants are outstanding, use commercially reasonable efforts to maintain a registration statement covering the issue and sale of the Warrant Shares upon exercise of the Pre-Funded Warrants such that the Warrant Shares, when issued, will not be subject to resale and restrictions under the 1933 Act except to the extent that the Warrant Shares are owned by affiliates. </w:t>
      </w:r>
    </w:p>
    <w:p>
      <w:pPr>
        <w:pStyle w:val="TextBody"/>
        <w:bidi w:val="0"/>
        <w:spacing w:before="240" w:after="0"/>
        <w:jc w:val="left"/>
        <w:rPr>
          <w:rFonts w:ascii="Times New Roman" w:hAnsi="Times New Roman"/>
          <w:sz w:val="20"/>
        </w:rPr>
      </w:pPr>
      <w:r>
        <w:rPr>
          <w:rFonts w:ascii="Times New Roman" w:hAnsi="Times New Roman"/>
          <w:sz w:val="20"/>
        </w:rPr>
        <w:t>SECTION 4. </w:t>
      </w:r>
      <w:r>
        <w:rPr>
          <w:rFonts w:ascii="Times New Roman" w:hAnsi="Times New Roman"/>
          <w:sz w:val="20"/>
          <w:u w:val="single"/>
        </w:rPr>
        <w:t>Payment of Expenses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i/>
          <w:sz w:val="20"/>
        </w:rPr>
        <w:t>Expenses</w:t>
      </w:r>
      <w:r>
        <w:rPr>
          <w:rFonts w:ascii="Times New Roman" w:hAnsi="Times New Roman"/>
          <w:sz w:val="20"/>
        </w:rPr>
        <w:t xml:space="preserve">. The Company will pay or cause to be paid all expenses incident to the performance of its obligations under this Agreement, including (i) the preparation, printing and filing of the Registration Statement (including financial statements and exhibits) as originally filed and each amendment thereto, (ii) the preparation, printing and delivery to the Underwriters of copies of each preliminary prospectus, each Issuer Free Writing Prospectus and the Prospectus and any amendments or supplements thereto and any costs associated with electronic delivery of any of the foregoing by the Underwriters to investors, (iii) the preparation, issuance and delivery of the certificates or security entitlements for the Securities, including any stock, transfer, and other similar taxes and any stamp or other duties payable upon the sale, issuance or delivery of the Securities, (iv) the fees and disbursements of the Company’s counsel, accountants and other advisors, (v) the qualification of the Securities under securities laws in accordance with the provisions of Section 3(e) hereof, including filing fees and the reasonable and documented fees and disbursements of counsel for the Underwriters in connection therewith and in connection with the preparation of a “Blue Sky Survey” and any supplement thereto, (vi) the fees and expenses of any transfer agent or registrar for the Securities, (vii) the costs and expenses of the Company relating to investor presentations on any “road show” undertaken in connection with the marketing of the Securities, including without limitation, expenses associated with the production of road show slides and graphics, fees and expenses of any consultants engaged by the Company in connection with the road show presentations, (viii) the filing fees incident to, and the reasonable fees and disbursements of counsel to the Underwriters in connection with, the review by FINRA of the terms of the sale of the Securities, (ix) the fees and expenses incurred in connection with the listing of the Securities on the Nasdaq Global Market, and (x) the costs and expenses (including, without limitation, any damages or other amounts payable in connection with legal or contractual liability) associated with the reforming of any contracts for sale of the Securities made by the Underwriters caused by a breach of the representation contained in the third sentence of Section 1(a)(ii).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w:t>
      </w:r>
      <w:r>
        <w:rPr>
          <w:rFonts w:ascii="Times New Roman" w:hAnsi="Times New Roman"/>
          <w:i/>
          <w:sz w:val="20"/>
        </w:rPr>
        <w:t>Termination of Agreement</w:t>
      </w:r>
      <w:r>
        <w:rPr>
          <w:rFonts w:ascii="Times New Roman" w:hAnsi="Times New Roman"/>
          <w:sz w:val="20"/>
        </w:rPr>
        <w:t xml:space="preserve">. If this Agreement is terminated by the Representative in accordance with the provisions of Section 5, Section 9(a)(i), Section 9(a)(iii) or Section 10 hereof, the Company shall reimburse the Underwriters for all of their reasonable and documented out-of-pocket expenses, including the reasonable fees and disbursements of counsel for the Underwriters; provided that in the case of a termination pursuant to Section 10, the Company shall have no obligation to reimburse a defaulting Underwriter for such costs and expenses related to the offering of the Securities. </w:t>
      </w:r>
    </w:p>
    <w:p>
      <w:pPr>
        <w:pStyle w:val="TextBody"/>
        <w:bidi w:val="0"/>
        <w:spacing w:before="240" w:after="0"/>
        <w:jc w:val="left"/>
        <w:rPr>
          <w:rFonts w:ascii="Times New Roman" w:hAnsi="Times New Roman"/>
          <w:sz w:val="20"/>
        </w:rPr>
      </w:pPr>
      <w:r>
        <w:rPr>
          <w:rFonts w:ascii="Times New Roman" w:hAnsi="Times New Roman"/>
          <w:sz w:val="20"/>
        </w:rPr>
        <w:t>SECTION 5. </w:t>
      </w:r>
      <w:r>
        <w:rPr>
          <w:rFonts w:ascii="Times New Roman" w:hAnsi="Times New Roman"/>
          <w:sz w:val="20"/>
          <w:u w:val="single"/>
        </w:rPr>
        <w:t>Conditions of Underwriters’ Obligations</w:t>
      </w:r>
      <w:r>
        <w:rPr>
          <w:rFonts w:ascii="Times New Roman" w:hAnsi="Times New Roman"/>
          <w:sz w:val="20"/>
        </w:rPr>
        <w:t xml:space="preserve">. The obligations of the several Underwriters hereunder are subject to the accuracy of the representations and warranties of the Company contained herein or in certificates of any officer of the Company or any of its Subsidiaries delivered pursuant to the provisions hereof, to the performance by the Company of its covenants and other obligations hereunder, and to the following further conditions: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i/>
          <w:sz w:val="20"/>
        </w:rPr>
        <w:t>Effectiveness of Registration Statement</w:t>
      </w:r>
      <w:r>
        <w:rPr>
          <w:rFonts w:ascii="Times New Roman" w:hAnsi="Times New Roman"/>
          <w:sz w:val="20"/>
        </w:rPr>
        <w:t xml:space="preserve">. The Registration Statement, including any Rule 462(b) Registration Statement, has become effective and, at the Closing Time, no stop order suspending the effectiveness of the Registration Statement or any post-effective amendment thereto has been issued under the 1933 Act, no order preventing or suspending the use of any preliminary prospectus or the Prospectus has been issued and no proceedings for any of those purposes have been instituted or are pending or, to the Company’s knowledge, contemplated; and the Company has complied with each request (if any) from the Commission for additional information to the reasonable satisfaction of counsel to the Underwriters.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i/>
          <w:sz w:val="20"/>
        </w:rPr>
        <w:t>Opinion of Counsel for Company</w:t>
      </w:r>
      <w:r>
        <w:rPr>
          <w:rFonts w:ascii="Times New Roman" w:hAnsi="Times New Roman"/>
          <w:sz w:val="20"/>
        </w:rPr>
        <w:t xml:space="preserve">. At the Closing Time, the Representative shall have received the opinion and the negative assurance letter, each dated the Closing Time, of Goodwin Procter LLP, counsel for the Company, and the opinion of Goodwin Procter LLP, special counsel for the Company with respect to intellectual property matters, each in form and substance reasonably satisfactory to counsel for the Underwriters.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i/>
          <w:sz w:val="20"/>
        </w:rPr>
        <w:t>Opinion of Counsel for Underwriters</w:t>
      </w:r>
      <w:r>
        <w:rPr>
          <w:rFonts w:ascii="Times New Roman" w:hAnsi="Times New Roman"/>
          <w:sz w:val="20"/>
        </w:rPr>
        <w:t xml:space="preserve">. At the Closing Time, the Representative shall have received the opinion, and negative assurance letter, each dated the Closing Time, of Cooley LLP, counsel for the Underwriters, together with signed or reproduced copies of such letters for each of the other Underwriters in form and substance satisfactory to the Representative. In giving such opinion such counsel may rely, as to all matters governed by the laws of jurisdictions other than the law of the State of New York, the General Corporation Law of the State of Delaware and the federal securities laws of the United States, upon the opinions of counsel satisfactory to the Representative. Such counsel may also state that, insofar as such opinion involves factual matters, they have relied, to the extent they deem proper, upon certificates of officers and other representatives of the Company and its Subsidiaries and certificates of public officials.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i/>
          <w:sz w:val="20"/>
        </w:rPr>
        <w:t>Officers’ Certificate</w:t>
      </w:r>
      <w:r>
        <w:rPr>
          <w:rFonts w:ascii="Times New Roman" w:hAnsi="Times New Roman"/>
          <w:sz w:val="20"/>
        </w:rPr>
        <w:t xml:space="preserve">. At the Closing Time, there shall not have been, since the date hereof or since the respective dates as of which information is given in the Registration Statement, the General Disclosure Package or the Prospectus, any material adverse change in the condition, financial or otherwise, or in the earnings, business affairs or business prospects of the Company and its Subsidiaries considered as one enterprise, whether or not arising in the ordinary course of business, and the Representative shall have received a certificate of the principal executive officer of the Company and of the principal financial officer of the Company, dated the Closing Time, to the effect that (i) there has been no such material adverse change, (ii) the representations and warranties of the Company in this Agreement are true and correct with the same force and effect as though expressly made at and as of the Closing Time, (iii) the Company has complied with all agreements and satisfied all conditions on its part to be performed or satisfied at or prior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the Closing Time, and (iv) no stop order suspending the effectiveness of the Registration Statement under the 1933 Act has been issued, no order preventing or suspending the use of any preliminary prospectus or the Prospectus has been issued and no proceedings for any of those purposes have been instituted or are pending or, to their knowledge, contemplated.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i/>
          <w:sz w:val="20"/>
        </w:rPr>
        <w:t>Accountant’s Comfort Letter</w:t>
      </w:r>
      <w:r>
        <w:rPr>
          <w:rFonts w:ascii="Times New Roman" w:hAnsi="Times New Roman"/>
          <w:sz w:val="20"/>
        </w:rPr>
        <w:t xml:space="preserve">. At the time of the execution of this Agreement, the Representative shall have received from PricewaterhouseCoopers LLP a letter, dated such date, in form and substance satisfactory to the Representative, together with signed or reproduced copies of such letter for each of the other Underwriters containing statements and information of the type ordinarily included in accountants’ “comfort letters” to underwriters with respect to the financial statements and certain financial information contained in the Registration Statement, the General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i/>
          <w:sz w:val="20"/>
        </w:rPr>
        <w:t>Bring-down Comfort Letter</w:t>
      </w:r>
      <w:r>
        <w:rPr>
          <w:rFonts w:ascii="Times New Roman" w:hAnsi="Times New Roman"/>
          <w:sz w:val="20"/>
        </w:rPr>
        <w:t xml:space="preserve">. At the Closing Time, the Representative shall have received from PricewaterhouseCoopers LLP a letter, dated as of the Closing Time, to the effect that they reaffirm the statements made in the letter furnished pursuant to subsection (e) of this Section, except that the specified date referred to shall be a date not more than three business days prior to the Closing Time.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i/>
          <w:sz w:val="20"/>
        </w:rPr>
        <w:t>Approval of Listing</w:t>
      </w:r>
      <w:r>
        <w:rPr>
          <w:rFonts w:ascii="Times New Roman" w:hAnsi="Times New Roman"/>
          <w:sz w:val="20"/>
        </w:rPr>
        <w:t xml:space="preserve">. At the Closing Time, the Company shall have filed with Nasdaq a Listing of Additional Shares form with respect to the Securities.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i/>
          <w:sz w:val="20"/>
        </w:rPr>
        <w:t>No Objection</w:t>
      </w:r>
      <w:r>
        <w:rPr>
          <w:rFonts w:ascii="Times New Roman" w:hAnsi="Times New Roman"/>
          <w:sz w:val="20"/>
        </w:rPr>
        <w:t xml:space="preserve">. FINRA has confirmed that it has not raised any objection with respect to the fairness and reasonableness of the underwriting terms and arrangements relating to the offering of the Securities.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i/>
          <w:sz w:val="20"/>
        </w:rPr>
        <w:t>Lock-up Agreements</w:t>
      </w:r>
      <w:r>
        <w:rPr>
          <w:rFonts w:ascii="Times New Roman" w:hAnsi="Times New Roman"/>
          <w:sz w:val="20"/>
        </w:rPr>
        <w:t xml:space="preserve">. At the date of this Agreement, the Representative shall have received an agreement substantially in the form of </w:t>
      </w:r>
      <w:r>
        <w:rPr>
          <w:rFonts w:ascii="Times New Roman" w:hAnsi="Times New Roman"/>
          <w:sz w:val="20"/>
          <w:u w:val="single"/>
        </w:rPr>
        <w:t>Exhibit A</w:t>
      </w:r>
      <w:r>
        <w:rPr>
          <w:rFonts w:ascii="Times New Roman" w:hAnsi="Times New Roman"/>
          <w:sz w:val="20"/>
        </w:rPr>
        <w:t xml:space="preserve"> hereto signed by all of the Company’s directors, officers and affiliated securityholders. </w:t>
      </w:r>
    </w:p>
    <w:p>
      <w:pPr>
        <w:pStyle w:val="TextBody"/>
        <w:bidi w:val="0"/>
        <w:spacing w:before="240" w:after="0"/>
        <w:jc w:val="left"/>
        <w:rPr>
          <w:rFonts w:ascii="Times New Roman" w:hAnsi="Times New Roman"/>
          <w:sz w:val="20"/>
        </w:rPr>
      </w:pPr>
      <w:r>
        <w:rPr>
          <w:rFonts w:ascii="Times New Roman" w:hAnsi="Times New Roman"/>
          <w:sz w:val="20"/>
        </w:rPr>
        <w:t>(j) </w:t>
      </w:r>
      <w:r>
        <w:rPr>
          <w:rFonts w:ascii="Times New Roman" w:hAnsi="Times New Roman"/>
          <w:i/>
          <w:sz w:val="20"/>
        </w:rPr>
        <w:t>Chief Financial Officer’s Certificate.</w:t>
      </w:r>
      <w:r>
        <w:rPr>
          <w:rFonts w:ascii="Times New Roman" w:hAnsi="Times New Roman"/>
          <w:sz w:val="20"/>
        </w:rPr>
        <w:t xml:space="preserve"> On the date of this Agreement and at the Closing Time, the Representative shall have received from the Company a certificate of its principal financial officer with respect to certain financial data contained in the General Disclosure Package and the Prospectus, which certificate shall be reasonably satisfactory to counsel for the Underwriters. </w:t>
      </w:r>
    </w:p>
    <w:p>
      <w:pPr>
        <w:pStyle w:val="TextBody"/>
        <w:bidi w:val="0"/>
        <w:spacing w:before="240" w:after="0"/>
        <w:jc w:val="left"/>
        <w:rPr>
          <w:rFonts w:ascii="Times New Roman" w:hAnsi="Times New Roman"/>
          <w:sz w:val="20"/>
        </w:rPr>
      </w:pPr>
      <w:r>
        <w:rPr>
          <w:rFonts w:ascii="Times New Roman" w:hAnsi="Times New Roman"/>
          <w:sz w:val="20"/>
        </w:rPr>
        <w:t>(k) </w:t>
      </w:r>
      <w:r>
        <w:rPr>
          <w:rFonts w:ascii="Times New Roman" w:hAnsi="Times New Roman"/>
          <w:i/>
          <w:sz w:val="20"/>
        </w:rPr>
        <w:t>Maintenance of Rating</w:t>
      </w:r>
      <w:r>
        <w:rPr>
          <w:rFonts w:ascii="Times New Roman" w:hAnsi="Times New Roman"/>
          <w:sz w:val="20"/>
        </w:rPr>
        <w:t xml:space="preserve">. Neither the Company nor its subsidiaries have any debt securities or preferred stock that are rated by any “nationally recognized statistical rating agency” (as defined in Section 3(a)(62) of the 1934 Act). </w:t>
      </w:r>
    </w:p>
    <w:p>
      <w:pPr>
        <w:pStyle w:val="TextBody"/>
        <w:bidi w:val="0"/>
        <w:spacing w:before="240" w:after="0"/>
        <w:jc w:val="left"/>
        <w:rPr>
          <w:rFonts w:ascii="Times New Roman" w:hAnsi="Times New Roman"/>
          <w:sz w:val="20"/>
        </w:rPr>
      </w:pPr>
      <w:r>
        <w:rPr>
          <w:rFonts w:ascii="Times New Roman" w:hAnsi="Times New Roman"/>
          <w:sz w:val="20"/>
        </w:rPr>
        <w:t>(l) </w:t>
      </w:r>
      <w:r>
        <w:rPr>
          <w:rFonts w:ascii="Times New Roman" w:hAnsi="Times New Roman"/>
          <w:i/>
          <w:sz w:val="20"/>
        </w:rPr>
        <w:t>Additional Documents</w:t>
      </w:r>
      <w:r>
        <w:rPr>
          <w:rFonts w:ascii="Times New Roman" w:hAnsi="Times New Roman"/>
          <w:sz w:val="20"/>
        </w:rPr>
        <w:t xml:space="preserve">. At the Closing Time, counsel for the Underwriters shall have been furnished with such other documents and opinions as they may reasonably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in connection with the issuance and sale of the Securities as herein contemplated shall be reasonably satisfactory in form and substance to the Representative and counsel for the Underwriters. </w:t>
      </w:r>
    </w:p>
    <w:p>
      <w:pPr>
        <w:pStyle w:val="TextBody"/>
        <w:bidi w:val="0"/>
        <w:spacing w:before="240" w:after="0"/>
        <w:jc w:val="left"/>
        <w:rPr>
          <w:rFonts w:ascii="Times New Roman" w:hAnsi="Times New Roman"/>
          <w:sz w:val="20"/>
        </w:rPr>
      </w:pPr>
      <w:r>
        <w:rPr>
          <w:rFonts w:ascii="Times New Roman" w:hAnsi="Times New Roman"/>
          <w:sz w:val="20"/>
        </w:rPr>
        <w:t>(m) </w:t>
      </w:r>
      <w:r>
        <w:rPr>
          <w:rFonts w:ascii="Times New Roman" w:hAnsi="Times New Roman"/>
          <w:i/>
          <w:sz w:val="20"/>
        </w:rPr>
        <w:t>Termination of Agreement</w:t>
      </w:r>
      <w:r>
        <w:rPr>
          <w:rFonts w:ascii="Times New Roman" w:hAnsi="Times New Roman"/>
          <w:sz w:val="20"/>
        </w:rPr>
        <w:t xml:space="preserve">. If any condition specified in this Section shall not have been fulfilled when and as required to be fulfilled, this Agreement may be terminated by the Representative by notice to the Company at any time at or prior to Closing Time, and such termination shall be without liability of any party to any other party except as provided in Section 4 and except that Sections 1, 4, 6, 7, 8, 14, 15 and 16 shall survive any such termination and remain in full force and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6. </w:t>
      </w:r>
      <w:r>
        <w:rPr>
          <w:rFonts w:ascii="Times New Roman" w:hAnsi="Times New Roman"/>
          <w:sz w:val="20"/>
          <w:u w:val="single"/>
        </w:rPr>
        <w:t>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i/>
          <w:sz w:val="20"/>
        </w:rPr>
        <w:t>Indemnification of Underwriters</w:t>
      </w:r>
      <w:r>
        <w:rPr>
          <w:rFonts w:ascii="Times New Roman" w:hAnsi="Times New Roman"/>
          <w:sz w:val="20"/>
        </w:rPr>
        <w:t>. The Company agrees to indemnify and hold harmless each Underwriter, its affiliates (as such term is defined in Rule 501(b) under the 1933 Act (each, an “</w:t>
      </w:r>
      <w:r>
        <w:rPr>
          <w:rFonts w:ascii="Times New Roman" w:hAnsi="Times New Roman"/>
          <w:sz w:val="20"/>
          <w:u w:val="single"/>
        </w:rPr>
        <w:t>Affiliate</w:t>
      </w:r>
      <w:r>
        <w:rPr>
          <w:rFonts w:ascii="Times New Roman" w:hAnsi="Times New Roman"/>
          <w:sz w:val="20"/>
        </w:rPr>
        <w:t xml:space="preserve">”)), its selling agents and each person, if any, who controls any Underwriter within the meaning of Section 15 of the 1933 Act or Section 20 of the 1934 Act as follows: </w:t>
      </w:r>
    </w:p>
    <w:p>
      <w:pPr>
        <w:pStyle w:val="TextBody"/>
        <w:bidi w:val="0"/>
        <w:spacing w:before="120" w:after="0"/>
        <w:jc w:val="left"/>
        <w:rPr>
          <w:rFonts w:ascii="Times New Roman" w:hAnsi="Times New Roman"/>
          <w:sz w:val="20"/>
        </w:rPr>
      </w:pPr>
      <w:r>
        <w:rPr>
          <w:rFonts w:ascii="Times New Roman" w:hAnsi="Times New Roman"/>
          <w:sz w:val="20"/>
        </w:rPr>
        <w:t>(i) against any and all loss, liability, claim, damage and expense whatsoever, as incurred, arising out of any untrue statement or alleged untrue statement of a material fact contained in the Registration Statement (or any amendment thereto), including any information deemed to be a part thereof pursuant to Rule 430B, or the omission or alleged omission therefrom of a material fact required to be stated therein or necessary to make the statements therein not misleading or arising out of any untrue statement or alleged untrue statement of a material fact included (A) in any preliminary prospectus, any Issuer Free Writing Prospectus, any Written Testing-the-Waters Communication, the General Disclosure Package or the Prospectus (or any amendment or supplement thereto), or (B) in any materials or information provided to investors by, or with the approval of, the Company in connection with the marketing of the offering of the Securities (“</w:t>
      </w:r>
      <w:r>
        <w:rPr>
          <w:rFonts w:ascii="Times New Roman" w:hAnsi="Times New Roman"/>
          <w:sz w:val="20"/>
          <w:u w:val="single"/>
        </w:rPr>
        <w:t>Marketing Materials</w:t>
      </w:r>
      <w:r>
        <w:rPr>
          <w:rFonts w:ascii="Times New Roman" w:hAnsi="Times New Roman"/>
          <w:sz w:val="20"/>
        </w:rPr>
        <w:t xml:space="preserve">”), including any roadshow or investor presentations made to investors by the Company (whether in person or electronically), or the omission or alleged omission in any preliminary prospectus, any Issuer Free Writing Prospectus, any Written Testing-the-Waters Communication, the General Disclosure Package, the Prospectus (or any amendment or supplement thereto) or in any Marketing Materials of a material fact necessary in order to make the statements therein, in the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(ii) against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Section 6(d) below) any such settlement is effected with the written consent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(iii) against any and all reasonable and documented out of pocket expense whatsoever, as incurred (including the reasonable and documented fees and disbursements of counsel chosen by the Representative),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 </w:t>
      </w:r>
    </w:p>
    <w:p>
      <w:pPr>
        <w:pStyle w:val="TextBody"/>
        <w:bidi w:val="0"/>
        <w:spacing w:before="240" w:after="0"/>
        <w:jc w:val="left"/>
        <w:rPr>
          <w:rFonts w:ascii="Times New Roman" w:hAnsi="Times New Roman"/>
          <w:sz w:val="20"/>
        </w:rPr>
      </w:pPr>
      <w:r>
        <w:rPr>
          <w:rFonts w:ascii="Times New Roman" w:hAnsi="Times New Roman"/>
          <w:sz w:val="20"/>
        </w:rPr>
        <w:t xml:space="preserve">provided, however, that this indemnity agreement shall not apply to any loss, liability, claim, damage or expense to the extent arising out of any untrue statement or omission or alleged untrue statement or omission made in the Registration Statement (or any amendment thereto), including any information deemed to be a part thereof pursuant to Rule 430B, the General Disclosure Package or the Prospectus (or any amendment or supplement thereto) in reliance upon and in conformity with the Underwriter Information.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i/>
          <w:sz w:val="20"/>
        </w:rPr>
        <w:t>Indemnification of Company, Directors and Officers</w:t>
      </w:r>
      <w:r>
        <w:rPr>
          <w:rFonts w:ascii="Times New Roman" w:hAnsi="Times New Roman"/>
          <w:sz w:val="20"/>
        </w:rPr>
        <w:t xml:space="preserve">. Each Underwriter severally agrees to indemnify and hold harmless the Company, its directors, each of its officers who signed the Registration Statement, and each person, if any, who controls the Company within the 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Registration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Statement (or any amendment thereto), including any information deemed to be a part thereof pursuant to Rule 430B, the General Disclosure Package or the Prospectus (or any amendment or supplement thereto) in reliance upon and in conformity with the Underwriter Information.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i/>
          <w:sz w:val="20"/>
        </w:rPr>
        <w:t>Actions against Parties; Notification</w:t>
      </w:r>
      <w:r>
        <w:rPr>
          <w:rFonts w:ascii="Times New Roman" w:hAnsi="Times New Roman"/>
          <w:sz w:val="20"/>
        </w:rPr>
        <w:t xml:space="preserve">. Each indemnified party shall give notice as promptly as reasonably practicable to each indemnifying 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the case of parties indemnified pursuant to Section 6(a) above, counsel to the indemnified parties shall be selected by the Representative, and, in the case of parties indemnified pursuant to Section 6(b) above,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the reasonable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6 or Section 7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i/>
          <w:sz w:val="20"/>
        </w:rPr>
        <w:t>Settlement without Consent if Failure to Reimburse</w:t>
      </w:r>
      <w:r>
        <w:rPr>
          <w:rFonts w:ascii="Times New Roman" w:hAnsi="Times New Roman"/>
          <w:sz w:val="20"/>
        </w:rPr>
        <w:t xml:space="preserve">. If at any time an indemnified party shall have requested an indemnifying party to reimburse the indemnified party for fees and expenses of counsel, such indemnifying party agrees that it shall be liable for any settlement of the nature contemplated by Section 6(a)(ii)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 </w:t>
      </w:r>
    </w:p>
    <w:p>
      <w:pPr>
        <w:pStyle w:val="TextBody"/>
        <w:bidi w:val="0"/>
        <w:spacing w:before="240" w:after="0"/>
        <w:jc w:val="left"/>
        <w:rPr>
          <w:rFonts w:ascii="Times New Roman" w:hAnsi="Times New Roman"/>
          <w:sz w:val="20"/>
        </w:rPr>
      </w:pPr>
      <w:r>
        <w:rPr>
          <w:rFonts w:ascii="Times New Roman" w:hAnsi="Times New Roman"/>
          <w:sz w:val="20"/>
        </w:rPr>
        <w:t>SECTION 7. </w:t>
      </w:r>
      <w:r>
        <w:rPr>
          <w:rFonts w:ascii="Times New Roman" w:hAnsi="Times New Roman"/>
          <w:sz w:val="20"/>
          <w:u w:val="single"/>
        </w:rPr>
        <w:t>Contribution</w:t>
      </w:r>
      <w:r>
        <w:rPr>
          <w:rFonts w:ascii="Times New Roman" w:hAnsi="Times New Roman"/>
          <w:sz w:val="20"/>
        </w:rPr>
        <w:t xml:space="preserve">. If the indemnification provided for in Section 6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on the one hand, and the Underwriters,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on the one hand, and of the Underwriters, on the other hand, in connection with the statements or omissions which resulted in such losses, liabilities, claims, damages or expenses, as well as any other relevant equitable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relative benefits received by the Company, on the one hand, and the Underwriters, on the other hand, in connection with the offering of the Securities pursuant to this Agreement shall be deemed to be in the same respective proportions as the total net proceeds from the offering of the Securities pursuant to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 (before deducting expenses) received by the Company, on the one hand, and the total underwriting discount received by the Underwriters, on the other hand, in each case as set forth on the cover of the Prospectus, bear to the aggregate initial public offering price of the Securities as set forth on the cover of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or by the Underwriters and the parties’ relative intent, knowledge, access to information and opportunity to correct or prevent such statement or omission.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above in this Section 7. The aggregate amount of losses, liabilities, claims, damages and expenses incurred by an indemnified party and referred to above in this Section 7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provisions of this Section 7, no Underwriter shall be required to contribute any amount in excess of the underwriting discounts and commissions received by such Underwriter in connection with the Securities underwritten by it and distributed to the public. </w:t>
      </w:r>
    </w:p>
    <w:p>
      <w:pPr>
        <w:pStyle w:val="TextBody"/>
        <w:bidi w:val="0"/>
        <w:spacing w:before="240" w:after="0"/>
        <w:jc w:val="left"/>
        <w:rPr>
          <w:rFonts w:ascii="Times New Roman" w:hAnsi="Times New Roman"/>
          <w:sz w:val="20"/>
        </w:rPr>
      </w:pPr>
      <w:r>
        <w:rPr>
          <w:rFonts w:ascii="Times New Roman" w:hAnsi="Times New Roman"/>
          <w:sz w:val="20"/>
        </w:rPr>
        <w:t xml:space="preserve">No person guilty of fraudulent misrepresentation (within the meaning of Section 11(f) of the 1933 Act) shall be entitled to contribution from any person who was not guilty of such fraudulent misrepresentation.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Section 7, each person, if any, who controls an Underwriter within the meaning of Section 15 of the 1933 Act or Section 20 of the 1934 Act and each Underwriter’s Affiliates and selling agents shall have the same rights to contribution as such Underwriter, and each director of the Company, each officer of the Company who signed the Registration Statement, and each person, if any, who controls the Company within the meaning of Section 15 of the 1933 Act or Section 20 of the 1934 Act shall have the same rights to contribution as the Company. The Underwriters’ respective obligations to contribute pursuant to this Section 7 are several in proportion to the number of Securities set forth opposite their respective names in </w:t>
      </w:r>
      <w:r>
        <w:rPr>
          <w:rFonts w:ascii="Times New Roman" w:hAnsi="Times New Roman"/>
          <w:sz w:val="20"/>
          <w:u w:val="single"/>
        </w:rPr>
        <w:t>Schedule A</w:t>
      </w:r>
      <w:r>
        <w:rPr>
          <w:rFonts w:ascii="Times New Roman" w:hAnsi="Times New Roman"/>
          <w:sz w:val="20"/>
        </w:rPr>
        <w:t xml:space="preserve"> hereto and not joint. </w:t>
      </w:r>
    </w:p>
    <w:p>
      <w:pPr>
        <w:pStyle w:val="TextBody"/>
        <w:bidi w:val="0"/>
        <w:spacing w:before="240" w:after="0"/>
        <w:jc w:val="left"/>
        <w:rPr>
          <w:rFonts w:ascii="Times New Roman" w:hAnsi="Times New Roman"/>
          <w:sz w:val="20"/>
        </w:rPr>
      </w:pPr>
      <w:r>
        <w:rPr>
          <w:rFonts w:ascii="Times New Roman" w:hAnsi="Times New Roman"/>
          <w:sz w:val="20"/>
        </w:rPr>
        <w:t>SECTION 8. </w:t>
      </w:r>
      <w:r>
        <w:rPr>
          <w:rFonts w:ascii="Times New Roman" w:hAnsi="Times New Roman"/>
          <w:sz w:val="20"/>
          <w:u w:val="single"/>
        </w:rPr>
        <w:t>Representations, Warranties and Agreements to Survive</w:t>
      </w:r>
      <w:r>
        <w:rPr>
          <w:rFonts w:ascii="Times New Roman" w:hAnsi="Times New Roman"/>
          <w:sz w:val="20"/>
        </w:rPr>
        <w:t xml:space="preserve">. All representations, warranties and agreements contained in this Agreement or in certificates of officers of the Company or any of its Subsidiaries submitted pursuant hereto, shall remain operative and in full force and effect regardless of (i) any investigation made by or on behalf of any Underwriter or its Affiliates or selling agents, any person controlling any Underwriter, its officers or directors or any person controlling the Company and (ii) delivery of and payment for the Securities. </w:t>
      </w:r>
    </w:p>
    <w:p>
      <w:pPr>
        <w:pStyle w:val="TextBody"/>
        <w:bidi w:val="0"/>
        <w:spacing w:before="240" w:after="0"/>
        <w:jc w:val="left"/>
        <w:rPr>
          <w:rFonts w:ascii="Times New Roman" w:hAnsi="Times New Roman"/>
          <w:sz w:val="20"/>
        </w:rPr>
      </w:pPr>
      <w:r>
        <w:rPr>
          <w:rFonts w:ascii="Times New Roman" w:hAnsi="Times New Roman"/>
          <w:sz w:val="20"/>
        </w:rPr>
        <w:t>SECTION 9. </w:t>
      </w:r>
      <w:r>
        <w:rPr>
          <w:rFonts w:ascii="Times New Roman" w:hAnsi="Times New Roman"/>
          <w:sz w:val="20"/>
          <w:u w:val="single"/>
        </w:rPr>
        <w:t>Termination of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i/>
          <w:sz w:val="20"/>
        </w:rPr>
        <w:t>Termination</w:t>
      </w:r>
      <w:r>
        <w:rPr>
          <w:rFonts w:ascii="Times New Roman" w:hAnsi="Times New Roman"/>
          <w:sz w:val="20"/>
        </w:rPr>
        <w:t xml:space="preserve">. The Representative may terminate this Agreement, by notice to the Company, at any time at or prior to the Closing Time (i) if there has been, in the judgment of the Representative, since the time of execution of this Agreement or since the respective dates as of which information is given in the Registration Statement, the General Disclosure Package or the Prospectus,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material adverse change in the condition, financial or otherwise, or in the earnings, business affairs or business prospects of the Company and its Subsidiaries considered as one enterprise, whether or not arising in the ordinary course of business,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U.S. or international political, financial or economic conditions, in each case the effect of which is such as to make it, in the judgment of the Representative, impracticable or inadvisable to proceed with the completion of the offering or to enforce contracts for the sale of the Securities, or (iii) if trading in any securities of the Company has been suspended or materially limited by the Commission or the Nasdaq Global Market, or (iv) if trading generally on the NYSE MKT or the New York Stock Exchange or in the Nasdaq Global Market has been suspended or materially limited, or minimum or maximum prices for trading have been fixed, or maximum ranges for prices have been required, by any of said exchanges or by order of the Commission, FINRA or any other governmental authority, or (v) a material disruption has occurred in commercial banking or securities settlement or clearance services in the United States or with respect to Clearstream or Euroclear systems in Europe, or (vi) if a banking moratorium has been declared by either Federal or New York authorities.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i/>
          <w:sz w:val="20"/>
        </w:rPr>
        <w:t>Liabilities</w:t>
      </w:r>
      <w:r>
        <w:rPr>
          <w:rFonts w:ascii="Times New Roman" w:hAnsi="Times New Roman"/>
          <w:sz w:val="20"/>
        </w:rPr>
        <w:t xml:space="preserve">. If this Agreement is terminated pursuant to this Section, such termination shall be without liability of any party to any other party except as provided in Section 4 hereof, and provided further that Sections 1, 4, 6, 7, 8, 15, 16 and 17 shall survive such termination and remain in full force and effect. </w:t>
      </w:r>
    </w:p>
    <w:p>
      <w:pPr>
        <w:pStyle w:val="TextBody"/>
        <w:bidi w:val="0"/>
        <w:spacing w:before="240" w:after="0"/>
        <w:jc w:val="left"/>
        <w:rPr>
          <w:rFonts w:ascii="Times New Roman" w:hAnsi="Times New Roman"/>
          <w:sz w:val="20"/>
        </w:rPr>
      </w:pPr>
      <w:r>
        <w:rPr>
          <w:rFonts w:ascii="Times New Roman" w:hAnsi="Times New Roman"/>
          <w:sz w:val="20"/>
        </w:rPr>
        <w:t>SECTION 10. </w:t>
      </w:r>
      <w:r>
        <w:rPr>
          <w:rFonts w:ascii="Times New Roman" w:hAnsi="Times New Roman"/>
          <w:sz w:val="20"/>
          <w:u w:val="single"/>
        </w:rPr>
        <w:t>Default by One or More of the Underwriters</w:t>
      </w:r>
      <w:r>
        <w:rPr>
          <w:rFonts w:ascii="Times New Roman" w:hAnsi="Times New Roman"/>
          <w:sz w:val="20"/>
        </w:rPr>
        <w:t>. If one or more of the Underwriters shall fail at the Closing Time to purchase the Securities which it or they are obligated to purchase under this Agreement (the “</w:t>
      </w:r>
      <w:r>
        <w:rPr>
          <w:rFonts w:ascii="Times New Roman" w:hAnsi="Times New Roman"/>
          <w:sz w:val="20"/>
          <w:u w:val="single"/>
        </w:rPr>
        <w:t>Defaulted Securities</w:t>
      </w:r>
      <w:r>
        <w:rPr>
          <w:rFonts w:ascii="Times New Roman" w:hAnsi="Times New Roman"/>
          <w:sz w:val="20"/>
        </w:rPr>
        <w:t xml:space="preserve">”), the Representative shall have the right, within 24 hours thereafter, to make arrangements for one or more of the non-defaulting Underwriters, or any other underwriters, to purchase all, but not less than all, of the Defaulted Securities in such amounts as may be agreed upon and upon the terms herein set forth; if, however, the Representative shall not have completed such arrangements within such 24-hour period, then: </w:t>
      </w:r>
    </w:p>
    <w:p>
      <w:pPr>
        <w:pStyle w:val="TextBody"/>
        <w:bidi w:val="0"/>
        <w:spacing w:before="120" w:after="0"/>
        <w:jc w:val="left"/>
        <w:rPr>
          <w:rFonts w:ascii="Times New Roman" w:hAnsi="Times New Roman"/>
          <w:sz w:val="20"/>
        </w:rPr>
      </w:pPr>
      <w:r>
        <w:rPr>
          <w:rFonts w:ascii="Times New Roman" w:hAnsi="Times New Roman"/>
          <w:sz w:val="20"/>
        </w:rPr>
        <w:t xml:space="preserve">(i) if the number of Defaulted Securities does not exceed 10% of the number of Securities to be purchased on such date, each of the non-defaulting Underwriters shall be obligated, severally and not jointly, to purchase the full amount thereof in the proportions that their respective underwriting obligations hereunder bear to the underwriting obligations of all non-defaulting Underwriters, or </w:t>
      </w:r>
    </w:p>
    <w:p>
      <w:pPr>
        <w:pStyle w:val="TextBody"/>
        <w:bidi w:val="0"/>
        <w:spacing w:before="120" w:after="0"/>
        <w:jc w:val="left"/>
        <w:rPr>
          <w:rFonts w:ascii="Times New Roman" w:hAnsi="Times New Roman"/>
          <w:sz w:val="20"/>
        </w:rPr>
      </w:pPr>
      <w:r>
        <w:rPr>
          <w:rFonts w:ascii="Times New Roman" w:hAnsi="Times New Roman"/>
          <w:sz w:val="20"/>
        </w:rPr>
        <w:t xml:space="preserve">(ii) if the number of Defaulted Securities exceeds 10% of the number of Securities to be purchased on such date, this Agreement shall terminate without liability on the part of any non-defaulting Underwriter. </w:t>
      </w:r>
    </w:p>
    <w:p>
      <w:pPr>
        <w:pStyle w:val="TextBody"/>
        <w:bidi w:val="0"/>
        <w:spacing w:before="240" w:after="0"/>
        <w:jc w:val="left"/>
        <w:rPr>
          <w:rFonts w:ascii="Times New Roman" w:hAnsi="Times New Roman"/>
          <w:sz w:val="20"/>
        </w:rPr>
      </w:pPr>
      <w:r>
        <w:rPr>
          <w:rFonts w:ascii="Times New Roman" w:hAnsi="Times New Roman"/>
          <w:sz w:val="20"/>
        </w:rPr>
        <w:t xml:space="preserve">No action taken pursuant to this Section shall relieve any defaulting Underwriter from liability in respect of its default.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any such default which does not result in a termination of this Agreement, either the (i) Representative or (ii) the Company shall have the right to postpone the Closing Time for a period not exceeding seven days in order to effect any required changes in the Registration Statement, the General Disclosure Package or the Prospectus or in any other documents or arrangements. As used herein, the term “Underwriter” includes any person substituted for an Underwriter under this Section 10. </w:t>
      </w:r>
    </w:p>
    <w:p>
      <w:pPr>
        <w:pStyle w:val="TextBody"/>
        <w:bidi w:val="0"/>
        <w:spacing w:before="240" w:after="0"/>
        <w:jc w:val="left"/>
        <w:rPr>
          <w:rFonts w:ascii="Times New Roman" w:hAnsi="Times New Roman"/>
          <w:sz w:val="20"/>
        </w:rPr>
      </w:pPr>
      <w:r>
        <w:rPr>
          <w:rFonts w:ascii="Times New Roman" w:hAnsi="Times New Roman"/>
          <w:sz w:val="20"/>
        </w:rPr>
        <w:t>SECTION 11. 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to have been duly given if mailed or transmitted by any standard form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telecommunication. Notices to the Company shall be directed to the office of the Company, 201 Brookline Avenue, Suite 901, Boston, Massachusetts 02215, Attention: Chief Financial Officer. Notices to the Underwriters shall be directed to Leerink Partners at 1301 Avenue of the Americas, 5th Floor, New York, New York, 10019, attention of Stuart R. Nayman. </w:t>
      </w:r>
    </w:p>
    <w:p>
      <w:pPr>
        <w:pStyle w:val="TextBody"/>
        <w:bidi w:val="0"/>
        <w:spacing w:before="240" w:after="0"/>
        <w:jc w:val="left"/>
        <w:rPr>
          <w:rFonts w:ascii="Times New Roman" w:hAnsi="Times New Roman"/>
          <w:sz w:val="20"/>
        </w:rPr>
      </w:pPr>
      <w:r>
        <w:rPr>
          <w:rFonts w:ascii="Times New Roman" w:hAnsi="Times New Roman"/>
          <w:sz w:val="20"/>
        </w:rPr>
        <w:t>SECTION 12. </w:t>
      </w:r>
      <w:r>
        <w:rPr>
          <w:rFonts w:ascii="Times New Roman" w:hAnsi="Times New Roman"/>
          <w:sz w:val="20"/>
          <w:u w:val="single"/>
        </w:rPr>
        <w:t>No Advisory or Fiduciary Relationship</w:t>
      </w:r>
      <w:r>
        <w:rPr>
          <w:rFonts w:ascii="Times New Roman" w:hAnsi="Times New Roman"/>
          <w:sz w:val="20"/>
        </w:rPr>
        <w:t xml:space="preserve">. The Company acknowledges and agrees that (a) the purchase and sale of the Securities pursuant to this Agreement, including the determination of the initial public offering price of the Securities and any related discounts and commissions, is an arm’s-length commercial transaction between the Company, on the one hand, and the several Underwriters, on the other hand, (b) in connection with the offering of the Securities and the process leading thereto, each Underwriter is and has been acting solely as a principal and is not the agent or fiduciary of the Company, any of its Subsidiaries or their respective stockholders, creditors, employees or any other party, (c) no Underwriter has assumed or will assume an advisory or fiduciary responsibility in favor of the Company with respect to the offering of the Securities or the process leading thereto (irrespective of whether such Underwriter has advised or is currently advising the Company or any of its Subsidiaries on other matters) and no Underwriter has any obligation to the Company with respect to the offering of the Securities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or tax advice with respect to the offering of the Securities and the Company has consulted its own respective legal, accounting, regulatory and tax advisors to the extent it deemed appropriate. </w:t>
      </w:r>
    </w:p>
    <w:p>
      <w:pPr>
        <w:pStyle w:val="TextBody"/>
        <w:bidi w:val="0"/>
        <w:spacing w:before="240" w:after="0"/>
        <w:jc w:val="left"/>
        <w:rPr>
          <w:rFonts w:ascii="Times New Roman" w:hAnsi="Times New Roman"/>
          <w:sz w:val="20"/>
        </w:rPr>
      </w:pPr>
      <w:r>
        <w:rPr>
          <w:rFonts w:ascii="Times New Roman" w:hAnsi="Times New Roman"/>
          <w:sz w:val="20"/>
        </w:rPr>
        <w:t>SECTION 13. </w:t>
      </w:r>
      <w:r>
        <w:rPr>
          <w:rFonts w:ascii="Times New Roman" w:hAnsi="Times New Roman"/>
          <w:sz w:val="20"/>
          <w:u w:val="single"/>
        </w:rPr>
        <w:t>Recognition of the U.S. Special Resolution Regimes</w:t>
      </w:r>
      <w:r>
        <w:rPr>
          <w:rFonts w:ascii="Times New Roman" w:hAnsi="Times New Roman"/>
          <w:sz w:val="20"/>
        </w:rPr>
        <w:t xml:space="preserve">.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Agreement, (A) “BHC Act Affiliate” has the meaning assigned to the term “affiliate” in, and shall be interpreted in accordance with, 12 U.S.C. § 1841(k); (B)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“Default Right” has the meaning assigned to that term in, and shall be interpreted in accordance with, 12 C.F.R. §§ 252.81, 47.2 or 382.1, as applicable; and (D) “U.S. Special Resolution Regime”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SECTION 14. </w:t>
      </w:r>
      <w:r>
        <w:rPr>
          <w:rFonts w:ascii="Times New Roman" w:hAnsi="Times New Roman"/>
          <w:sz w:val="20"/>
          <w:u w:val="single"/>
        </w:rPr>
        <w:t>Parties</w:t>
      </w:r>
      <w:r>
        <w:rPr>
          <w:rFonts w:ascii="Times New Roman" w:hAnsi="Times New Roman"/>
          <w:sz w:val="20"/>
        </w:rPr>
        <w:t xml:space="preserve">. This Agreement shall each inure to the benefit of and be binding upon the Underwriters and the Company and their respective successors. Nothing expressed or mentioned in this Agreement is intended or shall be construed to give any person, firm or corporation, other than the Underwriters and the Company and their respective successors and the controlling persons and officers and directors referred to in Sections 6 and 7 and their heirs and legal representatives, any legal or equitable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right, remedy or claim under or in respect of this Agreement or any provision herein contained. This Agreement and all conditions and provisions hereof are intended to be for the sole and exclusive benefit of the Underwriters and the Company and their respective successors, and said controlling persons and officers and directors and their heirs and legal representatives, and for the benefit of no other person, firm or corporation. No purchaser of Securities from any Underwriter shall be deemed to be a successor by reason merely of such purchase. </w:t>
      </w:r>
    </w:p>
    <w:p>
      <w:pPr>
        <w:pStyle w:val="TextBody"/>
        <w:bidi w:val="0"/>
        <w:spacing w:before="240" w:after="0"/>
        <w:jc w:val="left"/>
        <w:rPr>
          <w:rFonts w:ascii="Times New Roman" w:hAnsi="Times New Roman"/>
          <w:sz w:val="20"/>
        </w:rPr>
      </w:pPr>
      <w:r>
        <w:rPr>
          <w:rFonts w:ascii="Times New Roman" w:hAnsi="Times New Roman"/>
          <w:sz w:val="20"/>
        </w:rPr>
        <w:t>SECTION 15. </w:t>
      </w:r>
      <w:r>
        <w:rPr>
          <w:rFonts w:ascii="Times New Roman" w:hAnsi="Times New Roman"/>
          <w:sz w:val="20"/>
          <w:u w:val="single"/>
        </w:rPr>
        <w:t>Waiver of Trial by Jury</w:t>
      </w:r>
      <w:r>
        <w:rPr>
          <w:rFonts w:ascii="Times New Roman" w:hAnsi="Times New Roman"/>
          <w:sz w:val="20"/>
        </w:rPr>
        <w:t xml:space="preserve">. The Company (on its behalf and, to the extent permitted by applicable law, on behalf of its stockholders and affiliates) and each of the Underwriters hereby irrevocably waives, to the fullest extent permitted by applicable law, any and all right to trial by jury in any legal proceeding arising out of or relating to this Agreement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SECTION 16. </w:t>
      </w:r>
      <w:r>
        <w:rPr>
          <w:rFonts w:ascii="Times New Roman" w:hAnsi="Times New Roman"/>
          <w:sz w:val="20"/>
          <w:u w:val="single"/>
        </w:rPr>
        <w:t>GOVERNING LAW</w:t>
      </w:r>
      <w:r>
        <w:rPr>
          <w:rFonts w:ascii="Times New Roman" w:hAnsi="Times New Roman"/>
          <w:sz w:val="20"/>
        </w:rPr>
        <w:t xml:space="preserve">. THIS AGREEMENT AND ANY CLAIM, CONTROVERSY OR DISPUTE ARISING UNDER OR RELATED TO THIS AGREEMENT SHALL BE GOVERNED BY, AND CONSTRUED IN ACCORDANCE WITH THE LAWS OF, THE STATE OF NEW YORK WITHOUT REGARD TO ITS CHOICE OF LAW PROVISIONS. </w:t>
      </w:r>
    </w:p>
    <w:p>
      <w:pPr>
        <w:pStyle w:val="TextBody"/>
        <w:bidi w:val="0"/>
        <w:spacing w:before="240" w:after="0"/>
        <w:jc w:val="left"/>
        <w:rPr>
          <w:rFonts w:ascii="Times New Roman" w:hAnsi="Times New Roman"/>
          <w:sz w:val="20"/>
        </w:rPr>
      </w:pPr>
      <w:r>
        <w:rPr>
          <w:rFonts w:ascii="Times New Roman" w:hAnsi="Times New Roman"/>
          <w:sz w:val="20"/>
        </w:rPr>
        <w:t>SECTION 17. </w:t>
      </w:r>
      <w:r>
        <w:rPr>
          <w:rFonts w:ascii="Times New Roman" w:hAnsi="Times New Roman"/>
          <w:sz w:val="20"/>
          <w:u w:val="single"/>
        </w:rPr>
        <w:t>Consent to Jurisdiction; Waiver of Immunity</w:t>
      </w:r>
      <w:r>
        <w:rPr>
          <w:rFonts w:ascii="Times New Roman" w:hAnsi="Times New Roman"/>
          <w:sz w:val="20"/>
        </w:rPr>
        <w:t>. Any legal suit, action or proceeding arising out of or based upon this Agreement or the transactions contemplated hereby shall be instituted in (i) the federal courts of the United States of America located in the City and County of New York, Borough of Manhattan or (ii) the courts of the State of New York located in the City and County of New York, Borough of Manhattan (collectively, the “</w:t>
      </w:r>
      <w:r>
        <w:rPr>
          <w:rFonts w:ascii="Times New Roman" w:hAnsi="Times New Roman"/>
          <w:sz w:val="20"/>
          <w:u w:val="single"/>
        </w:rPr>
        <w:t>Specified Courts</w:t>
      </w:r>
      <w:r>
        <w:rPr>
          <w:rFonts w:ascii="Times New Roman" w:hAnsi="Times New Roman"/>
          <w:sz w:val="20"/>
        </w:rPr>
        <w:t xml:space="preserve">”),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 </w:t>
      </w:r>
    </w:p>
    <w:p>
      <w:pPr>
        <w:pStyle w:val="TextBody"/>
        <w:bidi w:val="0"/>
        <w:spacing w:before="240" w:after="0"/>
        <w:jc w:val="left"/>
        <w:rPr>
          <w:rFonts w:ascii="Times New Roman" w:hAnsi="Times New Roman"/>
          <w:sz w:val="20"/>
        </w:rPr>
      </w:pPr>
      <w:r>
        <w:rPr>
          <w:rFonts w:ascii="Times New Roman" w:hAnsi="Times New Roman"/>
          <w:sz w:val="20"/>
        </w:rPr>
        <w:t>SECTION 18. </w:t>
      </w:r>
      <w:r>
        <w:rPr>
          <w:rFonts w:ascii="Times New Roman" w:hAnsi="Times New Roman"/>
          <w:sz w:val="20"/>
          <w:u w:val="single"/>
        </w:rPr>
        <w:t>TIME</w:t>
      </w:r>
      <w:r>
        <w:rPr>
          <w:rFonts w:ascii="Times New Roman" w:hAnsi="Times New Roman"/>
          <w:sz w:val="20"/>
        </w:rPr>
        <w:t xml:space="preserve">. TIME SHALL BE OF THE ESSENCE OF THIS AGREEMENT. EXCEPT AS OTHERWISE SET FORTH HEREIN, SPECIFIED TIMES OF DAY REFER TO NEW YORK CITY TIME. </w:t>
      </w:r>
    </w:p>
    <w:p>
      <w:pPr>
        <w:pStyle w:val="TextBody"/>
        <w:bidi w:val="0"/>
        <w:spacing w:before="240" w:after="0"/>
        <w:jc w:val="left"/>
        <w:rPr>
          <w:rFonts w:ascii="Times New Roman" w:hAnsi="Times New Roman"/>
          <w:sz w:val="20"/>
        </w:rPr>
      </w:pPr>
      <w:r>
        <w:rPr>
          <w:rFonts w:ascii="Times New Roman" w:hAnsi="Times New Roman"/>
          <w:sz w:val="20"/>
        </w:rPr>
        <w:t>SECTION 19. </w:t>
      </w:r>
      <w:r>
        <w:rPr>
          <w:rFonts w:ascii="Times New Roman" w:hAnsi="Times New Roman"/>
          <w:sz w:val="20"/>
          <w:u w:val="single"/>
        </w:rPr>
        <w:t>Partial Unenforceability</w:t>
      </w:r>
      <w:r>
        <w:rPr>
          <w:rFonts w:ascii="Times New Roman" w:hAnsi="Times New Roman"/>
          <w:sz w:val="20"/>
        </w:rPr>
        <w:t xml:space="preserve">.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 </w:t>
      </w:r>
    </w:p>
    <w:p>
      <w:pPr>
        <w:pStyle w:val="TextBody"/>
        <w:bidi w:val="0"/>
        <w:spacing w:before="240" w:after="0"/>
        <w:jc w:val="left"/>
        <w:rPr>
          <w:rFonts w:ascii="Times New Roman" w:hAnsi="Times New Roman"/>
          <w:sz w:val="20"/>
        </w:rPr>
      </w:pPr>
      <w:r>
        <w:rPr>
          <w:rFonts w:ascii="Times New Roman" w:hAnsi="Times New Roman"/>
          <w:sz w:val="20"/>
        </w:rPr>
        <w:t>SECTION 20. </w:t>
      </w:r>
      <w:r>
        <w:rPr>
          <w:rFonts w:ascii="Times New Roman" w:hAnsi="Times New Roman"/>
          <w:sz w:val="20"/>
          <w:u w:val="single"/>
        </w:rPr>
        <w:t>Counterparts</w:t>
      </w:r>
      <w:r>
        <w:rPr>
          <w:rFonts w:ascii="Times New Roman" w:hAnsi="Times New Roman"/>
          <w:sz w:val="20"/>
        </w:rPr>
        <w:t xml:space="preserve">. This Agreement may be executed in any number of counterparts (which may include counterparts delivered by any standard form of telecommunication), each of which shall be deemed to be an original, but all such counterparts shall together constitute one and the same agreement.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21. </w:t>
      </w:r>
      <w:r>
        <w:rPr>
          <w:rFonts w:ascii="Times New Roman" w:hAnsi="Times New Roman"/>
          <w:sz w:val="20"/>
          <w:u w:val="single"/>
        </w:rPr>
        <w:t>Effect of Headings</w:t>
      </w:r>
      <w:r>
        <w:rPr>
          <w:rFonts w:ascii="Times New Roman" w:hAnsi="Times New Roman"/>
          <w:sz w:val="20"/>
        </w:rPr>
        <w:t xml:space="preserve">. The Section headings herein are for convenience only and shall not affect the construction hereof. </w:t>
      </w:r>
    </w:p>
    <w:p>
      <w:pPr>
        <w:pStyle w:val="TextBody"/>
        <w:bidi w:val="0"/>
        <w:spacing w:before="240" w:after="0"/>
        <w:jc w:val="left"/>
        <w:rPr>
          <w:rFonts w:ascii="Times New Roman" w:hAnsi="Times New Roman"/>
          <w:sz w:val="20"/>
        </w:rPr>
      </w:pPr>
      <w:r>
        <w:rPr>
          <w:rFonts w:ascii="Times New Roman" w:hAnsi="Times New Roman"/>
          <w:sz w:val="20"/>
        </w:rPr>
        <w:t>SECTION 22. </w:t>
      </w:r>
      <w:r>
        <w:rPr>
          <w:rFonts w:ascii="Times New Roman" w:hAnsi="Times New Roman"/>
          <w:sz w:val="20"/>
          <w:u w:val="single"/>
        </w:rPr>
        <w:t>Entire Agreement</w:t>
      </w:r>
      <w:r>
        <w:rPr>
          <w:rFonts w:ascii="Times New Roman" w:hAnsi="Times New Roman"/>
          <w:sz w:val="20"/>
        </w:rPr>
        <w:t xml:space="preserve">. This Agreement supersedes all prior agreements and understandings (whether written or oral) between the Company and the Underwriters, or any of them, with respect to the subject matter hereof.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is in accordance with your understanding of our agreement, please sign and return to the Company a counterpart hereof, whereupon this instrument, along with all counterparts, will become a binding agreement among the Underwriters and the Company in accordance with its terms.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48"/>
        <w:gridCol w:w="60"/>
        <w:gridCol w:w="3674"/>
      </w:tblGrid>
      <w:tr>
        <w:trPr/>
        <w:tc>
          <w:tcPr>
            <w:tcW w:w="34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7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TANGO THERAPEUTICS, INC.</w:t>
            </w:r>
          </w:p>
        </w:tc>
      </w:tr>
      <w:tr>
        <w:trPr>
          <w:trHeight w:val="360" w:hRule="atLeast"/>
        </w:trPr>
        <w:tc>
          <w:tcPr>
            <w:tcW w:w="348" w:type="dxa"/>
            <w:tcBorders/>
            <w:vAlign w:val="center"/>
          </w:tcPr>
          <w:p>
            <w:pPr>
              <w:pStyle w:val="TableContents"/>
              <w:bidi w:val="0"/>
              <w:spacing w:before="0" w:after="283"/>
              <w:jc w:val="left"/>
              <w:rPr>
                <w:sz w:val="4"/>
                <w:szCs w:val="4"/>
              </w:rPr>
            </w:pPr>
            <w:r>
              <w:rPr>
                <w:sz w:val="4"/>
                <w:szCs w:val="4"/>
              </w:rPr>
            </w:r>
          </w:p>
        </w:tc>
        <w:tc>
          <w:tcPr>
            <w:tcW w:w="3734" w:type="dxa"/>
            <w:gridSpan w:val="2"/>
            <w:tcBorders/>
            <w:vAlign w:val="center"/>
          </w:tcPr>
          <w:p>
            <w:pPr>
              <w:pStyle w:val="TableContents"/>
              <w:bidi w:val="0"/>
              <w:spacing w:before="0" w:after="283"/>
              <w:jc w:val="left"/>
              <w:rPr>
                <w:sz w:val="4"/>
                <w:szCs w:val="4"/>
              </w:rPr>
            </w:pPr>
            <w:r>
              <w:rPr>
                <w:sz w:val="4"/>
                <w:szCs w:val="4"/>
              </w:rPr>
            </w:r>
          </w:p>
        </w:tc>
      </w:tr>
      <w:tr>
        <w:trPr/>
        <w:tc>
          <w:tcPr>
            <w:tcW w:w="348"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74"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Barbara Weber</w:t>
            </w:r>
          </w:p>
        </w:tc>
      </w:tr>
      <w:tr>
        <w:trPr/>
        <w:tc>
          <w:tcPr>
            <w:tcW w:w="34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4" w:type="dxa"/>
            <w:tcBorders/>
            <w:vAlign w:val="bottom"/>
          </w:tcPr>
          <w:p>
            <w:pPr>
              <w:pStyle w:val="TableContents"/>
              <w:bidi w:val="0"/>
              <w:spacing w:before="0" w:after="283"/>
              <w:jc w:val="left"/>
              <w:rPr/>
            </w:pPr>
            <w:r>
              <w:rPr/>
              <w:t>Name: Barbara Weber</w:t>
            </w:r>
          </w:p>
        </w:tc>
      </w:tr>
      <w:tr>
        <w:trPr/>
        <w:tc>
          <w:tcPr>
            <w:tcW w:w="34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4" w:type="dxa"/>
            <w:tcBorders/>
            <w:vAlign w:val="bottom"/>
          </w:tcPr>
          <w:p>
            <w:pPr>
              <w:pStyle w:val="TableContents"/>
              <w:bidi w:val="0"/>
              <w:spacing w:before="0" w:after="283"/>
              <w:jc w:val="left"/>
              <w:rPr/>
            </w:pPr>
            <w:r>
              <w:rPr/>
              <w:t>Title: Chief Executive Officer</w:t>
            </w:r>
          </w:p>
        </w:tc>
      </w:tr>
    </w:tbl>
    <w:p>
      <w:pPr>
        <w:pStyle w:val="TextBody"/>
        <w:bidi w:val="0"/>
        <w:spacing w:before="360" w:after="0"/>
        <w:jc w:val="left"/>
        <w:rPr>
          <w:rFonts w:ascii="Times New Roman" w:hAnsi="Times New Roman"/>
          <w:sz w:val="20"/>
        </w:rPr>
      </w:pPr>
      <w:r>
        <w:rPr>
          <w:rFonts w:ascii="Times New Roman" w:hAnsi="Times New Roman"/>
          <w:sz w:val="20"/>
        </w:rPr>
        <w:t xml:space="preserve">CONFIRMED AND ACCEPTED </w:t>
      </w:r>
    </w:p>
    <w:p>
      <w:pPr>
        <w:pStyle w:val="TextBody"/>
        <w:bidi w:val="0"/>
        <w:spacing w:before="0" w:after="0"/>
        <w:jc w:val="left"/>
        <w:rPr/>
      </w:pPr>
      <w:r>
        <w:rPr/>
        <w:t>  </w:t>
      </w:r>
      <w:r>
        <w:rPr>
          <w:rFonts w:ascii="Times New Roman" w:hAnsi="Times New Roman"/>
          <w:sz w:val="20"/>
        </w:rPr>
        <w:t xml:space="preserve">As of the date first above written: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LLC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34"/>
        <w:gridCol w:w="60"/>
        <w:gridCol w:w="3688"/>
      </w:tblGrid>
      <w:tr>
        <w:trPr/>
        <w:tc>
          <w:tcPr>
            <w:tcW w:w="33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88" w:type="dxa"/>
            <w:tcBorders/>
            <w:vAlign w:val="center"/>
          </w:tcPr>
          <w:p>
            <w:pPr>
              <w:pStyle w:val="TableContents"/>
              <w:bidi w:val="0"/>
              <w:spacing w:before="0" w:after="283"/>
              <w:jc w:val="left"/>
              <w:rPr>
                <w:sz w:val="4"/>
                <w:szCs w:val="4"/>
              </w:rPr>
            </w:pPr>
            <w:r>
              <w:rPr>
                <w:sz w:val="4"/>
                <w:szCs w:val="4"/>
              </w:rPr>
            </w:r>
          </w:p>
        </w:tc>
      </w:tr>
      <w:tr>
        <w:trPr/>
        <w:tc>
          <w:tcPr>
            <w:tcW w:w="33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88"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Sean Pitt</w:t>
            </w:r>
          </w:p>
        </w:tc>
      </w:tr>
      <w:tr>
        <w:trPr/>
        <w:tc>
          <w:tcPr>
            <w:tcW w:w="33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8" w:type="dxa"/>
            <w:tcBorders/>
            <w:vAlign w:val="bottom"/>
          </w:tcPr>
          <w:p>
            <w:pPr>
              <w:pStyle w:val="TableContents"/>
              <w:bidi w:val="0"/>
              <w:spacing w:before="0" w:after="283"/>
              <w:jc w:val="left"/>
              <w:rPr/>
            </w:pPr>
            <w:r>
              <w:rPr/>
              <w:t>Name: Sean Pitt</w:t>
            </w:r>
          </w:p>
        </w:tc>
      </w:tr>
      <w:tr>
        <w:trPr/>
        <w:tc>
          <w:tcPr>
            <w:tcW w:w="33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8" w:type="dxa"/>
            <w:tcBorders/>
            <w:vAlign w:val="bottom"/>
          </w:tcPr>
          <w:p>
            <w:pPr>
              <w:pStyle w:val="TableContents"/>
              <w:bidi w:val="0"/>
              <w:spacing w:before="0" w:after="283"/>
              <w:jc w:val="left"/>
              <w:rPr/>
            </w:pPr>
            <w:r>
              <w:rPr/>
              <w:t>Title: Senior Managing Director</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themselves and as Representative of the other Underwriters named in </w:t>
      </w:r>
      <w:r>
        <w:rPr>
          <w:rFonts w:ascii="Times New Roman" w:hAnsi="Times New Roman"/>
          <w:sz w:val="20"/>
          <w:u w:val="single"/>
        </w:rPr>
        <w:t>Schedule A</w:t>
      </w:r>
      <w:r>
        <w:rPr>
          <w:rFonts w:ascii="Times New Roman" w:hAnsi="Times New Roman"/>
          <w:sz w:val="20"/>
        </w:rPr>
        <w:t xml:space="preserve">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UNDERWRITING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A </w:t>
      </w:r>
    </w:p>
    <w:p>
      <w:pPr>
        <w:pStyle w:val="TextBody"/>
        <w:bidi w:val="0"/>
        <w:spacing w:before="240" w:after="0"/>
        <w:jc w:val="left"/>
        <w:rPr>
          <w:rFonts w:ascii="Times New Roman" w:hAnsi="Times New Roman"/>
          <w:sz w:val="20"/>
        </w:rPr>
      </w:pPr>
      <w:r>
        <w:rPr>
          <w:rFonts w:ascii="Times New Roman" w:hAnsi="Times New Roman"/>
          <w:sz w:val="20"/>
        </w:rPr>
        <w:t xml:space="preserve">The offering price per Share shall be $8.66. The offering price per Pre-Funded Warrant shall be $8.659. </w:t>
      </w:r>
    </w:p>
    <w:p>
      <w:pPr>
        <w:pStyle w:val="TextBody"/>
        <w:bidi w:val="0"/>
        <w:spacing w:before="240" w:after="0"/>
        <w:jc w:val="left"/>
        <w:rPr>
          <w:rFonts w:ascii="Times New Roman" w:hAnsi="Times New Roman"/>
          <w:sz w:val="20"/>
        </w:rPr>
      </w:pPr>
      <w:r>
        <w:rPr>
          <w:rFonts w:ascii="Times New Roman" w:hAnsi="Times New Roman"/>
          <w:sz w:val="20"/>
        </w:rPr>
        <w:t xml:space="preserve">The purchase price per Share to be paid by the several Underwriters shall be $8.1404, being an amount equal to the offering price per Share set forth above less $0.5196 per share, subject to adjustment in accordance with Section 2(b) for dividends or distributions declared by the Company and payable on the Securities. The purchase price per Pre-Funded Warrant to be paid by the several Underwriters shall be $8.1394, being an amount equal to the offering price per Pre-Funded Warrant set forth above less $0.5196, subject to adjustment in accordance with Section 2(b) for dividends or distributions declared by the Company and payable on the Securities.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817"/>
        <w:gridCol w:w="178"/>
        <w:gridCol w:w="60"/>
        <w:gridCol w:w="1140"/>
        <w:gridCol w:w="60"/>
        <w:gridCol w:w="178"/>
        <w:gridCol w:w="72"/>
        <w:gridCol w:w="1187"/>
        <w:gridCol w:w="63"/>
      </w:tblGrid>
      <w:tr>
        <w:trPr/>
        <w:tc>
          <w:tcPr>
            <w:tcW w:w="4817"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817" w:type="dxa"/>
            <w:tcBorders/>
            <w:vAlign w:val="bottom"/>
          </w:tcPr>
          <w:p>
            <w:pPr>
              <w:pStyle w:val="TableContents"/>
              <w:bidi w:val="0"/>
              <w:spacing w:before="0" w:after="283"/>
              <w:jc w:val="left"/>
              <w:rPr>
                <w:b/>
              </w:rPr>
            </w:pPr>
            <w:r>
              <w:rPr>
                <w:b/>
              </w:rPr>
              <w:t>Name of Underwriter</w:t>
            </w:r>
          </w:p>
        </w:tc>
        <w:tc>
          <w:tcPr>
            <w:tcW w:w="178" w:type="dxa"/>
            <w:tcBorders/>
            <w:vAlign w:val="bottom"/>
          </w:tcPr>
          <w:p>
            <w:pPr>
              <w:pStyle w:val="TableContents"/>
              <w:bidi w:val="0"/>
              <w:spacing w:before="0" w:after="283"/>
              <w:jc w:val="left"/>
              <w:rPr/>
            </w:pPr>
            <w:r>
              <w:rPr/>
              <w:t>  </w:t>
            </w:r>
          </w:p>
        </w:tc>
        <w:tc>
          <w:tcPr>
            <w:tcW w:w="12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xml:space="preserve">Number of </w:t>
              <w:br/>
              <w:t>Securities</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2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Pre-Funded</w:t>
              <w:br/>
              <w:t>Warrants</w:t>
              <w:br/>
              <w:t>to be</w:t>
              <w:br/>
              <w:t>Purchased</w:t>
            </w:r>
          </w:p>
        </w:tc>
        <w:tc>
          <w:tcPr>
            <w:tcW w:w="63" w:type="dxa"/>
            <w:tcBorders/>
            <w:vAlign w:val="bottom"/>
          </w:tcPr>
          <w:p>
            <w:pPr>
              <w:pStyle w:val="TableContents"/>
              <w:bidi w:val="0"/>
              <w:spacing w:before="0" w:after="283"/>
              <w:jc w:val="left"/>
              <w:rPr/>
            </w:pPr>
            <w:r>
              <w:rPr/>
              <w:t> </w:t>
            </w:r>
          </w:p>
        </w:tc>
      </w:tr>
      <w:tr>
        <w:trPr/>
        <w:tc>
          <w:tcPr>
            <w:tcW w:w="48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Leerink Partners LLC</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283"/>
              <w:jc w:val="right"/>
              <w:rPr/>
            </w:pPr>
            <w:r>
              <w:rPr/>
              <w:t>14,716,336</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2,258,521</w:t>
            </w:r>
          </w:p>
        </w:tc>
        <w:tc>
          <w:tcPr>
            <w:tcW w:w="63" w:type="dxa"/>
            <w:tcBorders/>
            <w:shd w:fill="CCEEFF" w:val="clear"/>
            <w:vAlign w:val="bottom"/>
          </w:tcPr>
          <w:p>
            <w:pPr>
              <w:pStyle w:val="TableContents"/>
              <w:bidi w:val="0"/>
              <w:spacing w:before="0" w:after="283"/>
              <w:jc w:val="left"/>
              <w:rPr/>
            </w:pPr>
            <w:r>
              <w:rPr/>
              <w:t> </w:t>
            </w:r>
          </w:p>
        </w:tc>
      </w:tr>
      <w:tr>
        <w:trPr/>
        <w:tc>
          <w:tcPr>
            <w:tcW w:w="4817" w:type="dxa"/>
            <w:tcBorders/>
          </w:tcPr>
          <w:p>
            <w:pPr>
              <w:pStyle w:val="TableContents"/>
              <w:bidi w:val="0"/>
              <w:spacing w:before="0" w:after="0"/>
              <w:jc w:val="left"/>
              <w:rPr>
                <w:rFonts w:ascii="Times New Roman" w:hAnsi="Times New Roman"/>
                <w:sz w:val="20"/>
              </w:rPr>
            </w:pPr>
            <w:r>
              <w:rPr>
                <w:rFonts w:ascii="Times New Roman" w:hAnsi="Times New Roman"/>
                <w:sz w:val="20"/>
              </w:rPr>
              <w:t>Cantor Fitzgerald &amp; Co.</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0" w:type="dxa"/>
            <w:tcBorders/>
            <w:vAlign w:val="bottom"/>
          </w:tcPr>
          <w:p>
            <w:pPr>
              <w:pStyle w:val="TableContents"/>
              <w:bidi w:val="0"/>
              <w:spacing w:before="0" w:after="283"/>
              <w:jc w:val="right"/>
              <w:rPr/>
            </w:pPr>
            <w:r>
              <w:rPr/>
              <w:t>6,307,001</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967,937</w:t>
            </w:r>
          </w:p>
        </w:tc>
        <w:tc>
          <w:tcPr>
            <w:tcW w:w="63" w:type="dxa"/>
            <w:tcBorders/>
            <w:vAlign w:val="bottom"/>
          </w:tcPr>
          <w:p>
            <w:pPr>
              <w:pStyle w:val="TableContents"/>
              <w:bidi w:val="0"/>
              <w:spacing w:before="0" w:after="283"/>
              <w:jc w:val="left"/>
              <w:rPr/>
            </w:pPr>
            <w:r>
              <w:rPr/>
              <w:t> </w:t>
            </w:r>
          </w:p>
        </w:tc>
      </w:tr>
      <w:tr>
        <w:trPr/>
        <w:tc>
          <w:tcPr>
            <w:tcW w:w="4817"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118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8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283"/>
              <w:jc w:val="right"/>
              <w:rPr>
                <w:b/>
              </w:rPr>
            </w:pPr>
            <w:r>
              <w:rPr>
                <w:b/>
              </w:rPr>
              <w:t>21,023,337</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b/>
              </w:rPr>
            </w:pPr>
            <w:r>
              <w:rPr>
                <w:b/>
              </w:rPr>
              <w:t>3,226,458</w:t>
            </w:r>
          </w:p>
        </w:tc>
        <w:tc>
          <w:tcPr>
            <w:tcW w:w="63" w:type="dxa"/>
            <w:tcBorders/>
            <w:shd w:fill="CCEEFF" w:val="clear"/>
            <w:vAlign w:val="bottom"/>
          </w:tcPr>
          <w:p>
            <w:pPr>
              <w:pStyle w:val="TableContents"/>
              <w:bidi w:val="0"/>
              <w:spacing w:before="0" w:after="283"/>
              <w:jc w:val="left"/>
              <w:rPr/>
            </w:pPr>
            <w:r>
              <w:rPr/>
              <w:t> </w:t>
            </w:r>
          </w:p>
        </w:tc>
      </w:tr>
      <w:tr>
        <w:trPr/>
        <w:tc>
          <w:tcPr>
            <w:tcW w:w="4817"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double" w:sz="6" w:space="1" w:color="000000"/>
              </w:pBdr>
              <w:bidi w:val="0"/>
              <w:spacing w:before="0" w:after="0"/>
              <w:jc w:val="left"/>
              <w:rPr/>
            </w:pPr>
            <w:r>
              <w:rPr/>
              <w:t> </w:t>
            </w:r>
          </w:p>
        </w:tc>
        <w:tc>
          <w:tcPr>
            <w:tcW w:w="1187"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B-1 </w:t>
      </w:r>
    </w:p>
    <w:p>
      <w:pPr>
        <w:pStyle w:val="TextBody"/>
        <w:bidi w:val="0"/>
        <w:spacing w:before="240" w:after="0"/>
        <w:jc w:val="left"/>
        <w:rPr>
          <w:rFonts w:ascii="Times New Roman" w:hAnsi="Times New Roman"/>
          <w:sz w:val="20"/>
        </w:rPr>
      </w:pPr>
      <w:r>
        <w:rPr>
          <w:rFonts w:ascii="Times New Roman" w:hAnsi="Times New Roman"/>
          <w:sz w:val="20"/>
        </w:rPr>
        <w:t xml:space="preserve">1. The Company is selling 21,023,337 shares of Common Stock and Pre-Funded Warrants to purchase 3,226,458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2. The offering price per Share shall be $8.66. The initial offering price per Pre-Funded Warrant shall be $8.659. </w:t>
      </w:r>
    </w:p>
    <w:p>
      <w:pPr>
        <w:pStyle w:val="TextBody"/>
        <w:bidi w:val="0"/>
        <w:spacing w:before="240" w:after="0"/>
        <w:jc w:val="left"/>
        <w:rPr>
          <w:rFonts w:ascii="Times New Roman" w:hAnsi="Times New Roman"/>
          <w:sz w:val="20"/>
        </w:rPr>
      </w:pPr>
      <w:r>
        <w:rPr>
          <w:rFonts w:ascii="Times New Roman" w:hAnsi="Times New Roman"/>
          <w:sz w:val="20"/>
        </w:rPr>
        <w:t xml:space="preserve">3. The Company is selling 1,732,101 shares of Common Stock offered in the concurrent private placement at an offering price per share of $8.66.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B-2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Free Writing Prospectuses </w:t>
      </w:r>
    </w:p>
    <w:p>
      <w:pPr>
        <w:pStyle w:val="TextBody"/>
        <w:bidi w:val="0"/>
        <w:spacing w:before="240" w:after="0"/>
        <w:jc w:val="left"/>
        <w:rPr>
          <w:rFonts w:ascii="Times New Roman" w:hAnsi="Times New Roman"/>
          <w:sz w:val="20"/>
        </w:rPr>
      </w:pPr>
      <w:r>
        <w:rPr>
          <w:rFonts w:ascii="Times New Roman" w:hAnsi="Times New Roman"/>
          <w:sz w:val="20"/>
        </w:rPr>
        <w:t xml:space="preserve">Free Writing Prospectus dated October 23, 2025.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B-3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List of Written Testing-the-Waters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None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A </w:t>
      </w:r>
    </w:p>
    <w:p>
      <w:pPr>
        <w:pStyle w:val="TextBody"/>
        <w:bidi w:val="0"/>
        <w:spacing w:before="240" w:after="0"/>
        <w:jc w:val="center"/>
        <w:rPr>
          <w:rFonts w:ascii="Times New Roman" w:hAnsi="Times New Roman"/>
          <w:sz w:val="20"/>
        </w:rPr>
      </w:pPr>
      <w:r>
        <w:rPr>
          <w:rFonts w:ascii="Times New Roman" w:hAnsi="Times New Roman"/>
          <w:sz w:val="20"/>
        </w:rPr>
        <w:t xml:space="preserve">FORM OF LOCK-UP AGREEMENT </w:t>
      </w:r>
    </w:p>
    <w:p>
      <w:pPr>
        <w:pStyle w:val="TextBody"/>
        <w:bidi w:val="0"/>
        <w:spacing w:before="240" w:after="0"/>
        <w:jc w:val="center"/>
        <w:rPr>
          <w:rFonts w:ascii="Times New Roman" w:hAnsi="Times New Roman"/>
          <w:sz w:val="20"/>
        </w:rPr>
      </w:pPr>
      <w:r>
        <w:rPr>
          <w:rFonts w:ascii="Times New Roman" w:hAnsi="Times New Roman"/>
          <w:sz w:val="20"/>
        </w:rPr>
        <w:t xml:space="preserve">October [●], 2025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LLC </w:t>
      </w:r>
    </w:p>
    <w:p>
      <w:pPr>
        <w:pStyle w:val="TextBody"/>
        <w:bidi w:val="0"/>
        <w:spacing w:before="0" w:after="0"/>
        <w:jc w:val="left"/>
        <w:rPr>
          <w:rFonts w:ascii="Times New Roman" w:hAnsi="Times New Roman"/>
          <w:sz w:val="20"/>
        </w:rPr>
      </w:pPr>
      <w:r>
        <w:rPr>
          <w:rFonts w:ascii="Times New Roman" w:hAnsi="Times New Roman"/>
          <w:sz w:val="20"/>
        </w:rPr>
        <w:t xml:space="preserve">as Representative of the several Underwriters </w:t>
      </w:r>
    </w:p>
    <w:p>
      <w:pPr>
        <w:pStyle w:val="TextBody"/>
        <w:bidi w:val="0"/>
        <w:spacing w:before="240" w:after="0"/>
        <w:jc w:val="left"/>
        <w:rPr>
          <w:rFonts w:ascii="Times New Roman" w:hAnsi="Times New Roman"/>
          <w:sz w:val="20"/>
        </w:rPr>
      </w:pPr>
      <w:r>
        <w:rPr>
          <w:rFonts w:ascii="Times New Roman" w:hAnsi="Times New Roman"/>
          <w:sz w:val="20"/>
        </w:rPr>
        <w:t xml:space="preserve">c/o  Leerink Partners LLC </w:t>
      </w:r>
    </w:p>
    <w:p>
      <w:pPr>
        <w:pStyle w:val="TextBody"/>
        <w:bidi w:val="0"/>
        <w:spacing w:before="0" w:after="0"/>
        <w:jc w:val="left"/>
        <w:rPr>
          <w:rFonts w:ascii="Times New Roman" w:hAnsi="Times New Roman"/>
          <w:sz w:val="20"/>
        </w:rPr>
      </w:pPr>
      <w:r>
        <w:rPr>
          <w:rFonts w:ascii="Times New Roman" w:hAnsi="Times New Roman"/>
          <w:sz w:val="20"/>
        </w:rPr>
        <w:t xml:space="preserve">53 State Street, 40th Floor </w:t>
      </w:r>
    </w:p>
    <w:p>
      <w:pPr>
        <w:pStyle w:val="TextBody"/>
        <w:bidi w:val="0"/>
        <w:spacing w:before="0" w:after="0"/>
        <w:jc w:val="left"/>
        <w:rPr>
          <w:rFonts w:ascii="Times New Roman" w:hAnsi="Times New Roman"/>
          <w:sz w:val="20"/>
        </w:rPr>
      </w:pPr>
      <w:r>
        <w:rPr>
          <w:rFonts w:ascii="Times New Roman" w:hAnsi="Times New Roman"/>
          <w:sz w:val="20"/>
        </w:rPr>
        <w:t xml:space="preserve">Boston, Massachusetts 02109 </w:t>
      </w:r>
    </w:p>
    <w:p>
      <w:pPr>
        <w:pStyle w:val="TextBody"/>
        <w:bidi w:val="0"/>
        <w:spacing w:before="240" w:after="0"/>
        <w:jc w:val="left"/>
        <w:rPr>
          <w:rFonts w:ascii="Times New Roman" w:hAnsi="Times New Roman"/>
          <w:sz w:val="20"/>
        </w:rPr>
      </w:pPr>
      <w:r>
        <w:rPr>
          <w:rFonts w:ascii="Times New Roman" w:hAnsi="Times New Roman"/>
          <w:sz w:val="20"/>
        </w:rPr>
        <w:t>Re: </w:t>
      </w:r>
      <w:r>
        <w:rPr>
          <w:rFonts w:ascii="Times New Roman" w:hAnsi="Times New Roman"/>
          <w:sz w:val="20"/>
          <w:u w:val="single"/>
        </w:rPr>
        <w:t>Proposed Public Offering by Tango Therapeutics, Inc.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The undersigned, a stockholder, officer and/or director of Tango Therapeutics, Inc., a Delaware corporation (the “</w:t>
      </w:r>
      <w:r>
        <w:rPr>
          <w:rFonts w:ascii="Times New Roman" w:hAnsi="Times New Roman"/>
          <w:sz w:val="20"/>
          <w:u w:val="single"/>
        </w:rPr>
        <w:t>Company</w:t>
      </w:r>
      <w:r>
        <w:rPr>
          <w:rFonts w:ascii="Times New Roman" w:hAnsi="Times New Roman"/>
          <w:sz w:val="20"/>
        </w:rPr>
        <w:t>”), understands that Leerink Partners LLC (“</w:t>
      </w:r>
      <w:r>
        <w:rPr>
          <w:rFonts w:ascii="Times New Roman" w:hAnsi="Times New Roman"/>
          <w:sz w:val="20"/>
          <w:u w:val="single"/>
        </w:rPr>
        <w:t>Leerink Partners</w:t>
      </w:r>
      <w:r>
        <w:rPr>
          <w:rFonts w:ascii="Times New Roman" w:hAnsi="Times New Roman"/>
          <w:sz w:val="20"/>
        </w:rPr>
        <w:t>”) proposes to enter into an Underwriting Agreement (the “</w:t>
      </w:r>
      <w:r>
        <w:rPr>
          <w:rFonts w:ascii="Times New Roman" w:hAnsi="Times New Roman"/>
          <w:sz w:val="20"/>
          <w:u w:val="single"/>
        </w:rPr>
        <w:t>Underwriting Agreement</w:t>
      </w:r>
      <w:r>
        <w:rPr>
          <w:rFonts w:ascii="Times New Roman" w:hAnsi="Times New Roman"/>
          <w:sz w:val="20"/>
        </w:rPr>
        <w:t>”) with the Company providing for the public offering (the “</w:t>
      </w:r>
      <w:r>
        <w:rPr>
          <w:rFonts w:ascii="Times New Roman" w:hAnsi="Times New Roman"/>
          <w:sz w:val="20"/>
          <w:u w:val="single"/>
        </w:rPr>
        <w:t>Public Offering</w:t>
      </w:r>
      <w:r>
        <w:rPr>
          <w:rFonts w:ascii="Times New Roman" w:hAnsi="Times New Roman"/>
          <w:sz w:val="20"/>
        </w:rPr>
        <w:t>”) of shares (the “</w:t>
      </w:r>
      <w:r>
        <w:rPr>
          <w:rFonts w:ascii="Times New Roman" w:hAnsi="Times New Roman"/>
          <w:sz w:val="20"/>
          <w:u w:val="single"/>
        </w:rPr>
        <w:t>Securities</w:t>
      </w:r>
      <w:r>
        <w:rPr>
          <w:rFonts w:ascii="Times New Roman" w:hAnsi="Times New Roman"/>
          <w:sz w:val="20"/>
        </w:rPr>
        <w:t>”) of the Company’s common stock, par value $0.001 per share (the “</w:t>
      </w:r>
      <w:r>
        <w:rPr>
          <w:rFonts w:ascii="Times New Roman" w:hAnsi="Times New Roman"/>
          <w:sz w:val="20"/>
          <w:u w:val="single"/>
        </w:rPr>
        <w:t>Common Stock</w:t>
      </w:r>
      <w:r>
        <w:rPr>
          <w:rFonts w:ascii="Times New Roman" w:hAnsi="Times New Roman"/>
          <w:sz w:val="20"/>
        </w:rPr>
        <w:t>”). In recognition of the benefit that such an offering will confer upon the undersigned as a stockholder, an officer and/or a director of the Company, and for other good and valuable consideration, the receipt and sufficiency of which are hereby acknowledged, the undersigned agrees with each underwriter to be named in the Underwriting Agreement (collectively, the “</w:t>
      </w:r>
      <w:r>
        <w:rPr>
          <w:rFonts w:ascii="Times New Roman" w:hAnsi="Times New Roman"/>
          <w:sz w:val="20"/>
          <w:u w:val="single"/>
        </w:rPr>
        <w:t>Underwriters</w:t>
      </w:r>
      <w:r>
        <w:rPr>
          <w:rFonts w:ascii="Times New Roman" w:hAnsi="Times New Roman"/>
          <w:sz w:val="20"/>
        </w:rPr>
        <w:t>”) that, during the period beginning on the date hereof and ending on the date that is 60 days from the date of the Underwriting Agreement (the “</w:t>
      </w:r>
      <w:r>
        <w:rPr>
          <w:rFonts w:ascii="Times New Roman" w:hAnsi="Times New Roman"/>
          <w:sz w:val="20"/>
          <w:u w:val="single"/>
        </w:rPr>
        <w:t>Lock-Up Period</w:t>
      </w:r>
      <w:r>
        <w:rPr>
          <w:rFonts w:ascii="Times New Roman" w:hAnsi="Times New Roman"/>
          <w:sz w:val="20"/>
        </w:rPr>
        <w:t>”), the undersigned will not, without the prior written consent of Leerink Partners, on behalf of the Underwriters, directly or indirectly, (i) offer, pledge, sell, contract to sell, sell any option or contract to purchase, purchase any option or contract to sell, grant any option, right or warrant for the sale of, or otherwise dispose of or transfer any shares of Common Stock or any securities convertible into or exchangeable or exercisable for Common Stock, whether now owned or hereafter acquired by the undersigned or with respect to which the undersigned has or hereafter acquires the power of disposition (collectively, the “</w:t>
      </w:r>
      <w:r>
        <w:rPr>
          <w:rFonts w:ascii="Times New Roman" w:hAnsi="Times New Roman"/>
          <w:sz w:val="20"/>
          <w:u w:val="single"/>
        </w:rPr>
        <w:t>Lock-Up Securities</w:t>
      </w:r>
      <w:r>
        <w:rPr>
          <w:rFonts w:ascii="Times New Roman" w:hAnsi="Times New Roman"/>
          <w:sz w:val="20"/>
        </w:rPr>
        <w:t xml:space="preserve">”), or exercise any right with respect to the registration of any of the Lock-Up Securities, or file or cause to be filed any registration statement in connection therewith, under the Securities Act of 1933, as amended, or (ii) enter into any swap or any other agreement or any transaction that transfers, in whole or in part, directly or indirectly, the economic consequence of ownership of the Lock-Up Securities, whether any such swap or transaction is to be settled by delivery of Common Stock or other securities, in cash or otherwise. </w:t>
      </w:r>
    </w:p>
    <w:p>
      <w:pPr>
        <w:pStyle w:val="TextBody"/>
        <w:bidi w:val="0"/>
        <w:spacing w:before="240" w:after="0"/>
        <w:jc w:val="left"/>
        <w:rPr>
          <w:rFonts w:ascii="Times New Roman" w:hAnsi="Times New Roman"/>
          <w:sz w:val="20"/>
        </w:rPr>
      </w:pPr>
      <w:r>
        <w:rPr>
          <w:rFonts w:ascii="Times New Roman" w:hAnsi="Times New Roman"/>
          <w:sz w:val="20"/>
        </w:rPr>
        <w:t>Notwithstanding the foregoing, and subject to the conditions below, the undersigned may transfer Lock-Up Securities without the prior written consent of Leerink Partners, provided, in each case, that (1) in the cases of clauses (i)-(vii) below, Leerink Partners receives a signed lock-up agreement for the balance of the Lock-Up Period from each donee, trustee, distributee, or transferee, as the case may be, (2) any such transfer shall not involve a disposition for value, (3) such transfers are not required to be reported with the Securities and Exchange Commission in accordance with Section 16 of the Securities Exchange Act of 1934, as amended (the “</w:t>
      </w:r>
      <w:r>
        <w:rPr>
          <w:rFonts w:ascii="Times New Roman" w:hAnsi="Times New Roman"/>
          <w:sz w:val="20"/>
          <w:u w:val="single"/>
        </w:rPr>
        <w:t>Exchange Act</w:t>
      </w:r>
      <w:r>
        <w:rPr>
          <w:rFonts w:ascii="Times New Roman" w:hAnsi="Times New Roman"/>
          <w:sz w:val="20"/>
        </w:rPr>
        <w:t xml:space="preserve">”), (other than, in the case of a transfer or other disposition pursuant to clauses (i), (ii), (iii), (iv), (viii), and (ix) below, any Form 4 or Form 5 required to be filed under the Exchange Act if the undersigned is subject to Section 16 reporting with respect to the Company under the Exchange Act and indicating by footnote disclosure or otherwise the nature of the transfer or disposition) and (4) the undersigned does not otherwise voluntarily effect any public filing or report regarding such transfers (other than a filing on a Form 5 made after the expiration of the Lock-Up Period):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714"/>
        <w:gridCol w:w="9085"/>
      </w:tblGrid>
      <w:tr>
        <w:trPr/>
        <w:tc>
          <w:tcPr>
            <w:tcW w:w="406"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(i)</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w:t>
            </w:r>
            <w:r>
              <w:rPr>
                <w:rFonts w:ascii="Times New Roman" w:hAnsi="Times New Roman"/>
                <w:i/>
                <w:sz w:val="20"/>
              </w:rPr>
              <w:t>bona fide</w:t>
            </w:r>
            <w:r>
              <w:rPr>
                <w:rFonts w:ascii="Times New Roman" w:hAnsi="Times New Roman"/>
                <w:sz w:val="20"/>
              </w:rPr>
              <w:t xml:space="preserve"> gift or gifts;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713"/>
        <w:gridCol w:w="9087"/>
      </w:tblGrid>
      <w:tr>
        <w:trPr/>
        <w:tc>
          <w:tcPr>
            <w:tcW w:w="405" w:type="dxa"/>
            <w:tcBorders/>
            <w:vAlign w:val="center"/>
          </w:tcPr>
          <w:p>
            <w:pPr>
              <w:pStyle w:val="TableContents"/>
              <w:bidi w:val="0"/>
              <w:spacing w:before="0" w:after="283"/>
              <w:jc w:val="left"/>
              <w:rPr/>
            </w:pPr>
            <w:r>
              <w:rPr/>
              <w:t> </w:t>
            </w:r>
          </w:p>
        </w:tc>
        <w:tc>
          <w:tcPr>
            <w:tcW w:w="713" w:type="dxa"/>
            <w:tcBorders/>
          </w:tcPr>
          <w:p>
            <w:pPr>
              <w:pStyle w:val="TableContents"/>
              <w:bidi w:val="0"/>
              <w:spacing w:before="0" w:after="283"/>
              <w:jc w:val="left"/>
              <w:rPr/>
            </w:pPr>
            <w:r>
              <w:rPr/>
              <w:t>(ii)</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trust for the direct or indirect benefit of the undersigned or the immediate family of the undersigned (for purposes of this lock-up agreement, “immediate family” shall mean any relationship by blood, marriage or adoption, not more remote than first cousin);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714"/>
        <w:gridCol w:w="9085"/>
      </w:tblGrid>
      <w:tr>
        <w:trPr/>
        <w:tc>
          <w:tcPr>
            <w:tcW w:w="406"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(iii)</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distributions by a trust to its beneficiaries;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714"/>
        <w:gridCol w:w="9083"/>
      </w:tblGrid>
      <w:tr>
        <w:trPr/>
        <w:tc>
          <w:tcPr>
            <w:tcW w:w="408"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(iv)</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or dispositions to any corporation, partnership, limited liability company or other entity, all of the beneficial ownership interests of which are held by the undersigned;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714"/>
        <w:gridCol w:w="9086"/>
      </w:tblGrid>
      <w:tr>
        <w:trPr/>
        <w:tc>
          <w:tcPr>
            <w:tcW w:w="40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(v)</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distribution or other transfer by a partnership to its partners or former partners or by a limited liability company to its members or retired members or by a corporation to its stockholders or former stockholders or to any wholly-owned subsidiary of such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713"/>
        <w:gridCol w:w="9085"/>
      </w:tblGrid>
      <w:tr>
        <w:trPr/>
        <w:tc>
          <w:tcPr>
            <w:tcW w:w="407" w:type="dxa"/>
            <w:tcBorders/>
            <w:vAlign w:val="center"/>
          </w:tcPr>
          <w:p>
            <w:pPr>
              <w:pStyle w:val="TableContents"/>
              <w:bidi w:val="0"/>
              <w:spacing w:before="0" w:after="283"/>
              <w:jc w:val="left"/>
              <w:rPr/>
            </w:pPr>
            <w:r>
              <w:rPr/>
              <w:t> </w:t>
            </w:r>
          </w:p>
        </w:tc>
        <w:tc>
          <w:tcPr>
            <w:tcW w:w="713" w:type="dxa"/>
            <w:tcBorders/>
          </w:tcPr>
          <w:p>
            <w:pPr>
              <w:pStyle w:val="TableContents"/>
              <w:bidi w:val="0"/>
              <w:spacing w:before="0" w:after="283"/>
              <w:jc w:val="left"/>
              <w:rPr/>
            </w:pPr>
            <w:r>
              <w:rPr/>
              <w:t>(vi)</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undersigned’s affiliates or to any investment fund or other entity controlled or managed by the undersigned;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712"/>
        <w:gridCol w:w="9085"/>
      </w:tblGrid>
      <w:tr>
        <w:trPr/>
        <w:tc>
          <w:tcPr>
            <w:tcW w:w="408" w:type="dxa"/>
            <w:tcBorders/>
            <w:vAlign w:val="center"/>
          </w:tcPr>
          <w:p>
            <w:pPr>
              <w:pStyle w:val="TableContents"/>
              <w:bidi w:val="0"/>
              <w:spacing w:before="0" w:after="283"/>
              <w:jc w:val="left"/>
              <w:rPr/>
            </w:pPr>
            <w:r>
              <w:rPr/>
              <w:t> </w:t>
            </w:r>
          </w:p>
        </w:tc>
        <w:tc>
          <w:tcPr>
            <w:tcW w:w="712" w:type="dxa"/>
            <w:tcBorders/>
          </w:tcPr>
          <w:p>
            <w:pPr>
              <w:pStyle w:val="TableContents"/>
              <w:bidi w:val="0"/>
              <w:spacing w:before="0" w:after="283"/>
              <w:jc w:val="left"/>
              <w:rPr/>
            </w:pPr>
            <w:r>
              <w:rPr/>
              <w:t>(vii)</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a qualified domestic relations order or in connection with a divorce settlement;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713"/>
        <w:gridCol w:w="9085"/>
      </w:tblGrid>
      <w:tr>
        <w:trPr/>
        <w:tc>
          <w:tcPr>
            <w:tcW w:w="407" w:type="dxa"/>
            <w:tcBorders/>
            <w:vAlign w:val="center"/>
          </w:tcPr>
          <w:p>
            <w:pPr>
              <w:pStyle w:val="TableContents"/>
              <w:bidi w:val="0"/>
              <w:spacing w:before="0" w:after="283"/>
              <w:jc w:val="left"/>
              <w:rPr/>
            </w:pPr>
            <w:r>
              <w:rPr/>
              <w:t> </w:t>
            </w:r>
          </w:p>
        </w:tc>
        <w:tc>
          <w:tcPr>
            <w:tcW w:w="713" w:type="dxa"/>
            <w:tcBorders/>
          </w:tcPr>
          <w:p>
            <w:pPr>
              <w:pStyle w:val="TableContents"/>
              <w:bidi w:val="0"/>
              <w:spacing w:before="0" w:after="283"/>
              <w:jc w:val="left"/>
              <w:rPr/>
            </w:pPr>
            <w:r>
              <w:rPr/>
              <w:t>(viii)</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will or intestate succession upon the death of the undersigned;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714"/>
        <w:gridCol w:w="9083"/>
      </w:tblGrid>
      <w:tr>
        <w:trPr/>
        <w:tc>
          <w:tcPr>
            <w:tcW w:w="408"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(ix)</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Company in satisfaction of any tax withholding obligation;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712"/>
        <w:gridCol w:w="9088"/>
      </w:tblGrid>
      <w:tr>
        <w:trPr/>
        <w:tc>
          <w:tcPr>
            <w:tcW w:w="405" w:type="dxa"/>
            <w:tcBorders/>
            <w:vAlign w:val="center"/>
          </w:tcPr>
          <w:p>
            <w:pPr>
              <w:pStyle w:val="TableContents"/>
              <w:bidi w:val="0"/>
              <w:spacing w:before="0" w:after="283"/>
              <w:jc w:val="left"/>
              <w:rPr/>
            </w:pPr>
            <w:r>
              <w:rPr/>
              <w:t> </w:t>
            </w:r>
          </w:p>
        </w:tc>
        <w:tc>
          <w:tcPr>
            <w:tcW w:w="712" w:type="dxa"/>
            <w:tcBorders/>
          </w:tcPr>
          <w:p>
            <w:pPr>
              <w:pStyle w:val="TableContents"/>
              <w:bidi w:val="0"/>
              <w:spacing w:before="0" w:after="283"/>
              <w:jc w:val="left"/>
              <w:rPr/>
            </w:pPr>
            <w:r>
              <w:rPr/>
              <w:t>(x)</w:t>
            </w:r>
          </w:p>
        </w:tc>
        <w:tc>
          <w:tcPr>
            <w:tcW w:w="90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transactions relating to Securities acquired in the Public Offering or in open market transactions after the completion of the Public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Furthermore, no provision in this letter shall be deemed to restrict or prohibit (1) the transfer of the undersigned’s Lock-Up Securities to the Company in connection with the termination of the undersigned’s services to the Company, provided that any filing under Section 16 of the Exchange Act made in connection with such transfer shall clearly indicate in the footnotes thereto that the filing relates to the circumstances described in this clause (1); (2) the exercise or exchange by the undersigned of any option or warrant to acquire any shares of Common Stock or options to purchase shares of Common Stock, or the settlement of restricted stock units, in each case for cash or on a “cashless” or “net exercise” basis, pursuant to any stock option, stock bonus or other stock plan or arrangement; provided, however, that the underlying shares of Common Stock shall continue to be subject to the restrictions on transfer set forth in this letter and that any filing under Section 16 of the Exchange Act made in connection with such exercise or exchange shall clearly indicate in the footnotes thereto that (a) the filing relates to the circumstances described in this clause (2) and (b) no shares were sold by the reporting person; (3) the transfer of Lock-Up Securities upon the completion of a bona fide third-party tender offer, merger, consolidation or other similar transaction made to all holders of the Company’s securities involving a change of control of the Company; provided, however, that in the event that such tender offer, merger, consolidation or other such transaction is not completed, such securities held by the undersigned shall remain subject to the restrictions on transfer set forth in this letter; and (4) the conversion of outstanding preferred stock of the Company into shares of Common Stock, provided that any such shares received upon such conversion shall be subject to the restrictions on transfer set forth in this letter. </w:t>
      </w:r>
    </w:p>
    <w:p>
      <w:pPr>
        <w:pStyle w:val="TextBody"/>
        <w:bidi w:val="0"/>
        <w:spacing w:before="240" w:after="0"/>
        <w:jc w:val="left"/>
        <w:rPr>
          <w:rFonts w:ascii="Times New Roman" w:hAnsi="Times New Roman"/>
          <w:sz w:val="20"/>
        </w:rPr>
      </w:pPr>
      <w:r>
        <w:rPr>
          <w:rFonts w:ascii="Times New Roman" w:hAnsi="Times New Roman"/>
          <w:sz w:val="20"/>
        </w:rPr>
        <w:t>Notwithstanding anything herein to the contrary, nothing herein shall prevent the undersigned from establishing a 10b5-1 trading plan that complies with Rule 10b5-1 under the Exchange Act (“</w:t>
      </w:r>
      <w:r>
        <w:rPr>
          <w:rFonts w:ascii="Times New Roman" w:hAnsi="Times New Roman"/>
          <w:sz w:val="20"/>
          <w:u w:val="single"/>
        </w:rPr>
        <w:t>10b5-1 Trading Plan</w:t>
      </w:r>
      <w:r>
        <w:rPr>
          <w:rFonts w:ascii="Times New Roman" w:hAnsi="Times New Roman"/>
          <w:sz w:val="20"/>
        </w:rPr>
        <w:t xml:space="preserve">”) or from amending an existing 10b5-1 Trading Plan so long as there are no sales of Lock-Up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Securities under any such 10b5-1 Trading Plan during the Lock-Up Period; provided, however, that any public announcement or filing under the Exchange Act regarding the establishment or amendment of such 10b5-1 Trading Plan shall clearly disclose that no shares of Common Stock shall be disposed by such plan during the duration of the Lock-Up Period. </w:t>
      </w:r>
    </w:p>
    <w:p>
      <w:pPr>
        <w:pStyle w:val="TextBody"/>
        <w:bidi w:val="0"/>
        <w:spacing w:before="240" w:after="0"/>
        <w:jc w:val="left"/>
        <w:rPr>
          <w:rFonts w:ascii="Times New Roman" w:hAnsi="Times New Roman"/>
          <w:sz w:val="20"/>
        </w:rPr>
      </w:pPr>
      <w:r>
        <w:rPr>
          <w:rFonts w:ascii="Times New Roman" w:hAnsi="Times New Roman"/>
          <w:sz w:val="20"/>
        </w:rPr>
        <w:t xml:space="preserve">This letter may be delivered via facsimile, electronic mail (including pdf or any electronic signature complying with the U.S. federal ESIGN Act of 2000) or other transmission method and any counterpart so delivered shall be deemed to have been duly and validly delivered and be valid and effective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also agrees and consents to the entry of stop transfer instructions with the Company’s transfer agent and registrar against the transfer of the Lock-Up Securities except in compliance with the foregoing restrictions. This lock-up agreement shall automatically terminate, and the undersigned shall be released from the undersigned’s obligations hereunder, upon the earliest to occur, if any, of (i) prior to the execution of the Underwriting Agreement, the Company advises Leerink Partners in writing that it has determined not to proceed with the Public Offering; (ii) the Underwriting Agreement is executed but is terminated prior to the closing of the Public Offering (other than the provisions thereof which survive termination), or (iii) October 31, 2025, in the event that the Underwriting Agreement has not been executed by such date.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shall be governed by, and construed in accordance with, the laws of the State of New York.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r>
        <w:br w:type="page"/>
      </w:r>
    </w:p>
    <w:p>
      <w:pPr>
        <w:pStyle w:val="HorizontalLine"/>
        <w:pBdr>
          <w:bottom w:val="double" w:sz="6" w:space="0" w:color="808080"/>
        </w:pBdr>
        <w:bidi w:val="0"/>
        <w:jc w:val="left"/>
        <w:rPr/>
      </w:pPr>
      <w:r>
        <w:rPr/>
      </w:r>
    </w:p>
    <w:tbl>
      <w:tblPr>
        <w:tblW w:w="4280" w:type="dxa"/>
        <w:jc w:val="right"/>
        <w:tblInd w:w="0" w:type="dxa"/>
        <w:tblLayout w:type="fixed"/>
        <w:tblCellMar>
          <w:top w:w="0" w:type="dxa"/>
          <w:left w:w="0" w:type="dxa"/>
          <w:bottom w:w="0" w:type="dxa"/>
          <w:right w:w="0" w:type="dxa"/>
        </w:tblCellMar>
      </w:tblPr>
      <w:tblGrid>
        <w:gridCol w:w="4280"/>
      </w:tblGrid>
      <w:tr>
        <w:trPr/>
        <w:tc>
          <w:tcPr>
            <w:tcW w:w="4280" w:type="dxa"/>
            <w:tcBorders/>
            <w:vAlign w:val="center"/>
          </w:tcPr>
          <w:p>
            <w:pPr>
              <w:pStyle w:val="TableContents"/>
              <w:bidi w:val="0"/>
              <w:spacing w:before="0" w:after="283"/>
              <w:jc w:val="left"/>
              <w:rPr>
                <w:sz w:val="4"/>
                <w:szCs w:val="4"/>
              </w:rPr>
            </w:pPr>
            <w:r>
              <w:rPr>
                <w:sz w:val="4"/>
                <w:szCs w:val="4"/>
              </w:rPr>
            </w:r>
          </w:p>
        </w:tc>
      </w:tr>
      <w:tr>
        <w:trPr/>
        <w:tc>
          <w:tcPr>
            <w:tcW w:w="4280" w:type="dxa"/>
            <w:tcBorders/>
          </w:tcPr>
          <w:p>
            <w:pPr>
              <w:pStyle w:val="TableContents"/>
              <w:bidi w:val="0"/>
              <w:spacing w:before="0" w:after="283"/>
              <w:jc w:val="left"/>
              <w:rPr/>
            </w:pPr>
            <w:r>
              <w:rPr/>
              <w:t>Very truly yours,</w:t>
            </w:r>
          </w:p>
        </w:tc>
      </w:tr>
      <w:tr>
        <w:trPr>
          <w:trHeight w:val="240" w:hRule="atLeast"/>
        </w:trPr>
        <w:tc>
          <w:tcPr>
            <w:tcW w:w="4280" w:type="dxa"/>
            <w:tcBorders/>
            <w:vAlign w:val="center"/>
          </w:tcPr>
          <w:p>
            <w:pPr>
              <w:pStyle w:val="TableContents"/>
              <w:bidi w:val="0"/>
              <w:spacing w:before="0" w:after="283"/>
              <w:jc w:val="left"/>
              <w:rPr>
                <w:sz w:val="4"/>
                <w:szCs w:val="4"/>
              </w:rPr>
            </w:pPr>
            <w:r>
              <w:rPr>
                <w:sz w:val="4"/>
                <w:szCs w:val="4"/>
              </w:rPr>
            </w:r>
          </w:p>
        </w:tc>
      </w:tr>
      <w:tr>
        <w:trPr/>
        <w:tc>
          <w:tcPr>
            <w:tcW w:w="4280" w:type="dxa"/>
            <w:tcBorders/>
          </w:tcPr>
          <w:p>
            <w:pPr>
              <w:pStyle w:val="TableContents"/>
              <w:pBdr>
                <w:bottom w:val="single" w:sz="2" w:space="1" w:color="000000"/>
              </w:pBdr>
              <w:bidi w:val="0"/>
              <w:spacing w:before="0" w:after="20"/>
              <w:jc w:val="left"/>
              <w:rPr/>
            </w:pPr>
            <w:r>
              <w:rPr/>
              <w:t> </w:t>
            </w:r>
          </w:p>
        </w:tc>
      </w:tr>
      <w:tr>
        <w:trPr/>
        <w:tc>
          <w:tcPr>
            <w:tcW w:w="4280" w:type="dxa"/>
            <w:tcBorders/>
          </w:tcPr>
          <w:p>
            <w:pPr>
              <w:pStyle w:val="TableContents"/>
              <w:bidi w:val="0"/>
              <w:spacing w:before="0" w:after="283"/>
              <w:jc w:val="left"/>
              <w:rPr/>
            </w:pPr>
            <w:r>
              <w:rPr/>
              <w:t xml:space="preserve">Name of Security Holder </w:t>
            </w:r>
            <w:r>
              <w:rPr>
                <w:i/>
              </w:rPr>
              <w:t>(Print exact name)</w:t>
            </w:r>
          </w:p>
        </w:tc>
      </w:tr>
      <w:tr>
        <w:trPr>
          <w:trHeight w:val="240" w:hRule="atLeast"/>
        </w:trPr>
        <w:tc>
          <w:tcPr>
            <w:tcW w:w="4280" w:type="dxa"/>
            <w:tcBorders/>
            <w:vAlign w:val="center"/>
          </w:tcPr>
          <w:p>
            <w:pPr>
              <w:pStyle w:val="TableContents"/>
              <w:bidi w:val="0"/>
              <w:spacing w:before="0" w:after="283"/>
              <w:jc w:val="left"/>
              <w:rPr>
                <w:sz w:val="4"/>
                <w:szCs w:val="4"/>
              </w:rPr>
            </w:pPr>
            <w:r>
              <w:rPr>
                <w:sz w:val="4"/>
                <w:szCs w:val="4"/>
              </w:rPr>
            </w:r>
          </w:p>
        </w:tc>
      </w:tr>
      <w:tr>
        <w:trPr/>
        <w:tc>
          <w:tcPr>
            <w:tcW w:w="4280"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By:________________________________________</w:t>
            </w:r>
          </w:p>
        </w:tc>
      </w:tr>
      <w:tr>
        <w:trPr/>
        <w:tc>
          <w:tcPr>
            <w:tcW w:w="4280" w:type="dxa"/>
            <w:tcBorders/>
          </w:tcPr>
          <w:p>
            <w:pPr>
              <w:pStyle w:val="TableContents"/>
              <w:bidi w:val="0"/>
              <w:spacing w:before="0" w:after="0"/>
              <w:jc w:val="left"/>
              <w:rPr/>
            </w:pPr>
            <w:r>
              <w:rPr/>
              <w:t>  </w:t>
            </w:r>
            <w:r>
              <w:rPr>
                <w:rFonts w:ascii="Times New Roman" w:hAnsi="Times New Roman"/>
                <w:sz w:val="20"/>
              </w:rPr>
              <w:t>Signature</w:t>
            </w:r>
          </w:p>
        </w:tc>
      </w:tr>
      <w:tr>
        <w:trPr>
          <w:trHeight w:val="480" w:hRule="atLeast"/>
        </w:trPr>
        <w:tc>
          <w:tcPr>
            <w:tcW w:w="4280" w:type="dxa"/>
            <w:tcBorders/>
            <w:vAlign w:val="center"/>
          </w:tcPr>
          <w:p>
            <w:pPr>
              <w:pStyle w:val="TableContents"/>
              <w:bidi w:val="0"/>
              <w:spacing w:before="0" w:after="283"/>
              <w:jc w:val="left"/>
              <w:rPr>
                <w:sz w:val="4"/>
                <w:szCs w:val="4"/>
              </w:rPr>
            </w:pPr>
            <w:r>
              <w:rPr>
                <w:sz w:val="4"/>
                <w:szCs w:val="4"/>
              </w:rPr>
            </w:r>
          </w:p>
        </w:tc>
      </w:tr>
      <w:tr>
        <w:trPr/>
        <w:tc>
          <w:tcPr>
            <w:tcW w:w="4280" w:type="dxa"/>
            <w:tcBorders/>
          </w:tcPr>
          <w:p>
            <w:pPr>
              <w:pStyle w:val="TableContents"/>
              <w:bidi w:val="0"/>
              <w:spacing w:before="0" w:after="283"/>
              <w:jc w:val="left"/>
              <w:rPr/>
            </w:pPr>
            <w:r>
              <w:rPr/>
              <w:t>If not signing in an individual capacity:</w:t>
            </w:r>
          </w:p>
        </w:tc>
      </w:tr>
      <w:tr>
        <w:trPr>
          <w:trHeight w:val="240" w:hRule="atLeast"/>
        </w:trPr>
        <w:tc>
          <w:tcPr>
            <w:tcW w:w="4280" w:type="dxa"/>
            <w:tcBorders/>
            <w:vAlign w:val="center"/>
          </w:tcPr>
          <w:p>
            <w:pPr>
              <w:pStyle w:val="TableContents"/>
              <w:bidi w:val="0"/>
              <w:spacing w:before="0" w:after="283"/>
              <w:jc w:val="left"/>
              <w:rPr>
                <w:sz w:val="4"/>
                <w:szCs w:val="4"/>
              </w:rPr>
            </w:pPr>
            <w:r>
              <w:rPr>
                <w:sz w:val="4"/>
                <w:szCs w:val="4"/>
              </w:rPr>
            </w:r>
          </w:p>
        </w:tc>
      </w:tr>
      <w:tr>
        <w:trPr/>
        <w:tc>
          <w:tcPr>
            <w:tcW w:w="4280" w:type="dxa"/>
            <w:tcBorders/>
          </w:tcPr>
          <w:p>
            <w:pPr>
              <w:pStyle w:val="TableContents"/>
              <w:pBdr>
                <w:bottom w:val="single" w:sz="2" w:space="1" w:color="000000"/>
              </w:pBdr>
              <w:bidi w:val="0"/>
              <w:spacing w:before="0" w:after="20"/>
              <w:jc w:val="left"/>
              <w:rPr/>
            </w:pPr>
            <w:r>
              <w:rPr/>
              <w:t> </w:t>
            </w:r>
          </w:p>
        </w:tc>
      </w:tr>
      <w:tr>
        <w:trPr/>
        <w:tc>
          <w:tcPr>
            <w:tcW w:w="4280" w:type="dxa"/>
            <w:tcBorders/>
          </w:tcPr>
          <w:p>
            <w:pPr>
              <w:pStyle w:val="TableContents"/>
              <w:bidi w:val="0"/>
              <w:spacing w:before="0" w:after="283"/>
              <w:jc w:val="left"/>
              <w:rPr/>
            </w:pPr>
            <w:r>
              <w:rPr/>
              <w:t xml:space="preserve">Name of Authorized Signatory </w:t>
            </w:r>
            <w:r>
              <w:rPr>
                <w:i/>
              </w:rPr>
              <w:t>(Print</w:t>
            </w:r>
            <w:r>
              <w:rPr/>
              <w:t>)</w:t>
            </w:r>
          </w:p>
        </w:tc>
      </w:tr>
      <w:tr>
        <w:trPr>
          <w:trHeight w:val="240" w:hRule="atLeast"/>
        </w:trPr>
        <w:tc>
          <w:tcPr>
            <w:tcW w:w="4280" w:type="dxa"/>
            <w:tcBorders/>
            <w:vAlign w:val="center"/>
          </w:tcPr>
          <w:p>
            <w:pPr>
              <w:pStyle w:val="TableContents"/>
              <w:bidi w:val="0"/>
              <w:spacing w:before="0" w:after="283"/>
              <w:jc w:val="left"/>
              <w:rPr>
                <w:sz w:val="4"/>
                <w:szCs w:val="4"/>
              </w:rPr>
            </w:pPr>
            <w:r>
              <w:rPr>
                <w:sz w:val="4"/>
                <w:szCs w:val="4"/>
              </w:rPr>
            </w:r>
          </w:p>
        </w:tc>
      </w:tr>
      <w:tr>
        <w:trPr/>
        <w:tc>
          <w:tcPr>
            <w:tcW w:w="4280" w:type="dxa"/>
            <w:tcBorders/>
          </w:tcPr>
          <w:p>
            <w:pPr>
              <w:pStyle w:val="TableContents"/>
              <w:pBdr>
                <w:bottom w:val="single" w:sz="2" w:space="1" w:color="000000"/>
              </w:pBdr>
              <w:bidi w:val="0"/>
              <w:spacing w:before="0" w:after="20"/>
              <w:jc w:val="left"/>
              <w:rPr/>
            </w:pPr>
            <w:r>
              <w:rPr/>
              <w:t> </w:t>
            </w:r>
          </w:p>
        </w:tc>
      </w:tr>
      <w:tr>
        <w:trPr/>
        <w:tc>
          <w:tcPr>
            <w:tcW w:w="4280" w:type="dxa"/>
            <w:tcBorders/>
          </w:tcPr>
          <w:p>
            <w:pPr>
              <w:pStyle w:val="TableContents"/>
              <w:bidi w:val="0"/>
              <w:spacing w:before="0" w:after="283"/>
              <w:jc w:val="left"/>
              <w:rPr/>
            </w:pPr>
            <w:r>
              <w:rPr/>
              <w:t xml:space="preserve">Title of Authorized Signatory </w:t>
            </w:r>
            <w:r>
              <w:rPr>
                <w:i/>
              </w:rPr>
              <w:t>(Print</w:t>
            </w:r>
            <w:r>
              <w:rPr/>
              <w:t>)</w:t>
            </w:r>
          </w:p>
        </w:tc>
      </w:tr>
      <w:tr>
        <w:trPr>
          <w:trHeight w:val="240" w:hRule="atLeast"/>
        </w:trPr>
        <w:tc>
          <w:tcPr>
            <w:tcW w:w="4280" w:type="dxa"/>
            <w:tcBorders/>
            <w:vAlign w:val="center"/>
          </w:tcPr>
          <w:p>
            <w:pPr>
              <w:pStyle w:val="TableContents"/>
              <w:bidi w:val="0"/>
              <w:spacing w:before="0" w:after="283"/>
              <w:jc w:val="left"/>
              <w:rPr>
                <w:sz w:val="4"/>
                <w:szCs w:val="4"/>
              </w:rPr>
            </w:pPr>
            <w:r>
              <w:rPr>
                <w:sz w:val="4"/>
                <w:szCs w:val="4"/>
              </w:rPr>
            </w:r>
          </w:p>
        </w:tc>
      </w:tr>
      <w:tr>
        <w:trPr/>
        <w:tc>
          <w:tcPr>
            <w:tcW w:w="4280" w:type="dxa"/>
            <w:tcBorders/>
          </w:tcPr>
          <w:p>
            <w:pPr>
              <w:pStyle w:val="TableContents"/>
              <w:bidi w:val="0"/>
              <w:spacing w:before="0" w:after="283"/>
              <w:jc w:val="left"/>
              <w:rPr>
                <w:i/>
              </w:rPr>
            </w:pPr>
            <w:r>
              <w:rPr>
                <w:i/>
              </w:rPr>
              <w:t>(indicate capacity of person signing if signing as custodian, trustee, or on behalf of an entity)</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Exhibit B </w:t>
      </w:r>
    </w:p>
    <w:p>
      <w:pPr>
        <w:pStyle w:val="TextBody"/>
        <w:bidi w:val="0"/>
        <w:spacing w:before="240" w:after="0"/>
        <w:jc w:val="center"/>
        <w:rPr>
          <w:rFonts w:ascii="Times New Roman" w:hAnsi="Times New Roman"/>
          <w:sz w:val="20"/>
        </w:rPr>
      </w:pPr>
      <w:r>
        <w:rPr>
          <w:rFonts w:ascii="Times New Roman" w:hAnsi="Times New Roman"/>
          <w:sz w:val="20"/>
        </w:rPr>
        <w:t xml:space="preserve">LOCK-UP SIGNATORIES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Alexis Borisy </w:t>
            </w:r>
          </w:p>
        </w:tc>
      </w:tr>
    </w:tbl>
    <w:tbl>
      <w:tblPr>
        <w:tblW w:w="5000" w:type="pct"/>
        <w:jc w:val="left"/>
        <w:tblInd w:w="0" w:type="dxa"/>
        <w:tblLayout w:type="fixed"/>
        <w:tblCellMar>
          <w:top w:w="0" w:type="dxa"/>
          <w:left w:w="0" w:type="dxa"/>
          <w:bottom w:w="0" w:type="dxa"/>
          <w:right w:w="0" w:type="dxa"/>
        </w:tblCellMar>
      </w:tblPr>
      <w:tblGrid>
        <w:gridCol w:w="408"/>
        <w:gridCol w:w="507"/>
        <w:gridCol w:w="9290"/>
      </w:tblGrid>
      <w:tr>
        <w:trPr/>
        <w:tc>
          <w:tcPr>
            <w:tcW w:w="408"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Adam Crystal </w:t>
            </w:r>
          </w:p>
        </w:tc>
      </w:tr>
    </w:tbl>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Barbara Weber </w:t>
            </w:r>
          </w:p>
        </w:tc>
      </w:tr>
    </w:tbl>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Daniella Beckman </w:t>
            </w:r>
          </w:p>
        </w:tc>
      </w:tr>
    </w:tbl>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Kanishka Pothula </w:t>
            </w:r>
          </w:p>
        </w:tc>
      </w:tr>
    </w:tbl>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Lesley Calhoun </w:t>
            </w:r>
          </w:p>
        </w:tc>
      </w:tr>
    </w:tbl>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Malte Peters </w:t>
            </w:r>
          </w:p>
        </w:tc>
      </w:tr>
    </w:tbl>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Mace Rothenberg </w:t>
            </w:r>
          </w:p>
        </w:tc>
      </w:tr>
    </w:tbl>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9.</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John Ketchum </w:t>
            </w:r>
          </w:p>
        </w:tc>
      </w:tr>
    </w:tbl>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10.</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Nextech Crossover I SCP </w:t>
            </w:r>
          </w:p>
        </w:tc>
      </w:tr>
    </w:tbl>
    <w:p>
      <w:pPr>
        <w:pStyle w:val="TextBody"/>
        <w:bidi w:val="0"/>
        <w:spacing w:before="0" w:after="0"/>
        <w:jc w:val="right"/>
        <w:rPr>
          <w:rFonts w:ascii="Times New Roman" w:hAnsi="Times New Roman"/>
          <w:b/>
          <w:sz w:val="20"/>
        </w:rPr>
      </w:pPr>
      <w:bookmarkStart w:id="4" w:name="d80580dex41.htm"/>
      <w:bookmarkStart w:id="5" w:name="ksd80580dex41"/>
      <w:bookmarkEnd w:id="4"/>
      <w:bookmarkEnd w:id="5"/>
      <w:r>
        <w:rPr>
          <w:rFonts w:ascii="Times New Roman" w:hAnsi="Times New Roman"/>
          <w:b/>
          <w:sz w:val="20"/>
        </w:rPr>
        <w:t xml:space="preserve">Exhibit 4.1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TANGO THERAPEUTICS, INC.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PRE-FUNDED WARRANT TO PURCHASE COMMON STOCK </w:t>
      </w:r>
    </w:p>
    <w:p>
      <w:pPr>
        <w:pStyle w:val="TextBody"/>
        <w:bidi w:val="0"/>
        <w:spacing w:before="240" w:after="0"/>
        <w:jc w:val="right"/>
        <w:rPr>
          <w:rFonts w:ascii="Times New Roman" w:hAnsi="Times New Roman"/>
          <w:sz w:val="20"/>
        </w:rPr>
      </w:pPr>
      <w:r>
        <w:rPr>
          <w:rFonts w:ascii="Times New Roman" w:hAnsi="Times New Roman"/>
          <w:sz w:val="20"/>
        </w:rPr>
        <w:t xml:space="preserve">Number of Shares: [ ] </w:t>
      </w:r>
    </w:p>
    <w:p>
      <w:pPr>
        <w:pStyle w:val="TextBody"/>
        <w:bidi w:val="0"/>
        <w:spacing w:before="0" w:after="0"/>
        <w:jc w:val="right"/>
        <w:rPr>
          <w:rFonts w:ascii="Times New Roman" w:hAnsi="Times New Roman"/>
          <w:sz w:val="20"/>
        </w:rPr>
      </w:pPr>
      <w:r>
        <w:rPr>
          <w:rFonts w:ascii="Times New Roman" w:hAnsi="Times New Roman"/>
          <w:sz w:val="20"/>
        </w:rPr>
        <w:t xml:space="preserve">(subject to adjustment) </w:t>
      </w:r>
    </w:p>
    <w:p>
      <w:pPr>
        <w:pStyle w:val="TextBody"/>
        <w:bidi w:val="0"/>
        <w:spacing w:before="240" w:after="0"/>
        <w:jc w:val="left"/>
        <w:rPr>
          <w:rFonts w:ascii="Times New Roman" w:hAnsi="Times New Roman"/>
          <w:sz w:val="20"/>
        </w:rPr>
      </w:pPr>
      <w:r>
        <w:rPr>
          <w:rFonts w:ascii="Times New Roman" w:hAnsi="Times New Roman"/>
          <w:sz w:val="20"/>
        </w:rPr>
        <w:t xml:space="preserve">Warrant No. </w:t>
      </w:r>
    </w:p>
    <w:p>
      <w:pPr>
        <w:pStyle w:val="TextBody"/>
        <w:bidi w:val="0"/>
        <w:spacing w:before="240" w:after="0"/>
        <w:jc w:val="right"/>
        <w:rPr>
          <w:rFonts w:ascii="Times New Roman" w:hAnsi="Times New Roman"/>
          <w:sz w:val="20"/>
        </w:rPr>
      </w:pPr>
      <w:r>
        <w:rPr>
          <w:rFonts w:ascii="Times New Roman" w:hAnsi="Times New Roman"/>
          <w:sz w:val="20"/>
        </w:rPr>
        <w:t xml:space="preserve">Original Issue Date: [ ], 2025 </w:t>
      </w:r>
    </w:p>
    <w:p>
      <w:pPr>
        <w:pStyle w:val="TextBody"/>
        <w:bidi w:val="0"/>
        <w:spacing w:before="240" w:after="0"/>
        <w:jc w:val="left"/>
        <w:rPr>
          <w:rFonts w:ascii="Times New Roman" w:hAnsi="Times New Roman"/>
          <w:sz w:val="20"/>
        </w:rPr>
      </w:pPr>
      <w:r>
        <w:rPr>
          <w:rFonts w:ascii="Times New Roman" w:hAnsi="Times New Roman"/>
          <w:sz w:val="20"/>
        </w:rPr>
        <w:t>Tango Therapeutics, Inc. , a Delaware corporation (the “</w:t>
      </w:r>
      <w:r>
        <w:rPr>
          <w:rFonts w:ascii="Times New Roman" w:hAnsi="Times New Roman"/>
          <w:i/>
          <w:sz w:val="20"/>
        </w:rPr>
        <w:t>Company</w:t>
      </w:r>
      <w:r>
        <w:rPr>
          <w:rFonts w:ascii="Times New Roman" w:hAnsi="Times New Roman"/>
          <w:sz w:val="20"/>
        </w:rPr>
        <w:t>”), hereby certifies that, for good and valuable consideration, the receipt and sufficiency of which are hereby acknowledged, [  ] or its registered assigns (the “</w:t>
      </w:r>
      <w:r>
        <w:rPr>
          <w:rFonts w:ascii="Times New Roman" w:hAnsi="Times New Roman"/>
          <w:i/>
          <w:sz w:val="20"/>
        </w:rPr>
        <w:t>Holder</w:t>
      </w:r>
      <w:r>
        <w:rPr>
          <w:rFonts w:ascii="Times New Roman" w:hAnsi="Times New Roman"/>
          <w:sz w:val="20"/>
        </w:rPr>
        <w:t>”), is entitled, subject to the terms set forth below, to purchase from the Company up to a total of [  ] shares of common stock, $0.001 par value per share (the “</w:t>
      </w:r>
      <w:r>
        <w:rPr>
          <w:rFonts w:ascii="Times New Roman" w:hAnsi="Times New Roman"/>
          <w:i/>
          <w:sz w:val="20"/>
        </w:rPr>
        <w:t>Common Stock</w:t>
      </w:r>
      <w:r>
        <w:rPr>
          <w:rFonts w:ascii="Times New Roman" w:hAnsi="Times New Roman"/>
          <w:sz w:val="20"/>
        </w:rPr>
        <w:t>”), of the Company (each such share, a “</w:t>
      </w:r>
      <w:r>
        <w:rPr>
          <w:rFonts w:ascii="Times New Roman" w:hAnsi="Times New Roman"/>
          <w:i/>
          <w:sz w:val="20"/>
        </w:rPr>
        <w:t>Warrant Share</w:t>
      </w:r>
      <w:r>
        <w:rPr>
          <w:rFonts w:ascii="Times New Roman" w:hAnsi="Times New Roman"/>
          <w:sz w:val="20"/>
        </w:rPr>
        <w:t>” and all such shares, the “</w:t>
      </w:r>
      <w:r>
        <w:rPr>
          <w:rFonts w:ascii="Times New Roman" w:hAnsi="Times New Roman"/>
          <w:i/>
          <w:sz w:val="20"/>
        </w:rPr>
        <w:t>Warrant Shares</w:t>
      </w:r>
      <w:r>
        <w:rPr>
          <w:rFonts w:ascii="Times New Roman" w:hAnsi="Times New Roman"/>
          <w:sz w:val="20"/>
        </w:rPr>
        <w:t xml:space="preserve">”) at an exercise price per share equal to $0.001 per share (as adjusted from time to time as provided in </w:t>
      </w:r>
      <w:r>
        <w:rPr>
          <w:rFonts w:ascii="Times New Roman" w:hAnsi="Times New Roman"/>
          <w:sz w:val="20"/>
          <w:u w:val="single"/>
        </w:rPr>
        <w:t>Section 9</w:t>
      </w:r>
      <w:r>
        <w:rPr>
          <w:rFonts w:ascii="Times New Roman" w:hAnsi="Times New Roman"/>
          <w:sz w:val="20"/>
        </w:rPr>
        <w:t xml:space="preserve"> herein, the “</w:t>
      </w:r>
      <w:r>
        <w:rPr>
          <w:rFonts w:ascii="Times New Roman" w:hAnsi="Times New Roman"/>
          <w:i/>
          <w:sz w:val="20"/>
        </w:rPr>
        <w:t>Exercise Price</w:t>
      </w:r>
      <w:r>
        <w:rPr>
          <w:rFonts w:ascii="Times New Roman" w:hAnsi="Times New Roman"/>
          <w:sz w:val="20"/>
        </w:rPr>
        <w:t xml:space="preserve">”), upon surrender of this </w:t>
      </w:r>
      <w:r>
        <w:rPr>
          <w:rFonts w:ascii="Times New Roman" w:hAnsi="Times New Roman"/>
          <w:i/>
          <w:sz w:val="20"/>
        </w:rPr>
        <w:t>Warrant to Purchase Common Stock</w:t>
      </w:r>
      <w:r>
        <w:rPr>
          <w:rFonts w:ascii="Times New Roman" w:hAnsi="Times New Roman"/>
          <w:sz w:val="20"/>
        </w:rPr>
        <w:t xml:space="preserve"> (including any </w:t>
      </w:r>
      <w:r>
        <w:rPr>
          <w:rFonts w:ascii="Times New Roman" w:hAnsi="Times New Roman"/>
          <w:i/>
          <w:sz w:val="20"/>
        </w:rPr>
        <w:t>Warrants to Purchase Common Stock</w:t>
      </w:r>
      <w:r>
        <w:rPr>
          <w:rFonts w:ascii="Times New Roman" w:hAnsi="Times New Roman"/>
          <w:sz w:val="20"/>
        </w:rPr>
        <w:t xml:space="preserve"> issued in exchange, transfer or replacement hereof, the “</w:t>
      </w:r>
      <w:r>
        <w:rPr>
          <w:rFonts w:ascii="Times New Roman" w:hAnsi="Times New Roman"/>
          <w:i/>
          <w:sz w:val="20"/>
        </w:rPr>
        <w:t>Warrant</w:t>
      </w:r>
      <w:r>
        <w:rPr>
          <w:rFonts w:ascii="Times New Roman" w:hAnsi="Times New Roman"/>
          <w:sz w:val="20"/>
        </w:rPr>
        <w:t>”) at any time and from time to time on or after the date hereof (the “</w:t>
      </w:r>
      <w:r>
        <w:rPr>
          <w:rFonts w:ascii="Times New Roman" w:hAnsi="Times New Roman"/>
          <w:i/>
          <w:sz w:val="20"/>
        </w:rPr>
        <w:t>Original Issue Date</w:t>
      </w:r>
      <w:r>
        <w:rPr>
          <w:rFonts w:ascii="Times New Roman" w:hAnsi="Times New Roman"/>
          <w:sz w:val="20"/>
        </w:rPr>
        <w:t xml:space="preserve">”), subject to the following terms and conditions: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xml:space="preserve">. For purposes of this Warrant, the following terms shall have the following meanings: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i/>
          <w:sz w:val="20"/>
        </w:rPr>
        <w:t>Affiliate</w:t>
      </w:r>
      <w:r>
        <w:rPr>
          <w:rFonts w:ascii="Times New Roman" w:hAnsi="Times New Roman"/>
          <w:sz w:val="20"/>
        </w:rPr>
        <w:t xml:space="preserve">” means any Person directly or indirectly controlled by, controlling or under common control with, a Holder, but only for so long as such control shall continue. For purposes of this definition, “control” (including, with correlative meanings, “controlled by”, “controlling” and “under common control with”) means, with respect to a Person, possession, direct or indirect, of (a) the power to direct or cause direction of the management and policies of such Person (whether through ownership of securities or partnership or other ownership interests, by contract or otherwise), or (b) at least 50% of the voting securities (whether directly or pursuant to any option, warrant or other similar arrangement) or other comparable equity interests.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i/>
          <w:sz w:val="20"/>
        </w:rPr>
        <w:t>Commission</w:t>
      </w:r>
      <w:r>
        <w:rPr>
          <w:rFonts w:ascii="Times New Roman" w:hAnsi="Times New Roman"/>
          <w:sz w:val="20"/>
        </w:rPr>
        <w:t xml:space="preserve">” means the United States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i/>
          <w:sz w:val="20"/>
        </w:rPr>
        <w:t>Closing Sale Price</w:t>
      </w:r>
      <w:r>
        <w:rPr>
          <w:rFonts w:ascii="Times New Roman" w:hAnsi="Times New Roman"/>
          <w:sz w:val="20"/>
        </w:rPr>
        <w:t xml:space="preserve">”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i/>
          <w:sz w:val="20"/>
        </w:rPr>
        <w:t>Marketable Securities</w:t>
      </w:r>
      <w:r>
        <w:rPr>
          <w:rFonts w:ascii="Times New Roman" w:hAnsi="Times New Roman"/>
          <w:sz w:val="20"/>
        </w:rPr>
        <w:t>” means securities meeting all of the following requirements: (i) the issuer thereof is then subject to the reporting requirements of Section 13 or Section 15(d) of the Securities Exchange Act of 1934, as amended (the “</w:t>
      </w:r>
      <w:r>
        <w:rPr>
          <w:rFonts w:ascii="Times New Roman" w:hAnsi="Times New Roman"/>
          <w:i/>
          <w:sz w:val="20"/>
        </w:rPr>
        <w:t>Exchange Act</w:t>
      </w:r>
      <w:r>
        <w:rPr>
          <w:rFonts w:ascii="Times New Roman" w:hAnsi="Times New Roman"/>
          <w:sz w:val="20"/>
        </w:rPr>
        <w:t xml:space="preserve">”), and is then current in its filing of all required reports and other information under the Securities Act and the Exchange Act; (ii) the class and series of shares or other security of the issuer that would be received by Holder in connection with the Fundamental Transaction (as defined below) were Holder to exercise this Warrant on or prior to the closing thereof is then traded or quoted on a nationally recognized securities exchange, inter-dealer quotation system or over-the-counter market, and (iii) following the closing of such Fundamental Transaction, the Holder would not be restricted from publicly re-selling all of the issuer’s shares and/or other securities that would be received by the Holder in such Fundamental Transaction were the Holder to exercise or convert this Warrant in full on or prior to the closing of such Fundamental Transaction.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 “</w:t>
      </w:r>
      <w:r>
        <w:rPr>
          <w:rFonts w:ascii="Times New Roman" w:hAnsi="Times New Roman"/>
          <w:i/>
          <w:sz w:val="20"/>
        </w:rPr>
        <w:t>Principal Trading Market</w:t>
      </w:r>
      <w:r>
        <w:rPr>
          <w:rFonts w:ascii="Times New Roman" w:hAnsi="Times New Roman"/>
          <w:sz w:val="20"/>
        </w:rPr>
        <w:t xml:space="preserve">” means the national securities exchange or other trading market on which the Common Stock is primarily listed on and quoted for trading, which, as of the Original Issue Date, shall be the Nasdaq Global Market.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i/>
          <w:sz w:val="20"/>
        </w:rPr>
        <w:t>Registration Statement</w:t>
      </w:r>
      <w:r>
        <w:rPr>
          <w:rFonts w:ascii="Times New Roman" w:hAnsi="Times New Roman"/>
          <w:sz w:val="20"/>
        </w:rPr>
        <w:t xml:space="preserve">” means the Company’s Registration Statement on Form S-3 (File No 333- 87202), as filed with the Commission on May 12, 2025 and declared effective on May 21, 2025.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i/>
          <w:sz w:val="20"/>
        </w:rPr>
        <w:t>Securities Act</w:t>
      </w:r>
      <w:r>
        <w:rPr>
          <w:rFonts w:ascii="Times New Roman" w:hAnsi="Times New Roman"/>
          <w:sz w:val="20"/>
        </w:rPr>
        <w:t xml:space="preserve">” means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i/>
          <w:sz w:val="20"/>
        </w:rPr>
        <w:t>Standard Settlement Period</w:t>
      </w:r>
      <w:r>
        <w:rPr>
          <w:rFonts w:ascii="Times New Roman" w:hAnsi="Times New Roman"/>
          <w:sz w:val="20"/>
        </w:rPr>
        <w:t xml:space="preserve">” means the standard settlement period, expressed in a number of Trading Days, for the Company’s primary trading market or quotation system with respect to the Common Stock that is in effect on the date of delivery of an applicable Exercise Notice, which as of the Original Issue Date is “T+1”.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i/>
          <w:sz w:val="20"/>
        </w:rPr>
        <w:t>Trading Day</w:t>
      </w:r>
      <w:r>
        <w:rPr>
          <w:rFonts w:ascii="Times New Roman" w:hAnsi="Times New Roman"/>
          <w:sz w:val="20"/>
        </w:rPr>
        <w:t xml:space="preserve">” means any weekday on which the Principal Trading Market is normally open for trading. </w:t>
      </w:r>
    </w:p>
    <w:p>
      <w:pPr>
        <w:pStyle w:val="TextBody"/>
        <w:bidi w:val="0"/>
        <w:spacing w:before="240" w:after="0"/>
        <w:jc w:val="left"/>
        <w:rPr>
          <w:rFonts w:ascii="Times New Roman" w:hAnsi="Times New Roman"/>
          <w:sz w:val="20"/>
        </w:rPr>
      </w:pPr>
      <w:r>
        <w:rPr>
          <w:rFonts w:ascii="Times New Roman" w:hAnsi="Times New Roman"/>
          <w:sz w:val="20"/>
        </w:rPr>
        <w:t>(j) “</w:t>
      </w:r>
      <w:r>
        <w:rPr>
          <w:rFonts w:ascii="Times New Roman" w:hAnsi="Times New Roman"/>
          <w:i/>
          <w:sz w:val="20"/>
        </w:rPr>
        <w:t>Transfer Agent</w:t>
      </w:r>
      <w:r>
        <w:rPr>
          <w:rFonts w:ascii="Times New Roman" w:hAnsi="Times New Roman"/>
          <w:sz w:val="20"/>
        </w:rPr>
        <w:t xml:space="preserve">” means Computershare Trust Company, N.A., the Company’s transfer agent and registrar for the Common Stock, and any successor appointed in such capacity.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Issuance of Securities; Registration of Warrants</w:t>
      </w:r>
      <w:r>
        <w:rPr>
          <w:rFonts w:ascii="Times New Roman" w:hAnsi="Times New Roman"/>
          <w:sz w:val="20"/>
        </w:rPr>
        <w:t>. The Warrant, as initially issued by the Company, is offered and sold pursuant to the Registration Statement. As of the Original Issue Date, the Warrant Shares are issuable under the Registration Statement. Accordingly, the Warrant and, assuming issuance pursuant to the Registration Statement or an exchange meeting the requirements of Section 3(a)(9) of the Exchange Act as in effect on the Original Issue Date, the Warrant Shares are not “restricted securities” under Rule 144 promulgated under the Securities Act. The Company shall register ownership of this Warrant, upon records to be maintained by the Company for that purpose (the “</w:t>
      </w:r>
      <w:r>
        <w:rPr>
          <w:rFonts w:ascii="Times New Roman" w:hAnsi="Times New Roman"/>
          <w:i/>
          <w:sz w:val="20"/>
        </w:rPr>
        <w:t>Warrant Register</w:t>
      </w:r>
      <w:r>
        <w:rPr>
          <w:rFonts w:ascii="Times New Roman" w:hAnsi="Times New Roman"/>
          <w:sz w:val="20"/>
        </w:rPr>
        <w:t xml:space="preserve">”),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Registration of Transfers</w:t>
      </w:r>
      <w:r>
        <w:rPr>
          <w:rFonts w:ascii="Times New Roman" w:hAnsi="Times New Roman"/>
          <w:sz w:val="20"/>
        </w:rPr>
        <w:t>. Subject to compliance with all applicable securities laws, the Company shall, or will cause its Transfer Agent to, register the transfer of all or any portion of this Warrant in the Warrant Register, upon surrender of this Warrant, and payment for all applicable transfer taxes (if any). Upon any such registration or transfer, a new warrant to purchase Common Stock in substantially the form of this Warrant (any such new warrant, a “</w:t>
      </w:r>
      <w:r>
        <w:rPr>
          <w:rFonts w:ascii="Times New Roman" w:hAnsi="Times New Roman"/>
          <w:i/>
          <w:sz w:val="20"/>
        </w:rPr>
        <w:t>New Warrant</w:t>
      </w:r>
      <w:r>
        <w:rPr>
          <w:rFonts w:ascii="Times New Roman" w:hAnsi="Times New Roman"/>
          <w:sz w:val="20"/>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 w:hAnsi="Times New Roman"/>
          <w:sz w:val="20"/>
          <w:u w:val="single"/>
        </w:rPr>
        <w:t>Section 3</w:t>
      </w:r>
      <w:r>
        <w:rPr>
          <w:rFonts w:ascii="Times New Roman" w:hAnsi="Times New Roman"/>
          <w:sz w:val="20"/>
        </w:rPr>
        <w:t xml:space="preserve">. Until due presentment for registration of transfer, the Company may treat the registered Holder hereof as the owner and holder for all purposes, and the Company shall not be affected by any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Exercise and Duration of Warrants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All or any part of this Warrant shall be exercisable by the registered Holder in any manner permitted by this Warrant at any time and from time to time on or after the Original Issue Date. </w:t>
      </w:r>
    </w:p>
    <w:p>
      <w:pPr>
        <w:pStyle w:val="TextBody"/>
        <w:bidi w:val="0"/>
        <w:spacing w:before="240" w:after="0"/>
        <w:jc w:val="left"/>
        <w:rPr>
          <w:rFonts w:ascii="Times New Roman" w:hAnsi="Times New Roman"/>
          <w:sz w:val="20"/>
        </w:rPr>
      </w:pPr>
      <w:r>
        <w:rPr>
          <w:rFonts w:ascii="Times New Roman" w:hAnsi="Times New Roman"/>
          <w:sz w:val="20"/>
        </w:rPr>
        <w:t xml:space="preserve">(b) The Holder may exercise this Warrant by delivering to the Company (i) an exercise notice, in the form attached as </w:t>
      </w:r>
      <w:r>
        <w:rPr>
          <w:rFonts w:ascii="Times New Roman" w:hAnsi="Times New Roman"/>
          <w:sz w:val="20"/>
          <w:u w:val="single"/>
        </w:rPr>
        <w:t>Schedule 1</w:t>
      </w:r>
      <w:r>
        <w:rPr>
          <w:rFonts w:ascii="Times New Roman" w:hAnsi="Times New Roman"/>
          <w:sz w:val="20"/>
        </w:rPr>
        <w:t xml:space="preserve"> hereto (the “</w:t>
      </w:r>
      <w:r>
        <w:rPr>
          <w:rFonts w:ascii="Times New Roman" w:hAnsi="Times New Roman"/>
          <w:i/>
          <w:sz w:val="20"/>
        </w:rPr>
        <w:t>Exercise Notice</w:t>
      </w:r>
      <w:r>
        <w:rPr>
          <w:rFonts w:ascii="Times New Roman" w:hAnsi="Times New Roman"/>
          <w:sz w:val="20"/>
        </w:rPr>
        <w:t xml:space="preserve">”), completed and duly signed, and (ii) payment of the Exercise Price for the number of Warrant Shares as to which this Warrant is being exercised (which may take the form of a “cashless exercise” if so indicated in the Exercise Notice pursuant to </w:t>
      </w:r>
      <w:r>
        <w:rPr>
          <w:rFonts w:ascii="Times New Roman" w:hAnsi="Times New Roman"/>
          <w:sz w:val="20"/>
          <w:u w:val="single"/>
        </w:rPr>
        <w:t>Section 10</w:t>
      </w:r>
      <w:r>
        <w:rPr>
          <w:rFonts w:ascii="Times New Roman" w:hAnsi="Times New Roman"/>
          <w:sz w:val="20"/>
        </w:rPr>
        <w:t xml:space="preserve"> below), and the date on which the last of such items is delivered to the Company (as determined in accordance with the notice provisions hereof) is an “</w:t>
      </w:r>
      <w:r>
        <w:rPr>
          <w:rFonts w:ascii="Times New Roman" w:hAnsi="Times New Roman"/>
          <w:i/>
          <w:sz w:val="20"/>
        </w:rPr>
        <w:t>Exercise Date</w:t>
      </w:r>
      <w:r>
        <w:rPr>
          <w:rFonts w:ascii="Times New Roman" w:hAnsi="Times New Roman"/>
          <w:sz w:val="20"/>
        </w:rPr>
        <w:t xml:space="preserve">.”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 The aggregate exercise price of this Warrant, except for the Exercise Price, was pre-funded to the Company on or before the Original Issue Date, and consequently no additional consideration (other than the Exercise Price) shall be required to be paid by the Holder to effect any exercise of this Warrant. The Holder shall not be entitled to the return or refund of all, or any portion, of such pre-funded exercise price under any circumstance or for any reason whatsoever. 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Delivery of Warrant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Upon exercise of this Warrant, the Company shall, or shall cause the Transfer Agent to, promptly (but in no event later than the number of Trading Days comprising the Standard Settlement Period following the Exercise Date), upon the request of the Holder, credit such aggregate number of shares of Common Stock to which the Holder is entitled pursuant to such exercise to the Holder’s or its designee’s balance account with The Depository Trust Company (“</w:t>
      </w:r>
      <w:r>
        <w:rPr>
          <w:rFonts w:ascii="Times New Roman" w:hAnsi="Times New Roman"/>
          <w:i/>
          <w:sz w:val="20"/>
        </w:rPr>
        <w:t>DTC</w:t>
      </w:r>
      <w:r>
        <w:rPr>
          <w:rFonts w:ascii="Times New Roman" w:hAnsi="Times New Roman"/>
          <w:sz w:val="20"/>
        </w:rPr>
        <w:t>”) through its Deposit Withdrawal Agent Commission system, or if the Transfer Agent is not participating in the Fast Automated Securities Transfer Program (the “</w:t>
      </w:r>
      <w:r>
        <w:rPr>
          <w:rFonts w:ascii="Times New Roman" w:hAnsi="Times New Roman"/>
          <w:i/>
          <w:sz w:val="20"/>
        </w:rPr>
        <w:t>FAST Program</w:t>
      </w:r>
      <w:r>
        <w:rPr>
          <w:rFonts w:ascii="Times New Roman" w:hAnsi="Times New Roman"/>
          <w:sz w:val="20"/>
        </w:rPr>
        <w:t xml:space="preserve">”) or if the certificates are required to bear a legend regarding restriction on transferability, issue and dispatch by overnight courier to the address as specified in the Exercise Notice, a certificate, registered in the Company’s share register in the name of the Holder or its designee, for the number of shares of Common Stock to which the Holder is entitled pursuant to such exercise. The Holder, or any natural person or legal entity (each, a “Person”) so designated by the Holder to receive Warrant Shares, shall be deemed to have become the holder of record of such Warrant Shares as of the Exercise Date, irrespective of the date such Warrant Shares are credited to the Holder’s or its designee’s DTC account or the date of delivery of the certificates evidencing such Warrant Shares,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(b) If the Company fails to deliver to the Holder a certificate representing the required number of Warrant Shares in the manner required pursuant to </w:t>
      </w:r>
      <w:r>
        <w:rPr>
          <w:rFonts w:ascii="Times New Roman" w:hAnsi="Times New Roman"/>
          <w:sz w:val="20"/>
          <w:u w:val="single"/>
        </w:rPr>
        <w:t>Section 5(a)</w:t>
      </w:r>
      <w:r>
        <w:rPr>
          <w:rFonts w:ascii="Times New Roman" w:hAnsi="Times New Roman"/>
          <w:sz w:val="20"/>
        </w:rPr>
        <w:t xml:space="preserve"> or fails to credit the Holder’s or its designee’s balance account with DTC for such number of Warrant Shares to which the Holder is entitled within the Standard Settlement Period following the Exercise Date, and if after such Standard Settlement Period and prior to the receipt of such Warrant Shares, the Holder purchases (in an open market transaction or otherwise, provided such purchases shall be made in a commercially reasonable manner at prevailing market prices) shares of Common Stock to deliver in satisfaction of a sale by the Holder of the Warrant Shares which the Holder anticipated receiving upon such exercise (a “</w:t>
      </w:r>
      <w:r>
        <w:rPr>
          <w:rFonts w:ascii="Times New Roman" w:hAnsi="Times New Roman"/>
          <w:i/>
          <w:sz w:val="20"/>
        </w:rPr>
        <w:t>Buy-In</w:t>
      </w:r>
      <w:r>
        <w:rPr>
          <w:rFonts w:ascii="Times New Roman" w:hAnsi="Times New Roman"/>
          <w:sz w:val="20"/>
        </w:rPr>
        <w:t xml:space="preserve">”), then the Company shall, within two (2) Trading Days after the Holder’s request and in the Company’s sole discretion, either (1) pay in cash to the Holder an amount equal to the Holder’s total purchase price (including commercially reasonable brokerage commissions, if any) for the shares of Common Stock so purchased, at which point the Company’s obligation to deliver such certificate (and to issue such Warrant Shares) shall terminate or (2) promptly honor its obligation to deliver to the Holder a certificate or certificates representing such Warrant Shares or credit the Holder’s or its designee’s balance account with DTC for such Warrant Shares and pay cash to the Holder in an amount equal to the excess (if any) of Holder’s total purchase price (including commercially reasonable brokerage commissions, if any) for the shares of Common Stock so purchased in the Buy-In over the product of (A) the number of shares of Common Stock purchased in the Buy-In, times (B) the Closing Sale Price of a share of Common Stock on the Exercise Date. The provisions of this Section 5(b) shall be the only remedy available to the Holder in the event the Company fails to deliver to the Holder the required number of Warrant Shares in the manner required pursuant to Section 5(a) and a Buy-In occurs. </w:t>
      </w:r>
    </w:p>
    <w:p>
      <w:pPr>
        <w:pStyle w:val="TextBody"/>
        <w:bidi w:val="0"/>
        <w:spacing w:before="240" w:after="0"/>
        <w:jc w:val="left"/>
        <w:rPr>
          <w:rFonts w:ascii="Times New Roman" w:hAnsi="Times New Roman"/>
          <w:sz w:val="20"/>
        </w:rPr>
      </w:pPr>
      <w:r>
        <w:rPr>
          <w:rFonts w:ascii="Times New Roman" w:hAnsi="Times New Roman"/>
          <w:sz w:val="20"/>
        </w:rPr>
        <w:t xml:space="preserve">(c) To the extent permitted by law and subject to Section 5(b), the Company’s obligations to issue and deliver Warrant Shares in accordance with and subject to the terms hereof (including the limitations set forth in </w:t>
      </w:r>
      <w:r>
        <w:rPr>
          <w:rFonts w:ascii="Times New Roman" w:hAnsi="Times New Roman"/>
          <w:sz w:val="20"/>
          <w:u w:val="single"/>
        </w:rPr>
        <w:t>Section 11</w:t>
      </w:r>
      <w:r>
        <w:rPr>
          <w:rFonts w:ascii="Times New Roman" w:hAnsi="Times New Roman"/>
          <w:sz w:val="20"/>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Section 5(b), nothing herein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upon exercise of the Warrant as required pursuant to the terms hereof.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Charges, Taxes and Expenses</w:t>
      </w:r>
      <w:r>
        <w:rPr>
          <w:rFonts w:ascii="Times New Roman" w:hAnsi="Times New Roman"/>
          <w:sz w:val="20"/>
        </w:rPr>
        <w:t xml:space="preserve">. Issuance and delivery of certificates for shares of Common Stock upon exercise of this Warrant shall be made without charge to the Holder for any issue or transfer tax, transfer agent fee or other incidental tax or expense (excluding any applicable stamp duties) in respect of the issuance of such certificates, all of which taxes and expenses shall be paid by the Company; </w:t>
      </w:r>
      <w:r>
        <w:rPr>
          <w:rFonts w:ascii="Times New Roman" w:hAnsi="Times New Roman"/>
          <w:i/>
          <w:sz w:val="20"/>
        </w:rPr>
        <w:t>provided, however</w:t>
      </w:r>
      <w:r>
        <w:rPr>
          <w:rFonts w:ascii="Times New Roman" w:hAnsi="Times New Roman"/>
          <w:sz w:val="20"/>
        </w:rPr>
        <w:t xml:space="preserve">, that the Company shall not be required to pay any tax that may be payable in respect of any transfer involved in the registration of any certificates for Warrant Shares or the Warrants in a name other than that of the Holder or an Affiliate thereof. The Holder shall be responsible for all other tax liability that may arise as a result of holding or transferring this Warrant or receiving Warrant Shares upon exercise hereof.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Replacement of Warrant</w:t>
      </w:r>
      <w:r>
        <w:rPr>
          <w:rFonts w:ascii="Times New Roman" w:hAnsi="Times New Roman"/>
          <w:sz w:val="20"/>
        </w:rPr>
        <w:t xml:space="preserve">.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indemnity, if requested by the Company, but without any requirement that a surety bond be procured, provided or posted unless required by a third-party transfer agent. Applicants for a New Warrant under such circumstances shall also comply with such other reasonable regulations and procedures and pay such other reasonable third-party costs as the Company may reasonably prescribe. If a New Warrant is requested as a result of a mutilation of this Warrant, then the Holder shall deliver such mutilated Warrant to the Company as a condition precedent to the Company’s obligation to issue the New Warrant.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Reservation of Warrant Shares</w:t>
      </w:r>
      <w:r>
        <w:rPr>
          <w:rFonts w:ascii="Times New Roman" w:hAnsi="Times New Roman"/>
          <w:sz w:val="20"/>
        </w:rPr>
        <w:t xml:space="preserve">. The Company covenants that it will, at all times while this Warrant is outstanding, reserve and keep available out of 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 w:hAnsi="Times New Roman"/>
          <w:sz w:val="20"/>
          <w:u w:val="single"/>
        </w:rPr>
        <w:t>Section 9</w:t>
      </w:r>
      <w:r>
        <w:rPr>
          <w:rFonts w:ascii="Times New Roman" w:hAnsi="Times New Roman"/>
          <w:sz w:val="20"/>
        </w:rPr>
        <w:t>). The failure of the Company to reserve and keep available out of the aggregate of its authorized but unissued and otherwise unreserved Common Stock a sufficient number of shares of Common Stock to enable it to issue Warrant Shares upon exercise of this Warrant as herein provided is referred to herein as an “</w:t>
      </w:r>
      <w:r>
        <w:rPr>
          <w:rFonts w:ascii="Times New Roman" w:hAnsi="Times New Roman"/>
          <w:i/>
          <w:sz w:val="20"/>
        </w:rPr>
        <w:t>Authorized Share Failure</w:t>
      </w:r>
      <w:r>
        <w:rPr>
          <w:rFonts w:ascii="Times New Roman" w:hAnsi="Times New Roman"/>
          <w:sz w:val="20"/>
        </w:rPr>
        <w:t xml:space="preserve">.”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 In furtherance of the Company’s obligations set forth in this Section 8, as soon as practicable after the date of the occurrence of an Authorized Share Failure, but in no event later than ninety (90)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Notwithstanding the foregoing, if any such time of an Authorized Share Failure, the Company is able to obtain the written consent of a majority of the shares of its issued and outstanding shares of Common Stock to approve the increase in the number of authorized shares of Common Stock, the Company may satisfy this obligation by obtaining such consent and submitting for filing with the SEC an Information Statement on Schedule 14C.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Certain Adjustments</w:t>
      </w:r>
      <w:r>
        <w:rPr>
          <w:rFonts w:ascii="Times New Roman" w:hAnsi="Times New Roman"/>
          <w:sz w:val="20"/>
        </w:rPr>
        <w:t xml:space="preserve">. The Exercise Price and number of Warrant Shares issuable upon exercise of this Warrant are subject to adjustment from time to time as set forth in this </w:t>
      </w:r>
      <w:r>
        <w:rPr>
          <w:rFonts w:ascii="Times New Roman" w:hAnsi="Times New Roman"/>
          <w:sz w:val="20"/>
          <w:u w:val="single"/>
        </w:rPr>
        <w:t>Section 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Stock Dividends and Splits</w:t>
      </w:r>
      <w:r>
        <w:rPr>
          <w:rFonts w:ascii="Times New Roman" w:hAnsi="Times New Roman"/>
          <w:sz w:val="20"/>
        </w:rPr>
        <w:t xml:space="preserve">. If the Company, at any time while this Warrant is outstanding, (i) pays a stock dividend on its Common Stock or otherwise makes a distribution on any class of capital stock issued and outstanding on the Original Issue Date and in accordance with the terms of such stock on the Original Issue Date or as amended,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Exercise Price shall be multiplied by a fraction, the numerator of which shall be the number of shares of Common Stock outstanding immediately before such event and the denominator of which shall be the number of shares of Common Stock outstanding immediately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after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Exercise Price shall be recomputed accordingly as of the close of business on such record date and thereafter the Exercise Price shall be adjusted pursuant to this paragraph as of the time of actual payment of such dividends. Any adjustment pursuant to clause (ii) or (iii) of this paragraph shall become effective immediately after the effective date of such subdivision or combination.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Pro Rata Distributions</w:t>
      </w:r>
      <w:r>
        <w:rPr>
          <w:rFonts w:ascii="Times New Roman" w:hAnsi="Times New Roman"/>
          <w:sz w:val="20"/>
        </w:rPr>
        <w:t>. If the Company, at any time while this Warrant is outstanding, distributes to all holders of Common Stock for no consideration (i) evidences of its indebtedness, (ii) any security (other than a distribution of Common Stock covered by Section 9(a) or a distribution subject to Section 9(c)), (iii) rights or warrants to subscribe for or purchase any security, or (iv) cash or any other asset (other than a distribution pursuant to a Fundamental Transaction (as defined below) subject to Section 9(c)) (in each case, “</w:t>
      </w:r>
      <w:r>
        <w:rPr>
          <w:rFonts w:ascii="Times New Roman" w:hAnsi="Times New Roman"/>
          <w:i/>
          <w:sz w:val="20"/>
        </w:rPr>
        <w:t>Distributed Property</w:t>
      </w:r>
      <w:r>
        <w:rPr>
          <w:rFonts w:ascii="Times New Roman" w:hAnsi="Times New Roman"/>
          <w:sz w:val="20"/>
        </w:rPr>
        <w:t xml:space="preserve">”), then, upon any exercise of this Warrant that occurs after the record date fixed for determination of stockholders entitled to receive such distribution, the Holder shall be entitled to receive, in addition to the Warrant Shares otherwise issuable upon such exercise (if applicable), the Distributed Property that such Holder would have been entitled to receive in respect of such number of Warrant Shares had the Holder been the record holder of such Warrant Shares immediately prior to such record date without regard to any limitation on exercise contained therein.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Fundamental Transactions</w:t>
      </w:r>
      <w:r>
        <w:rPr>
          <w:rFonts w:ascii="Times New Roman" w:hAnsi="Times New Roman"/>
          <w:sz w:val="20"/>
        </w:rPr>
        <w:t xml:space="preserve">. If, at any time while this Warrant is outstanding (i) the Company effects any merger or consolidation of the Company with or into another Person, in which the Company is not the surviving entity and in which the stockholders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transaction or a series of related transactions, (iii) pursuant to any tender offer or exchange offer (whether by the Company or another Person), holders of capital stock who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the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provided, however, that the forgoing shall not include transactions for which the primary purpose is raising capital,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w:t>
      </w:r>
      <w:r>
        <w:rPr>
          <w:rFonts w:ascii="Times New Roman" w:hAnsi="Times New Roman"/>
          <w:sz w:val="20"/>
          <w:u w:val="single"/>
        </w:rPr>
        <w:t>Section 9(a)</w:t>
      </w:r>
      <w:r>
        <w:rPr>
          <w:rFonts w:ascii="Times New Roman" w:hAnsi="Times New Roman"/>
          <w:sz w:val="20"/>
        </w:rPr>
        <w:t xml:space="preserve"> above) (in any such case, a “</w:t>
      </w:r>
      <w:r>
        <w:rPr>
          <w:rFonts w:ascii="Times New Roman" w:hAnsi="Times New Roman"/>
          <w:i/>
          <w:sz w:val="20"/>
        </w:rPr>
        <w:t>Fundamental Transaction</w:t>
      </w:r>
      <w:r>
        <w:rPr>
          <w:rFonts w:ascii="Times New Roman" w:hAnsi="Times New Roman"/>
          <w:sz w:val="20"/>
        </w:rPr>
        <w:t>”),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without regard to any limitations on exercise contained herein (the “</w:t>
      </w:r>
      <w:r>
        <w:rPr>
          <w:rFonts w:ascii="Times New Roman" w:hAnsi="Times New Roman"/>
          <w:i/>
          <w:sz w:val="20"/>
        </w:rPr>
        <w:t>Alternate Consideration”</w:t>
      </w:r>
      <w:r>
        <w:rPr>
          <w:rFonts w:ascii="Times New Roman" w:hAnsi="Times New Roman"/>
          <w:sz w:val="20"/>
        </w:rPr>
        <w:t xml:space="preserve">). The Company shall not effect any Fundamental Transaction in which the Company is not the surviving entity or the Alternate Consideration includes securities of another Person unless (i) the Alternate Consideration is solely cash, solely Marketable Securities, or a combination of cash and Marketable Securities, and the Company provides for the simultaneous “cashless exercise” of this Warrant pursuant to </w:t>
      </w:r>
      <w:r>
        <w:rPr>
          <w:rFonts w:ascii="Times New Roman" w:hAnsi="Times New Roman"/>
          <w:sz w:val="20"/>
          <w:u w:val="single"/>
        </w:rPr>
        <w:t>Section</w:t>
      </w:r>
      <w:r>
        <w:rPr>
          <w:rFonts w:ascii="Times New Roman" w:hAnsi="Times New Roman"/>
          <w:sz w:val="20"/>
        </w:rPr>
        <w:t xml:space="preserve"> 10 below or (ii)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(c) shall similarly apply to subsequent transactions analogous of a Fundamental Transaction type. In the event the Holder does not exercise this Warrant as contemplated by the foregoing sentence, this Warrant shall be deemed exercised in full without regard to any limitations on exercise contained herein pursuant to the “cashless exercise” provision in Section 10 hereof upon the effective date of the consummation of such Fundamental Transaction.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Number of Warrant Shares</w:t>
      </w:r>
      <w:r>
        <w:rPr>
          <w:rFonts w:ascii="Times New Roman" w:hAnsi="Times New Roman"/>
          <w:sz w:val="20"/>
        </w:rPr>
        <w:t xml:space="preserve">. Simultaneously with any adjustment to the Exercise Price pursuant to </w:t>
      </w:r>
      <w:r>
        <w:rPr>
          <w:rFonts w:ascii="Times New Roman" w:hAnsi="Times New Roman"/>
          <w:sz w:val="20"/>
          <w:u w:val="single"/>
        </w:rPr>
        <w:t>Section 9</w:t>
      </w:r>
      <w:r>
        <w:rPr>
          <w:rFonts w:ascii="Times New Roman" w:hAnsi="Times New Roman"/>
          <w:sz w:val="20"/>
        </w:rPr>
        <w:t xml:space="preserve">, the number of Warrant Shares that may be purchased upon exercise of this Warrant shall be increased or decreased proportionately, so that after such adjustment the aggregate Exercise Price payable hereunder for the increased or decreased number of Warrant Shares shall be the same as the aggregate Exercise Price in effect immediately prior to such adjustment. Notwithstanding the foregoing, in no event may the Exercise Price be adjusted below the par value of the Common Stock then in effect.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Calculations</w:t>
      </w:r>
      <w:r>
        <w:rPr>
          <w:rFonts w:ascii="Times New Roman" w:hAnsi="Times New Roman"/>
          <w:sz w:val="20"/>
        </w:rPr>
        <w:t xml:space="preserve">. All calculations under this </w:t>
      </w:r>
      <w:r>
        <w:rPr>
          <w:rFonts w:ascii="Times New Roman" w:hAnsi="Times New Roman"/>
          <w:sz w:val="20"/>
          <w:u w:val="single"/>
        </w:rPr>
        <w:t>Section 9</w:t>
      </w:r>
      <w:r>
        <w:rPr>
          <w:rFonts w:ascii="Times New Roman" w:hAnsi="Times New Roman"/>
          <w:sz w:val="20"/>
        </w:rPr>
        <w:t xml:space="preserve"> shall be made to the nearest one-tenth of one cent or the nearest share,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Notice of Adjustments</w:t>
      </w:r>
      <w:r>
        <w:rPr>
          <w:rFonts w:ascii="Times New Roman" w:hAnsi="Times New Roman"/>
          <w:sz w:val="20"/>
        </w:rPr>
        <w:t xml:space="preserve">. Upon the occurrence of each adjustment pursuant to this </w:t>
      </w:r>
      <w:r>
        <w:rPr>
          <w:rFonts w:ascii="Times New Roman" w:hAnsi="Times New Roman"/>
          <w:sz w:val="20"/>
          <w:u w:val="single"/>
        </w:rPr>
        <w:t>Section 9</w:t>
      </w:r>
      <w:r>
        <w:rPr>
          <w:rFonts w:ascii="Times New Roman" w:hAnsi="Times New Roman"/>
          <w:sz w:val="20"/>
        </w:rPr>
        <w:t xml:space="preserve">,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Company’s transfer agent.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Notice of Corporate Events</w:t>
      </w:r>
      <w:r>
        <w:rPr>
          <w:rFonts w:ascii="Times New Roman" w:hAnsi="Times New Roman"/>
          <w:sz w:val="20"/>
        </w:rPr>
        <w:t xml:space="preserve">. If, while this Warrant is outstanding, the Company (i) declares a dividend or any other pro rata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except if such notice and the contents thereof shall be deemed to constitute material non-public information, the Company shall deliver to the Holder a notice of such transaction at least ten (10) days prior to the applicable record or effective date on which a Person would need to hold Common Stock in order to participate in or vote with respect to such transaction; </w:t>
      </w:r>
      <w:r>
        <w:rPr>
          <w:rFonts w:ascii="Times New Roman" w:hAnsi="Times New Roman"/>
          <w:i/>
          <w:sz w:val="20"/>
        </w:rPr>
        <w:t>provided, however</w:t>
      </w:r>
      <w:r>
        <w:rPr>
          <w:rFonts w:ascii="Times New Roman" w:hAnsi="Times New Roman"/>
          <w:sz w:val="20"/>
        </w:rPr>
        <w:t xml:space="preserve">, that the failure to deliver such notice or any defect therein shall not affect the validity of the corporate action required to be described in such notice. In the event such notice and the contents thereof shall be deemed to constitute material non-public information, the Company shall (on the same time frame set forth in the immediately prior sentence) offer the Holder the ability to sign a confidentiality agreement related thereto sufficient to allow the Holder to receive such notice, and the Company shall deliver such notice immediately upon execution of such confidentiality agreement. If the holder does not sign the confidentiality agreement, then the Holder shall not receive such notice. In addition, if while this Warrant is outstanding, the Company authorizes or approves, enters into any agreement contemplating or solicits stockholder approval for any Fundamental Transaction contemplated by </w:t>
      </w:r>
      <w:r>
        <w:rPr>
          <w:rFonts w:ascii="Times New Roman" w:hAnsi="Times New Roman"/>
          <w:sz w:val="20"/>
          <w:u w:val="single"/>
        </w:rPr>
        <w:t>Section 9(c)</w:t>
      </w:r>
      <w:r>
        <w:rPr>
          <w:rFonts w:ascii="Times New Roman" w:hAnsi="Times New Roman"/>
          <w:sz w:val="20"/>
        </w:rPr>
        <w:t xml:space="preserve">, other than a Fundamental Transaction under clause (iii) of Section 9(c), the Company shall deliver to the Holder a notice of such Fundamental Transaction at least thirty (30) days prior to the date such Fundamental Transaction is consummated. Holder agrees to maintain any information disclosed pursuant to this Section 9(g) in confidence until such information is publicly available, and shall comply with applicable law with respect to trading in the Company’s securities following receipt any such information.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Payment of Exercise Price</w:t>
      </w:r>
      <w:r>
        <w:rPr>
          <w:rFonts w:ascii="Times New Roman" w:hAnsi="Times New Roman"/>
          <w:sz w:val="20"/>
        </w:rPr>
        <w:t xml:space="preserve">. Notwithstanding anything contained herein to the contrary, the Holder may, in its sole discretion, satisfy its obligation to pay the Exercise Price through a “cashless exercise”, in which event the Company shall issue to the Holder the number of Warrant Shares in an exchange of securities effected pursuant to Section 3(a)(9) of the Securities Act, determined as follows: </w:t>
      </w:r>
    </w:p>
    <w:p>
      <w:pPr>
        <w:pStyle w:val="TextBody"/>
        <w:bidi w:val="0"/>
        <w:spacing w:before="240" w:after="0"/>
        <w:jc w:val="center"/>
        <w:rPr>
          <w:rFonts w:ascii="Times New Roman" w:hAnsi="Times New Roman"/>
          <w:sz w:val="20"/>
        </w:rPr>
      </w:pPr>
      <w:r>
        <w:rPr>
          <w:rFonts w:ascii="Times New Roman" w:hAnsi="Times New Roman"/>
          <w:sz w:val="20"/>
        </w:rPr>
        <w:t xml:space="preserve">X = Y [(A-B)/A]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120" w:after="0"/>
        <w:jc w:val="left"/>
        <w:rPr/>
      </w:pPr>
      <w:r>
        <w:rPr/>
        <w:t>“</w:t>
      </w:r>
      <w:r>
        <w:rPr>
          <w:rFonts w:ascii="Times New Roman" w:hAnsi="Times New Roman"/>
          <w:sz w:val="20"/>
        </w:rPr>
        <w:t xml:space="preserve">X” equals the number of Warrant Shares to be issued to the Holder; </w:t>
      </w:r>
    </w:p>
    <w:p>
      <w:pPr>
        <w:pStyle w:val="TextBody"/>
        <w:bidi w:val="0"/>
        <w:spacing w:before="240" w:after="0"/>
        <w:jc w:val="left"/>
        <w:rPr/>
      </w:pPr>
      <w:r>
        <w:rPr/>
        <w:t>“</w:t>
      </w:r>
      <w:r>
        <w:rPr>
          <w:rFonts w:ascii="Times New Roman" w:hAnsi="Times New Roman"/>
          <w:sz w:val="20"/>
        </w:rPr>
        <w:t xml:space="preserve">Y” equals the total number of Warrant Shares with respect to which this Warrant is then being exercised; </w:t>
      </w:r>
    </w:p>
    <w:p>
      <w:pPr>
        <w:pStyle w:val="TextBody"/>
        <w:bidi w:val="0"/>
        <w:spacing w:before="240" w:after="0"/>
        <w:jc w:val="left"/>
        <w:rPr/>
      </w:pPr>
      <w:r>
        <w:rPr/>
        <w:t>“</w:t>
      </w:r>
      <w:r>
        <w:rPr>
          <w:rFonts w:ascii="Times New Roman" w:hAnsi="Times New Roman"/>
          <w:sz w:val="20"/>
        </w:rPr>
        <w:t xml:space="preserve">A” equals the Closing Sale Price of the shares of Common Stock (as reported by Bloomberg Financial Markets) as of the Trading Day on the date immediately preceding the Exercise Date; and </w:t>
      </w:r>
    </w:p>
    <w:p>
      <w:pPr>
        <w:pStyle w:val="TextBody"/>
        <w:bidi w:val="0"/>
        <w:spacing w:before="240" w:after="0"/>
        <w:jc w:val="left"/>
        <w:rPr/>
      </w:pPr>
      <w:r>
        <w:rPr/>
        <w:t>“</w:t>
      </w:r>
      <w:r>
        <w:rPr>
          <w:rFonts w:ascii="Times New Roman" w:hAnsi="Times New Roman"/>
          <w:sz w:val="20"/>
        </w:rPr>
        <w:t xml:space="preserve">B” equals the Exercise Price per Warrant Share then in effect for the applicable Warrant Shares at the time of such exercise.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date this Warrant was originally issued (provided that the Commission continues to take the position that such treatment is proper at the time of such exercise). In the event that a registration statement registering the issuance of Warrant Shares is, for any reason, not effective at the time of exercise of this Warrant, then the Warrant may only be exercised through a cashless exercise, as set forth in this Section 10. If the Warrant Shares are issued in such a cashless exercise, the Company acknowledges and agrees that, in accordance with Section 3(a)(9) of the Securities Act, the Exercise Shares issued in such exercise shall take on the registered characteristics of the Warrants being exercised and may be tacked on to the holding period of the Warrants being exercised. Except as set forth in Section 5(b) (Buy-In remedy) and Section 12 (payment of cash in lieu of fractional shares), in no event will the exercise of this Warrant be settled in cash.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Limitations on Exercise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Any Holder of Warrants shall be prohibited from exercising the Holder’s Warrants if, immediately prior to or following such exercise (or portion of such exercise thereof), the Holder, together with its Affiliates and any member of a Section 13(d) group, beneficially owns or would beneficially own as determined in accordance with Section 13(d) of Exchange Act of 1934 and the rules thereunder more than [4.99][9.99]% (the “Beneficial Ownership Limitation”) of the issued and outstanding Common Stock or any other class of equity security (other than an exempted security) of the Company that is registered pursuant to Section 12 of the Exchange Act. For purposes of calculating beneficial ownership, the aggregate number of shares of Common Stock beneficially owned by the Holder, together with its affiliates and any member of the Section 13(d) group, shall include the number of shares of Common Stock issuable upon exercise of the relevant Warrants with respect to which the determination is being made, but shall exclude the number of shares of Common Stock which are issuable upon (i) conversion of the remaining, unconverted Warrants beneficially owned by a Holder, together with its Affiliates and any member of Section 13(d) group, and (ii) exercise or conversion of the unexercised or unconverted portion of any other securities of the Company beneficially owned by such Holder, together with its Affiliates and any member of Section 13(d) group (including, without limitation, any convertible notes, convertible stock or warrants) that are subject to a limitation on conversion or exercise analogous to the limitation contained herein. For purposes of this Section 11(a), beneficial ownership and whether a Holder is a member of a Section 13(d) group shall be calculated and determined in accordance with Section 13(d) of the Exchange Act and the rules promulgated thereunder, it being acknowledged and agreed that the Holder is solely responsible for any schedules required to be filed in accordance therewith. For purposes of the Warrants, in determining the number of outstanding shares of Common Stock, a Holder of Warrants may rely on the number of outstanding shares of Common Stock as reflected in (1) the Company’s most recent Form 10-K, Form 10-Q, Current Report on Form 8-K or other public filing with the Securities and Exchange Commission, as the case may be, (2) a more recent public announcement by the Company, or (3) any other notice by the Company or the Company’s transfer agent setting forth the number of shares of Common Stock outstanding (the “</w:t>
      </w:r>
      <w:r>
        <w:rPr>
          <w:rFonts w:ascii="Times New Roman" w:hAnsi="Times New Roman"/>
          <w:i/>
          <w:sz w:val="20"/>
        </w:rPr>
        <w:t>Reported Outstanding Share Number</w:t>
      </w:r>
      <w:r>
        <w:rPr>
          <w:rFonts w:ascii="Times New Roman" w:hAnsi="Times New Roman"/>
          <w:sz w:val="20"/>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11(a), to exceed the Beneficial Ownership Limitation, the Holder must notify the Company of a reduced number of Warrant Shares to be purchased pursuant to such Exercise Notice (the number of shares by which such purchase is reduced, the “</w:t>
      </w:r>
      <w:r>
        <w:rPr>
          <w:rFonts w:ascii="Times New Roman" w:hAnsi="Times New Roman"/>
          <w:i/>
          <w:sz w:val="20"/>
        </w:rPr>
        <w:t>Reduction Shares</w:t>
      </w:r>
      <w:r>
        <w:rPr>
          <w:rFonts w:ascii="Times New Roman" w:hAnsi="Times New Roman"/>
          <w:sz w:val="20"/>
        </w:rPr>
        <w:t xml:space="preserve">”) and (ii) as soon as reasonably practicable, the Company shall return to the Holder any exercise price paid by the Holder for the Reduction Shares. For any reason at any time, upon the written or oral request of a Holder of Warrants, the Company shall within two (2) Business Days confirm to such Holder the number of shares of Common Stock then outstanding. In any case, the number of outstanding shares of Common Stock shall be determined after giving effect to the conversion or exercise of securities of the Company, including this Warrant, by the Holder, together with its Affiliates and any member of a Section 13(d) group, since the date as of which the Reported Outstanding Share Number was reported. In the event that the issuance of Common Stock to the Holder upon exercise of this Warrant results in the Holder, together with its Affiliates and any member of a Section 13(d) group, being deemed to beneficially own, in the aggregate, more than the Beneficial Ownership Limitation of the number of outstanding shares of Common Stock (as determined under Section 13(d) of the Exchange Act), the number of shares so issued by which the Holder’s, together with its Affiliates and any member of a Section 13(d) group, aggregate beneficial ownership exceeds the Beneficial Ownership Limitation (the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Excess Shares</w:t>
      </w:r>
      <w:r>
        <w:rPr>
          <w:rFonts w:ascii="Times New Roman" w:hAnsi="Times New Roman"/>
          <w:sz w:val="20"/>
        </w:rPr>
        <w:t>”) shall be deemed null and void and shall be cancelled ab initio and any portion of this Warrant so exercised shall be reinstated,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By written notice to the Company, a Holder of Warrants may from time to time increase or decrease the Beneficial Ownership Limitation to any other percentage not in excess of 19.99% (the “</w:t>
      </w:r>
      <w:r>
        <w:rPr>
          <w:rFonts w:ascii="Times New Roman" w:hAnsi="Times New Roman"/>
          <w:i/>
          <w:sz w:val="20"/>
        </w:rPr>
        <w:t>Maximum Percentage</w:t>
      </w:r>
      <w:r>
        <w:rPr>
          <w:rFonts w:ascii="Times New Roman" w:hAnsi="Times New Roman"/>
          <w:sz w:val="20"/>
        </w:rPr>
        <w:t xml:space="preserve">”) specified in such notice; provided that any increase in the Beneficial Ownership Limitation will not be effective until the sixty-first (61st) day after such notice is delivered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(b) This </w:t>
      </w:r>
      <w:r>
        <w:rPr>
          <w:rFonts w:ascii="Times New Roman" w:hAnsi="Times New Roman"/>
          <w:sz w:val="20"/>
          <w:u w:val="single"/>
        </w:rPr>
        <w:t>Section 11</w:t>
      </w:r>
      <w:r>
        <w:rPr>
          <w:rFonts w:ascii="Times New Roman" w:hAnsi="Times New Roman"/>
          <w:sz w:val="20"/>
        </w:rPr>
        <w:t xml:space="preserve"> shall not restrict the number of shares of Common Stock which a Holder may receive or beneficially own in order to determine the amount of securities or other consideration that such Holder may receive in the event of a Fundamental Transaction as contemplated in </w:t>
      </w:r>
      <w:r>
        <w:rPr>
          <w:rFonts w:ascii="Times New Roman" w:hAnsi="Times New Roman"/>
          <w:sz w:val="20"/>
          <w:u w:val="single"/>
        </w:rPr>
        <w:t>Section 9(c)</w:t>
      </w:r>
      <w:r>
        <w:rPr>
          <w:rFonts w:ascii="Times New Roman" w:hAnsi="Times New Roman"/>
          <w:sz w:val="20"/>
        </w:rPr>
        <w:t xml:space="preserve"> of this Warrant.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No Fractional Shares</w:t>
      </w:r>
      <w:r>
        <w:rPr>
          <w:rFonts w:ascii="Times New Roman" w:hAnsi="Times New Roman"/>
          <w:sz w:val="20"/>
        </w:rPr>
        <w:t xml:space="preserve">. No fractional Warrant Shares will be issued in connection with any exercise of this Warrant. In lieu of any fractional shares that would otherwise be issuable, the number of Warrant Shares to be issued shall be rounded down to the next whole number and the Company shall pay the Holder in cash the fair market value (based on the Closing Sale Price) for any such fractional shares.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Notices</w:t>
      </w:r>
      <w:r>
        <w:rPr>
          <w:rFonts w:ascii="Times New Roman" w:hAnsi="Times New Roman"/>
          <w:sz w:val="20"/>
        </w:rPr>
        <w:t xml:space="preserve">. Any and all notices or other communications or deliveries hereunder (including, without limitation, any Exercise Notice) shall be in writing and shall be deemed given and effective on the earliest of (i) the date of transmission, if such notice or communication is delivered via confirmed e-mail at the e-mail address specified in the books and records of the Transfer Agent prior to 5:30 P.M., New York City time, on a Trading Day, (ii) the next Trading Day after the date of transmission, if such notice or communication is delivered via confirmed e-mail at the e-mail address specified in the books and records of the Transfer Agent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Warrant Agent</w:t>
      </w:r>
      <w:r>
        <w:rPr>
          <w:rFonts w:ascii="Times New Roman" w:hAnsi="Times New Roman"/>
          <w:sz w:val="20"/>
        </w:rPr>
        <w:t xml:space="preserve">. The Company shall initially serve as warrant agent under this Warrant. Upon thirty (30)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stockholders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Rights as a Stockholder</w:t>
      </w:r>
      <w:r>
        <w:rPr>
          <w:rFonts w:ascii="Times New Roman" w:hAnsi="Times New Roman"/>
          <w:sz w:val="20"/>
        </w:rPr>
        <w:t xml:space="preserve">. Except as otherwise set forth in this Warrant, the Holder, solely in such Person’s capacity as a holder of this Warrant, shall not be entitled to vote or receive dividends or be deemed the holder of capital stock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Authorized Shares</w:t>
      </w:r>
      <w:r>
        <w:rPr>
          <w:rFonts w:ascii="Times New Roman" w:hAnsi="Times New Roman"/>
          <w:sz w:val="20"/>
        </w:rPr>
        <w:t xml:space="preserve">. (i)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 </w:t>
      </w:r>
    </w:p>
    <w:p>
      <w:pPr>
        <w:pStyle w:val="TextBody"/>
        <w:bidi w:val="0"/>
        <w:spacing w:before="240" w:after="0"/>
        <w:jc w:val="left"/>
        <w:rPr>
          <w:rFonts w:ascii="Times New Roman" w:hAnsi="Times New Roman"/>
          <w:sz w:val="20"/>
        </w:rPr>
      </w:pPr>
      <w:r>
        <w:rPr>
          <w:rFonts w:ascii="Times New Roman" w:hAnsi="Times New Roman"/>
          <w:sz w:val="20"/>
        </w:rPr>
        <w:t xml:space="preserve">(ii) 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Successors and Assigns</w:t>
      </w:r>
      <w:r>
        <w:rPr>
          <w:rFonts w:ascii="Times New Roman" w:hAnsi="Times New Roman"/>
          <w:sz w:val="20"/>
        </w:rPr>
        <w:t xml:space="preserve">. Subject to the restrictions on transfer set forth in this Warrant and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This Warrant may be amended only in writing signed by the Company and the Holder, or their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Amendment and Waiver</w:t>
      </w:r>
      <w:r>
        <w:rPr>
          <w:rFonts w:ascii="Times New Roman" w:hAnsi="Times New Roman"/>
          <w:sz w:val="20"/>
        </w:rPr>
        <w:t xml:space="preserve">. Except as otherwise provided herein, this Warrant may be modified or amended or the provisions hereof waived with the written consent of the Company and the Holder.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Acceptance</w:t>
      </w:r>
      <w:r>
        <w:rPr>
          <w:rFonts w:ascii="Times New Roman" w:hAnsi="Times New Roman"/>
          <w:sz w:val="20"/>
        </w:rPr>
        <w:t xml:space="preserve">. Receipt of this Warrant by the Holder shall constitute acceptance of and agreement to all of the terms and conditions contained herein.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Governing Law; Jurisdiction</w:t>
      </w:r>
      <w:r>
        <w:rPr>
          <w:rFonts w:ascii="Times New Roman" w:hAnsi="Times New Roman"/>
          <w:sz w:val="20"/>
        </w:rPr>
        <w:t xml:space="preserve">.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 AND THE HOLDER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Headings</w:t>
      </w:r>
      <w:r>
        <w:rPr>
          <w:rFonts w:ascii="Times New Roman" w:hAnsi="Times New Roman"/>
          <w:sz w:val="20"/>
        </w:rPr>
        <w:t xml:space="preserve">. The headings herein are for convenience only, do not constitute a part of this Warrant and shall not be deemed to limit or affect any of the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Severability</w:t>
      </w:r>
      <w:r>
        <w:rPr>
          <w:rFonts w:ascii="Times New Roman" w:hAnsi="Times New Roman"/>
          <w:sz w:val="20"/>
        </w:rPr>
        <w:t xml:space="preserve">. In case any one or more of the provisions of this Warrant shall be invalid or unenforceable in any respect, the validity and enforceability of the remaining terms and provisions of this Warrant shall not in any way be affected or impaired thereby, and the Company and the Holder will attempt in good faith to agree upon a valid and enforceable provision which shall be a commercially reasonable substitute therefor, and upon so agreeing, shall incorporate such substitute provision in this Warrant.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Warrant to be duly executed by its authorized officer as of the date first indicated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643"/>
        <w:gridCol w:w="161"/>
        <w:gridCol w:w="2278"/>
      </w:tblGrid>
      <w:tr>
        <w:trPr/>
        <w:tc>
          <w:tcPr>
            <w:tcW w:w="1643"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TANGO THERAPEUTICS, INC.</w:t>
            </w:r>
          </w:p>
        </w:tc>
      </w:tr>
      <w:tr>
        <w:trPr>
          <w:trHeight w:val="240" w:hRule="atLeast"/>
        </w:trPr>
        <w:tc>
          <w:tcPr>
            <w:tcW w:w="1643" w:type="dxa"/>
            <w:tcBorders/>
            <w:vAlign w:val="center"/>
          </w:tcPr>
          <w:p>
            <w:pPr>
              <w:pStyle w:val="TableContents"/>
              <w:bidi w:val="0"/>
              <w:spacing w:before="0" w:after="283"/>
              <w:jc w:val="left"/>
              <w:rPr>
                <w:sz w:val="4"/>
                <w:szCs w:val="4"/>
              </w:rPr>
            </w:pPr>
            <w:r>
              <w:rPr>
                <w:sz w:val="4"/>
                <w:szCs w:val="4"/>
              </w:rPr>
            </w:r>
          </w:p>
        </w:tc>
        <w:tc>
          <w:tcPr>
            <w:tcW w:w="2439" w:type="dxa"/>
            <w:gridSpan w:val="2"/>
            <w:tcBorders/>
            <w:vAlign w:val="center"/>
          </w:tcPr>
          <w:p>
            <w:pPr>
              <w:pStyle w:val="TableContents"/>
              <w:bidi w:val="0"/>
              <w:spacing w:before="0" w:after="283"/>
              <w:jc w:val="left"/>
              <w:rPr>
                <w:sz w:val="4"/>
                <w:szCs w:val="4"/>
              </w:rPr>
            </w:pPr>
            <w:r>
              <w:rPr>
                <w:sz w:val="4"/>
                <w:szCs w:val="4"/>
              </w:rPr>
            </w:r>
          </w:p>
        </w:tc>
      </w:tr>
      <w:tr>
        <w:trPr/>
        <w:tc>
          <w:tcPr>
            <w:tcW w:w="1643" w:type="dxa"/>
            <w:tcBorders/>
          </w:tcPr>
          <w:p>
            <w:pPr>
              <w:pStyle w:val="TableContents"/>
              <w:bidi w:val="0"/>
              <w:spacing w:before="0" w:after="283"/>
              <w:jc w:val="left"/>
              <w:rPr/>
            </w:pPr>
            <w:r>
              <w:rPr/>
              <w:t>By:</w:t>
            </w:r>
          </w:p>
        </w:tc>
        <w:tc>
          <w:tcPr>
            <w:tcW w:w="161" w:type="dxa"/>
            <w:tcBorders>
              <w:bottom w:val="single" w:sz="2" w:space="0" w:color="000000"/>
            </w:tcBorders>
            <w:tcMar>
              <w:bottom w:w="28" w:type="dxa"/>
            </w:tcMar>
            <w:vAlign w:val="bottom"/>
          </w:tcPr>
          <w:p>
            <w:pPr>
              <w:pStyle w:val="TableContents"/>
              <w:bidi w:val="0"/>
              <w:spacing w:before="0" w:after="283"/>
              <w:jc w:val="left"/>
              <w:rPr/>
            </w:pPr>
            <w:r>
              <w:rPr/>
              <w:t> </w:t>
            </w:r>
          </w:p>
        </w:tc>
        <w:tc>
          <w:tcPr>
            <w:tcW w:w="2278" w:type="dxa"/>
            <w:tcBorders>
              <w:bottom w:val="single" w:sz="2" w:space="0" w:color="000000"/>
            </w:tcBorders>
            <w:tcMar>
              <w:bottom w:w="28" w:type="dxa"/>
            </w:tcMar>
          </w:tcPr>
          <w:p>
            <w:pPr>
              <w:pStyle w:val="TableContents"/>
              <w:bidi w:val="0"/>
              <w:spacing w:before="0" w:after="283"/>
              <w:jc w:val="left"/>
              <w:rPr/>
            </w:pPr>
            <w:r>
              <w:rPr/>
              <w:t> </w:t>
            </w:r>
          </w:p>
        </w:tc>
      </w:tr>
      <w:tr>
        <w:trPr/>
        <w:tc>
          <w:tcPr>
            <w:tcW w:w="1643" w:type="dxa"/>
            <w:tcBorders/>
          </w:tcPr>
          <w:p>
            <w:pPr>
              <w:pStyle w:val="TableContents"/>
              <w:bidi w:val="0"/>
              <w:spacing w:before="0" w:after="283"/>
              <w:jc w:val="left"/>
              <w:rPr/>
            </w:pPr>
            <w:r>
              <w:rPr/>
              <w:t>Name:</w:t>
            </w:r>
          </w:p>
        </w:tc>
        <w:tc>
          <w:tcPr>
            <w:tcW w:w="161" w:type="dxa"/>
            <w:tcBorders/>
            <w:vAlign w:val="bottom"/>
          </w:tcPr>
          <w:p>
            <w:pPr>
              <w:pStyle w:val="TableContents"/>
              <w:bidi w:val="0"/>
              <w:spacing w:before="0" w:after="283"/>
              <w:jc w:val="left"/>
              <w:rPr/>
            </w:pPr>
            <w:r>
              <w:rPr/>
              <w:t> </w:t>
            </w:r>
          </w:p>
        </w:tc>
        <w:tc>
          <w:tcPr>
            <w:tcW w:w="2278" w:type="dxa"/>
            <w:tcBorders/>
          </w:tcPr>
          <w:p>
            <w:pPr>
              <w:pStyle w:val="TableContents"/>
              <w:bidi w:val="0"/>
              <w:spacing w:before="0" w:after="283"/>
              <w:jc w:val="left"/>
              <w:rPr>
                <w:sz w:val="4"/>
                <w:szCs w:val="4"/>
              </w:rPr>
            </w:pPr>
            <w:r>
              <w:rPr>
                <w:sz w:val="4"/>
                <w:szCs w:val="4"/>
              </w:rPr>
            </w:r>
          </w:p>
        </w:tc>
      </w:tr>
      <w:tr>
        <w:trPr/>
        <w:tc>
          <w:tcPr>
            <w:tcW w:w="1643" w:type="dxa"/>
            <w:tcBorders/>
          </w:tcPr>
          <w:p>
            <w:pPr>
              <w:pStyle w:val="TableContents"/>
              <w:bidi w:val="0"/>
              <w:spacing w:before="0" w:after="283"/>
              <w:jc w:val="left"/>
              <w:rPr/>
            </w:pPr>
            <w:r>
              <w:rPr/>
              <w:t>Title:</w:t>
            </w:r>
          </w:p>
        </w:tc>
        <w:tc>
          <w:tcPr>
            <w:tcW w:w="161" w:type="dxa"/>
            <w:tcBorders/>
            <w:vAlign w:val="bottom"/>
          </w:tcPr>
          <w:p>
            <w:pPr>
              <w:pStyle w:val="TableContents"/>
              <w:bidi w:val="0"/>
              <w:spacing w:before="0" w:after="283"/>
              <w:jc w:val="left"/>
              <w:rPr/>
            </w:pPr>
            <w:r>
              <w:rPr/>
              <w:t> </w:t>
            </w:r>
          </w:p>
        </w:tc>
        <w:tc>
          <w:tcPr>
            <w:tcW w:w="227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SCHEDULE 1 </w:t>
      </w:r>
    </w:p>
    <w:p>
      <w:pPr>
        <w:pStyle w:val="TextBody"/>
        <w:bidi w:val="0"/>
        <w:spacing w:before="120" w:after="0"/>
        <w:jc w:val="center"/>
        <w:rPr>
          <w:rFonts w:ascii="Times New Roman" w:hAnsi="Times New Roman"/>
          <w:sz w:val="20"/>
        </w:rPr>
      </w:pPr>
      <w:r>
        <w:rPr>
          <w:rFonts w:ascii="Times New Roman" w:hAnsi="Times New Roman"/>
          <w:sz w:val="20"/>
        </w:rPr>
        <w:t xml:space="preserve">FORM OF EXERCISE NOTICE </w:t>
      </w:r>
    </w:p>
    <w:p>
      <w:pPr>
        <w:pStyle w:val="TextBody"/>
        <w:bidi w:val="0"/>
        <w:spacing w:before="240" w:after="0"/>
        <w:jc w:val="center"/>
        <w:rPr>
          <w:rFonts w:ascii="Times New Roman" w:hAnsi="Times New Roman"/>
          <w:sz w:val="20"/>
        </w:rPr>
      </w:pPr>
      <w:r>
        <w:rPr>
          <w:rFonts w:ascii="Times New Roman" w:hAnsi="Times New Roman"/>
          <w:sz w:val="20"/>
        </w:rPr>
        <w:t xml:space="preserve">[To be executed by the Holder to purchase shares of Common Stock under the Warrant]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(1) The undersigned is the Holder of Warrant No. __ (the “</w:t>
      </w:r>
      <w:r>
        <w:rPr>
          <w:rFonts w:ascii="Times New Roman" w:hAnsi="Times New Roman"/>
          <w:i/>
          <w:sz w:val="20"/>
        </w:rPr>
        <w:t>Warrant</w:t>
      </w:r>
      <w:r>
        <w:rPr>
          <w:rFonts w:ascii="Times New Roman" w:hAnsi="Times New Roman"/>
          <w:sz w:val="20"/>
        </w:rPr>
        <w:t>”) issued by Tango Therapeutics, Inc., a Delaware corporation (the “</w:t>
      </w:r>
      <w:r>
        <w:rPr>
          <w:rFonts w:ascii="Times New Roman" w:hAnsi="Times New Roman"/>
          <w:i/>
          <w:sz w:val="20"/>
        </w:rPr>
        <w:t>Company</w:t>
      </w:r>
      <w:r>
        <w:rPr>
          <w:rFonts w:ascii="Times New Roman" w:hAnsi="Times New Roman"/>
          <w:sz w:val="20"/>
        </w:rPr>
        <w:t xml:space="preserve">”). Capitalized terms used herein and not otherwise defined herein have the respective meanings set forth in the Warrant. </w:t>
      </w:r>
    </w:p>
    <w:p>
      <w:pPr>
        <w:pStyle w:val="TextBody"/>
        <w:bidi w:val="0"/>
        <w:spacing w:before="240" w:after="0"/>
        <w:jc w:val="left"/>
        <w:rPr>
          <w:rFonts w:ascii="Times New Roman" w:hAnsi="Times New Roman"/>
          <w:sz w:val="20"/>
        </w:rPr>
      </w:pPr>
      <w:r>
        <w:rPr>
          <w:rFonts w:ascii="Times New Roman" w:hAnsi="Times New Roman"/>
          <w:sz w:val="20"/>
        </w:rPr>
        <w:t xml:space="preserve">(2) The undersigned hereby exercises its right to purchase Warrant Shares pursuant to the Warrant. </w:t>
      </w:r>
    </w:p>
    <w:p>
      <w:pPr>
        <w:pStyle w:val="TextBody"/>
        <w:bidi w:val="0"/>
        <w:spacing w:before="240" w:after="0"/>
        <w:jc w:val="left"/>
        <w:rPr>
          <w:rFonts w:ascii="Times New Roman" w:hAnsi="Times New Roman"/>
          <w:sz w:val="20"/>
        </w:rPr>
      </w:pPr>
      <w:r>
        <w:rPr>
          <w:rFonts w:ascii="Times New Roman" w:hAnsi="Times New Roman"/>
          <w:sz w:val="20"/>
        </w:rPr>
        <w:t xml:space="preserve">(3) The Holder intends that payment of the Exercise Price shall be made as (check one):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Exercise </w:t>
            </w:r>
          </w:p>
        </w:tc>
      </w:tr>
    </w:tbl>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pPr>
            <w:r>
              <w:rPr/>
              <w:t>“</w:t>
            </w:r>
            <w:r>
              <w:rPr>
                <w:rFonts w:ascii="Times New Roman" w:hAnsi="Times New Roman"/>
                <w:sz w:val="20"/>
              </w:rPr>
              <w:t xml:space="preserve">Cashless Exercise” under Section 10 of the Warrant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(4) If the Holder has elected a Cash Exercise, the Holder shall pay the sum of $ in immediately available funds to the Company in accordance with the terms of the Warrant. </w:t>
      </w:r>
    </w:p>
    <w:p>
      <w:pPr>
        <w:pStyle w:val="TextBody"/>
        <w:bidi w:val="0"/>
        <w:spacing w:before="240" w:after="0"/>
        <w:jc w:val="left"/>
        <w:rPr>
          <w:rFonts w:ascii="Times New Roman" w:hAnsi="Times New Roman"/>
          <w:sz w:val="20"/>
        </w:rPr>
      </w:pPr>
      <w:r>
        <w:rPr>
          <w:rFonts w:ascii="Times New Roman" w:hAnsi="Times New Roman"/>
          <w:sz w:val="20"/>
        </w:rPr>
        <w:t xml:space="preserve">(5) Pursuant to this Exercise Notice, the Company shall deliver to the Holder Warrant Shares determined in accordance with the terms of the Warrant. </w:t>
      </w:r>
    </w:p>
    <w:p>
      <w:pPr>
        <w:pStyle w:val="TextBody"/>
        <w:bidi w:val="0"/>
        <w:spacing w:before="240" w:after="0"/>
        <w:jc w:val="left"/>
        <w:rPr>
          <w:rFonts w:ascii="Times New Roman" w:hAnsi="Times New Roman"/>
          <w:sz w:val="20"/>
        </w:rPr>
      </w:pPr>
      <w:r>
        <w:rPr>
          <w:rFonts w:ascii="Times New Roman" w:hAnsi="Times New Roman"/>
          <w:sz w:val="20"/>
        </w:rPr>
        <w:t xml:space="preserve">(6) By its delivery of this Exercise Notice,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w:t>
      </w:r>
      <w:r>
        <w:rPr>
          <w:rFonts w:ascii="Times New Roman" w:hAnsi="Times New Roman"/>
          <w:sz w:val="20"/>
          <w:u w:val="single"/>
        </w:rPr>
        <w:t>Section 11(a)</w:t>
      </w:r>
      <w:r>
        <w:rPr>
          <w:rFonts w:ascii="Times New Roman" w:hAnsi="Times New Roman"/>
          <w:sz w:val="20"/>
        </w:rPr>
        <w:t xml:space="preserve"> of the Warrant to which this notice relates.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954"/>
        <w:gridCol w:w="60"/>
        <w:gridCol w:w="3068"/>
      </w:tblGrid>
      <w:tr>
        <w:trPr/>
        <w:tc>
          <w:tcPr>
            <w:tcW w:w="95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68" w:type="dxa"/>
            <w:tcBorders/>
            <w:vAlign w:val="center"/>
          </w:tcPr>
          <w:p>
            <w:pPr>
              <w:pStyle w:val="TableContents"/>
              <w:bidi w:val="0"/>
              <w:spacing w:before="0" w:after="283"/>
              <w:jc w:val="left"/>
              <w:rPr>
                <w:sz w:val="4"/>
                <w:szCs w:val="4"/>
              </w:rPr>
            </w:pPr>
            <w:r>
              <w:rPr>
                <w:sz w:val="4"/>
                <w:szCs w:val="4"/>
              </w:rPr>
            </w:r>
          </w:p>
        </w:tc>
      </w:tr>
      <w:tr>
        <w:trPr/>
        <w:tc>
          <w:tcPr>
            <w:tcW w:w="954" w:type="dxa"/>
            <w:tcBorders/>
          </w:tcPr>
          <w:p>
            <w:pPr>
              <w:pStyle w:val="TableContents"/>
              <w:bidi w:val="0"/>
              <w:spacing w:before="0" w:after="283"/>
              <w:jc w:val="left"/>
              <w:rPr/>
            </w:pPr>
            <w:r>
              <w:rPr/>
              <w:t>Dated:</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068"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954" w:type="dxa"/>
            <w:tcBorders/>
            <w:vAlign w:val="center"/>
          </w:tcPr>
          <w:p>
            <w:pPr>
              <w:pStyle w:val="TableContents"/>
              <w:bidi w:val="0"/>
              <w:spacing w:before="0" w:after="283"/>
              <w:jc w:val="left"/>
              <w:rPr>
                <w:sz w:val="4"/>
                <w:szCs w:val="4"/>
              </w:rPr>
            </w:pPr>
            <w:r>
              <w:rPr>
                <w:sz w:val="4"/>
                <w:szCs w:val="4"/>
              </w:rPr>
            </w:r>
          </w:p>
        </w:tc>
        <w:tc>
          <w:tcPr>
            <w:tcW w:w="3128" w:type="dxa"/>
            <w:gridSpan w:val="2"/>
            <w:tcBorders/>
            <w:vAlign w:val="center"/>
          </w:tcPr>
          <w:p>
            <w:pPr>
              <w:pStyle w:val="TableContents"/>
              <w:bidi w:val="0"/>
              <w:spacing w:before="0" w:after="283"/>
              <w:jc w:val="left"/>
              <w:rPr>
                <w:sz w:val="4"/>
                <w:szCs w:val="4"/>
              </w:rPr>
            </w:pPr>
            <w:r>
              <w:rPr>
                <w:sz w:val="4"/>
                <w:szCs w:val="4"/>
              </w:rPr>
            </w:r>
          </w:p>
        </w:tc>
      </w:tr>
      <w:tr>
        <w:trPr/>
        <w:tc>
          <w:tcPr>
            <w:tcW w:w="954" w:type="dxa"/>
            <w:tcBorders/>
          </w:tcPr>
          <w:p>
            <w:pPr>
              <w:pStyle w:val="TableContents"/>
              <w:bidi w:val="0"/>
              <w:spacing w:before="0" w:after="283"/>
              <w:jc w:val="left"/>
              <w:rPr/>
            </w:pPr>
            <w:r>
              <w:rPr/>
              <w:t>Name of Holder:</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068"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954" w:type="dxa"/>
            <w:tcBorders/>
            <w:vAlign w:val="center"/>
          </w:tcPr>
          <w:p>
            <w:pPr>
              <w:pStyle w:val="TableContents"/>
              <w:bidi w:val="0"/>
              <w:spacing w:before="0" w:after="283"/>
              <w:jc w:val="left"/>
              <w:rPr>
                <w:sz w:val="4"/>
                <w:szCs w:val="4"/>
              </w:rPr>
            </w:pPr>
            <w:r>
              <w:rPr>
                <w:sz w:val="4"/>
                <w:szCs w:val="4"/>
              </w:rPr>
            </w:r>
          </w:p>
        </w:tc>
        <w:tc>
          <w:tcPr>
            <w:tcW w:w="3128" w:type="dxa"/>
            <w:gridSpan w:val="2"/>
            <w:tcBorders/>
            <w:vAlign w:val="center"/>
          </w:tcPr>
          <w:p>
            <w:pPr>
              <w:pStyle w:val="TableContents"/>
              <w:bidi w:val="0"/>
              <w:spacing w:before="0" w:after="283"/>
              <w:jc w:val="left"/>
              <w:rPr>
                <w:sz w:val="4"/>
                <w:szCs w:val="4"/>
              </w:rPr>
            </w:pPr>
            <w:r>
              <w:rPr>
                <w:sz w:val="4"/>
                <w:szCs w:val="4"/>
              </w:rPr>
            </w:r>
          </w:p>
        </w:tc>
      </w:tr>
      <w:tr>
        <w:trPr/>
        <w:tc>
          <w:tcPr>
            <w:tcW w:w="95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068" w:type="dxa"/>
            <w:tcBorders>
              <w:bottom w:val="single" w:sz="2" w:space="0" w:color="000000"/>
            </w:tcBorders>
            <w:tcMar>
              <w:bottom w:w="28" w:type="dxa"/>
            </w:tcMar>
          </w:tcPr>
          <w:p>
            <w:pPr>
              <w:pStyle w:val="TableContents"/>
              <w:bidi w:val="0"/>
              <w:spacing w:before="0" w:after="283"/>
              <w:jc w:val="left"/>
              <w:rPr/>
            </w:pPr>
            <w:r>
              <w:rPr/>
              <w:t> </w:t>
            </w:r>
          </w:p>
        </w:tc>
      </w:tr>
      <w:tr>
        <w:trPr/>
        <w:tc>
          <w:tcPr>
            <w:tcW w:w="954" w:type="dxa"/>
            <w:tcBorders/>
          </w:tcPr>
          <w:p>
            <w:pPr>
              <w:pStyle w:val="TableContents"/>
              <w:bidi w:val="0"/>
              <w:spacing w:before="0" w:after="283"/>
              <w:jc w:val="left"/>
              <w:rPr/>
            </w:pPr>
            <w:r>
              <w:rPr/>
              <w:t>Name: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068" w:type="dxa"/>
            <w:tcBorders>
              <w:bottom w:val="single" w:sz="2" w:space="0" w:color="000000"/>
            </w:tcBorders>
            <w:tcMar>
              <w:bottom w:w="28" w:type="dxa"/>
            </w:tcMar>
          </w:tcPr>
          <w:p>
            <w:pPr>
              <w:pStyle w:val="TableContents"/>
              <w:bidi w:val="0"/>
              <w:spacing w:before="0" w:after="283"/>
              <w:jc w:val="left"/>
              <w:rPr/>
            </w:pPr>
            <w:r>
              <w:rPr/>
              <w:t> </w:t>
            </w:r>
          </w:p>
        </w:tc>
      </w:tr>
      <w:tr>
        <w:trPr/>
        <w:tc>
          <w:tcPr>
            <w:tcW w:w="954" w:type="dxa"/>
            <w:tcBorders/>
          </w:tcPr>
          <w:p>
            <w:pPr>
              <w:pStyle w:val="TableContents"/>
              <w:bidi w:val="0"/>
              <w:spacing w:before="0" w:after="283"/>
              <w:jc w:val="left"/>
              <w:rPr/>
            </w:pPr>
            <w:r>
              <w:rPr/>
              <w:t>Title: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068"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t xml:space="preserve">(Signature must conform in all respects to name of Holder as specified on the face of the Warrant) </w:t>
      </w:r>
    </w:p>
    <w:p>
      <w:pPr>
        <w:pStyle w:val="TextBody"/>
        <w:bidi w:val="0"/>
        <w:spacing w:before="0" w:after="0"/>
        <w:jc w:val="right"/>
        <w:rPr>
          <w:rFonts w:ascii="Times New Roman" w:hAnsi="Times New Roman"/>
          <w:b/>
          <w:sz w:val="20"/>
        </w:rPr>
      </w:pPr>
      <w:bookmarkStart w:id="6" w:name="d80580dex51.htm"/>
      <w:bookmarkStart w:id="7" w:name="ksd80580dex51"/>
      <w:bookmarkEnd w:id="6"/>
      <w:bookmarkEnd w:id="7"/>
      <w:r>
        <w:rPr>
          <w:rFonts w:ascii="Times New Roman" w:hAnsi="Times New Roman"/>
          <w:b/>
          <w:sz w:val="20"/>
        </w:rPr>
        <w:t xml:space="preserve">Exhibit 5.1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October 24, 2025 </w:t>
      </w:r>
    </w:p>
    <w:p>
      <w:pPr>
        <w:pStyle w:val="TextBody"/>
        <w:bidi w:val="0"/>
        <w:spacing w:before="240" w:after="0"/>
        <w:jc w:val="left"/>
        <w:rPr>
          <w:rFonts w:ascii="Times New Roman" w:hAnsi="Times New Roman"/>
          <w:sz w:val="20"/>
        </w:rPr>
      </w:pPr>
      <w:r>
        <w:rPr>
          <w:rFonts w:ascii="Times New Roman" w:hAnsi="Times New Roman"/>
          <w:sz w:val="20"/>
        </w:rPr>
        <w:t xml:space="preserve">Tango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201 Brookline Ave. </w:t>
      </w:r>
    </w:p>
    <w:p>
      <w:pPr>
        <w:pStyle w:val="TextBody"/>
        <w:bidi w:val="0"/>
        <w:spacing w:before="0" w:after="0"/>
        <w:jc w:val="left"/>
        <w:rPr>
          <w:rFonts w:ascii="Times New Roman" w:hAnsi="Times New Roman"/>
          <w:sz w:val="20"/>
        </w:rPr>
      </w:pPr>
      <w:r>
        <w:rPr>
          <w:rFonts w:ascii="Times New Roman" w:hAnsi="Times New Roman"/>
          <w:sz w:val="20"/>
        </w:rPr>
        <w:t xml:space="preserve">Suite 901 </w:t>
      </w:r>
    </w:p>
    <w:p>
      <w:pPr>
        <w:pStyle w:val="TextBody"/>
        <w:bidi w:val="0"/>
        <w:spacing w:before="0" w:after="0"/>
        <w:jc w:val="left"/>
        <w:rPr>
          <w:rFonts w:ascii="Times New Roman" w:hAnsi="Times New Roman"/>
          <w:sz w:val="20"/>
        </w:rPr>
      </w:pPr>
      <w:r>
        <w:rPr>
          <w:rFonts w:ascii="Times New Roman" w:hAnsi="Times New Roman"/>
          <w:sz w:val="20"/>
        </w:rPr>
        <w:t xml:space="preserve">Boston, MA 02115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Securities Registered under Registration Statement on Form S-3</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have acted as counsel to you in connection with your filing of a Registration Statement on Form S-3 (File No. 333- 287202) (as amended or supplemented, the “Registration Statement”) filed on May 12, 2025 with the Securities and Exchange Commission (the “Commission”) pursuant to the Securities Act of 1933, as amended (the “Securities Act”), relating to the registration of the offer by Tango Therapeutics, Inc., a Delaware corporation (the “Company”), of up to $400,000,000 of any combination of securities of the types specified therein. The Registration Statement was declared effective by the Commission on May 21, 2025. Reference is made to our opinion letter dated May 12, 2025 and included as Exhibit 5.1 to the Registration Statement. We are delivering this supplemental opinion letter in connection with the prospectus supplement (the “Prospectus Supplement”) filed on October 24, 2025 by the Company with the Commission pursuant to Rule 424 under the Securities Act. The Prospectus Supplement relates to the offering by the Company of up to (i) 21,023,337 shares of the Company’s common stock, par value $0.001 per share (the “Common Shares”) and (ii) pre-funded warrants (the “Pre-Funded Warrants”) to purchase up to 3,226,458 shares of Common Stock (such shares issuable upon exercise of the Pre-Funded Warrants, the “Pre-Funded Warrant Shares,” and together with the Common Shares, the “Shares”), covered by the Registration Statement. The Common Shares and Pre-Funded Warrants are being sold to the several underwriters named in, and pursuant to, an underwriting agreement among the Company and such underwriters (the “Underwriting Agreement”). </w:t>
      </w:r>
    </w:p>
    <w:p>
      <w:pPr>
        <w:pStyle w:val="TextBody"/>
        <w:bidi w:val="0"/>
        <w:spacing w:before="240" w:after="0"/>
        <w:jc w:val="left"/>
        <w:rPr>
          <w:rFonts w:ascii="Times New Roman" w:hAnsi="Times New Roman"/>
          <w:sz w:val="20"/>
        </w:rPr>
      </w:pPr>
      <w:r>
        <w:rPr>
          <w:rFonts w:ascii="Times New Roman" w:hAnsi="Times New Roman"/>
          <w:sz w:val="20"/>
        </w:rPr>
        <w:t xml:space="preserve">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opinions set forth below is/are limited to the Delaware General Corporation Law and with respect to opinion paragraph 2, the law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Based on the foregoing, we are of the opinion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Common Shares have been duly authorized and, when delivered and paid for in accordance with the terms of the Underwriting Agreement, will be validly issued, fully paid and non-assessable.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Pre-Funded Warrants have been duly authorized and executed by the Company and, when delivered and paid for in accordance with the terms of the Underwriting Agreement, will be valid and binding obligations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Assuming the Pre-Funded Warrant Shares issuable upon exercise of the Pre-Funded Warrants were issued today in accordance with the terms of the Pre-Funded Warrants, they would be validly issued, fully paid and nonassessable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Tango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October 24, 2025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The opinions set forth above are subject to bankruptcy, insolvency, fraudulent transfer, reorganization, moratorium and other similar laws of general application affecting the rights and remedies of creditors and to general principles of equity. </w:t>
      </w:r>
    </w:p>
    <w:p>
      <w:pPr>
        <w:pStyle w:val="TextBody"/>
        <w:bidi w:val="0"/>
        <w:spacing w:before="240" w:after="0"/>
        <w:jc w:val="left"/>
        <w:rPr>
          <w:rFonts w:ascii="Times New Roman" w:hAnsi="Times New Roman"/>
          <w:sz w:val="20"/>
        </w:rPr>
      </w:pPr>
      <w:r>
        <w:rPr>
          <w:rFonts w:ascii="Times New Roman" w:hAnsi="Times New Roman"/>
          <w:sz w:val="20"/>
        </w:rPr>
        <w:t xml:space="preserve">This opinion letter and the opinions it contains shall be interpreted in accordance with the Core Opinion Principles as published in 74 </w:t>
      </w:r>
      <w:r>
        <w:rPr>
          <w:rFonts w:ascii="Times New Roman" w:hAnsi="Times New Roman"/>
          <w:i/>
          <w:sz w:val="20"/>
        </w:rPr>
        <w:t>Business Lawyer</w:t>
      </w:r>
      <w:r>
        <w:rPr>
          <w:rFonts w:ascii="Times New Roman" w:hAnsi="Times New Roman"/>
          <w:sz w:val="20"/>
        </w:rPr>
        <w:t xml:space="preserve"> 815 (Summer 2019).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inclusion of this opinion as Exhibit 5.1 to the Current Report on Form 8-K and its incorporation by reference in the Registration Statement and the reference to our firm under the caption “Legal Matters” in the Prospectus Supplement. In giving our consent, we do not admit that we are in the category of persons whose consent is required under Section 7 of the Securities Act or the rules and regulations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Goodwin Procter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GOODWIN PROCTER LLP</w:t>
            </w:r>
          </w:p>
        </w:tc>
      </w:tr>
    </w:tbl>
    <w:p>
      <w:pPr>
        <w:pStyle w:val="TextBody"/>
        <w:bidi w:val="0"/>
        <w:spacing w:before="0" w:after="0"/>
        <w:jc w:val="right"/>
        <w:rPr>
          <w:rFonts w:ascii="Times New Roman" w:hAnsi="Times New Roman"/>
          <w:b/>
          <w:sz w:val="20"/>
        </w:rPr>
      </w:pPr>
      <w:bookmarkStart w:id="8" w:name="d80580dex101.htm"/>
      <w:bookmarkStart w:id="9" w:name="ksd80580dex101"/>
      <w:bookmarkEnd w:id="8"/>
      <w:bookmarkEnd w:id="9"/>
      <w:r>
        <w:rPr>
          <w:rFonts w:ascii="Times New Roman" w:hAnsi="Times New Roman"/>
          <w:b/>
          <w:sz w:val="20"/>
        </w:rPr>
        <w:t xml:space="preserve">Exhibit 10.1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TANGO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SECURITIES PURCHASE AGREEMENT </w:t>
      </w:r>
    </w:p>
    <w:p>
      <w:pPr>
        <w:pStyle w:val="TextBody"/>
        <w:bidi w:val="0"/>
        <w:spacing w:before="240" w:after="0"/>
        <w:jc w:val="left"/>
        <w:rPr>
          <w:rFonts w:ascii="Times New Roman" w:hAnsi="Times New Roman"/>
          <w:sz w:val="20"/>
        </w:rPr>
      </w:pPr>
      <w:r>
        <w:rPr>
          <w:rFonts w:ascii="Times New Roman" w:hAnsi="Times New Roman"/>
          <w:sz w:val="20"/>
        </w:rPr>
        <w:t>This Securities Purchase Agreement (the “</w:t>
      </w:r>
      <w:r>
        <w:rPr>
          <w:rFonts w:ascii="Times New Roman" w:hAnsi="Times New Roman"/>
          <w:b/>
          <w:i/>
          <w:sz w:val="20"/>
        </w:rPr>
        <w:t>Agreement</w:t>
      </w:r>
      <w:r>
        <w:rPr>
          <w:rFonts w:ascii="Times New Roman" w:hAnsi="Times New Roman"/>
          <w:sz w:val="20"/>
        </w:rPr>
        <w:t>”) is made as of October 23, 2025 (the “</w:t>
      </w:r>
      <w:r>
        <w:rPr>
          <w:rFonts w:ascii="Times New Roman" w:hAnsi="Times New Roman"/>
          <w:b/>
          <w:i/>
          <w:sz w:val="20"/>
        </w:rPr>
        <w:t>Effective Date</w:t>
      </w:r>
      <w:r>
        <w:rPr>
          <w:rFonts w:ascii="Times New Roman" w:hAnsi="Times New Roman"/>
          <w:sz w:val="20"/>
        </w:rPr>
        <w:t>”), by and among Tango Therapeutics, Inc., a Delaware corporation (the “</w:t>
      </w:r>
      <w:r>
        <w:rPr>
          <w:rFonts w:ascii="Times New Roman" w:hAnsi="Times New Roman"/>
          <w:b/>
          <w:i/>
          <w:sz w:val="20"/>
        </w:rPr>
        <w:t>Company</w:t>
      </w:r>
      <w:r>
        <w:rPr>
          <w:rFonts w:ascii="Times New Roman" w:hAnsi="Times New Roman"/>
          <w:sz w:val="20"/>
        </w:rPr>
        <w:t>”), and the purchaser whose name and address is set forth on the signature pages hereof (the “</w:t>
      </w:r>
      <w:r>
        <w:rPr>
          <w:rFonts w:ascii="Times New Roman" w:hAnsi="Times New Roman"/>
          <w:b/>
          <w:i/>
          <w:sz w:val="20"/>
        </w:rPr>
        <w:t>Purchaser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Purchaser desires to purchase and the Company has agreed to sell, 1,732,101 shares of the Company’s common stock, par value $0.001 per share (the “</w:t>
      </w:r>
      <w:r>
        <w:rPr>
          <w:rFonts w:ascii="Times New Roman" w:hAnsi="Times New Roman"/>
          <w:b/>
          <w:i/>
          <w:sz w:val="20"/>
        </w:rPr>
        <w:t>Common Stock</w:t>
      </w:r>
      <w:r>
        <w:rPr>
          <w:rFonts w:ascii="Times New Roman" w:hAnsi="Times New Roman"/>
          <w:sz w:val="20"/>
        </w:rPr>
        <w:t xml:space="preserve">”), for a purchase price of $8.66 per share and aggregate gross proceeds to the Company of approximately $14,999,994.66.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of the mutual covenants contained in this Agreement, and for other good and valuable consideration, the receipt and sufficiency of which are hereby acknowledged, the Company and the Purchaser hereby agrees as follows: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1 AUTHORIZATION OF SALE OF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authorized the sale and issuance of shares of its Common Stock to the Purchaser on the terms and subject to the conditions set forth in this Agreement. The shares of Common Stock that may be sold to the Purchaser hereunder at the Closing (as defined in </w:t>
      </w:r>
      <w:r>
        <w:rPr>
          <w:rFonts w:ascii="Times New Roman" w:hAnsi="Times New Roman"/>
          <w:sz w:val="20"/>
          <w:u w:val="single"/>
        </w:rPr>
        <w:t>Section 3.1</w:t>
      </w:r>
      <w:r>
        <w:rPr>
          <w:rFonts w:ascii="Times New Roman" w:hAnsi="Times New Roman"/>
          <w:sz w:val="20"/>
        </w:rPr>
        <w:t>) shall be referred to as the “</w:t>
      </w:r>
      <w:r>
        <w:rPr>
          <w:rFonts w:ascii="Times New Roman" w:hAnsi="Times New Roman"/>
          <w:b/>
          <w:i/>
          <w:sz w:val="20"/>
        </w:rPr>
        <w:t>Shares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2 AGREEMENT TO SELL AND PURCHASE THE SHARES. </w:t>
      </w:r>
    </w:p>
    <w:p>
      <w:pPr>
        <w:pStyle w:val="TextBody"/>
        <w:bidi w:val="0"/>
        <w:spacing w:before="120" w:after="0"/>
        <w:jc w:val="left"/>
        <w:rPr>
          <w:rFonts w:ascii="Times New Roman" w:hAnsi="Times New Roman"/>
          <w:sz w:val="20"/>
        </w:rPr>
      </w:pPr>
      <w:r>
        <w:rPr>
          <w:rFonts w:ascii="Times New Roman" w:hAnsi="Times New Roman"/>
          <w:sz w:val="20"/>
        </w:rPr>
        <w:t>2.1 </w:t>
      </w:r>
      <w:r>
        <w:rPr>
          <w:rFonts w:ascii="Times New Roman" w:hAnsi="Times New Roman"/>
          <w:sz w:val="20"/>
          <w:u w:val="single"/>
        </w:rPr>
        <w:t>Purchase</w:t>
      </w:r>
      <w:r>
        <w:rPr>
          <w:rFonts w:ascii="Times New Roman" w:hAnsi="Times New Roman"/>
          <w:sz w:val="20"/>
        </w:rPr>
        <w:t xml:space="preserve">. At the Closing, the Company will issue, sell and deliver to the Purchaser, and the Purchaser will purchase from the Company, that number of Shares set forth opposite the Purchaser’s name on </w:t>
      </w:r>
      <w:r>
        <w:rPr>
          <w:rFonts w:ascii="Times New Roman" w:hAnsi="Times New Roman"/>
          <w:sz w:val="20"/>
          <w:u w:val="single"/>
        </w:rPr>
        <w:t>Schedule A</w:t>
      </w:r>
      <w:r>
        <w:rPr>
          <w:rFonts w:ascii="Times New Roman" w:hAnsi="Times New Roman"/>
          <w:sz w:val="20"/>
        </w:rPr>
        <w:t xml:space="preserve"> hereto, for the aggregate purchase price set forth therein (the “</w:t>
      </w:r>
      <w:r>
        <w:rPr>
          <w:rFonts w:ascii="Times New Roman" w:hAnsi="Times New Roman"/>
          <w:b/>
          <w:i/>
          <w:sz w:val="20"/>
        </w:rPr>
        <w:t>Purchase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2.2 </w:t>
      </w:r>
      <w:r>
        <w:rPr>
          <w:rFonts w:ascii="Times New Roman" w:hAnsi="Times New Roman"/>
          <w:sz w:val="20"/>
          <w:u w:val="single"/>
        </w:rPr>
        <w:t>Definitions</w:t>
      </w:r>
      <w:r>
        <w:rPr>
          <w:rFonts w:ascii="Times New Roman" w:hAnsi="Times New Roman"/>
          <w:sz w:val="20"/>
        </w:rPr>
        <w:t xml:space="preserve">. For purposes of this Agreement, in addition to terms otherwise defined herein, the following terms shall have the following meanings: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i/>
          <w:sz w:val="20"/>
        </w:rPr>
        <w:t>Affiliate</w:t>
      </w:r>
      <w:r>
        <w:rPr>
          <w:rFonts w:ascii="Times New Roman" w:hAnsi="Times New Roman"/>
          <w:sz w:val="20"/>
        </w:rPr>
        <w:t xml:space="preserve">” means any Person that, directly or indirectly through one or more intermediaries, controls or is controlled by or is under common control with a Person as such terms are used in and construed under Rule 405 under the Securities Act (as defined in </w:t>
      </w:r>
      <w:r>
        <w:rPr>
          <w:rFonts w:ascii="Times New Roman" w:hAnsi="Times New Roman"/>
          <w:sz w:val="20"/>
          <w:u w:val="single"/>
        </w:rPr>
        <w:t>Section 4.3</w:t>
      </w:r>
      <w:r>
        <w:rPr>
          <w:rFonts w:ascii="Times New Roman" w:hAnsi="Times New Roman"/>
          <w:sz w:val="20"/>
        </w:rPr>
        <w:t xml:space="preserve"> below).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b/>
          <w:i/>
          <w:sz w:val="20"/>
        </w:rPr>
        <w:t>Business Day</w:t>
      </w:r>
      <w:r>
        <w:rPr>
          <w:rFonts w:ascii="Times New Roman" w:hAnsi="Times New Roman"/>
          <w:sz w:val="20"/>
        </w:rPr>
        <w:t xml:space="preserve">” means a day, other than a Saturday or Sunday, on which banks in New York City are open for the general transaction of business.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b/>
          <w:i/>
          <w:sz w:val="20"/>
        </w:rPr>
        <w:t>Common Stock Equivalents</w:t>
      </w:r>
      <w:r>
        <w:rPr>
          <w:rFonts w:ascii="Times New Roman" w:hAnsi="Times New Roman"/>
          <w:sz w:val="20"/>
        </w:rPr>
        <w:t xml:space="preserve">” shall mean any securities of the Company that would entitle the holder thereof to acquire at any time Common Stock, including, without limitation, any debt, preferred stock, rights, options, warrants or other instrument that is at any time convertible into or exchangeable for, or otherwise entitles the holder thereof to receive, Common Stock.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b/>
          <w:i/>
          <w:sz w:val="20"/>
        </w:rPr>
        <w:t>Disclosure Time</w:t>
      </w:r>
      <w:r>
        <w:rPr>
          <w:rFonts w:ascii="Times New Roman" w:hAnsi="Times New Roman"/>
          <w:sz w:val="20"/>
        </w:rPr>
        <w:t xml:space="preserve">” means, (i) if this Agreement is signed on a day that is not a Business Day or after 9:00 a.m. (New York City time) and before midnight (New York City time) on any Business Day, 9:01 a.m. (New York City time) on the Business Day immediately following the date hereof and (ii) if this Agreement is signed between midnight (New York City time) and 9:00 a.m. (New York City time) on any Business Day, no later than 9:01 a.m. (New York City time) on the date hereof.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(e) “</w:t>
      </w:r>
      <w:r>
        <w:rPr>
          <w:rFonts w:ascii="Times New Roman" w:hAnsi="Times New Roman"/>
          <w:b/>
          <w:i/>
          <w:sz w:val="20"/>
        </w:rPr>
        <w:t>Law</w:t>
      </w:r>
      <w:r>
        <w:rPr>
          <w:rFonts w:ascii="Times New Roman" w:hAnsi="Times New Roman"/>
          <w:sz w:val="20"/>
        </w:rPr>
        <w:t xml:space="preserve">” means any federal, state, local or foreign law (including common law), statute, code, ordinance, rule, regulation, order, judgment, writ, stipulation, action, award, injunction, decree, arbitration award or finding or any other legally enforceable requirement.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b/>
          <w:i/>
          <w:sz w:val="20"/>
        </w:rPr>
        <w:t>Person</w:t>
      </w:r>
      <w:r>
        <w:rPr>
          <w:rFonts w:ascii="Times New Roman" w:hAnsi="Times New Roman"/>
          <w:sz w:val="20"/>
        </w:rPr>
        <w:t xml:space="preserve">” means an individual, corporation, partnership, limited liability company, trust, business trust, association, joint stock company, joint venture, sole proprietorship, unincorporated organization, governmental authority or any other form of entity not specifically listed herein.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b/>
          <w:i/>
          <w:sz w:val="20"/>
        </w:rPr>
        <w:t>Trading Market</w:t>
      </w:r>
      <w:r>
        <w:rPr>
          <w:rFonts w:ascii="Times New Roman" w:hAnsi="Times New Roman"/>
          <w:sz w:val="20"/>
        </w:rPr>
        <w:t xml:space="preserve">” means the Nasdaq Global Market.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3 CLOSING, CLOSING CONDITIONS AND CLOSING DELIVERIES. </w:t>
      </w:r>
    </w:p>
    <w:p>
      <w:pPr>
        <w:pStyle w:val="TextBody"/>
        <w:bidi w:val="0"/>
        <w:spacing w:before="120" w:after="0"/>
        <w:jc w:val="left"/>
        <w:rPr>
          <w:rFonts w:ascii="Times New Roman" w:hAnsi="Times New Roman"/>
          <w:sz w:val="20"/>
        </w:rPr>
      </w:pPr>
      <w:r>
        <w:rPr>
          <w:rFonts w:ascii="Times New Roman" w:hAnsi="Times New Roman"/>
          <w:sz w:val="20"/>
        </w:rPr>
        <w:t>3.1 </w:t>
      </w:r>
      <w:r>
        <w:rPr>
          <w:rFonts w:ascii="Times New Roman" w:hAnsi="Times New Roman"/>
          <w:sz w:val="20"/>
          <w:u w:val="single"/>
        </w:rPr>
        <w:t>Closing</w:t>
      </w:r>
      <w:r>
        <w:rPr>
          <w:rFonts w:ascii="Times New Roman" w:hAnsi="Times New Roman"/>
          <w:sz w:val="20"/>
        </w:rPr>
        <w:t>. The closing of the purchase and sale of the Shares pursuant to this Agreement (the “</w:t>
      </w:r>
      <w:r>
        <w:rPr>
          <w:rFonts w:ascii="Times New Roman" w:hAnsi="Times New Roman"/>
          <w:b/>
          <w:i/>
          <w:sz w:val="20"/>
        </w:rPr>
        <w:t>Closing</w:t>
      </w:r>
      <w:r>
        <w:rPr>
          <w:rFonts w:ascii="Times New Roman" w:hAnsi="Times New Roman"/>
          <w:sz w:val="20"/>
        </w:rPr>
        <w:t xml:space="preserve">”) shall occur no later than 5:00 p.m., New York time, on </w:t>
      </w:r>
      <w:r>
        <w:rPr>
          <w:rFonts w:ascii="Times New Roman" w:hAnsi="Times New Roman"/>
          <w:sz w:val="20"/>
          <w:u w:val="single"/>
        </w:rPr>
        <w:t>October 24, 2025</w:t>
      </w:r>
      <w:r>
        <w:rPr>
          <w:rFonts w:ascii="Times New Roman" w:hAnsi="Times New Roman"/>
          <w:sz w:val="20"/>
        </w:rPr>
        <w:t xml:space="preserve">, subject to the satisfaction or waiver of all of conditions set forth in </w:t>
      </w:r>
      <w:r>
        <w:rPr>
          <w:rFonts w:ascii="Times New Roman" w:hAnsi="Times New Roman"/>
          <w:sz w:val="20"/>
          <w:u w:val="single"/>
        </w:rPr>
        <w:t>Section 3.2</w:t>
      </w:r>
      <w:r>
        <w:rPr>
          <w:rFonts w:ascii="Times New Roman" w:hAnsi="Times New Roman"/>
          <w:sz w:val="20"/>
        </w:rPr>
        <w:t xml:space="preserve"> and the delivery of all of the closing deliveries set forth in </w:t>
      </w:r>
      <w:r>
        <w:rPr>
          <w:rFonts w:ascii="Times New Roman" w:hAnsi="Times New Roman"/>
          <w:sz w:val="20"/>
          <w:u w:val="single"/>
        </w:rPr>
        <w:t>Section 3.3</w:t>
      </w:r>
      <w:r>
        <w:rPr>
          <w:rFonts w:ascii="Times New Roman" w:hAnsi="Times New Roman"/>
          <w:sz w:val="20"/>
        </w:rPr>
        <w:t xml:space="preserve"> or such later date as mutually agreed to by the Company and the Purchaser (such date, the “</w:t>
      </w:r>
      <w:r>
        <w:rPr>
          <w:rFonts w:ascii="Times New Roman" w:hAnsi="Times New Roman"/>
          <w:b/>
          <w:i/>
          <w:sz w:val="20"/>
        </w:rPr>
        <w:t>Closing Date</w:t>
      </w:r>
      <w:r>
        <w:rPr>
          <w:rFonts w:ascii="Times New Roman" w:hAnsi="Times New Roman"/>
          <w:sz w:val="20"/>
        </w:rPr>
        <w:t xml:space="preserve">”), remotely by electronic exchange of documents. At or prior to the Closing, each of the Company and the Purchaser shall execute any related agreements or other documents required hereunder to be executed as of the Closing hereunder, each dated as of the date of the Closing. </w:t>
      </w:r>
    </w:p>
    <w:p>
      <w:pPr>
        <w:pStyle w:val="TextBody"/>
        <w:bidi w:val="0"/>
        <w:spacing w:before="240" w:after="0"/>
        <w:jc w:val="left"/>
        <w:rPr>
          <w:rFonts w:ascii="Times New Roman" w:hAnsi="Times New Roman"/>
          <w:sz w:val="20"/>
        </w:rPr>
      </w:pPr>
      <w:r>
        <w:rPr>
          <w:rFonts w:ascii="Times New Roman" w:hAnsi="Times New Roman"/>
          <w:sz w:val="20"/>
        </w:rPr>
        <w:t>3.2 </w:t>
      </w:r>
      <w:r>
        <w:rPr>
          <w:rFonts w:ascii="Times New Roman" w:hAnsi="Times New Roman"/>
          <w:sz w:val="20"/>
          <w:u w:val="single"/>
        </w:rPr>
        <w:t>Closing Conditions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Mutual Closing Condition</w:t>
      </w:r>
      <w:r>
        <w:rPr>
          <w:rFonts w:ascii="Times New Roman" w:hAnsi="Times New Roman"/>
          <w:sz w:val="20"/>
        </w:rPr>
        <w:t xml:space="preserve">. The Company’s and the Purchaser’s obligation to purchase the Shares at the Closing is subject to the fulfillment, on or before the Closing, of the following condition, unless waived by the Company and the Purchaser solely as to itself: there shall have been no Law enacted, entered, promulgated, enforced or deemed applicable by any governmental authority of competent jurisdiction that is in effect and makes illegal or otherwise prohibits or materially delays the consummation of the Closing, and the Company shall have obtained all governmental, regulatory or third party consents and approvals, if any, necessary for the sale and issuance of the Shares.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Conditions to Purchaser’s Obligations</w:t>
      </w:r>
      <w:r>
        <w:rPr>
          <w:rFonts w:ascii="Times New Roman" w:hAnsi="Times New Roman"/>
          <w:sz w:val="20"/>
        </w:rPr>
        <w:t xml:space="preserve">. The Purchaser’s obligation to purchase the Shares at the Closing is subject to the fulfillment, on or before the Closing, of each of the following conditions, unless waived by the Purchaser solely as to itself: </w:t>
      </w:r>
    </w:p>
    <w:p>
      <w:pPr>
        <w:pStyle w:val="TextBody"/>
        <w:bidi w:val="0"/>
        <w:spacing w:before="120" w:after="0"/>
        <w:jc w:val="left"/>
        <w:rPr>
          <w:rFonts w:ascii="Times New Roman" w:hAnsi="Times New Roman"/>
          <w:sz w:val="20"/>
        </w:rPr>
      </w:pPr>
      <w:r>
        <w:rPr>
          <w:rFonts w:ascii="Times New Roman" w:hAnsi="Times New Roman"/>
          <w:sz w:val="20"/>
        </w:rPr>
        <w:t xml:space="preserve">(i) The Company’s representations and warranties in </w:t>
      </w:r>
      <w:r>
        <w:rPr>
          <w:rFonts w:ascii="Times New Roman" w:hAnsi="Times New Roman"/>
          <w:sz w:val="20"/>
          <w:u w:val="single"/>
        </w:rPr>
        <w:t>Section 4</w:t>
      </w:r>
      <w:r>
        <w:rPr>
          <w:rFonts w:ascii="Times New Roman" w:hAnsi="Times New Roman"/>
          <w:sz w:val="20"/>
        </w:rPr>
        <w:t xml:space="preserve"> shall be true and correct in all respects as of the date hereof and as of the Closing Date (unless such representation or warranty was made as of a specific date, in which case such representation and warranty shall be true and correct as of such date). </w:t>
      </w:r>
    </w:p>
    <w:p>
      <w:pPr>
        <w:pStyle w:val="TextBody"/>
        <w:bidi w:val="0"/>
        <w:spacing w:before="240" w:after="0"/>
        <w:jc w:val="left"/>
        <w:rPr>
          <w:rFonts w:ascii="Times New Roman" w:hAnsi="Times New Roman"/>
          <w:sz w:val="20"/>
        </w:rPr>
      </w:pPr>
      <w:r>
        <w:rPr>
          <w:rFonts w:ascii="Times New Roman" w:hAnsi="Times New Roman"/>
          <w:sz w:val="20"/>
        </w:rPr>
        <w:t xml:space="preserve">(ii) The Company shall have performed and complied with in all material respects all agreements and conditions herein required to be performed or complied with by the Company hereunder on or before the Closing, or any breach or failure to do so has been cured. </w:t>
      </w:r>
    </w:p>
    <w:p>
      <w:pPr>
        <w:pStyle w:val="TextBody"/>
        <w:bidi w:val="0"/>
        <w:spacing w:before="240" w:after="0"/>
        <w:jc w:val="left"/>
        <w:rPr>
          <w:rFonts w:ascii="Times New Roman" w:hAnsi="Times New Roman"/>
          <w:sz w:val="20"/>
        </w:rPr>
      </w:pPr>
      <w:r>
        <w:rPr>
          <w:rFonts w:ascii="Times New Roman" w:hAnsi="Times New Roman"/>
          <w:sz w:val="20"/>
        </w:rPr>
        <w:t xml:space="preserve">(iii) There shall have been no Material Adverse Effect with respect to the Company since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(iv) The Company shall have delivered the items set forth in </w:t>
      </w:r>
      <w:r>
        <w:rPr>
          <w:rFonts w:ascii="Times New Roman" w:hAnsi="Times New Roman"/>
          <w:sz w:val="20"/>
          <w:u w:val="single"/>
        </w:rPr>
        <w:t>Section 3.3</w:t>
      </w:r>
      <w:r>
        <w:rPr>
          <w:rFonts w:ascii="Times New Roman" w:hAnsi="Times New Roman"/>
          <w:sz w:val="20"/>
        </w:rPr>
        <w:t xml:space="preserve"> that it is required to deliver.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(v) From the date hereof to the Closing Date, trading in the Common Stock shall not have been suspended by the Commission or the Trading Market, nor shall suspension have been threatened either (A) in writing by the Commission or the Trading Market or (B) by falling below the minimum maintenance requirements of the Trading Market, and, at any time prior to the Closing Date, trading in securities generally as reported by Bloomberg L.P. shall not have been suspended or limited, or minimum prices shall not have been established on securities whose trades are reported by such service, or on the New York Stock Exchange, the NYSE American or the Nasdaq Stock Market, nor shall a banking moratorium have been declared either by the United States or New York State authorities. </w:t>
      </w:r>
    </w:p>
    <w:p>
      <w:pPr>
        <w:pStyle w:val="TextBody"/>
        <w:bidi w:val="0"/>
        <w:spacing w:before="240" w:after="0"/>
        <w:jc w:val="left"/>
        <w:rPr>
          <w:rFonts w:ascii="Times New Roman" w:hAnsi="Times New Roman"/>
          <w:sz w:val="20"/>
        </w:rPr>
      </w:pPr>
      <w:r>
        <w:rPr>
          <w:rFonts w:ascii="Times New Roman" w:hAnsi="Times New Roman"/>
          <w:sz w:val="20"/>
        </w:rPr>
        <w:t xml:space="preserve">(vi) The Company shall have filed with the Trading Market an application for the listing of the Shares and shall have received no objections to such notice from the Trading Market.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Conditions to the Company’s Obligations</w:t>
      </w:r>
      <w:r>
        <w:rPr>
          <w:rFonts w:ascii="Times New Roman" w:hAnsi="Times New Roman"/>
          <w:sz w:val="20"/>
        </w:rPr>
        <w:t xml:space="preserve">. The Company’s obligation to issue and sell the Shares at the Closing to the Purchaser is subject to the fulfillment, on or before the Closing, of each of the following conditions, unless waived: </w:t>
      </w:r>
    </w:p>
    <w:p>
      <w:pPr>
        <w:pStyle w:val="TextBody"/>
        <w:bidi w:val="0"/>
        <w:spacing w:before="120" w:after="0"/>
        <w:jc w:val="left"/>
        <w:rPr>
          <w:rFonts w:ascii="Times New Roman" w:hAnsi="Times New Roman"/>
          <w:sz w:val="20"/>
        </w:rPr>
      </w:pPr>
      <w:r>
        <w:rPr>
          <w:rFonts w:ascii="Times New Roman" w:hAnsi="Times New Roman"/>
          <w:sz w:val="20"/>
        </w:rPr>
        <w:t xml:space="preserve">(i) The Purchaser’s representations and warranties in </w:t>
      </w:r>
      <w:r>
        <w:rPr>
          <w:rFonts w:ascii="Times New Roman" w:hAnsi="Times New Roman"/>
          <w:sz w:val="20"/>
          <w:u w:val="single"/>
        </w:rPr>
        <w:t>Section 5</w:t>
      </w:r>
      <w:r>
        <w:rPr>
          <w:rFonts w:ascii="Times New Roman" w:hAnsi="Times New Roman"/>
          <w:sz w:val="20"/>
        </w:rPr>
        <w:t xml:space="preserve"> shall be true and correct in all material respects at the date of the Closing, with the same force and effect as if they had been made on and as of said date. </w:t>
      </w:r>
    </w:p>
    <w:p>
      <w:pPr>
        <w:pStyle w:val="TextBody"/>
        <w:bidi w:val="0"/>
        <w:spacing w:before="240" w:after="0"/>
        <w:jc w:val="left"/>
        <w:rPr>
          <w:rFonts w:ascii="Times New Roman" w:hAnsi="Times New Roman"/>
          <w:sz w:val="20"/>
        </w:rPr>
      </w:pPr>
      <w:r>
        <w:rPr>
          <w:rFonts w:ascii="Times New Roman" w:hAnsi="Times New Roman"/>
          <w:sz w:val="20"/>
        </w:rPr>
        <w:t xml:space="preserve">(ii) The Purchaser shall have performed and complied with in all material respects all agreements and conditions herein required to be performed or complied with by it on or before the Closing, or any breach or failure to do so has been cured. </w:t>
      </w:r>
    </w:p>
    <w:p>
      <w:pPr>
        <w:pStyle w:val="TextBody"/>
        <w:bidi w:val="0"/>
        <w:spacing w:before="240" w:after="0"/>
        <w:jc w:val="left"/>
        <w:rPr>
          <w:rFonts w:ascii="Times New Roman" w:hAnsi="Times New Roman"/>
          <w:sz w:val="20"/>
        </w:rPr>
      </w:pPr>
      <w:r>
        <w:rPr>
          <w:rFonts w:ascii="Times New Roman" w:hAnsi="Times New Roman"/>
          <w:sz w:val="20"/>
        </w:rPr>
        <w:t>3.3 </w:t>
      </w:r>
      <w:r>
        <w:rPr>
          <w:rFonts w:ascii="Times New Roman" w:hAnsi="Times New Roman"/>
          <w:sz w:val="20"/>
          <w:u w:val="single"/>
        </w:rPr>
        <w:t>Closing Deliveries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Payment of the Purchase Price at Closing</w:t>
      </w:r>
      <w:r>
        <w:rPr>
          <w:rFonts w:ascii="Times New Roman" w:hAnsi="Times New Roman"/>
          <w:sz w:val="20"/>
        </w:rPr>
        <w:t xml:space="preserve">. At the Closing, following receipt of evidence of the issuance of Shares as set forth in </w:t>
      </w:r>
      <w:r>
        <w:rPr>
          <w:rFonts w:ascii="Times New Roman" w:hAnsi="Times New Roman"/>
          <w:sz w:val="20"/>
          <w:u w:val="single"/>
        </w:rPr>
        <w:t>Section 3.3(b</w:t>
      </w:r>
      <w:r>
        <w:rPr>
          <w:rFonts w:ascii="Times New Roman" w:hAnsi="Times New Roman"/>
          <w:sz w:val="20"/>
        </w:rPr>
        <w:t xml:space="preserve">), if required, the Purchaser shall deliver, or cause to be delivered, to the Company, an amount equal to the Purchase Price by wire transfer of immediately available funds to the Company’s account pursuant to wire instructions set forth in </w:t>
      </w:r>
      <w:r>
        <w:rPr>
          <w:rFonts w:ascii="Times New Roman" w:hAnsi="Times New Roman"/>
          <w:sz w:val="20"/>
          <w:u w:val="single"/>
        </w:rPr>
        <w:t>Schedule 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Issuance of the Shares at the Closing</w:t>
      </w:r>
      <w:r>
        <w:rPr>
          <w:rFonts w:ascii="Times New Roman" w:hAnsi="Times New Roman"/>
          <w:sz w:val="20"/>
        </w:rPr>
        <w:t xml:space="preserve">. At the Closing, the Company shall issue, or cause the Company’s transfer agent to issue, to the Purchaser through a book-entry account maintained by the Company’s transfer agent the number of Shares purchased by the Purchaser, as set forth in </w:t>
      </w:r>
      <w:r>
        <w:rPr>
          <w:rFonts w:ascii="Times New Roman" w:hAnsi="Times New Roman"/>
          <w:sz w:val="20"/>
          <w:u w:val="single"/>
        </w:rPr>
        <w:t>Schedule A</w:t>
      </w:r>
      <w:r>
        <w:rPr>
          <w:rFonts w:ascii="Times New Roman" w:hAnsi="Times New Roman"/>
          <w:sz w:val="20"/>
        </w:rPr>
        <w:t xml:space="preserve"> hereto, dated as of the Closing Date and in the name of the Purchaser (or its nominee in accordance with its delivery instructions) at the Closing against payment by the Purchaser of the Purchase Price (it being understood that the Purchaser may require receipt of evidence of such issuance prior to authorizing the release of the Purchase Price). Such Shares shall bear the legends set forth in </w:t>
      </w:r>
      <w:r>
        <w:rPr>
          <w:rFonts w:ascii="Times New Roman" w:hAnsi="Times New Roman"/>
          <w:sz w:val="20"/>
          <w:u w:val="single"/>
        </w:rPr>
        <w:t>Section 5.11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Secretary’s Certificate</w:t>
      </w:r>
      <w:r>
        <w:rPr>
          <w:rFonts w:ascii="Times New Roman" w:hAnsi="Times New Roman"/>
          <w:sz w:val="20"/>
        </w:rPr>
        <w:t xml:space="preserve">. At the Closing, the Purchaser shall have received a certificate signed by the Secretary of the Company, certifying as to (i) the resolutions of the Board of Directors of the Company or a duly authorized committee thereof approving this Agreement and all of the transactions contemplated hereunder, (ii) the Certificate of Incorporation, (iii) the Bylaws, and (iv) the good standing of the Company in the State of Delaware and the Commonwealth of Massachusetts (as evidenced by certificates obtained from such jurisdictions dated within five (5) Business Days of the date hereof).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Compliance Certificate</w:t>
      </w:r>
      <w:r>
        <w:rPr>
          <w:rFonts w:ascii="Times New Roman" w:hAnsi="Times New Roman"/>
          <w:sz w:val="20"/>
        </w:rPr>
        <w:t xml:space="preserve">. At the Closing, the Purchaser shall have received a certificate signed by the President and Chief Executive Officer of the Company certifying to the fulfillment of the conditions set forth in </w:t>
      </w:r>
      <w:r>
        <w:rPr>
          <w:rFonts w:ascii="Times New Roman" w:hAnsi="Times New Roman"/>
          <w:sz w:val="20"/>
          <w:u w:val="single"/>
        </w:rPr>
        <w:t>Section 3.2(b)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(e) </w:t>
      </w:r>
      <w:r>
        <w:rPr>
          <w:rFonts w:ascii="Times New Roman" w:hAnsi="Times New Roman"/>
          <w:sz w:val="20"/>
          <w:u w:val="single"/>
        </w:rPr>
        <w:t>Opinion</w:t>
      </w:r>
      <w:r>
        <w:rPr>
          <w:rFonts w:ascii="Times New Roman" w:hAnsi="Times New Roman"/>
          <w:sz w:val="20"/>
        </w:rPr>
        <w:t xml:space="preserve">. At the Closing, the Purchaser shall have received an opinion of </w:t>
      </w:r>
      <w:r>
        <w:rPr>
          <w:rFonts w:ascii="Times New Roman" w:hAnsi="Times New Roman"/>
          <w:sz w:val="20"/>
          <w:u w:val="single"/>
        </w:rPr>
        <w:t>Goodwin Procter LLP</w:t>
      </w:r>
      <w:r>
        <w:rPr>
          <w:rFonts w:ascii="Times New Roman" w:hAnsi="Times New Roman"/>
          <w:sz w:val="20"/>
        </w:rPr>
        <w:t xml:space="preserve">, counsel for the Company, dated as of the Closing Date, in substantially the form attached hereto as </w:t>
      </w:r>
      <w:r>
        <w:rPr>
          <w:rFonts w:ascii="Times New Roman" w:hAnsi="Times New Roman"/>
          <w:sz w:val="20"/>
          <w:u w:val="single"/>
        </w:rPr>
        <w:t>Exhibit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sz w:val="20"/>
          <w:u w:val="single"/>
        </w:rPr>
        <w:t>Lock-Up Agreements</w:t>
      </w:r>
      <w:r>
        <w:rPr>
          <w:rFonts w:ascii="Times New Roman" w:hAnsi="Times New Roman"/>
          <w:sz w:val="20"/>
        </w:rPr>
        <w:t xml:space="preserve">. At the Closing, the Purchaser shall have received executed lock-up agreements, dated as of the date hereof, by and among the Company and the directors and officers of the Company listed on </w:t>
      </w:r>
      <w:r>
        <w:rPr>
          <w:rFonts w:ascii="Times New Roman" w:hAnsi="Times New Roman"/>
          <w:sz w:val="20"/>
          <w:u w:val="single"/>
        </w:rPr>
        <w:t>Schedule C</w:t>
      </w:r>
      <w:r>
        <w:rPr>
          <w:rFonts w:ascii="Times New Roman" w:hAnsi="Times New Roman"/>
          <w:sz w:val="20"/>
        </w:rPr>
        <w:t xml:space="preserve"> hereto, in the form attached hereto as </w:t>
      </w:r>
      <w:r>
        <w:rPr>
          <w:rFonts w:ascii="Times New Roman" w:hAnsi="Times New Roman"/>
          <w:sz w:val="20"/>
          <w:u w:val="single"/>
        </w:rPr>
        <w:t>Exhibit B</w:t>
      </w:r>
      <w:r>
        <w:rPr>
          <w:rFonts w:ascii="Times New Roman" w:hAnsi="Times New Roman"/>
          <w:sz w:val="20"/>
        </w:rPr>
        <w:t xml:space="preserve">, which lock-up agreement may only be waived by the Company upon receipt of written consent of the Purchaser.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4 REPRESENTATIONS AND WARRANTIES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disclosed in SEC Documents (as defined in Section 4.4 below) made on or prior to October 23, 2025, the Company hereby represents and warrants to the Purchaser as follows: </w:t>
      </w:r>
    </w:p>
    <w:p>
      <w:pPr>
        <w:pStyle w:val="TextBody"/>
        <w:bidi w:val="0"/>
        <w:spacing w:before="120" w:after="0"/>
        <w:jc w:val="left"/>
        <w:rPr>
          <w:rFonts w:ascii="Times New Roman" w:hAnsi="Times New Roman"/>
          <w:sz w:val="20"/>
        </w:rPr>
      </w:pPr>
      <w:r>
        <w:rPr>
          <w:rFonts w:ascii="Times New Roman" w:hAnsi="Times New Roman"/>
          <w:sz w:val="20"/>
        </w:rPr>
        <w:t>4.1 </w:t>
      </w:r>
      <w:r>
        <w:rPr>
          <w:rFonts w:ascii="Times New Roman" w:hAnsi="Times New Roman"/>
          <w:sz w:val="20"/>
          <w:u w:val="single"/>
        </w:rPr>
        <w:t>Organization and Standing; Subsidiaries</w:t>
      </w:r>
      <w:r>
        <w:rPr>
          <w:rFonts w:ascii="Times New Roman" w:hAnsi="Times New Roman"/>
          <w:sz w:val="20"/>
        </w:rPr>
        <w:t>. The Company has been duly incorporated or organized and is validly existing and in good standing under the laws of Delaware or other jurisdiction of incorporation or organization, has full corporate or other power and authority necessary to own or lease its properties and conduct its business as presently conducted, and is duly qualified as a foreign corporation and in good standing in all jurisdictions in which the character of the property owned or leased or the nature of the business transacted by it makes qualification necessary, except where the failure to be so qualified would not have resulted in: (a) a material adverse effect on the legality, validity or enforceability of this Agreement, (b) a material adverse effect on the results of operations, properties, assets, management, stockholders’ equity, prospects, business or condition (financial or otherwise) of the Company and its subsidiaries, taken as a whole, or (c) a material adverse effect on the Company’s ability to perform on a timely basis its material obligations under this Agreement with respect to Closing (any of (a), (b) or (c), a “</w:t>
      </w:r>
      <w:r>
        <w:rPr>
          <w:rFonts w:ascii="Times New Roman" w:hAnsi="Times New Roman"/>
          <w:b/>
          <w:i/>
          <w:sz w:val="20"/>
        </w:rPr>
        <w:t>Material Adverse Effect</w:t>
      </w:r>
      <w:r>
        <w:rPr>
          <w:rFonts w:ascii="Times New Roman" w:hAnsi="Times New Roman"/>
          <w:sz w:val="20"/>
        </w:rPr>
        <w:t xml:space="preserve">.”) Except for its wholly-owned subsidiaries as set forth in Exhibit 21 to the Company’s Annual Report on Form 10-K for the fiscal year ended December 31, 2022, the Company does not own, directly or indirectly, any shares of stock or any other equity or long-term debt securities of any corporation or have any equity interest in any corporation, firm, partnership, joint venture, association or other entity. </w:t>
      </w:r>
    </w:p>
    <w:p>
      <w:pPr>
        <w:pStyle w:val="TextBody"/>
        <w:bidi w:val="0"/>
        <w:spacing w:before="240" w:after="0"/>
        <w:jc w:val="left"/>
        <w:rPr>
          <w:rFonts w:ascii="Times New Roman" w:hAnsi="Times New Roman"/>
          <w:sz w:val="20"/>
        </w:rPr>
      </w:pPr>
      <w:r>
        <w:rPr>
          <w:rFonts w:ascii="Times New Roman" w:hAnsi="Times New Roman"/>
          <w:sz w:val="20"/>
        </w:rPr>
        <w:t>4.2 </w:t>
      </w:r>
      <w:r>
        <w:rPr>
          <w:rFonts w:ascii="Times New Roman" w:hAnsi="Times New Roman"/>
          <w:sz w:val="20"/>
          <w:u w:val="single"/>
        </w:rPr>
        <w:t>Corporate Power; Authorization</w:t>
      </w:r>
      <w:r>
        <w:rPr>
          <w:rFonts w:ascii="Times New Roman" w:hAnsi="Times New Roman"/>
          <w:sz w:val="20"/>
        </w:rPr>
        <w:t xml:space="preserve">. The Company has all requisite corporate power, and the Company and its Board of Directors have taken all requisite corporate action, to authorize, execute and deliver this Agreement, to consummate the transactions contemplated herein, including to sell, issue and deliver the Shares to the Purchaser, and to carry out and perform all of the Company’s obligations hereunder and thereunder, and no further action is required by the Company, the Board of Directors or the Company’s stockholders in connection herewith. This Agreement constitutes the legal, valid and binding obligation of the Company, enforceable against the Company in accordance with its terms, except (a) as limited by applicable bankruptcy, insolvency, reorganization, moratorium or similar laws relating to or affecting the enforcement of creditors’ rights generally and (b) as limited by equitable principles generally, including any specific performance. </w:t>
      </w:r>
    </w:p>
    <w:p>
      <w:pPr>
        <w:pStyle w:val="TextBody"/>
        <w:bidi w:val="0"/>
        <w:spacing w:before="240" w:after="0"/>
        <w:jc w:val="left"/>
        <w:rPr>
          <w:rFonts w:ascii="Times New Roman" w:hAnsi="Times New Roman"/>
          <w:sz w:val="20"/>
        </w:rPr>
      </w:pPr>
      <w:r>
        <w:rPr>
          <w:rFonts w:ascii="Times New Roman" w:hAnsi="Times New Roman"/>
          <w:sz w:val="20"/>
        </w:rPr>
        <w:t>4.3 </w:t>
      </w:r>
      <w:r>
        <w:rPr>
          <w:rFonts w:ascii="Times New Roman" w:hAnsi="Times New Roman"/>
          <w:sz w:val="20"/>
          <w:u w:val="single"/>
        </w:rPr>
        <w:t>Issuance and Delivery of the Shares</w:t>
      </w:r>
      <w:r>
        <w:rPr>
          <w:rFonts w:ascii="Times New Roman" w:hAnsi="Times New Roman"/>
          <w:sz w:val="20"/>
        </w:rPr>
        <w:t xml:space="preserve">. The Shares have been duly authorized and, when issued and paid for in compliance with the provisions of this Agreement, will be validly issued, fully paid and nonassessable. The issuance and delivery of the Shares is not subject to preemptive, co-sale, right of first refusal or any other similar rights of the stockholders of the Company or any other Person or any liens or encumbrances, other than encumbrances under applicable securities laws. Assuming the accuracy of the representations made by the Purchaser in </w:t>
      </w:r>
      <w:r>
        <w:rPr>
          <w:rFonts w:ascii="Times New Roman" w:hAnsi="Times New Roman"/>
          <w:sz w:val="20"/>
          <w:u w:val="single"/>
        </w:rPr>
        <w:t>Section 5</w:t>
      </w:r>
      <w:r>
        <w:rPr>
          <w:rFonts w:ascii="Times New Roman" w:hAnsi="Times New Roman"/>
          <w:sz w:val="20"/>
        </w:rPr>
        <w:t>, the offer and issuance by the Company of the Shares is exempt from registration under the Securities Act of 1933, as amended (the “</w:t>
      </w:r>
      <w:r>
        <w:rPr>
          <w:rFonts w:ascii="Times New Roman" w:hAnsi="Times New Roman"/>
          <w:b/>
          <w:i/>
          <w:sz w:val="20"/>
        </w:rPr>
        <w:t>Securities Act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4.4 </w:t>
      </w:r>
      <w:r>
        <w:rPr>
          <w:rFonts w:ascii="Times New Roman" w:hAnsi="Times New Roman"/>
          <w:sz w:val="20"/>
          <w:u w:val="single"/>
        </w:rPr>
        <w:t>SEC Documents; Financial Statements; Independent Accountants</w:t>
      </w:r>
      <w:r>
        <w:rPr>
          <w:rFonts w:ascii="Times New Roman" w:hAnsi="Times New Roman"/>
          <w:sz w:val="20"/>
        </w:rPr>
        <w:t>. The Company is not an “ineligible issuer” (as defined in Rule 405 promulgated under the Securities Act). The Company is subject to the reporting requirements of the Securities Exchange Act of 1934, as amended (the “</w:t>
      </w:r>
      <w:r>
        <w:rPr>
          <w:rFonts w:ascii="Times New Roman" w:hAnsi="Times New Roman"/>
          <w:b/>
          <w:i/>
          <w:sz w:val="20"/>
        </w:rPr>
        <w:t>Exchange Act</w:t>
      </w:r>
      <w:r>
        <w:rPr>
          <w:rFonts w:ascii="Times New Roman" w:hAnsi="Times New Roman"/>
          <w:sz w:val="20"/>
        </w:rPr>
        <w:t>”), and has filed or will file in a timely manner all documents that the Company was or is required to file with the Securities and Exchange Commission (the “</w:t>
      </w:r>
      <w:r>
        <w:rPr>
          <w:rFonts w:ascii="Times New Roman" w:hAnsi="Times New Roman"/>
          <w:b/>
          <w:i/>
          <w:sz w:val="20"/>
        </w:rPr>
        <w:t>Commission</w:t>
      </w:r>
      <w:r>
        <w:rPr>
          <w:rFonts w:ascii="Times New Roman" w:hAnsi="Times New Roman"/>
          <w:sz w:val="20"/>
        </w:rPr>
        <w:t>”) under Sections 13, 14(a) and 15(d) of the Exchange Act, since becoming subject to the requirements of the Exchange Act (the foregoing documents (together with any documents filed by the Company under the Exchange Act, whether or not required) being collectively referred to herein as the “</w:t>
      </w:r>
      <w:r>
        <w:rPr>
          <w:rFonts w:ascii="Times New Roman" w:hAnsi="Times New Roman"/>
          <w:b/>
          <w:i/>
          <w:sz w:val="20"/>
        </w:rPr>
        <w:t>SEC Documents</w:t>
      </w:r>
      <w:r>
        <w:rPr>
          <w:rFonts w:ascii="Times New Roman" w:hAnsi="Times New Roman"/>
          <w:sz w:val="20"/>
        </w:rPr>
        <w:t>”). As of their respective filing dates (or, if amended prior to the date of this Agreement, when amended), all SEC Documents complied in all material respects with the requirements of the Exchange Act and the rules and regulations of the Commission promulgated thereunder. None of the SEC Documents as of their respective filing dates contained any untrue statement of material fact or omitted to state a material fact required to be stated therein or necessary to make the statements made therein, in light of the circumstances under which they were made, not misleading. The financial statements of the Company set forth in the SEC Documents (the “</w:t>
      </w:r>
      <w:r>
        <w:rPr>
          <w:rFonts w:ascii="Times New Roman" w:hAnsi="Times New Roman"/>
          <w:b/>
          <w:i/>
          <w:sz w:val="20"/>
        </w:rPr>
        <w:t>Financial Statements</w:t>
      </w:r>
      <w:r>
        <w:rPr>
          <w:rFonts w:ascii="Times New Roman" w:hAnsi="Times New Roman"/>
          <w:sz w:val="20"/>
        </w:rPr>
        <w:t xml:space="preserve">”) comply in all material respects with applicable accounting requirements and with the published rules and regulations of the Commission with respect thereto. The Financial Statements have been prepared in accordance with United States generally accepted accounting principles consistently applied and fairly present the financial position of the Company at the dates thereof and the results of its operations and cash flows for the periods then ended (subject, in the case of unaudited statements, to normal, recurring adjustments). The accountants who certified the Financial Statements are independent public accountants as required by the Securities Act and the Exchange Act and the regulations thereunder and the Public Company Accounting Oversight Board. </w:t>
      </w:r>
    </w:p>
    <w:p>
      <w:pPr>
        <w:pStyle w:val="TextBody"/>
        <w:bidi w:val="0"/>
        <w:spacing w:before="240" w:after="0"/>
        <w:jc w:val="left"/>
        <w:rPr>
          <w:rFonts w:ascii="Times New Roman" w:hAnsi="Times New Roman"/>
          <w:sz w:val="20"/>
        </w:rPr>
      </w:pPr>
      <w:r>
        <w:rPr>
          <w:rFonts w:ascii="Times New Roman" w:hAnsi="Times New Roman"/>
          <w:sz w:val="20"/>
        </w:rPr>
        <w:t>4.5 </w:t>
      </w:r>
      <w:r>
        <w:rPr>
          <w:rFonts w:ascii="Times New Roman" w:hAnsi="Times New Roman"/>
          <w:sz w:val="20"/>
          <w:u w:val="single"/>
        </w:rPr>
        <w:t>Capitalization</w:t>
      </w:r>
      <w:r>
        <w:rPr>
          <w:rFonts w:ascii="Times New Roman" w:hAnsi="Times New Roman"/>
          <w:sz w:val="20"/>
        </w:rPr>
        <w:t>. As set forth in the SEC Documents as of the date set forth therein, all of the Company’s outstanding shares of capital stock have been duly authorized and validly issued and are fully paid and nonassessable, have been issued in compliance with all federal and state securities laws, and were not issued in violation of or subject to any preemptive right or other rights to subscribe for or purchase securities. Except as disclosed in the SEC Documents, there are no existing options, warrants, calls, subscriptions or other rights, agreements, arrangements or commitments of any character, relating to the issued or unissued capital stock of the Company, obligating the Company to issue, transfer, sell, redeem, purchase, repurchase or otherwise acquire or cause to be issued, transferred, sold, redeemed, purchased, repurchased or otherwise acquired any capital stock or voting debt of, or other equity interest in, the Company or securities or rights convertible into or exchangeable for such shares or equity interests or obligations of the Company to grant, extend or enter into any such option, warrant, call, subscription or other right, agreement, arrangement or commitment. Neither the execution of this Agreement nor the issuance of Common Stock or other securities pursuant to any provision of this Agreement will give rise to any preemptive rights or rights of first refusal on behalf of any Person or result in the triggering of any anti-dilution or other similar rights. Other than the Common Stock, there are no other shares of any other class or series of capital stock of the Company issued or outstanding. The Company’s Certificate of Incorporation, as amended and as in effect on the date hereof (the “</w:t>
      </w:r>
      <w:r>
        <w:rPr>
          <w:rFonts w:ascii="Times New Roman" w:hAnsi="Times New Roman"/>
          <w:b/>
          <w:i/>
          <w:sz w:val="20"/>
        </w:rPr>
        <w:t>Certificate of Incorporation</w:t>
      </w:r>
      <w:r>
        <w:rPr>
          <w:rFonts w:ascii="Times New Roman" w:hAnsi="Times New Roman"/>
          <w:sz w:val="20"/>
        </w:rPr>
        <w:t>”), and the Company’s Bylaws, as amended and as in effect on the date hereof (the “</w:t>
      </w:r>
      <w:r>
        <w:rPr>
          <w:rFonts w:ascii="Times New Roman" w:hAnsi="Times New Roman"/>
          <w:b/>
          <w:i/>
          <w:sz w:val="20"/>
        </w:rPr>
        <w:t>Bylaws</w:t>
      </w:r>
      <w:r>
        <w:rPr>
          <w:rFonts w:ascii="Times New Roman" w:hAnsi="Times New Roman"/>
          <w:sz w:val="20"/>
        </w:rPr>
        <w:t xml:space="preserve">”), are included in the SEC Documents, and the Company shall not amend or otherwise modify the Certificate of Incorporation or Bylaws prior to the Closing. </w:t>
      </w:r>
    </w:p>
    <w:p>
      <w:pPr>
        <w:pStyle w:val="TextBody"/>
        <w:bidi w:val="0"/>
        <w:spacing w:before="240" w:after="0"/>
        <w:jc w:val="left"/>
        <w:rPr>
          <w:rFonts w:ascii="Times New Roman" w:hAnsi="Times New Roman"/>
          <w:sz w:val="20"/>
        </w:rPr>
      </w:pPr>
      <w:r>
        <w:rPr>
          <w:rFonts w:ascii="Times New Roman" w:hAnsi="Times New Roman"/>
          <w:sz w:val="20"/>
        </w:rPr>
        <w:t>4.6 </w:t>
      </w:r>
      <w:r>
        <w:rPr>
          <w:rFonts w:ascii="Times New Roman" w:hAnsi="Times New Roman"/>
          <w:sz w:val="20"/>
          <w:u w:val="single"/>
        </w:rPr>
        <w:t>Litigation</w:t>
      </w:r>
      <w:r>
        <w:rPr>
          <w:rFonts w:ascii="Times New Roman" w:hAnsi="Times New Roman"/>
          <w:sz w:val="20"/>
        </w:rPr>
        <w:t xml:space="preserve">. There are no legal or governmental actions, suits or other proceedings pending or, to the knowledge of the Company, threatened against the Company, before or by any court, regulatory body or administrative agency or any other governmental agency or body, domestic or foreign, which actions, suits or proceedings, individually or in the aggregate, would reasonably be expected to (a) challenge this Agreement or prohibit or delay the transactions contemplated herein or (b) have a Material Adverse Effect. The Company is not a party to or subject to the provisions of any injunction, judgment, decree or order of any court, regulatory body, administrative agency or other governmental agency or body that might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4.7 </w:t>
      </w:r>
      <w:r>
        <w:rPr>
          <w:rFonts w:ascii="Times New Roman" w:hAnsi="Times New Roman"/>
          <w:sz w:val="20"/>
          <w:u w:val="single"/>
        </w:rPr>
        <w:t>Governmental Consents</w:t>
      </w:r>
      <w:r>
        <w:rPr>
          <w:rFonts w:ascii="Times New Roman" w:hAnsi="Times New Roman"/>
          <w:sz w:val="20"/>
        </w:rPr>
        <w:t xml:space="preserve">. No consent, approval, order or authorization of, or registration, qualification, designation, declaration or filing with, any federal, state, or local governmental authority or the Trading Market on the part of the Company is required in connection with the consummation of the transactions contemplated by this Agreement except for the filing of a Form D with the Commission under the Securities Act and compliance with the securities and blue sky laws in the states and other jurisdictions in which shares of Common Stock are offered and/or sold, which compliance will be effected by the Company in accordance with such laws and the Current Report on Form 8-K describing the terms of the transactions contemplated by this Agreement and attaching this Agreement as an exhibit to such filing. </w:t>
      </w:r>
    </w:p>
    <w:p>
      <w:pPr>
        <w:pStyle w:val="TextBody"/>
        <w:bidi w:val="0"/>
        <w:spacing w:before="240" w:after="0"/>
        <w:jc w:val="left"/>
        <w:rPr>
          <w:rFonts w:ascii="Times New Roman" w:hAnsi="Times New Roman"/>
          <w:sz w:val="20"/>
        </w:rPr>
      </w:pPr>
      <w:r>
        <w:rPr>
          <w:rFonts w:ascii="Times New Roman" w:hAnsi="Times New Roman"/>
          <w:sz w:val="20"/>
        </w:rPr>
        <w:t>4.8 </w:t>
      </w:r>
      <w:r>
        <w:rPr>
          <w:rFonts w:ascii="Times New Roman" w:hAnsi="Times New Roman"/>
          <w:sz w:val="20"/>
          <w:u w:val="single"/>
        </w:rPr>
        <w:t>No Default or Consents</w:t>
      </w:r>
      <w:r>
        <w:rPr>
          <w:rFonts w:ascii="Times New Roman" w:hAnsi="Times New Roman"/>
          <w:sz w:val="20"/>
        </w:rPr>
        <w:t xml:space="preserve">. The Company is not in violation or default under its organizational documents. Neither the execution, delivery or performance of this Agreement by the Company nor the consummation of any of the transactions contemplated hereby (including the issuance, sale and delivery by the Company of the Shares) will: (a) give rise to a right to terminate or accelerate the due date of any payment due under, or conflict with or result in the breach of any term or provision of, or constitute a default (or an event which with notice or lapse of time or both would constitute a default) under, or require any consent or waiver under, or result in the execution or imposition of any lien, charge or encumbrance upon any properties or assets of the Company pursuant to the terms of any indenture, mortgage, deed of trust or other agreement or instrument to which the Company is a party or by which any of its respective properties or business is bound, or any franchise, license, permit, judgment, decree, order, statute, rule or regulation (including federal and state securities laws and regulations) and the rules and regulations, assuming the correctness of the representations and warranties made by the Purchaser herein, of any self-regulatory organization to which the Company or its securities are subject, applicable to the Company, or (b) violate or conflict with any provision of the Certificate of Incorporation or the Bylaws, except in the case of clause (a) as would not cause, either individually or in the aggregate, a Material Adverse Effect, and except for such consents or waivers which have already been obtained and are in full force and effect. </w:t>
      </w:r>
    </w:p>
    <w:p>
      <w:pPr>
        <w:pStyle w:val="TextBody"/>
        <w:bidi w:val="0"/>
        <w:spacing w:before="240" w:after="0"/>
        <w:jc w:val="left"/>
        <w:rPr>
          <w:rFonts w:ascii="Times New Roman" w:hAnsi="Times New Roman"/>
          <w:sz w:val="20"/>
        </w:rPr>
      </w:pPr>
      <w:r>
        <w:rPr>
          <w:rFonts w:ascii="Times New Roman" w:hAnsi="Times New Roman"/>
          <w:sz w:val="20"/>
        </w:rPr>
        <w:t>4.9 </w:t>
      </w:r>
      <w:r>
        <w:rPr>
          <w:rFonts w:ascii="Times New Roman" w:hAnsi="Times New Roman"/>
          <w:sz w:val="20"/>
          <w:u w:val="single"/>
        </w:rPr>
        <w:t>No Material Adverse Change</w:t>
      </w:r>
      <w:r>
        <w:rPr>
          <w:rFonts w:ascii="Times New Roman" w:hAnsi="Times New Roman"/>
          <w:sz w:val="20"/>
        </w:rPr>
        <w:t xml:space="preserve">. Since December 31, 2024, there have been no events, occurrences or developments that have had or would reasonably be expected to have, either individually or in the aggregate, a Material Adverse Effect. Except for the transactions contemplated by this Agreement, no event, liability or development, other than events, liabilities and developments in the ordinary course of business, has occurred or exists with respect to the Company or its business, properties, operations or financial conditions that would be required to be disclosed by the Company under applicable securities laws at the Effective Date that has not been publicly disclosed at least one Business Day prior to the Effective Date. </w:t>
      </w:r>
    </w:p>
    <w:p>
      <w:pPr>
        <w:pStyle w:val="TextBody"/>
        <w:bidi w:val="0"/>
        <w:spacing w:before="240" w:after="0"/>
        <w:jc w:val="left"/>
        <w:rPr>
          <w:rFonts w:ascii="Times New Roman" w:hAnsi="Times New Roman"/>
          <w:sz w:val="20"/>
        </w:rPr>
      </w:pPr>
      <w:r>
        <w:rPr>
          <w:rFonts w:ascii="Times New Roman" w:hAnsi="Times New Roman"/>
          <w:sz w:val="20"/>
        </w:rPr>
        <w:t>4.10 </w:t>
      </w:r>
      <w:r>
        <w:rPr>
          <w:rFonts w:ascii="Times New Roman" w:hAnsi="Times New Roman"/>
          <w:sz w:val="20"/>
          <w:u w:val="single"/>
        </w:rPr>
        <w:t>No General Solicitation</w:t>
      </w:r>
      <w:r>
        <w:rPr>
          <w:rFonts w:ascii="Times New Roman" w:hAnsi="Times New Roman"/>
          <w:sz w:val="20"/>
        </w:rPr>
        <w:t xml:space="preserve">. Neither the Company, nor any of its Affiliates, nor any Person acting on its or their behalf, has engaged in any form of general solicitation or general advertising (within the meaning of Regulation D promulgated under the Securities Act) in connection with the offer or sale of the Shares. </w:t>
      </w:r>
    </w:p>
    <w:p>
      <w:pPr>
        <w:pStyle w:val="TextBody"/>
        <w:bidi w:val="0"/>
        <w:spacing w:before="240" w:after="0"/>
        <w:jc w:val="left"/>
        <w:rPr>
          <w:rFonts w:ascii="Times New Roman" w:hAnsi="Times New Roman"/>
          <w:sz w:val="20"/>
        </w:rPr>
      </w:pPr>
      <w:r>
        <w:rPr>
          <w:rFonts w:ascii="Times New Roman" w:hAnsi="Times New Roman"/>
          <w:sz w:val="20"/>
        </w:rPr>
        <w:t>4.11 </w:t>
      </w:r>
      <w:r>
        <w:rPr>
          <w:rFonts w:ascii="Times New Roman" w:hAnsi="Times New Roman"/>
          <w:sz w:val="20"/>
          <w:u w:val="single"/>
        </w:rPr>
        <w:t>No Integrated Offering</w:t>
      </w:r>
      <w:r>
        <w:rPr>
          <w:rFonts w:ascii="Times New Roman" w:hAnsi="Times New Roman"/>
          <w:sz w:val="20"/>
        </w:rPr>
        <w:t xml:space="preserve">. None of the Company or any of its Affiliates, or any Person acting on their behalf has, directly or indirectly, made any offers or sales of any security or solicited any offers to buy any security, under circumstances that would require registration of any of the Shares under the Securities Act or cause this offering of the Shares to be integrated with prior offerings by the Company for purposes of the Securities Act or any applicable stockholder approval provisions, including under the rules and regulations of the Trading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4.12 </w:t>
      </w:r>
      <w:r>
        <w:rPr>
          <w:rFonts w:ascii="Times New Roman" w:hAnsi="Times New Roman"/>
          <w:sz w:val="20"/>
          <w:u w:val="single"/>
        </w:rPr>
        <w:t>Sarbanes-Oxley Act</w:t>
      </w:r>
      <w:r>
        <w:rPr>
          <w:rFonts w:ascii="Times New Roman" w:hAnsi="Times New Roman"/>
          <w:sz w:val="20"/>
        </w:rPr>
        <w:t xml:space="preserve">. The Company is in material compliance with the requirements of the Sarbanes-Oxley Act of 2002 that are effective and applicable to the Company as of the date hereof and as of the Closing Date, and the rules and regulations promulgated by the Commission thereunder that are effective and applicable to the Company as of the date hereof and as of the Closing Date. </w:t>
      </w:r>
    </w:p>
    <w:p>
      <w:pPr>
        <w:pStyle w:val="TextBody"/>
        <w:bidi w:val="0"/>
        <w:spacing w:before="240" w:after="0"/>
        <w:jc w:val="left"/>
        <w:rPr>
          <w:rFonts w:ascii="Times New Roman" w:hAnsi="Times New Roman"/>
          <w:sz w:val="20"/>
        </w:rPr>
      </w:pPr>
      <w:r>
        <w:rPr>
          <w:rFonts w:ascii="Times New Roman" w:hAnsi="Times New Roman"/>
          <w:sz w:val="20"/>
        </w:rPr>
        <w:t>4.13 </w:t>
      </w:r>
      <w:r>
        <w:rPr>
          <w:rFonts w:ascii="Times New Roman" w:hAnsi="Times New Roman"/>
          <w:sz w:val="20"/>
          <w:u w:val="single"/>
        </w:rPr>
        <w:t>Intellectual Property</w:t>
      </w:r>
      <w:r>
        <w:rPr>
          <w:rFonts w:ascii="Times New Roman" w:hAnsi="Times New Roman"/>
          <w:sz w:val="20"/>
        </w:rPr>
        <w:t>. To the knowledge of the Company, the Company owns, possesses, licenses or has rights to use, on terms that the Company believes to be reasonable, all patents, patent applications, trademarks, trademark applications, service marks, trade names, copyrights, licenses, trade secrets, know-how and other similar rights that are necessary or material for use in connection with the business of the Company as described in the SEC Documents (collectively, the “</w:t>
      </w:r>
      <w:r>
        <w:rPr>
          <w:rFonts w:ascii="Times New Roman" w:hAnsi="Times New Roman"/>
          <w:b/>
          <w:i/>
          <w:sz w:val="20"/>
        </w:rPr>
        <w:t>Intellectual Property Rights</w:t>
      </w:r>
      <w:r>
        <w:rPr>
          <w:rFonts w:ascii="Times New Roman" w:hAnsi="Times New Roman"/>
          <w:sz w:val="20"/>
        </w:rPr>
        <w:t xml:space="preserve">”), except where the failure to own, possess or license such rights would not, individually or in the aggregate, reasonably be expected to have a Material Adverse Effect. The Company has not received written notice alleging the Intellectual Property Rights used by the Company violates or infringes upon the rights of any Person. To the knowledge of the Company, all such Intellectual Property Rights are enforceable and there is no existing infringement by another Person of any of the Intellectual Property Rights. The Company has taken reasonable security measures to protect the secrecy and confidentiality of the Intellectual Property Rights, where applicable, except where the failure to do so would not, individually or in the aggregate,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4.14 </w:t>
      </w:r>
      <w:r>
        <w:rPr>
          <w:rFonts w:ascii="Times New Roman" w:hAnsi="Times New Roman"/>
          <w:sz w:val="20"/>
          <w:u w:val="single"/>
        </w:rPr>
        <w:t>Disclosure</w:t>
      </w:r>
      <w:r>
        <w:rPr>
          <w:rFonts w:ascii="Times New Roman" w:hAnsi="Times New Roman"/>
          <w:sz w:val="20"/>
        </w:rPr>
        <w:t xml:space="preserve">. The Company understands and confirms that the Purchaser will rely on the representations, warranties and covenants set forth in this </w:t>
      </w:r>
      <w:r>
        <w:rPr>
          <w:rFonts w:ascii="Times New Roman" w:hAnsi="Times New Roman"/>
          <w:sz w:val="20"/>
          <w:u w:val="single"/>
        </w:rPr>
        <w:t>Section 4</w:t>
      </w:r>
      <w:r>
        <w:rPr>
          <w:rFonts w:ascii="Times New Roman" w:hAnsi="Times New Roman"/>
          <w:sz w:val="20"/>
        </w:rPr>
        <w:t xml:space="preserve"> in effecting the transactions contemplated by this Agreement. All due diligence materials regarding the Company and its business and the transactions contemplated hereby, furnished by or on behalf of the Company to the Purchaser upon its request are, when taken together with the SEC Documents, true and correct in all material respects and do not contain any untrue statement of material fact or omit to state a material fact necessary in order to make the statements made therein, in light of the circumstances in which they were made, misleading. </w:t>
      </w:r>
    </w:p>
    <w:p>
      <w:pPr>
        <w:pStyle w:val="TextBody"/>
        <w:bidi w:val="0"/>
        <w:spacing w:before="240" w:after="0"/>
        <w:jc w:val="left"/>
        <w:rPr>
          <w:rFonts w:ascii="Times New Roman" w:hAnsi="Times New Roman"/>
          <w:sz w:val="20"/>
        </w:rPr>
      </w:pPr>
      <w:r>
        <w:rPr>
          <w:rFonts w:ascii="Times New Roman" w:hAnsi="Times New Roman"/>
          <w:sz w:val="20"/>
        </w:rPr>
        <w:t>4.15 </w:t>
      </w:r>
      <w:r>
        <w:rPr>
          <w:rFonts w:ascii="Times New Roman" w:hAnsi="Times New Roman"/>
          <w:sz w:val="20"/>
          <w:u w:val="single"/>
        </w:rPr>
        <w:t>Properties and Assets</w:t>
      </w:r>
      <w:r>
        <w:rPr>
          <w:rFonts w:ascii="Times New Roman" w:hAnsi="Times New Roman"/>
          <w:sz w:val="20"/>
        </w:rPr>
        <w:t xml:space="preserve">. The Company does not own any real property and has good and marketable title to all other property and assets described as owned by it in the latest Financial Statements set forth in the SEC Documents, free and clear of all liens, pledges or encumbrances of any kind except (a) those, if any, reflected in such Financial Statements or (b) those that are not material in amount and do not adversely affect the use made and proposed to be made of such property by the Company. The Company holds its leased properties under valid and binding leases, except as would not have a Material Adverse Effect. The Company owns or leases all such properties as are materially necessary to their respective operations as now conducted. </w:t>
      </w:r>
    </w:p>
    <w:p>
      <w:pPr>
        <w:pStyle w:val="TextBody"/>
        <w:bidi w:val="0"/>
        <w:spacing w:before="240" w:after="0"/>
        <w:jc w:val="left"/>
        <w:rPr>
          <w:rFonts w:ascii="Times New Roman" w:hAnsi="Times New Roman"/>
          <w:sz w:val="20"/>
        </w:rPr>
      </w:pPr>
      <w:r>
        <w:rPr>
          <w:rFonts w:ascii="Times New Roman" w:hAnsi="Times New Roman"/>
          <w:sz w:val="20"/>
        </w:rPr>
        <w:t>4.16 </w:t>
      </w:r>
      <w:r>
        <w:rPr>
          <w:rFonts w:ascii="Times New Roman" w:hAnsi="Times New Roman"/>
          <w:sz w:val="20"/>
          <w:u w:val="single"/>
        </w:rPr>
        <w:t>Compliance and Regulatory</w:t>
      </w:r>
      <w:r>
        <w:rPr>
          <w:rFonts w:ascii="Times New Roman" w:hAnsi="Times New Roman"/>
          <w:sz w:val="20"/>
        </w:rPr>
        <w:t>. The Company is in compliance with all applicable laws, rules and regulations of the jurisdictions in which it conducts its business, including all applicable local, state and federal environmental laws and regulations, and all applicable laws, rules and regulations enforced by the United States Food and Drug Administration (the “</w:t>
      </w:r>
      <w:r>
        <w:rPr>
          <w:rFonts w:ascii="Times New Roman" w:hAnsi="Times New Roman"/>
          <w:b/>
          <w:i/>
          <w:sz w:val="20"/>
        </w:rPr>
        <w:t>FDA</w:t>
      </w:r>
      <w:r>
        <w:rPr>
          <w:rFonts w:ascii="Times New Roman" w:hAnsi="Times New Roman"/>
          <w:sz w:val="20"/>
        </w:rPr>
        <w:t>”) (including the Federal Food, Drug And Cosmetic Act, as amended, and the regulations promulgated thereunder) or any applicable laws enforced by any equivalent governmental agency outside the United States, except where failures to be so in compliance, individually or in the aggregate, would not reasonably be expected to have a Material Adverse Effect. Any preclinical studies or clinical trials conducted by or, to the Company’s knowledge, on behalf of the Company (the “</w:t>
      </w:r>
      <w:r>
        <w:rPr>
          <w:rFonts w:ascii="Times New Roman" w:hAnsi="Times New Roman"/>
          <w:b/>
          <w:i/>
          <w:sz w:val="20"/>
        </w:rPr>
        <w:t>Studies</w:t>
      </w:r>
      <w:r>
        <w:rPr>
          <w:rFonts w:ascii="Times New Roman" w:hAnsi="Times New Roman"/>
          <w:sz w:val="20"/>
        </w:rPr>
        <w:t xml:space="preserve">”), were and, if still pending, are being and shall continue to be, conducted in all material respects in accordance all applicable laws and regulations governing the conduct of such Studies. The Company has not received any written notice from the FDA or any other governmental agency or institutional review board exercising comparable authority requiring the termination, suspension, or clinical hold of Studies, where such termination, suspension or clinical hold would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4.17 </w:t>
      </w:r>
      <w:r>
        <w:rPr>
          <w:rFonts w:ascii="Times New Roman" w:hAnsi="Times New Roman"/>
          <w:sz w:val="20"/>
          <w:u w:val="single"/>
        </w:rPr>
        <w:t>Taxes</w:t>
      </w:r>
      <w:r>
        <w:rPr>
          <w:rFonts w:ascii="Times New Roman" w:hAnsi="Times New Roman"/>
          <w:sz w:val="20"/>
        </w:rPr>
        <w:t xml:space="preserve">. The Company has filed on a timely basis (giving effect to extensions) all required federal, state and foreign income and franchise tax returns and have timely paid or accrued all taxes shown as due thereon, including interest and penalties, except where the failure to timely file any returns or pay such taxes would not reasonably be expected, individually or in the aggregate, to have a Material Adverse Effect, and, to the knowledge of the Company, there is no tax deficiency that has been or might be asserted or threatened against it or them that would have a Material Adverse Effect. All tax liabilities accrued through the date hereof have been adequately provided for on the books of the Company. There are no liens for material taxes upon the assets of the Company other than for current taxes not yet due and payable or for taxes that are being contested in good faith by appropriate proceedings and for which adequate reserves in accordance with GAAP has been made in the Company’s most recent financial statements included in the SEC Documents. </w:t>
      </w:r>
    </w:p>
    <w:p>
      <w:pPr>
        <w:pStyle w:val="TextBody"/>
        <w:bidi w:val="0"/>
        <w:spacing w:before="240" w:after="0"/>
        <w:jc w:val="left"/>
        <w:rPr>
          <w:rFonts w:ascii="Times New Roman" w:hAnsi="Times New Roman"/>
          <w:sz w:val="20"/>
        </w:rPr>
      </w:pPr>
      <w:r>
        <w:rPr>
          <w:rFonts w:ascii="Times New Roman" w:hAnsi="Times New Roman"/>
          <w:sz w:val="20"/>
        </w:rPr>
        <w:t>4.18 </w:t>
      </w:r>
      <w:r>
        <w:rPr>
          <w:rFonts w:ascii="Times New Roman" w:hAnsi="Times New Roman"/>
          <w:sz w:val="20"/>
          <w:u w:val="single"/>
        </w:rPr>
        <w:t>Investment Company</w:t>
      </w:r>
      <w:r>
        <w:rPr>
          <w:rFonts w:ascii="Times New Roman" w:hAnsi="Times New Roman"/>
          <w:sz w:val="20"/>
        </w:rPr>
        <w:t xml:space="preserve">. The Company is not, and immediately after receipt of payment for the Shares will not be, an “investment company” or an “affiliated person” of, or “promoter” or “principal underwriter” for an investment company, within the meaning of the Investment Company Act of 1940, as amended, and the rules and regulations of the Commission promulgated thereunder. </w:t>
      </w:r>
    </w:p>
    <w:p>
      <w:pPr>
        <w:pStyle w:val="TextBody"/>
        <w:bidi w:val="0"/>
        <w:spacing w:before="240" w:after="0"/>
        <w:jc w:val="left"/>
        <w:rPr>
          <w:rFonts w:ascii="Times New Roman" w:hAnsi="Times New Roman"/>
          <w:sz w:val="20"/>
        </w:rPr>
      </w:pPr>
      <w:r>
        <w:rPr>
          <w:rFonts w:ascii="Times New Roman" w:hAnsi="Times New Roman"/>
          <w:sz w:val="20"/>
        </w:rPr>
        <w:t>4.19 </w:t>
      </w:r>
      <w:r>
        <w:rPr>
          <w:rFonts w:ascii="Times New Roman" w:hAnsi="Times New Roman"/>
          <w:sz w:val="20"/>
          <w:u w:val="single"/>
        </w:rPr>
        <w:t>Insurance</w:t>
      </w:r>
      <w:r>
        <w:rPr>
          <w:rFonts w:ascii="Times New Roman" w:hAnsi="Times New Roman"/>
          <w:sz w:val="20"/>
        </w:rPr>
        <w:t xml:space="preserve">. The Company maintains insurance underwritten by insurers of recognized financial responsibility, of the types and in the amounts that the Company reasonably believes is adequate for its business, including directors’ and officers’ liability insurance, all of which insurance is in full force and effect. </w:t>
      </w:r>
    </w:p>
    <w:p>
      <w:pPr>
        <w:pStyle w:val="TextBody"/>
        <w:bidi w:val="0"/>
        <w:spacing w:before="240" w:after="0"/>
        <w:jc w:val="left"/>
        <w:rPr>
          <w:rFonts w:ascii="Times New Roman" w:hAnsi="Times New Roman"/>
          <w:sz w:val="20"/>
        </w:rPr>
      </w:pPr>
      <w:r>
        <w:rPr>
          <w:rFonts w:ascii="Times New Roman" w:hAnsi="Times New Roman"/>
          <w:sz w:val="20"/>
        </w:rPr>
        <w:t>4.20 </w:t>
      </w:r>
      <w:r>
        <w:rPr>
          <w:rFonts w:ascii="Times New Roman" w:hAnsi="Times New Roman"/>
          <w:sz w:val="20"/>
          <w:u w:val="single"/>
        </w:rPr>
        <w:t>Price of Common Stock</w:t>
      </w:r>
      <w:r>
        <w:rPr>
          <w:rFonts w:ascii="Times New Roman" w:hAnsi="Times New Roman"/>
          <w:sz w:val="20"/>
        </w:rPr>
        <w:t xml:space="preserve">. The Company has not taken, and will not take, directly or indirectly, any action designed to cause or result in, or that has constituted or that might reasonably be expected to constitute, the stabilization or manipulation of the price of the shares of the Common Stock to facilitate the sale or resale of the Shares. </w:t>
      </w:r>
    </w:p>
    <w:p>
      <w:pPr>
        <w:pStyle w:val="TextBody"/>
        <w:bidi w:val="0"/>
        <w:spacing w:before="240" w:after="0"/>
        <w:jc w:val="left"/>
        <w:rPr>
          <w:rFonts w:ascii="Times New Roman" w:hAnsi="Times New Roman"/>
          <w:sz w:val="20"/>
        </w:rPr>
      </w:pPr>
      <w:r>
        <w:rPr>
          <w:rFonts w:ascii="Times New Roman" w:hAnsi="Times New Roman"/>
          <w:sz w:val="20"/>
        </w:rPr>
        <w:t>4.21 </w:t>
      </w:r>
      <w:r>
        <w:rPr>
          <w:rFonts w:ascii="Times New Roman" w:hAnsi="Times New Roman"/>
          <w:sz w:val="20"/>
          <w:u w:val="single"/>
        </w:rPr>
        <w:t>Governmental Permits, Etc</w:t>
      </w:r>
      <w:r>
        <w:rPr>
          <w:rFonts w:ascii="Times New Roman" w:hAnsi="Times New Roman"/>
          <w:sz w:val="20"/>
        </w:rPr>
        <w:t>. The Company has all franchises, licenses, permits, certificates and other authorizations from such federal, state or local government or governmental agency, department or body that are currently necessary for the operation of its business as currently conducted, including all such certificates, approvals, authorizations, exemptions, licenses and permits required by the FDA or any other comparable governmental agencies (collectively, “</w:t>
      </w:r>
      <w:r>
        <w:rPr>
          <w:rFonts w:ascii="Times New Roman" w:hAnsi="Times New Roman"/>
          <w:b/>
          <w:i/>
          <w:sz w:val="20"/>
        </w:rPr>
        <w:t>Permits</w:t>
      </w:r>
      <w:r>
        <w:rPr>
          <w:rFonts w:ascii="Times New Roman" w:hAnsi="Times New Roman"/>
          <w:sz w:val="20"/>
        </w:rPr>
        <w:t xml:space="preserve">”), except where the failure to possess such Permits would not reasonably be expected, individually or in the aggregate, to have a Material Adverse Effect. The Company has not received any written notice requiring or threatening any revocation or modification of any such Permits, where such revocation or modification would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4.22 </w:t>
      </w:r>
      <w:r>
        <w:rPr>
          <w:rFonts w:ascii="Times New Roman" w:hAnsi="Times New Roman"/>
          <w:sz w:val="20"/>
          <w:u w:val="single"/>
        </w:rPr>
        <w:t>Internal Control over Financial Reporting; Disclosure Controls</w:t>
      </w:r>
      <w:r>
        <w:rPr>
          <w:rFonts w:ascii="Times New Roman" w:hAnsi="Times New Roman"/>
          <w:sz w:val="20"/>
        </w:rPr>
        <w:t xml:space="preserve">. The Company maintains internal control over financial reporting (as such term is defined in paragraph (f) of Rule 13a-15 under the Exchange Act) that are designed to comply with the requirements of Rule 13a-15 under the Exchange Act. Since the end of the Company’s most recent audited fiscal year, there has been no material weakness in the design or operation of the Company’s internal control over financial reporting (whether or not remediated) which are reasonably likely to adversely affect the Company’s ability to record, process, summarize and report financial information. Since the end of the period covered by the most recently filed periodic report under the Exchange Act, there have been no changes in the internal control over financial reporting (as such term is defined in the Exchange Act) of the Company and its subsidiaries that have materially adversely affected, or is reasonably likely to materially adversely affect, the internal control over financial reporting of the Company and its subsidiaries. The Company has established disclosure controls and procedures (as defined in Exchange Act Rules 13a-15(e) and 15d-15(e)) for the Company and its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4.23 </w:t>
      </w:r>
      <w:r>
        <w:rPr>
          <w:rFonts w:ascii="Times New Roman" w:hAnsi="Times New Roman"/>
          <w:sz w:val="20"/>
          <w:u w:val="single"/>
        </w:rPr>
        <w:t>Foreign Corrupt Practices</w:t>
      </w:r>
      <w:r>
        <w:rPr>
          <w:rFonts w:ascii="Times New Roman" w:hAnsi="Times New Roman"/>
          <w:sz w:val="20"/>
        </w:rPr>
        <w:t xml:space="preserve">. Neither the Company nor, to the knowledge of the Company, any director, officer, agent, employee or other Person acting on behalf of the Company, has, in the course of its actions for, or on behalf of, the Company (a) used any corporate funds for any unlawful contribution, gift, entertainment or other unlawful expenses relating to political activity; (b) made any direct or indirect unlawful payment to any foreign or domestic government official or employee from corporate funds; (c) violated or is in violation of any provision of the U.S. Foreign Corrupt Practices Act of 1977, as amended; or (d) made any unlawful bribe, rebate, payoff, influence payment, kickback or other unlawful payment to any foreign or domestic government official or employee. </w:t>
      </w:r>
    </w:p>
    <w:p>
      <w:pPr>
        <w:pStyle w:val="TextBody"/>
        <w:bidi w:val="0"/>
        <w:spacing w:before="240" w:after="0"/>
        <w:jc w:val="left"/>
        <w:rPr>
          <w:rFonts w:ascii="Times New Roman" w:hAnsi="Times New Roman"/>
          <w:sz w:val="20"/>
        </w:rPr>
      </w:pPr>
      <w:r>
        <w:rPr>
          <w:rFonts w:ascii="Times New Roman" w:hAnsi="Times New Roman"/>
          <w:sz w:val="20"/>
        </w:rPr>
        <w:t>4.24 </w:t>
      </w:r>
      <w:r>
        <w:rPr>
          <w:rFonts w:ascii="Times New Roman" w:hAnsi="Times New Roman"/>
          <w:sz w:val="20"/>
          <w:u w:val="single"/>
        </w:rPr>
        <w:t>Employee Relations</w:t>
      </w:r>
      <w:r>
        <w:rPr>
          <w:rFonts w:ascii="Times New Roman" w:hAnsi="Times New Roman"/>
          <w:sz w:val="20"/>
        </w:rPr>
        <w:t xml:space="preserve">. No material labor dispute with the employees of the Company, or with the employees of any principal supplier, manufacturer, customer or contractor of the Company, exists or, to the Company’s knowledge, is threatened or imminent. No executive officer of the Company (as defined in Rule 501(f) promulgated under the Securities Act) has notified the Company that such officer intends to leave the Company or otherwise terminate such officer’s employment with the Company. To the knowledge of the Company, no executive officer of the Company is, or is now expected to be, in violation of any material term of any employment contract, confidentiality, disclosure or proprietary information agreement, non-competition agreement, or any other agreement or any restrictive covenant involving or otherwise affecting such executive officer’s relationship with the Company, and the continued employment of each such executive officer does not subject the Company to any material liability with respect to any of the foregoing matters. </w:t>
      </w:r>
    </w:p>
    <w:p>
      <w:pPr>
        <w:pStyle w:val="TextBody"/>
        <w:bidi w:val="0"/>
        <w:spacing w:before="240" w:after="0"/>
        <w:jc w:val="left"/>
        <w:rPr>
          <w:rFonts w:ascii="Times New Roman" w:hAnsi="Times New Roman"/>
          <w:sz w:val="20"/>
        </w:rPr>
      </w:pPr>
      <w:r>
        <w:rPr>
          <w:rFonts w:ascii="Times New Roman" w:hAnsi="Times New Roman"/>
          <w:sz w:val="20"/>
        </w:rPr>
        <w:t>4.25 </w:t>
      </w:r>
      <w:r>
        <w:rPr>
          <w:rFonts w:ascii="Times New Roman" w:hAnsi="Times New Roman"/>
          <w:sz w:val="20"/>
          <w:u w:val="single"/>
        </w:rPr>
        <w:t>ERISA</w:t>
      </w:r>
      <w:r>
        <w:rPr>
          <w:rFonts w:ascii="Times New Roman" w:hAnsi="Times New Roman"/>
          <w:sz w:val="20"/>
        </w:rPr>
        <w:t>. The Company is in compliance in all material respects with all presently applicable provisions of the Employee Retirement Income Security Act of 1974, as amended, including the regulations and published interpretations thereunder (“</w:t>
      </w:r>
      <w:r>
        <w:rPr>
          <w:rFonts w:ascii="Times New Roman" w:hAnsi="Times New Roman"/>
          <w:b/>
          <w:i/>
          <w:sz w:val="20"/>
          <w:u w:val="single"/>
        </w:rPr>
        <w:t>ERISA</w:t>
      </w:r>
      <w:r>
        <w:rPr>
          <w:rFonts w:ascii="Times New Roman" w:hAnsi="Times New Roman"/>
          <w:sz w:val="20"/>
        </w:rPr>
        <w:t>”); no “reportable event” (as defined in ERISA) has occurred with respect to any “pension plan” (as defined in ERISA) for which the Company would have any material liability; the Company has not incurred or expects to incur material liability under (a) Title IV of ERISA with respect to termination of, or withdrawal from, any “pension plan” or (b) Sections 412 or 4971 of the Internal Revenue Code of 1986, as amended, including the regulations and published interpretations thereunder (the “</w:t>
      </w:r>
      <w:r>
        <w:rPr>
          <w:rFonts w:ascii="Times New Roman" w:hAnsi="Times New Roman"/>
          <w:b/>
          <w:i/>
          <w:sz w:val="20"/>
          <w:u w:val="single"/>
        </w:rPr>
        <w:t>Code</w:t>
      </w:r>
      <w:r>
        <w:rPr>
          <w:rFonts w:ascii="Times New Roman" w:hAnsi="Times New Roman"/>
          <w:sz w:val="20"/>
        </w:rPr>
        <w:t xml:space="preserve">”); and each “Pension Plan” for which the Company would have liability that is intended to be qualified under Section 401(a) of the Code is so qualified in all material respects and to the knowledge of the Company, nothing has occurred, whether by action or by failure to act, which would cause the loss of such qualification. </w:t>
      </w:r>
    </w:p>
    <w:p>
      <w:pPr>
        <w:pStyle w:val="TextBody"/>
        <w:bidi w:val="0"/>
        <w:spacing w:before="240" w:after="0"/>
        <w:jc w:val="left"/>
        <w:rPr>
          <w:rFonts w:ascii="Times New Roman" w:hAnsi="Times New Roman"/>
          <w:sz w:val="20"/>
        </w:rPr>
      </w:pPr>
      <w:r>
        <w:rPr>
          <w:rFonts w:ascii="Times New Roman" w:hAnsi="Times New Roman"/>
          <w:sz w:val="20"/>
        </w:rPr>
        <w:t>4.26 </w:t>
      </w:r>
      <w:r>
        <w:rPr>
          <w:rFonts w:ascii="Times New Roman" w:hAnsi="Times New Roman"/>
          <w:sz w:val="20"/>
          <w:u w:val="single"/>
        </w:rPr>
        <w:t>Registration Rights and Other Stockholder Agreements</w:t>
      </w:r>
      <w:r>
        <w:rPr>
          <w:rFonts w:ascii="Times New Roman" w:hAnsi="Times New Roman"/>
          <w:sz w:val="20"/>
        </w:rPr>
        <w:t xml:space="preserve">. No Person has any right to cause the Company to effect the registration under the Securities Act covering the transfer of any securities of the Company and there are no other stockholders agreements, voting agreements or other similar agreements with respect to the Company’s capital stock to which the Company is a party or, to the Company’s knowledge, between or among any of the Company’s stockholders. </w:t>
      </w:r>
    </w:p>
    <w:p>
      <w:pPr>
        <w:pStyle w:val="TextBody"/>
        <w:bidi w:val="0"/>
        <w:spacing w:before="240" w:after="0"/>
        <w:jc w:val="left"/>
        <w:rPr>
          <w:rFonts w:ascii="Times New Roman" w:hAnsi="Times New Roman"/>
          <w:sz w:val="20"/>
        </w:rPr>
      </w:pPr>
      <w:r>
        <w:rPr>
          <w:rFonts w:ascii="Times New Roman" w:hAnsi="Times New Roman"/>
          <w:sz w:val="20"/>
        </w:rPr>
        <w:t>4.27 </w:t>
      </w:r>
      <w:r>
        <w:rPr>
          <w:rFonts w:ascii="Times New Roman" w:hAnsi="Times New Roman"/>
          <w:sz w:val="20"/>
          <w:u w:val="single"/>
        </w:rPr>
        <w:t>Trading Market Compliance</w:t>
      </w:r>
      <w:r>
        <w:rPr>
          <w:rFonts w:ascii="Times New Roman" w:hAnsi="Times New Roman"/>
          <w:sz w:val="20"/>
        </w:rPr>
        <w:t xml:space="preserve">. The Common Stock is registered pursuant to Section 12(b)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has not, in the previous twelve (12) months, received (a) written notice from the Trading Market that the Company is not in compliance with the listing or maintenance requirements of the Trading Market that would result in immediate delisting or (b) any notification, Staff Delisting Determination, or Public Reprimand Letter (as such terms are defined in applicable listing rules of the Trading Market) that requires a public announcement by the Company of any noncompliance or deficiency with respect to such listing or maintenance requirements. The Company is in compliance with all listing and maintenance requirements of the Trading Market on the date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4.28 </w:t>
      </w:r>
      <w:r>
        <w:rPr>
          <w:rFonts w:ascii="Times New Roman" w:hAnsi="Times New Roman"/>
          <w:sz w:val="20"/>
          <w:u w:val="single"/>
        </w:rPr>
        <w:t>No “Bad Actor” Disqualification</w:t>
      </w:r>
      <w:r>
        <w:rPr>
          <w:rFonts w:ascii="Times New Roman" w:hAnsi="Times New Roman"/>
          <w:sz w:val="20"/>
        </w:rPr>
        <w:t>. No “bad actor” disqualifying event described in Rule 506(d)(1)(i)-(viii) of the Securities Act (a “</w:t>
      </w:r>
      <w:r>
        <w:rPr>
          <w:rFonts w:ascii="Times New Roman" w:hAnsi="Times New Roman"/>
          <w:b/>
          <w:i/>
          <w:sz w:val="20"/>
        </w:rPr>
        <w:t>Disqualification Event</w:t>
      </w:r>
      <w:r>
        <w:rPr>
          <w:rFonts w:ascii="Times New Roman" w:hAnsi="Times New Roman"/>
          <w:sz w:val="20"/>
        </w:rPr>
        <w:t>”) is applicable to the Company or, to the knowledge of the Company, any Company Covered Person (as defined below), except for a Disqualification Event to which Rule 506(d)(2)(ii-iv) or (d)(3) is applicable. “</w:t>
      </w:r>
      <w:r>
        <w:rPr>
          <w:rFonts w:ascii="Times New Roman" w:hAnsi="Times New Roman"/>
          <w:b/>
          <w:i/>
          <w:sz w:val="20"/>
        </w:rPr>
        <w:t>Company Covered Person</w:t>
      </w:r>
      <w:r>
        <w:rPr>
          <w:rFonts w:ascii="Times New Roman" w:hAnsi="Times New Roman"/>
          <w:sz w:val="20"/>
        </w:rPr>
        <w:t xml:space="preserve">” means, with respect to the Company as an “issuer” for purposes of Rule 506 promulgated under the Securities Act, any person listed in the first paragraph of Rule 506(d)(1). </w:t>
      </w:r>
    </w:p>
    <w:p>
      <w:pPr>
        <w:pStyle w:val="TextBody"/>
        <w:bidi w:val="0"/>
        <w:spacing w:before="240" w:after="0"/>
        <w:jc w:val="left"/>
        <w:rPr>
          <w:rFonts w:ascii="Times New Roman" w:hAnsi="Times New Roman"/>
          <w:sz w:val="20"/>
        </w:rPr>
      </w:pPr>
      <w:r>
        <w:rPr>
          <w:rFonts w:ascii="Times New Roman" w:hAnsi="Times New Roman"/>
          <w:sz w:val="20"/>
        </w:rPr>
        <w:t>4.29 </w:t>
      </w:r>
      <w:r>
        <w:rPr>
          <w:rFonts w:ascii="Times New Roman" w:hAnsi="Times New Roman"/>
          <w:sz w:val="20"/>
          <w:u w:val="single"/>
        </w:rPr>
        <w:t>OFAC; Money Laundering</w:t>
      </w:r>
      <w:r>
        <w:rPr>
          <w:rFonts w:ascii="Times New Roman" w:hAnsi="Times New Roman"/>
          <w:sz w:val="20"/>
        </w:rPr>
        <w:t>. None of the Company or, to the knowledge of the Company, any director, officer, agent, employee or Affiliate of the Company is a Person, or is more than 50 percent owned in the aggregate by or acting on behalf of one or more Persons that are, currently the target of any sanctions administered or enforced by the United States Government, including the U.S. Department of the Treasury’s Office of Foreign Assets Control, the United Nations Security Council, the European Union, HM Treasury, or other relevant sanctions authority (collectively, “</w:t>
      </w:r>
      <w:r>
        <w:rPr>
          <w:rFonts w:ascii="Times New Roman" w:hAnsi="Times New Roman"/>
          <w:b/>
          <w:i/>
          <w:sz w:val="20"/>
        </w:rPr>
        <w:t>Sanctions</w:t>
      </w:r>
      <w:r>
        <w:rPr>
          <w:rFonts w:ascii="Times New Roman" w:hAnsi="Times New Roman"/>
          <w:sz w:val="20"/>
        </w:rPr>
        <w:t>”), nor is the Company located, organized or resident in a country or territory that is the subject of comprehensive country-wide or territory-wide Sanctions; and the Company will not directly or knowingly indirectly use the proceeds of the sale of the Shares, or lend, contribute or otherwise make available such proceeds to any subsidiaries, joint venture partners or other Person, to fund any activities of or business (a) with any Person, or in any country or territory, that, at the time of such funding, is a designated target of Sanctions, (b) in a country or territory which at the time of such funding is the subject of comprehensive country-wide or territory-wide Sanctions, or (c) in any other manner that will result in a violation by any Person (including any Person participating in the transaction, whether as advisor, investor or otherwise) of Sanctions.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hAnsi="Times New Roman"/>
          <w:b/>
          <w:i/>
          <w:sz w:val="20"/>
        </w:rPr>
        <w:t>Money Laundering Laws</w:t>
      </w:r>
      <w:r>
        <w:rPr>
          <w:rFonts w:ascii="Times New Roman" w:hAnsi="Times New Roman"/>
          <w:sz w:val="20"/>
        </w:rPr>
        <w:t xml:space="preserve">”), and no action or proceeding by or before any court or governmental agency, authority or body or any arbitrator involving the Company or any of its subsidiaries with respect to the Money Laundering Laws is pending or, to the knowledge of the Company, threatened. </w:t>
      </w:r>
    </w:p>
    <w:p>
      <w:pPr>
        <w:pStyle w:val="TextBody"/>
        <w:bidi w:val="0"/>
        <w:spacing w:before="240" w:after="0"/>
        <w:jc w:val="left"/>
        <w:rPr>
          <w:rFonts w:ascii="Times New Roman" w:hAnsi="Times New Roman"/>
          <w:sz w:val="20"/>
        </w:rPr>
      </w:pPr>
      <w:r>
        <w:rPr>
          <w:rFonts w:ascii="Times New Roman" w:hAnsi="Times New Roman"/>
          <w:sz w:val="20"/>
        </w:rPr>
        <w:t>4.30 </w:t>
      </w:r>
      <w:r>
        <w:rPr>
          <w:rFonts w:ascii="Times New Roman" w:hAnsi="Times New Roman"/>
          <w:sz w:val="20"/>
          <w:u w:val="single"/>
        </w:rPr>
        <w:t>Cybersecurity</w:t>
      </w:r>
      <w:r>
        <w:rPr>
          <w:rFonts w:ascii="Times New Roman" w:hAnsi="Times New Roman"/>
          <w:sz w:val="20"/>
        </w:rPr>
        <w:t>. Except as would not reasonably be expected to have a Material Adverse Effect, the Company and its subsidiaries’ information technology assets and equipment, computers, systems, networks, hardware, software, websites, applications, and databases (collectively, “</w:t>
      </w:r>
      <w:r>
        <w:rPr>
          <w:rFonts w:ascii="Times New Roman" w:hAnsi="Times New Roman"/>
          <w:b/>
          <w:i/>
          <w:sz w:val="20"/>
        </w:rPr>
        <w:t>IT Systems</w:t>
      </w:r>
      <w:r>
        <w:rPr>
          <w:rFonts w:ascii="Times New Roman" w:hAnsi="Times New Roman"/>
          <w:sz w:val="20"/>
        </w:rPr>
        <w:t>”) are adequate for, and operate and perform in all respects as required in connection with the operation of the business of the Company and its subsidiaries as currently conducted, and, to the Company’s knowledge, are free and clear of all material Trojan horses, time bombs, malware and other malicious code. The Company and its subsidiaries have implemented and maintained commercially reasonable physical, technical and administrative controls designed to maintain and protect the confidentiality, integrity, availability, privacy and security of all sensitive, confidential or regulated data (“</w:t>
      </w:r>
      <w:r>
        <w:rPr>
          <w:rFonts w:ascii="Times New Roman" w:hAnsi="Times New Roman"/>
          <w:b/>
          <w:i/>
          <w:sz w:val="20"/>
        </w:rPr>
        <w:t>Confidential Data</w:t>
      </w:r>
      <w:r>
        <w:rPr>
          <w:rFonts w:ascii="Times New Roman" w:hAnsi="Times New Roman"/>
          <w:sz w:val="20"/>
        </w:rPr>
        <w:t>”) used or maintained in connection with their businesses and Personal Data (defined below), and the integrity, availability continuous operation, redundancy and security of all IT Systems. “</w:t>
      </w:r>
      <w:r>
        <w:rPr>
          <w:rFonts w:ascii="Times New Roman" w:hAnsi="Times New Roman"/>
          <w:b/>
          <w:i/>
          <w:sz w:val="20"/>
        </w:rPr>
        <w:t>Personal Data</w:t>
      </w:r>
      <w:r>
        <w:rPr>
          <w:rFonts w:ascii="Times New Roman" w:hAnsi="Times New Roman"/>
          <w:sz w:val="20"/>
        </w:rPr>
        <w:t xml:space="preserve">” means the following data used in connection with the Company’s and its subsidiaries’ businesses and in their possession or control: (i) a natural person’s name, street address, telephone number, e-mail address, photograph, social security number or other tax identification number, driver’s license number, passport number, credit card number, bank information, or customer or account number; (ii) information that identifies, relates to, or may reasonably be used to identify an individual; (iii) any information regarding an individual’s medical history, mental or physical condition, or medical treatment or diagnosis by a health care professional; (iv) an individual’s health insurance policy number or subscriber identification number, any unique identifier used by a health insurer to identify the individual, or any information in an individual’s application and claims history; (v) any information which would qualify as “protected health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under the Health Insurance Portability and Accountability Act of 1996, as amended by the Health Information Technology for Economic and Clinical Health Act (collectively, “</w:t>
      </w:r>
      <w:r>
        <w:rPr>
          <w:rFonts w:ascii="Times New Roman" w:hAnsi="Times New Roman"/>
          <w:b/>
          <w:i/>
          <w:sz w:val="20"/>
        </w:rPr>
        <w:t>HIPAA</w:t>
      </w:r>
      <w:r>
        <w:rPr>
          <w:rFonts w:ascii="Times New Roman" w:hAnsi="Times New Roman"/>
          <w:sz w:val="20"/>
        </w:rPr>
        <w:t xml:space="preserve">”); (vi) any information which would qualify as “personal data,” “personal information” (or similar term) under the Privacy Laws; and (vii) any other piece of information that alone, or combined with other information, allows the identification of such natural person, or his or her family, or permits the collection or analysis of any data related to an identified person’s health or sexual orientation. To the Company’s knowledge, there have been no breaches, outages or unauthorized uses of or accesses to the Company’s IT Systems, Confidential Data, and Personal Data. The Company and its subsidiaries are presently, and at all prior times were, in material compliance with all applicable laws or statutes and all judgments and orders binding on the Company, applicable binding rules and regulations of any court or arbitrator or governmental or regulatory authority, and their internal policies and contractual obligations, each relating to the Processing (as defined below), privacy and security of Personal Data and Confidential Data, the privacy and security of IT Systems and the protection of such IT Systems, Confidential Data, and Personal Data from unauthorized use, access, misappropriation or modification. </w:t>
      </w:r>
    </w:p>
    <w:p>
      <w:pPr>
        <w:pStyle w:val="TextBody"/>
        <w:bidi w:val="0"/>
        <w:spacing w:before="240" w:after="0"/>
        <w:jc w:val="left"/>
        <w:rPr>
          <w:rFonts w:ascii="Times New Roman" w:hAnsi="Times New Roman"/>
          <w:sz w:val="20"/>
        </w:rPr>
      </w:pPr>
      <w:r>
        <w:rPr>
          <w:rFonts w:ascii="Times New Roman" w:hAnsi="Times New Roman"/>
          <w:sz w:val="20"/>
        </w:rPr>
        <w:t>4.31 </w:t>
      </w:r>
      <w:r>
        <w:rPr>
          <w:rFonts w:ascii="Times New Roman" w:hAnsi="Times New Roman"/>
          <w:sz w:val="20"/>
          <w:u w:val="single"/>
        </w:rPr>
        <w:t>Compliance with Data Privacy Laws</w:t>
      </w:r>
      <w:r>
        <w:rPr>
          <w:rFonts w:ascii="Times New Roman" w:hAnsi="Times New Roman"/>
          <w:sz w:val="20"/>
        </w:rPr>
        <w:t>. The Company and its subsidiaries are, and at all prior times were, in material compliance with all applicable state and federal data privacy and security laws and regulations regarding the collection, use, storage, retention, disclosure, transfer, disposal, or any other processing (collectively “</w:t>
      </w:r>
      <w:r>
        <w:rPr>
          <w:rFonts w:ascii="Times New Roman" w:hAnsi="Times New Roman"/>
          <w:b/>
          <w:i/>
          <w:sz w:val="20"/>
        </w:rPr>
        <w:t>Process</w:t>
      </w:r>
      <w:r>
        <w:rPr>
          <w:rFonts w:ascii="Times New Roman" w:hAnsi="Times New Roman"/>
          <w:sz w:val="20"/>
        </w:rPr>
        <w:t>” or “</w:t>
      </w:r>
      <w:r>
        <w:rPr>
          <w:rFonts w:ascii="Times New Roman" w:hAnsi="Times New Roman"/>
          <w:b/>
          <w:i/>
          <w:sz w:val="20"/>
        </w:rPr>
        <w:t>Processing</w:t>
      </w:r>
      <w:r>
        <w:rPr>
          <w:rFonts w:ascii="Times New Roman" w:hAnsi="Times New Roman"/>
          <w:sz w:val="20"/>
        </w:rPr>
        <w:t>”) of Personal Data, including HIPAA, the California Consumer Privacy Act, and the European Union General Data Protection Regulation (EU 2016/679) (collectively, the “</w:t>
      </w:r>
      <w:r>
        <w:rPr>
          <w:rFonts w:ascii="Times New Roman" w:hAnsi="Times New Roman"/>
          <w:b/>
          <w:i/>
          <w:sz w:val="20"/>
        </w:rPr>
        <w:t>Privacy Laws</w:t>
      </w:r>
      <w:r>
        <w:rPr>
          <w:rFonts w:ascii="Times New Roman" w:hAnsi="Times New Roman"/>
          <w:sz w:val="20"/>
        </w:rPr>
        <w:t>”). To ensure compliance with the Privacy Laws, the Company and its subsidiaries have in place, comply with, and take all appropriate steps necessary to ensure compliance in all material respects with their policies and procedures relating to data privacy and security, and the Processing of Personal Data and Confidential Data (the “</w:t>
      </w:r>
      <w:r>
        <w:rPr>
          <w:rFonts w:ascii="Times New Roman" w:hAnsi="Times New Roman"/>
          <w:b/>
          <w:i/>
          <w:sz w:val="20"/>
        </w:rPr>
        <w:t>Privacy Statements</w:t>
      </w:r>
      <w:r>
        <w:rPr>
          <w:rFonts w:ascii="Times New Roman" w:hAnsi="Times New Roman"/>
          <w:sz w:val="20"/>
        </w:rPr>
        <w:t xml:space="preserve">”). The Company and its subsidiaries have, except as would not reasonably be expected, individually or in the aggregate, to have a Material Adverse Effect, at all times since inception provided accurate notice of its Privacy Statements then in effect to its customers, employees, third party vendors and representatives. None of such disclosures made or contained in any Privacy Statements have been materially inaccurate, misleading, incomplete, or in material violation of any Privacy Laws. The Company further certifies that neither it nor any of its subsidiaries (a) has received notice of any actual or potential claim, complaint, proceeding, regulatory proceeding or liability under or relating to, or actual or potential violation of, any of the Privacy Laws, contracts related to the Processing of Personal Data or Confidential Data, or Privacy Statements, and has no knowledge of any event or condition that would reasonably be expected to result in any such notice, (b) is currently conducting or paying for, in whole or in part, any investigation, remediation, or other corrective action pursuant to any Privacy Law or contract, or (c) is a party to any order, decree, or agreement that imposes any obligation or liability under any Privacy Law. </w:t>
      </w:r>
    </w:p>
    <w:p>
      <w:pPr>
        <w:pStyle w:val="TextBody"/>
        <w:bidi w:val="0"/>
        <w:spacing w:before="240" w:after="0"/>
        <w:jc w:val="left"/>
        <w:rPr>
          <w:rFonts w:ascii="Times New Roman" w:hAnsi="Times New Roman"/>
          <w:sz w:val="20"/>
        </w:rPr>
      </w:pPr>
      <w:r>
        <w:rPr>
          <w:rFonts w:ascii="Times New Roman" w:hAnsi="Times New Roman"/>
          <w:sz w:val="20"/>
        </w:rPr>
        <w:t>4.32 </w:t>
      </w:r>
      <w:r>
        <w:rPr>
          <w:rFonts w:ascii="Times New Roman" w:hAnsi="Times New Roman"/>
          <w:sz w:val="20"/>
          <w:u w:val="single"/>
        </w:rPr>
        <w:t>Transactions With Affiliates and Employees</w:t>
      </w:r>
      <w:r>
        <w:rPr>
          <w:rFonts w:ascii="Times New Roman" w:hAnsi="Times New Roman"/>
          <w:sz w:val="20"/>
        </w:rPr>
        <w:t xml:space="preserve">. None of the officers or directors of the Company or any of its subsidiaries and, to the knowledge of the Company, none of the employees of the Company or any of its subsidiaries is presently a party to any transaction with the Company or any of its subsidiaries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(a) payment of salary or consulting fees for services rendered, (b) reimbursement for expenses incurred on behalf of the Company, and (c) other employee benefits, including incentive award agreements under any incentive award plan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5 REPRESENTATIONS AND WARRANTIES OF THE PURCHASER. </w:t>
      </w:r>
    </w:p>
    <w:p>
      <w:pPr>
        <w:pStyle w:val="TextBody"/>
        <w:bidi w:val="0"/>
        <w:spacing w:before="120" w:after="0"/>
        <w:jc w:val="left"/>
        <w:rPr>
          <w:rFonts w:ascii="Times New Roman" w:hAnsi="Times New Roman"/>
          <w:sz w:val="20"/>
        </w:rPr>
      </w:pPr>
      <w:r>
        <w:rPr>
          <w:rFonts w:ascii="Times New Roman" w:hAnsi="Times New Roman"/>
          <w:sz w:val="20"/>
        </w:rPr>
        <w:t xml:space="preserve">The Purchaser represents and warrants to the Company that: </w:t>
      </w:r>
    </w:p>
    <w:p>
      <w:pPr>
        <w:pStyle w:val="TextBody"/>
        <w:bidi w:val="0"/>
        <w:spacing w:before="120" w:after="0"/>
        <w:jc w:val="left"/>
        <w:rPr>
          <w:rFonts w:ascii="Times New Roman" w:hAnsi="Times New Roman"/>
          <w:sz w:val="20"/>
        </w:rPr>
      </w:pPr>
      <w:r>
        <w:rPr>
          <w:rFonts w:ascii="Times New Roman" w:hAnsi="Times New Roman"/>
          <w:sz w:val="20"/>
        </w:rPr>
        <w:t>5.1 </w:t>
      </w:r>
      <w:r>
        <w:rPr>
          <w:rFonts w:ascii="Times New Roman" w:hAnsi="Times New Roman"/>
          <w:sz w:val="20"/>
          <w:u w:val="single"/>
        </w:rPr>
        <w:t>Risk</w:t>
      </w:r>
      <w:r>
        <w:rPr>
          <w:rFonts w:ascii="Times New Roman" w:hAnsi="Times New Roman"/>
          <w:sz w:val="20"/>
        </w:rPr>
        <w:t xml:space="preserve">. The Purchaser, taking into account the personnel and resources it can practically bring to bear on the purchase of the Shares contemplated hereby, is knowledgeable, sophisticated and experienced in making, and is qualified to make, decisions with respect to investments in securities presenting an investment decision like that involved in the purchase of the Shares, including investments in securities issued by the Company, and has requested, received, reviewed and considered all information the Purchaser know about and deem relevant (including the SEC Documents) in making an informed decision to purchase the Shares. </w:t>
      </w:r>
    </w:p>
    <w:p>
      <w:pPr>
        <w:pStyle w:val="TextBody"/>
        <w:bidi w:val="0"/>
        <w:spacing w:before="240" w:after="0"/>
        <w:jc w:val="left"/>
        <w:rPr>
          <w:rFonts w:ascii="Times New Roman" w:hAnsi="Times New Roman"/>
          <w:sz w:val="20"/>
        </w:rPr>
      </w:pPr>
      <w:r>
        <w:rPr>
          <w:rFonts w:ascii="Times New Roman" w:hAnsi="Times New Roman"/>
          <w:sz w:val="20"/>
        </w:rPr>
        <w:t>5.2 </w:t>
      </w:r>
      <w:r>
        <w:rPr>
          <w:rFonts w:ascii="Times New Roman" w:hAnsi="Times New Roman"/>
          <w:sz w:val="20"/>
          <w:u w:val="single"/>
        </w:rPr>
        <w:t>Purchase for Investment</w:t>
      </w:r>
      <w:r>
        <w:rPr>
          <w:rFonts w:ascii="Times New Roman" w:hAnsi="Times New Roman"/>
          <w:sz w:val="20"/>
        </w:rPr>
        <w:t xml:space="preserve">. Purchaser is acquiring the Shares pursuant to this Agreement for its own account for investment only and with no present intention of distributing any of such Shares or any arrangement or understanding with any other Persons regarding the distribution of such Shares, except in compliance with </w:t>
      </w:r>
      <w:r>
        <w:rPr>
          <w:rFonts w:ascii="Times New Roman" w:hAnsi="Times New Roman"/>
          <w:sz w:val="20"/>
          <w:u w:val="single"/>
        </w:rPr>
        <w:t>Section 5.4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5.3 </w:t>
      </w:r>
      <w:r>
        <w:rPr>
          <w:rFonts w:ascii="Times New Roman" w:hAnsi="Times New Roman"/>
          <w:sz w:val="20"/>
          <w:u w:val="single"/>
        </w:rPr>
        <w:t>Reliance</w:t>
      </w:r>
      <w:r>
        <w:rPr>
          <w:rFonts w:ascii="Times New Roman" w:hAnsi="Times New Roman"/>
          <w:sz w:val="20"/>
        </w:rPr>
        <w:t xml:space="preserve">. The Purchaser understands that the Shares are being offered and sold to it in reliance upon specific exemptions from the registration requirements of the Securities Act, the rules and regulations promulgated under the Securities Act and state securities laws and that the Company is relying upon the truth and accuracy of, and the Purchaser’s compliance with, the representations, warranties, agreements, acknowledgments and understandings of the Purchaser set forth herein in order to determine the availability of such exemptions and the eligibility of the Purchaser to acquire the Shares. If any of the representations deemed to have been made by it by its purchase of the Shares are no longer accurate prior to Closing, the Purchaser shall promptly notify the Company. If the Purchaser is acquiring the Shares as a fiduciary or agent for one or more investor accounts, it represents that it has sole investment discretion with respect to each such account and it has full power to make the foregoing representations, acknowledgements and agreements on behalf of such account. </w:t>
      </w:r>
    </w:p>
    <w:p>
      <w:pPr>
        <w:pStyle w:val="TextBody"/>
        <w:bidi w:val="0"/>
        <w:spacing w:before="240" w:after="0"/>
        <w:jc w:val="left"/>
        <w:rPr>
          <w:rFonts w:ascii="Times New Roman" w:hAnsi="Times New Roman"/>
          <w:sz w:val="20"/>
        </w:rPr>
      </w:pPr>
      <w:r>
        <w:rPr>
          <w:rFonts w:ascii="Times New Roman" w:hAnsi="Times New Roman"/>
          <w:sz w:val="20"/>
        </w:rPr>
        <w:t>5.4 </w:t>
      </w:r>
      <w:r>
        <w:rPr>
          <w:rFonts w:ascii="Times New Roman" w:hAnsi="Times New Roman"/>
          <w:sz w:val="20"/>
          <w:u w:val="single"/>
        </w:rPr>
        <w:t>Compliance with the Securities Act</w:t>
      </w:r>
      <w:r>
        <w:rPr>
          <w:rFonts w:ascii="Times New Roman" w:hAnsi="Times New Roman"/>
          <w:sz w:val="20"/>
        </w:rPr>
        <w:t xml:space="preserve">. The Purchaser will not, directly or indirectly, offer, sell, pledge, transfer or otherwise dispose of (or solicit any offers to buy, purchase or otherwise acquire or take a pledge of) any of the securities purchased hereunder except in compliance with the Securities Act, applicable blue sky laws,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5.5 </w:t>
      </w:r>
      <w:r>
        <w:rPr>
          <w:rFonts w:ascii="Times New Roman" w:hAnsi="Times New Roman"/>
          <w:sz w:val="20"/>
          <w:u w:val="single"/>
        </w:rPr>
        <w:t>Accredited Investor</w:t>
      </w:r>
      <w:r>
        <w:rPr>
          <w:rFonts w:ascii="Times New Roman" w:hAnsi="Times New Roman"/>
          <w:sz w:val="20"/>
        </w:rPr>
        <w:t xml:space="preserve">. The Purchaser is an “accredited investor” within the meaning of Rule 501 of Regulation D promulgated under the Securities Act or a Qualified Institutional Buyer within the meaning of Rule 144A promulgated under the Securities Act. </w:t>
      </w:r>
    </w:p>
    <w:p>
      <w:pPr>
        <w:pStyle w:val="TextBody"/>
        <w:bidi w:val="0"/>
        <w:spacing w:before="240" w:after="0"/>
        <w:jc w:val="left"/>
        <w:rPr>
          <w:rFonts w:ascii="Times New Roman" w:hAnsi="Times New Roman"/>
          <w:sz w:val="20"/>
        </w:rPr>
      </w:pPr>
      <w:r>
        <w:rPr>
          <w:rFonts w:ascii="Times New Roman" w:hAnsi="Times New Roman"/>
          <w:sz w:val="20"/>
        </w:rPr>
        <w:t>5.6 </w:t>
      </w:r>
      <w:r>
        <w:rPr>
          <w:rFonts w:ascii="Times New Roman" w:hAnsi="Times New Roman"/>
          <w:sz w:val="20"/>
          <w:u w:val="single"/>
        </w:rPr>
        <w:t>Power and Authority</w:t>
      </w:r>
      <w:r>
        <w:rPr>
          <w:rFonts w:ascii="Times New Roman" w:hAnsi="Times New Roman"/>
          <w:sz w:val="20"/>
        </w:rPr>
        <w:t xml:space="preserve">. The Purchaser has all requisite corporate power, and has taken all requisite corporate action, to authorize, execute and deliver this Agreement and each of the other agreements and instruments contemplated herein to which the Purchaser is a party, to consummate the transactions contemplated herein and therein and to carry out and perform all of the Purchaser’s obligations hereunder and thereunder. Upon the execution and delivery of this Agreement, and assuming due execution and delivery of this Agreement by the Company, this Agreement shall constitute a valid and binding obligation of the Purchaser, enforceable in accordance with its terms, except (a) as limited by applicable bankruptcy, insolvency, reorganization, moratorium or similar laws relating to or affecting the enforcement of creditors’ rights generally and (b) as limited by equitable principles generally, including any specific performance. </w:t>
      </w:r>
    </w:p>
    <w:p>
      <w:pPr>
        <w:pStyle w:val="TextBody"/>
        <w:bidi w:val="0"/>
        <w:spacing w:before="240" w:after="0"/>
        <w:jc w:val="left"/>
        <w:rPr>
          <w:rFonts w:ascii="Times New Roman" w:hAnsi="Times New Roman"/>
          <w:sz w:val="20"/>
        </w:rPr>
      </w:pPr>
      <w:r>
        <w:rPr>
          <w:rFonts w:ascii="Times New Roman" w:hAnsi="Times New Roman"/>
          <w:sz w:val="20"/>
        </w:rPr>
        <w:t>5.7 </w:t>
      </w:r>
      <w:r>
        <w:rPr>
          <w:rFonts w:ascii="Times New Roman" w:hAnsi="Times New Roman"/>
          <w:sz w:val="20"/>
          <w:u w:val="single"/>
        </w:rPr>
        <w:t>Broker Dealer</w:t>
      </w:r>
      <w:r>
        <w:rPr>
          <w:rFonts w:ascii="Times New Roman" w:hAnsi="Times New Roman"/>
          <w:sz w:val="20"/>
        </w:rPr>
        <w:t xml:space="preserve">. The Purchaser is not a broker or dealer registered pursuant to Section 15 of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5.8 </w:t>
      </w:r>
      <w:r>
        <w:rPr>
          <w:rFonts w:ascii="Times New Roman" w:hAnsi="Times New Roman"/>
          <w:sz w:val="20"/>
          <w:u w:val="single"/>
        </w:rPr>
        <w:t>Sophisticated Investor</w:t>
      </w:r>
      <w:r>
        <w:rPr>
          <w:rFonts w:ascii="Times New Roman" w:hAnsi="Times New Roman"/>
          <w:sz w:val="20"/>
        </w:rPr>
        <w:t xml:space="preserve">. The Purchaser acknowledges that it is a sophisticated investor engaged in the business of assessing and assuming investment risks with respect to securities, including securities such as the Securities being offered hereby. The Purchaser understands that the Securities are being offered and sold to it in reliance upon specific exemptions from the registration requirements of the Securities Act and state securities laws, and that the Company is relying upon the truth and accuracy of, and the Purchaser’s compliance with, the representations, warranties, agreements, acknowledgments and understandings of the Purchaser set forth herein in order to determine the availability of such exemptions and the eligibility of the Purchaser to acquire the Shares. </w:t>
      </w:r>
    </w:p>
    <w:p>
      <w:pPr>
        <w:pStyle w:val="TextBody"/>
        <w:bidi w:val="0"/>
        <w:spacing w:before="240" w:after="0"/>
        <w:jc w:val="left"/>
        <w:rPr>
          <w:rFonts w:ascii="Times New Roman" w:hAnsi="Times New Roman"/>
          <w:sz w:val="20"/>
        </w:rPr>
      </w:pPr>
      <w:r>
        <w:rPr>
          <w:rFonts w:ascii="Times New Roman" w:hAnsi="Times New Roman"/>
          <w:sz w:val="20"/>
        </w:rPr>
        <w:t>5.9 </w:t>
      </w:r>
      <w:r>
        <w:rPr>
          <w:rFonts w:ascii="Times New Roman" w:hAnsi="Times New Roman"/>
          <w:sz w:val="20"/>
          <w:u w:val="single"/>
        </w:rPr>
        <w:t>Other Securities Transactions</w:t>
      </w:r>
      <w:r>
        <w:rPr>
          <w:rFonts w:ascii="Times New Roman" w:hAnsi="Times New Roman"/>
          <w:sz w:val="20"/>
        </w:rPr>
        <w:t xml:space="preserve">. The Purchaser has not, either directly or indirectly through any Person, agent or representative of the Company, engaged in any transaction in the securities of the Company other than with respect to the transactions contemplated herein, since the time that the Purchaser was first contacted by the Company or any other Person regarding the transactions contemplated hereby until the date hereof, except as set forth in filings made with the Commission pursuant to the Exchange Act. Notwithstanding the foregoing, (a) in the case the Purchaser that is a multi-managed investment vehicle whereby separate portfolio managers manage separate portions of the Purchaser’s assets and the portfolio managers have no direct knowledge of the investment decisions made by the portfolio managers managing other portions of the Purchaser’s assets, the representation set forth above shall only apply with respect to the portion of the assets managed by the portfolio manager that made the investment decision to purchase the Shares covered by this Agreement and (b) in the case the Purchaser is affiliated with other funds or investment vehicles or whose investment advisor or sub-advisor that routinely acts on behalf of or pursuant to an understanding with the Purchaser is also an investment advisor or sub-advisor to other funds or investment vehicles, the representation set forth above shall only apply with respect to the personnel of such other funds or investment vehicles or such investment advisor or sub-advisor who had knowledge of the transaction contemplated hereby and not with respect to any personnel who have been effectively walled off by appropriate information barriers. </w:t>
      </w:r>
    </w:p>
    <w:p>
      <w:pPr>
        <w:pStyle w:val="TextBody"/>
        <w:bidi w:val="0"/>
        <w:spacing w:before="240" w:after="0"/>
        <w:jc w:val="left"/>
        <w:rPr>
          <w:rFonts w:ascii="Times New Roman" w:hAnsi="Times New Roman"/>
          <w:sz w:val="20"/>
        </w:rPr>
      </w:pPr>
      <w:r>
        <w:rPr>
          <w:rFonts w:ascii="Times New Roman" w:hAnsi="Times New Roman"/>
          <w:sz w:val="20"/>
        </w:rPr>
        <w:t>5.10 </w:t>
      </w:r>
      <w:r>
        <w:rPr>
          <w:rFonts w:ascii="Times New Roman" w:hAnsi="Times New Roman"/>
          <w:sz w:val="20"/>
          <w:u w:val="single"/>
        </w:rPr>
        <w:t>Independent Advice</w:t>
      </w:r>
      <w:r>
        <w:rPr>
          <w:rFonts w:ascii="Times New Roman" w:hAnsi="Times New Roman"/>
          <w:sz w:val="20"/>
        </w:rPr>
        <w:t xml:space="preserve">. The Purchaser understands that nothing in this Agreement or any other materials presented to the Purchaser by the Company in connection with the purchase and sale of the Shares constitutes legal, tax or investment advice. The Purchaser has consulted such legal, tax and investment advisors as it, in its sole discretion, has deemed necessary or appropriate in connection with its purchase of the Shares. </w:t>
      </w:r>
    </w:p>
    <w:p>
      <w:pPr>
        <w:pStyle w:val="TextBody"/>
        <w:bidi w:val="0"/>
        <w:spacing w:before="240" w:after="0"/>
        <w:jc w:val="left"/>
        <w:rPr>
          <w:rFonts w:ascii="Times New Roman" w:hAnsi="Times New Roman"/>
          <w:sz w:val="20"/>
        </w:rPr>
      </w:pPr>
      <w:r>
        <w:rPr>
          <w:rFonts w:ascii="Times New Roman" w:hAnsi="Times New Roman"/>
          <w:sz w:val="20"/>
        </w:rPr>
        <w:t>5.11 </w:t>
      </w:r>
      <w:r>
        <w:rPr>
          <w:rFonts w:ascii="Times New Roman" w:hAnsi="Times New Roman"/>
          <w:sz w:val="20"/>
          <w:u w:val="single"/>
        </w:rPr>
        <w:t>Legends</w:t>
      </w:r>
      <w:r>
        <w:rPr>
          <w:rFonts w:ascii="Times New Roman" w:hAnsi="Times New Roman"/>
          <w:sz w:val="20"/>
        </w:rPr>
        <w:t xml:space="preserve">. The Purchaser understands that, until such time as the Shares may be sold pursuant to Rule 144 or an effective resale registration statement, any certificates representing the Shares, whether maintained in a book entry system or otherwise, will bear one or more legends in substantially the following form and substance: </w:t>
      </w:r>
    </w:p>
    <w:p>
      <w:pPr>
        <w:pStyle w:val="TextBody"/>
        <w:bidi w:val="0"/>
        <w:spacing w:before="120" w:after="0"/>
        <w:jc w:val="left"/>
        <w:rPr/>
      </w:pPr>
      <w:r>
        <w:rPr/>
        <w:t>“</w:t>
      </w:r>
      <w:r>
        <w:rPr>
          <w:rFonts w:ascii="Times New Roman" w:hAnsi="Times New Roman"/>
          <w:sz w:val="20"/>
        </w:rPr>
        <w:t xml:space="preserve">THE SECURITIES EVIDENCED BY THIS CERTIFICATE HAVE NOT BEEN REGISTERED UNDER THE SECURITIES ACT OF 1933, AS AMENDED (THE “SECURITIES ACT”), OR ANY OTHER APPLICABLE SECURITIES LAWS AND HAVE BEEN ISSUED IN RELIANCE UPON AN EXEMPTION FROM THE REGISTRATION REQUIREMENTS OF THE SECURITIES ACT AND SUCH OTHER SECURITIES LAWS. NEITHER THIS SECURITY NOR ANY INTEREST OR PARTICIPATION HEREIN MAY BE REOFFERED, SOLD, ASSIGNED, TRANSFERRED, PLEDGED, ENCUMBERED, HYPOTHECATED OR OTHERWISE DISPOSED OF, EXCEPT PURSUANT TO AN EFFECTIVE REGISTRATION STATEMENT UNDER THE SECURITIES ACT OR PURSUANT TO A TRANSACTION WHICH IS EXEMPT FROM, OR NOT SUBJECT TO, SUCH REGISTRATION, IN EACH CASE IN ACCORDANCE WITH ALL APPLICABLE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any stock certificates, whether maintained in a book entry system or otherwise, representing the Shares may contain any legend required by the blue sky laws of any state to the extent such laws are applicable to the sale of such Shares hereunder. </w:t>
      </w:r>
    </w:p>
    <w:p>
      <w:pPr>
        <w:pStyle w:val="TextBody"/>
        <w:bidi w:val="0"/>
        <w:spacing w:before="240" w:after="0"/>
        <w:jc w:val="left"/>
        <w:rPr>
          <w:rFonts w:ascii="Times New Roman" w:hAnsi="Times New Roman"/>
          <w:sz w:val="20"/>
        </w:rPr>
      </w:pPr>
      <w:r>
        <w:rPr>
          <w:rFonts w:ascii="Times New Roman" w:hAnsi="Times New Roman"/>
          <w:sz w:val="20"/>
        </w:rPr>
        <w:t>5.12 </w:t>
      </w:r>
      <w:r>
        <w:rPr>
          <w:rFonts w:ascii="Times New Roman" w:hAnsi="Times New Roman"/>
          <w:sz w:val="20"/>
          <w:u w:val="single"/>
        </w:rPr>
        <w:t>Restricted Securities</w:t>
      </w:r>
      <w:r>
        <w:rPr>
          <w:rFonts w:ascii="Times New Roman" w:hAnsi="Times New Roman"/>
          <w:sz w:val="20"/>
        </w:rPr>
        <w:t xml:space="preserve">. The Purchaser understands that the Shares are characterized as “restricted securities” under the federal securities laws inasmuch as they are being acquired from the Company in a transaction not involving a public offering and that under such laws and applicable regulations such Shares may be resold without registration under the Securities Act only in certain limited circumstances. Accordingly, the Purchaser represents that it is familiar with Rule 144 of the Securities Act, as presently in effect, and understands the resale limitations imposed thereby and by the Securities Act. </w:t>
      </w:r>
    </w:p>
    <w:p>
      <w:pPr>
        <w:pStyle w:val="TextBody"/>
        <w:bidi w:val="0"/>
        <w:spacing w:before="240" w:after="0"/>
        <w:jc w:val="left"/>
        <w:rPr>
          <w:rFonts w:ascii="Times New Roman" w:hAnsi="Times New Roman"/>
          <w:sz w:val="20"/>
        </w:rPr>
      </w:pPr>
      <w:r>
        <w:rPr>
          <w:rFonts w:ascii="Times New Roman" w:hAnsi="Times New Roman"/>
          <w:sz w:val="20"/>
        </w:rPr>
        <w:t>5.13 </w:t>
      </w:r>
      <w:r>
        <w:rPr>
          <w:rFonts w:ascii="Times New Roman" w:hAnsi="Times New Roman"/>
          <w:sz w:val="20"/>
          <w:u w:val="single"/>
        </w:rPr>
        <w:t>No “Bad Actor” Disqualification Events</w:t>
      </w:r>
      <w:r>
        <w:rPr>
          <w:rFonts w:ascii="Times New Roman" w:hAnsi="Times New Roman"/>
          <w:sz w:val="20"/>
        </w:rPr>
        <w:t xml:space="preserve">. If the Purchaser is a Company Covered Person, Purchaser hereby represents that none of (a) the Purchaser or (b) any of its directors, executive officers, other officers that may serve as a director or officer of any company in which it invests, general partners or managing members is subject to any Disqualification Event, except for Disqualification Events covered by Rule 506(d)(2)(ii) or (iii) or (d)(3) under the Securities Act and disclosed reasonably in advance of the Closing in writing in reasonable detail to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6 REGISTRATION OF THE SHARES AND COMPLIANCE WITH THE SECURITIES ACT. </w:t>
      </w:r>
    </w:p>
    <w:p>
      <w:pPr>
        <w:pStyle w:val="TextBody"/>
        <w:bidi w:val="0"/>
        <w:spacing w:before="120" w:after="0"/>
        <w:jc w:val="left"/>
        <w:rPr>
          <w:rFonts w:ascii="Times New Roman" w:hAnsi="Times New Roman"/>
          <w:sz w:val="20"/>
        </w:rPr>
      </w:pPr>
      <w:r>
        <w:rPr>
          <w:rFonts w:ascii="Times New Roman" w:hAnsi="Times New Roman"/>
          <w:sz w:val="20"/>
        </w:rPr>
        <w:t>6.1 </w:t>
      </w:r>
      <w:r>
        <w:rPr>
          <w:rFonts w:ascii="Times New Roman" w:hAnsi="Times New Roman"/>
          <w:sz w:val="20"/>
          <w:u w:val="single"/>
        </w:rPr>
        <w:t>Registration Procedures and Expenses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Registration Statement</w:t>
      </w:r>
      <w:r>
        <w:rPr>
          <w:rFonts w:ascii="Times New Roman" w:hAnsi="Times New Roman"/>
          <w:sz w:val="20"/>
        </w:rPr>
        <w:t>. The Company shall promptly following the Closing Date but not later than thirty (30) calendar days after the Closing Date (the “</w:t>
      </w:r>
      <w:r>
        <w:rPr>
          <w:rFonts w:ascii="Times New Roman" w:hAnsi="Times New Roman"/>
          <w:b/>
          <w:i/>
          <w:sz w:val="20"/>
        </w:rPr>
        <w:t>Filing Deadline</w:t>
      </w:r>
      <w:r>
        <w:rPr>
          <w:rFonts w:ascii="Times New Roman" w:hAnsi="Times New Roman"/>
          <w:sz w:val="20"/>
        </w:rPr>
        <w:t>”), prepare and file with the Commission a Registration Statement on Form S-3 (the “</w:t>
      </w:r>
      <w:r>
        <w:rPr>
          <w:rFonts w:ascii="Times New Roman" w:hAnsi="Times New Roman"/>
          <w:b/>
          <w:i/>
          <w:sz w:val="20"/>
        </w:rPr>
        <w:t>Registration Statement</w:t>
      </w:r>
      <w:r>
        <w:rPr>
          <w:rFonts w:ascii="Times New Roman" w:hAnsi="Times New Roman"/>
          <w:sz w:val="20"/>
        </w:rPr>
        <w:t xml:space="preserve">”), relating to and providing for the resale of the Shares) and shall cover, to the extent allowable under the Securities Act and the rules promulgated thereunder (including Rule 416), such indeterminate number of additional shares of Common Stock resulting from stock splits, stock dividends or similar transactions with respect to such Shares) by the Purchaser on a continuous basis pursuant to Rule 415 under the Securities Act; </w:t>
      </w:r>
      <w:r>
        <w:rPr>
          <w:rFonts w:ascii="Times New Roman" w:hAnsi="Times New Roman"/>
          <w:i/>
          <w:sz w:val="20"/>
        </w:rPr>
        <w:t>provided</w:t>
      </w:r>
      <w:r>
        <w:rPr>
          <w:rFonts w:ascii="Times New Roman" w:hAnsi="Times New Roman"/>
          <w:sz w:val="20"/>
        </w:rPr>
        <w:t xml:space="preserve">, that the Purchaser has completed a form of questionnaire (or provided to the Company such information as required to be included in such Registration Statement, in lieu of a questionnaire) as requested by the Company at least five (5) days prior to the Filing Deadline and have provided any other information regarding the holder and the distribution of the Shares as the Company may, from time to time, reasonably request for inclusion in a Registration Statement pursuant to applicable law. If Form S-3 is not available for use by the Company, then the Company shall utilize a Registration Statement on Form S-1.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Effectiveness Deadline</w:t>
      </w:r>
      <w:r>
        <w:rPr>
          <w:rFonts w:ascii="Times New Roman" w:hAnsi="Times New Roman"/>
          <w:sz w:val="20"/>
        </w:rPr>
        <w:t>. The Company shall use its commercially reasonable efforts to cause the Commission to declare a Registration Statement covering the Shares effective as soon as practicable after the date of the filing thereof and in any event not later than the earlier of (i) five (5) Business Days after the date on which the staff of the Commission (the “</w:t>
      </w:r>
      <w:r>
        <w:rPr>
          <w:rFonts w:ascii="Times New Roman" w:hAnsi="Times New Roman"/>
          <w:b/>
          <w:i/>
          <w:sz w:val="20"/>
        </w:rPr>
        <w:t>Staff</w:t>
      </w:r>
      <w:r>
        <w:rPr>
          <w:rFonts w:ascii="Times New Roman" w:hAnsi="Times New Roman"/>
          <w:sz w:val="20"/>
        </w:rPr>
        <w:t>”) indicates via email or telephone that it will not review or has no further comments on the Registration Statement, or (ii) the sixtieth (60th) day after the Closing Date (or the ninetieth (90th) day if the Commission reviews such Registration Statement) (such date, the “</w:t>
      </w:r>
      <w:r>
        <w:rPr>
          <w:rFonts w:ascii="Times New Roman" w:hAnsi="Times New Roman"/>
          <w:b/>
          <w:i/>
          <w:sz w:val="20"/>
        </w:rPr>
        <w:t>Effectiveness Deadline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(c) The Company shall promptly prepare and file with the Commission such amendments and supplements to the Registration Statement and the prospectus used in connection therewith as may be necessary to keep the Registration Statement effective until the earliest of (i) the third (3rd) anniversary of the effective date of the Registration Statement, (ii) such time as all of the Shares purchased by the Purchaser pursuant to the terms of this Agreement have been sold pursuant to the Registration Statement, or (iii) such time as the Shares become eligible for resale by non-affiliates without any volume limitations or other restrictions pursuant to Rule 144 under the Securities Act (including, for the avoidance of doubt, Rule 144(i)(2)) or any other rule of similar effect (the “</w:t>
      </w:r>
      <w:r>
        <w:rPr>
          <w:rFonts w:ascii="Times New Roman" w:hAnsi="Times New Roman"/>
          <w:b/>
          <w:i/>
          <w:sz w:val="20"/>
        </w:rPr>
        <w:t>Effectiveness Period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(d) If either: (i) the Registration Statement is (A) not filed with the Commission on or before the Filing Deadline in violation of </w:t>
      </w:r>
      <w:r>
        <w:rPr>
          <w:rFonts w:ascii="Times New Roman" w:hAnsi="Times New Roman"/>
          <w:sz w:val="20"/>
          <w:u w:val="single"/>
        </w:rPr>
        <w:t>Section 6.1(a)</w:t>
      </w:r>
      <w:r>
        <w:rPr>
          <w:rFonts w:ascii="Times New Roman" w:hAnsi="Times New Roman"/>
          <w:sz w:val="20"/>
        </w:rPr>
        <w:t xml:space="preserve"> (a “</w:t>
      </w:r>
      <w:r>
        <w:rPr>
          <w:rFonts w:ascii="Times New Roman" w:hAnsi="Times New Roman"/>
          <w:b/>
          <w:i/>
          <w:sz w:val="20"/>
        </w:rPr>
        <w:t>Filing Failure</w:t>
      </w:r>
      <w:r>
        <w:rPr>
          <w:rFonts w:ascii="Times New Roman" w:hAnsi="Times New Roman"/>
          <w:sz w:val="20"/>
        </w:rPr>
        <w:t>”), or (B) if filed but not declared effective by the Commission on or before the Effectiveness Deadline (an “</w:t>
      </w:r>
      <w:r>
        <w:rPr>
          <w:rFonts w:ascii="Times New Roman" w:hAnsi="Times New Roman"/>
          <w:b/>
          <w:i/>
          <w:sz w:val="20"/>
        </w:rPr>
        <w:t>Effectiveness Failure</w:t>
      </w:r>
      <w:r>
        <w:rPr>
          <w:rFonts w:ascii="Times New Roman" w:hAnsi="Times New Roman"/>
          <w:sz w:val="20"/>
        </w:rPr>
        <w:t>”), or (ii) on any day during the Effectiveness Period and after the date on which the Registration Statement is declared effective, sales of all of the Shares required to be included on such Registration Statement cannot be made (other than during a Blackout Period) pursuant to such Registration Statement (including because of a failure to keep such Registration Statement effective, to disclose such information as is necessary for sales to be made pursuant to such Registration Statement or to register a sufficient number of Shares as required by this Agreement) or (iii) after the Filing Deadline, and only in the event a Registration Statement is not effective or available to sell the Shares, the Company fails to file with the Commission any required reports under Section 13 or 15(d) of the Exchange Act such that it is not in compliance with Rule 144(c)(1), as a result of which the Purchaser who is not an affiliate of the Company is unable to sell Shares without restriction under Rule 144 (a “</w:t>
      </w:r>
      <w:r>
        <w:rPr>
          <w:rFonts w:ascii="Times New Roman" w:hAnsi="Times New Roman"/>
          <w:b/>
          <w:i/>
          <w:sz w:val="20"/>
        </w:rPr>
        <w:t>Maintenance Failure</w:t>
      </w:r>
      <w:r>
        <w:rPr>
          <w:rFonts w:ascii="Times New Roman" w:hAnsi="Times New Roman"/>
          <w:sz w:val="20"/>
        </w:rPr>
        <w:t xml:space="preserve">”), then, in satisfaction of the damages to any Purchaser by reason of any such delay in or reduction of its ability to sell the Shares, the Company shall pay to each the Purchaser then holding Shares relating to such Registration Statement an amount in cash equal to 1.0% of the Purchase Price for the Shares then held by the Purchaser on each of the following dates (as applicable): (x) on every thirtieth (30th) day (prorated for periods totaling less than 30 days) following such Filing Failure until such Filing Failure is cured; (y) on every thirtieth (30th) day (prorated for periods totaling less than 30 days) following such Effectiveness Failure until such Effectiveness Failure is cured; and (z) on every thirtieth (30th) day (prorated for periods totaling less than 30 days) following such Maintenance Failure until such Maintenance Failure is cured. The payments to which the Purchaser shall be entitled pursuant to this </w:t>
      </w:r>
      <w:r>
        <w:rPr>
          <w:rFonts w:ascii="Times New Roman" w:hAnsi="Times New Roman"/>
          <w:sz w:val="20"/>
          <w:u w:val="single"/>
        </w:rPr>
        <w:t>Section 6.1(d)</w:t>
      </w:r>
      <w:r>
        <w:rPr>
          <w:rFonts w:ascii="Times New Roman" w:hAnsi="Times New Roman"/>
          <w:sz w:val="20"/>
        </w:rPr>
        <w:t xml:space="preserve"> are referred to herein as “</w:t>
      </w:r>
      <w:r>
        <w:rPr>
          <w:rFonts w:ascii="Times New Roman" w:hAnsi="Times New Roman"/>
          <w:b/>
          <w:i/>
          <w:sz w:val="20"/>
        </w:rPr>
        <w:t>Registration Delay Payments</w:t>
      </w:r>
      <w:r>
        <w:rPr>
          <w:rFonts w:ascii="Times New Roman" w:hAnsi="Times New Roman"/>
          <w:sz w:val="20"/>
        </w:rPr>
        <w:t xml:space="preserve">”; provided that no Registration Delay Payments shall be required following the termination of the Effectiveness Period, and provided further that in no event shall the aggregate Registration Delay Payments accruing under this </w:t>
      </w:r>
      <w:r>
        <w:rPr>
          <w:rFonts w:ascii="Times New Roman" w:hAnsi="Times New Roman"/>
          <w:sz w:val="20"/>
          <w:u w:val="single"/>
        </w:rPr>
        <w:t>Section 6.1(d)</w:t>
      </w:r>
      <w:r>
        <w:rPr>
          <w:rFonts w:ascii="Times New Roman" w:hAnsi="Times New Roman"/>
          <w:sz w:val="20"/>
        </w:rPr>
        <w:t xml:space="preserve"> exceed 6% of the Purchase Price for the Shares then held by the Purchaser (i.e., corresponding to a total delay of six months). The Registration Delay Payments shall be paid on the earlier of (I) the last day of the calendar month during which such Registration Delay Payments are incurred and (II) the third (3rd) Business Day after the event or failure giving rise to the Registration Delay Payments is cured. The Filing Deadline and Effectiveness Deadline for a Registration Statement shall be extended without default or damages hereunder in the event that the Company’s failure to file or obtain the effectiveness of the Registration Statement on a timely basis results from the failure of the Purchaser to timely provide the Company with information requested by the Company and necessary to complete the Registration Statement in accordance with the requirements of the Securities Act. For the sake of clarity, at such time as Shares become eligible for resale without any volume limitations or other restrictions pursuant to Rule 144(b)(1)(i) and Rule 144(i)(2) under the Securities Act.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sz w:val="20"/>
          <w:u w:val="single"/>
        </w:rPr>
        <w:t>Related Obligations</w:t>
      </w:r>
      <w:r>
        <w:rPr>
          <w:rFonts w:ascii="Times New Roman" w:hAnsi="Times New Roman"/>
          <w:sz w:val="20"/>
        </w:rPr>
        <w:t xml:space="preserve">. At such time as the Company is obligated to file the Registration Statement with the Commission pursuant to Section 6.1(a), the Company will use commercially reasonable efforts to effect the registration of the Shares in accordance with the intended method of disposition thereof and, pursuant thereto, the Company shall have the following obligations: </w:t>
      </w:r>
    </w:p>
    <w:p>
      <w:pPr>
        <w:pStyle w:val="TextBody"/>
        <w:bidi w:val="0"/>
        <w:spacing w:before="120" w:after="0"/>
        <w:jc w:val="left"/>
        <w:rPr>
          <w:rFonts w:ascii="Times New Roman" w:hAnsi="Times New Roman"/>
          <w:sz w:val="20"/>
        </w:rPr>
      </w:pPr>
      <w:r>
        <w:rPr>
          <w:rFonts w:ascii="Times New Roman" w:hAnsi="Times New Roman"/>
          <w:sz w:val="20"/>
        </w:rPr>
        <w:t xml:space="preserve">(i) The Company shall submit to the Commission, within three (3) Business Days after the Company learns that no review of the Registration Statement will be made by the Staff or that the Staff has no further comments on the Registration Statement, as the case may be, a request for acceleration of effectiveness of such Registration Statement to a time and date not later than two (2) Business Days after the submission of such request, subject to the approval of the Staff. The Company shall keep each Registration Statement effective pursuant to Rule 415 at all times with respect to the Purchaser’s Shares until the expiration of the Effectiveness Period. The Company shall ensure that 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Registration Statement (including any amendments or supplements thereto and prospectuses contained therein) shall not contain any untrue statement of a material fact or omit to state a material fact required to be stated therein, or necessary to make the statements therein (in the case of prospectuses, in the light of the circumstances in which they were made) not misleading. Notwithstanding the registration obligations set forth in this </w:t>
      </w:r>
      <w:r>
        <w:rPr>
          <w:rFonts w:ascii="Times New Roman" w:hAnsi="Times New Roman"/>
          <w:sz w:val="20"/>
          <w:u w:val="single"/>
        </w:rPr>
        <w:t>Section 6</w:t>
      </w:r>
      <w:r>
        <w:rPr>
          <w:rFonts w:ascii="Times New Roman" w:hAnsi="Times New Roman"/>
          <w:sz w:val="20"/>
        </w:rPr>
        <w:t>, in the event the Commission informs the Company that all of the Shares or cannot, as a result of the application of Rule 415, be registered for resale as a secondary offering on a single registration statement, the Company agrees to promptly (A) inform each of the holders thereof and use its commercially reasonable efforts to file amendments to the Registration Statement as required by the Commission and/or (B) withdraw the Registration Statement and file a new registration statement (a “</w:t>
      </w:r>
      <w:r>
        <w:rPr>
          <w:rFonts w:ascii="Times New Roman" w:hAnsi="Times New Roman"/>
          <w:i/>
          <w:sz w:val="20"/>
        </w:rPr>
        <w:t>New Registration Statement</w:t>
      </w:r>
      <w:r>
        <w:rPr>
          <w:rFonts w:ascii="Times New Roman" w:hAnsi="Times New Roman"/>
          <w:sz w:val="20"/>
        </w:rPr>
        <w:t xml:space="preserve">”), in either case covering the maximum number of Shares permitted to be registered by the Commission, on Form S-3 or such other form available to register for resale the Shares as a secondary offering; </w:t>
      </w:r>
      <w:r>
        <w:rPr>
          <w:rFonts w:ascii="Times New Roman" w:hAnsi="Times New Roman"/>
          <w:i/>
          <w:sz w:val="20"/>
        </w:rPr>
        <w:t>provided, however</w:t>
      </w:r>
      <w:r>
        <w:rPr>
          <w:rFonts w:ascii="Times New Roman" w:hAnsi="Times New Roman"/>
          <w:sz w:val="20"/>
        </w:rPr>
        <w:t xml:space="preserve">, that prior to filing such amendment or New Registration Statement, the Company shall be obligated to use its commercially reasonable efforts to advocate with the Commission for the registration of all of the Shares in accordance with the SEC Guidance, including without limitation, the Manual of Publicly Available Telephone Interpretations D.29. Notwithstanding any other provision of this Agreement and subject to the payment of liquidated damages in </w:t>
      </w:r>
      <w:r>
        <w:rPr>
          <w:rFonts w:ascii="Times New Roman" w:hAnsi="Times New Roman"/>
          <w:sz w:val="20"/>
          <w:u w:val="single"/>
        </w:rPr>
        <w:t>Section 6.1(d)</w:t>
      </w:r>
      <w:r>
        <w:rPr>
          <w:rFonts w:ascii="Times New Roman" w:hAnsi="Times New Roman"/>
          <w:sz w:val="20"/>
        </w:rPr>
        <w:t>, if any SEC Guidance sets forth a limitation of the number of Shares permitted to be registered on a particular Registration Statement as a secondary offering (and notwithstanding that the Company used diligent efforts to advocate with the Commission for the registration of all or a greater number of Shares), unless otherwise directed in writing by a Purchaser as to its Shares, the number of Shares to be registered on such Registration Statement will first be reduced by Shares not acquired pursuant to the Purchase Agreement (whether pursuant to registration rights or otherwise), and second by holders of Shares (applied, in the case that some Shares may be registered, to the Purchaser on a pro rata basis based on the total number of unregistered Shares held by the Purchaser) subject to a determination by the Commission the Purchaser must be reduced first based on the number of Shares held by the Purchaser). In the event the Company amends the Registration Statement or files a New Registration Statement, as the case may be, under clauses (A) or (B) above, the Company will use its commercially reasonable efforts to file with the Commission, as promptly as allowed by Commission or SEC Guidance provided to the Company or to registrants of securities in general, one or more registration statements on Form S-3 or such other form available to register for resale those Shares that were not registered for resale on the Registration Statement, as amended, or the New Registration Statement (the “</w:t>
      </w:r>
      <w:r>
        <w:rPr>
          <w:rFonts w:ascii="Times New Roman" w:hAnsi="Times New Roman"/>
          <w:i/>
          <w:sz w:val="20"/>
        </w:rPr>
        <w:t>Remainder Registration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(ii) The Company shall notify the Purchaser in writing of the happening of any event, as promptly as practicable after becoming aware of such event, as a result of which the prospectus included in the Registration Statement, as then in effect, includes an untrue statement of a material fact or omission to state a material fact required to be stated therein or necessary to make the statements therein, in the light of the circumstances under which they were made, not misleading (provided that in no event shall such notice contain any material, nonpublic information), and promptly prepare a supplement or amendment to such Registration Statement to correct such untrue statement or omission. The Company shall also promptly notify the Purchaser in writing (A) of any request by the Commission for amendments or supplements to the Registration Statement or related prospectus or related information that relates to the Purchaser, and (B) of the Company’s reasonable determination that a post-effective amendment to the Registration Statement would be appropriate (provided that in no event shall such notice in (A) or (B) contain any material, nonpublic information). </w:t>
      </w:r>
    </w:p>
    <w:p>
      <w:pPr>
        <w:pStyle w:val="TextBody"/>
        <w:bidi w:val="0"/>
        <w:spacing w:before="240" w:after="0"/>
        <w:jc w:val="left"/>
        <w:rPr>
          <w:rFonts w:ascii="Times New Roman" w:hAnsi="Times New Roman"/>
          <w:sz w:val="20"/>
        </w:rPr>
      </w:pPr>
      <w:r>
        <w:rPr>
          <w:rFonts w:ascii="Times New Roman" w:hAnsi="Times New Roman"/>
          <w:sz w:val="20"/>
        </w:rPr>
        <w:t xml:space="preserve">(iii) The Company shall promptly inform the Purchaser of the issuance of any stop order or other suspension of the effectiveness of the Registration Statement, and use commercially reasonable efforts to prevent the issuance of any stop order or other suspension of effectiveness of the Registration Statement, or the suspension of the qualification of any of the Shares for sale in any jurisdiction and, if such an order or suspension is issued, to obtain the withdrawal of such order or suspension at the earliest possible moment and to notify the Purchaser of the issuance of such order and the resolution thereof or its receipt of notice of the initiation or threat of any proceeding for such purpose.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(iv) Neither the Company nor any affiliate thereof shall identify the Purchaser as an underwriter in any public disclosure or filing with the Commission or any applicable Trading Market without the prior written consent of the Purchaser, except to the extent such disclosure is required by law, request of the Staff of the Commission or Trading Market regulations, in which case the Company shall provide the Purchaser with prior written notice of such disclosure and the Purchaser will have an opportunity to withdraw from the Registration Statement.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sz w:val="20"/>
          <w:u w:val="single"/>
        </w:rPr>
        <w:t>Blackout Period</w:t>
      </w:r>
      <w:r>
        <w:rPr>
          <w:rFonts w:ascii="Times New Roman" w:hAnsi="Times New Roman"/>
          <w:sz w:val="20"/>
        </w:rPr>
        <w:t>. Notwithstanding the foregoing obligations, the Company may, upon written notice to the Purchaser, which notice shall not contain any information that is or the Company reasonably believes is material non-public information, for a reasonable period of time after effectiveness, not to exceed 30 days (each, a “</w:t>
      </w:r>
      <w:r>
        <w:rPr>
          <w:rFonts w:ascii="Times New Roman" w:hAnsi="Times New Roman"/>
          <w:b/>
          <w:i/>
          <w:sz w:val="20"/>
        </w:rPr>
        <w:t>Blackout Period</w:t>
      </w:r>
      <w:r>
        <w:rPr>
          <w:rFonts w:ascii="Times New Roman" w:hAnsi="Times New Roman"/>
          <w:sz w:val="20"/>
        </w:rPr>
        <w:t>”), delay the filing of an amendment to a Registration Statement or suspend the effectiveness or use of any Registration Statement, in the event that (i) negotiation or consummation of a transaction by the Company is pending or an event has occurred, which negotiation, consummation or event, the Company’s Board of Directors (the “</w:t>
      </w:r>
      <w:r>
        <w:rPr>
          <w:rFonts w:ascii="Times New Roman" w:hAnsi="Times New Roman"/>
          <w:b/>
          <w:i/>
          <w:sz w:val="20"/>
        </w:rPr>
        <w:t>Board</w:t>
      </w:r>
      <w:r>
        <w:rPr>
          <w:rFonts w:ascii="Times New Roman" w:hAnsi="Times New Roman"/>
          <w:sz w:val="20"/>
        </w:rPr>
        <w:t xml:space="preserve">”) reasonably believes, upon the advice of legal counsel, would require additional disclosure by the Company in the Registration Statement of material information that the Company has a bona fide business purpose for preserving as confidential and the non-disclosure of which in the Registration Statement would be expected, in the reasonable determination of the Board, upon the advice of legal counsel, to cause the Registration Statement to fail to comply with applicable disclosure requirements, or (ii) an event occurs that makes any statement of a material fact made in such Registration Statement, including any document incorporated by reference therein, untrue or that requires the making of any additions or changes in the Registration Statement in order to make the statements therein not misleading; provided, however, that any Blackout Period shall terminate upon the earlier of (A) the expiration of such 30-day period or (B) the completion, resolution or public announcement of the relevant transaction or event. If the Company suspends the effectiveness of a Registration Statement pursuant to this </w:t>
      </w:r>
      <w:r>
        <w:rPr>
          <w:rFonts w:ascii="Times New Roman" w:hAnsi="Times New Roman"/>
          <w:sz w:val="20"/>
          <w:u w:val="single"/>
        </w:rPr>
        <w:t>Section 6.1(f)</w:t>
      </w:r>
      <w:r>
        <w:rPr>
          <w:rFonts w:ascii="Times New Roman" w:hAnsi="Times New Roman"/>
          <w:sz w:val="20"/>
        </w:rPr>
        <w:t xml:space="preserve">, the Company shall (x) as promptly as reasonably practicable following the termination of the circumstance which entitled the Company to do so, take such actions as may be necessary to reinstate the effectiveness of such Registration Statement and give written notice to the Purchaser authorizing the Purchaser to resume offerings and sales pursuant to such Registration Statement, and (y) cause its transfer agent to deliver unlegended shares of Common Stock to a transferee of the Purchaser in accordance with the terms of this Agreement in connection with any sale of Shares with respect to which the Purchaser has entered into a contract for sale, and delivered a copy of the prospectus included as part of the applicable Registration Statement (unless an exemption from such prospectus delivery requirement exists), prior to the Purchaser’s receipt of the notice of a Blackout Period and for which the Purchaser has not yet settled. If, as a result thereof, the prospectus included in such Registration Statement has been amended or supplemented to comply with the requirements of the Securities Act, the Company shall enclose such revised prospectus with the notice to Purchaser given pursuant to this </w:t>
      </w:r>
      <w:r>
        <w:rPr>
          <w:rFonts w:ascii="Times New Roman" w:hAnsi="Times New Roman"/>
          <w:sz w:val="20"/>
          <w:u w:val="single"/>
        </w:rPr>
        <w:t>Section 6</w:t>
      </w:r>
      <w:r>
        <w:rPr>
          <w:rFonts w:ascii="Times New Roman" w:hAnsi="Times New Roman"/>
          <w:sz w:val="20"/>
        </w:rPr>
        <w:t xml:space="preserve">. The Company shall be entitled to exercise its rights under this </w:t>
      </w:r>
      <w:r>
        <w:rPr>
          <w:rFonts w:ascii="Times New Roman" w:hAnsi="Times New Roman"/>
          <w:sz w:val="20"/>
          <w:u w:val="single"/>
        </w:rPr>
        <w:t>Section 6.1(f)</w:t>
      </w:r>
      <w:r>
        <w:rPr>
          <w:rFonts w:ascii="Times New Roman" w:hAnsi="Times New Roman"/>
          <w:sz w:val="20"/>
        </w:rPr>
        <w:t xml:space="preserve"> not more than once in any six (6) month period; provided, however, that the aggregate number of days of all Blackout Periods hereunder shall not exceed 60 days in any twelve (12) month period. After the expiration of any Blackout Period and without further request from the Purchaser, the Company shall effect the filing (or if required amendment or supplement) of the Registration Statement, or the filing of other documents, as necessary to allow the Purchaser to resell the Shares as set forth herein.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sz w:val="20"/>
          <w:u w:val="single"/>
        </w:rPr>
        <w:t>Registration Expenses</w:t>
      </w:r>
      <w:r>
        <w:rPr>
          <w:rFonts w:ascii="Times New Roman" w:hAnsi="Times New Roman"/>
          <w:sz w:val="20"/>
        </w:rPr>
        <w:t xml:space="preserve">. The Company shall bear all expenses in connection with the procedures in paragraphs (a) through (d) of this </w:t>
      </w:r>
      <w:r>
        <w:rPr>
          <w:rFonts w:ascii="Times New Roman" w:hAnsi="Times New Roman"/>
          <w:sz w:val="20"/>
          <w:u w:val="single"/>
        </w:rPr>
        <w:t>Section 6.1</w:t>
      </w:r>
      <w:r>
        <w:rPr>
          <w:rFonts w:ascii="Times New Roman" w:hAnsi="Times New Roman"/>
          <w:sz w:val="20"/>
        </w:rPr>
        <w:t xml:space="preserve"> and the registration of the Shares pursuant to the Registration Statement, other than fees and expenses, if any, of counsel or other advisers to the Purchaser or underwriting discounts, brokerage fees and commissions incurred by the Purchaser, if any in connection with the offering of the Shares pursuant to the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(h) </w:t>
      </w:r>
      <w:r>
        <w:rPr>
          <w:rFonts w:ascii="Times New Roman" w:hAnsi="Times New Roman"/>
          <w:sz w:val="20"/>
          <w:u w:val="single"/>
        </w:rPr>
        <w:t>Timely Filing</w:t>
      </w:r>
      <w:r>
        <w:rPr>
          <w:rFonts w:ascii="Times New Roman" w:hAnsi="Times New Roman"/>
          <w:sz w:val="20"/>
        </w:rPr>
        <w:t xml:space="preserve">. In order to enable the Purchaser to sell the Shares under Rule 144 under the Securities Act, for so long as the Purchaser holds Shares, (i) the Company shall use its commercially reasonable efforts to comply with the requirements of Rule 144, including the requirements of Rule 144(c)(1) with respect to public information about the Company, and (ii) the Company covenants to timely file all reports required to be filed by the Company under the Exchange Act even if the Company is not then subject to the reporting requirements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(i) The Company shall provide the Purchaser an opportunity to review and comment on all disclosures regarding the Purchaser and any plan of distribution proposed by them in connection with the preparation of any Registration Statement. </w:t>
      </w:r>
    </w:p>
    <w:p>
      <w:pPr>
        <w:pStyle w:val="TextBody"/>
        <w:bidi w:val="0"/>
        <w:spacing w:before="240" w:after="0"/>
        <w:jc w:val="left"/>
        <w:rPr>
          <w:rFonts w:ascii="Times New Roman" w:hAnsi="Times New Roman"/>
          <w:sz w:val="20"/>
        </w:rPr>
      </w:pPr>
      <w:r>
        <w:rPr>
          <w:rFonts w:ascii="Times New Roman" w:hAnsi="Times New Roman"/>
          <w:sz w:val="20"/>
        </w:rPr>
        <w:t>6.2 </w:t>
      </w:r>
      <w:r>
        <w:rPr>
          <w:rFonts w:ascii="Times New Roman" w:hAnsi="Times New Roman"/>
          <w:sz w:val="20"/>
          <w:u w:val="single"/>
        </w:rPr>
        <w:t>Restrictions on Transfer</w:t>
      </w:r>
      <w:r>
        <w:rPr>
          <w:rFonts w:ascii="Times New Roman" w:hAnsi="Times New Roman"/>
          <w:sz w:val="20"/>
        </w:rPr>
        <w:t xml:space="preserve">. The Purchaser agrees that it will not effect any disposition of the Shares that would constitute a sale within the meaning of the Securities Act or pursuant to any applicable state securities laws, unless and until (a) there is then in effect a registration statement under the Securities Act covering such proposed disposition and such disposition is made in accordance with such registration statement or (b) such disposition is otherwise permitted by law, including pursuant to the exemption from registration set forth in Rule 144 under the Securities Act. </w:t>
      </w:r>
    </w:p>
    <w:p>
      <w:pPr>
        <w:pStyle w:val="TextBody"/>
        <w:bidi w:val="0"/>
        <w:spacing w:before="240" w:after="0"/>
        <w:jc w:val="left"/>
        <w:rPr>
          <w:rFonts w:ascii="Times New Roman" w:hAnsi="Times New Roman"/>
          <w:sz w:val="20"/>
        </w:rPr>
      </w:pPr>
      <w:r>
        <w:rPr>
          <w:rFonts w:ascii="Times New Roman" w:hAnsi="Times New Roman"/>
          <w:sz w:val="20"/>
        </w:rPr>
        <w:t>6.3 </w:t>
      </w:r>
      <w:r>
        <w:rPr>
          <w:rFonts w:ascii="Times New Roman" w:hAnsi="Times New Roman"/>
          <w:sz w:val="20"/>
          <w:u w:val="single"/>
        </w:rPr>
        <w:t>Indemnification</w:t>
      </w:r>
      <w:r>
        <w:rPr>
          <w:rFonts w:ascii="Times New Roman" w:hAnsi="Times New Roman"/>
          <w:sz w:val="20"/>
        </w:rPr>
        <w:t xml:space="preserve">. For the purpose of this </w:t>
      </w:r>
      <w:r>
        <w:rPr>
          <w:rFonts w:ascii="Times New Roman" w:hAnsi="Times New Roman"/>
          <w:sz w:val="20"/>
          <w:u w:val="single"/>
        </w:rPr>
        <w:t>Section 6.3</w:t>
      </w:r>
      <w:r>
        <w:rPr>
          <w:rFonts w:ascii="Times New Roman" w:hAnsi="Times New Roman"/>
          <w:sz w:val="20"/>
        </w:rPr>
        <w:t>: (i) the term “</w:t>
      </w:r>
      <w:r>
        <w:rPr>
          <w:rFonts w:ascii="Times New Roman" w:hAnsi="Times New Roman"/>
          <w:b/>
          <w:i/>
          <w:sz w:val="20"/>
        </w:rPr>
        <w:t>Purchaser/Affiliate</w:t>
      </w:r>
      <w:r>
        <w:rPr>
          <w:rFonts w:ascii="Times New Roman" w:hAnsi="Times New Roman"/>
          <w:sz w:val="20"/>
        </w:rPr>
        <w:t>” shall mean any Affiliate of and investment adviser to the Purchaser; and (ii) the term “</w:t>
      </w:r>
      <w:r>
        <w:rPr>
          <w:rFonts w:ascii="Times New Roman" w:hAnsi="Times New Roman"/>
          <w:b/>
          <w:i/>
          <w:sz w:val="20"/>
        </w:rPr>
        <w:t>Registration Statement</w:t>
      </w:r>
      <w:r>
        <w:rPr>
          <w:rFonts w:ascii="Times New Roman" w:hAnsi="Times New Roman"/>
          <w:sz w:val="20"/>
        </w:rPr>
        <w:t>” shall include any preliminary prospectus, final prospectus (the “</w:t>
      </w:r>
      <w:r>
        <w:rPr>
          <w:rFonts w:ascii="Times New Roman" w:hAnsi="Times New Roman"/>
          <w:b/>
          <w:i/>
          <w:sz w:val="20"/>
        </w:rPr>
        <w:t>Prospectus</w:t>
      </w:r>
      <w:r>
        <w:rPr>
          <w:rFonts w:ascii="Times New Roman" w:hAnsi="Times New Roman"/>
          <w:sz w:val="20"/>
        </w:rPr>
        <w:t xml:space="preserve">”), free writing prospectus, exhibit, supplement or amendment included in or relating to, and any document incorporated by reference in, the Registration Statement referred to in </w:t>
      </w:r>
      <w:r>
        <w:rPr>
          <w:rFonts w:ascii="Times New Roman" w:hAnsi="Times New Roman"/>
          <w:sz w:val="20"/>
          <w:u w:val="single"/>
        </w:rPr>
        <w:t>Section 6.1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agrees to indemnify and hold harmless the Purchaser and each Purchaser/Affiliate, against any losses, claims, damages, liabilities or expenses, joint or several, that the Purchaser or Purchaser/Affiliate incurs, under the Securities Act, the Exchange Act, or any other federal or state statutory law or regulation, or at common law or otherwise (including in settlement of any litigation, if such settlement is effected with the written consent of the Company), insofar as such losses, claims, damages, liabilities or expenses (or actions in respect thereof as contemplated below) (i) arise out of or are based upon any untrue statement or alleged untrue statement of any material fact contained in the Registration Statement, including the Prospectus, financial statements and schedules, and all other documents filed as a part thereof, as amended at the time of effectiveness of the Registration Statement, including any information deemed to be a part thereof as of the time of effectiveness pursuant to paragraph (b) of Rule 430A, or pursuant to Rules 430B, 430C or 434, or the Prospectus, in the form first filed with the Commission pursuant to Rule 424(b), or filed as part of the Registration Statement at the time of effectiveness if no Rule 424(b) filing is required or any amendment or supplement thereto, or arise out of or are based upon the omission or alleged omission to state in any of them a material fact required to be stated therein or necessary to make the statements in the Registration Statement or any amendment or supplement thereto not misleading or in the Prospectus or any amendment or supplement thereto not misleading in light of the circumstances under which they were made or (ii) arise out of or are based in whole or in part on any inaccuracy in the representations or warranties of the Company contained in this Agreement, breach of any covenant of the Company contained in this Agreement or any failure of the Company to perform its other obligations hereunder or under law, and will promptly reimburse the Purchaser and each Purchaser/Affiliate for any legal and other out-of-pocket expenses as such expenses are reasonably incurred and documented by the Purchaser or the Purchaser/Affiliate in connection with investigating, defending or preparing to defend, settling, compromising or paying any such loss, claim, damage, liability, expense or action; provided, however, that the Company will not be liable for amounts paid in settlement of any such loss, claim, damage, liability or action if such settlement is effected without the written consent of the Company, which consent shall not be unreasonably withheld or delayed, and the Company will not be liable in any such case to the extent that any such loss, claim, damage, liability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expense arises out of or is based upon (A) an untrue statement or alleged untrue statement or omission or alleged omission made in the Registration Statement, the Prospectus or any amendment or supplement thereto made in reliance upon and in conformity with written information furnished to the Company by or on behalf of the Purchaser or any Purchaser/Affiliate expressly for use therein, or (B) the Purchaser’s failure to send or give a copy of the Prospectus or supplement (as then amended or supplemented), if required (and not exempted) to the Persons asserting an untrue statement or omission or alleged untrue statement or omission at or prior to the written confirmation of the sale of the Shares pursuant to the Registration Statement or (C) the use by the Purchaser of an outdated or defective Prospectus after the Company has notified the Purchaser in writing that such Prospectus is outdated or defective. The such indemnified Purchaser shall return all payments made hereunder if it is determined, by a final, non-appealable judgment by a court or arbitral tribunal, that the losses for which such payments were made resulted from such indemnified Purchaser’s or any Purchaser/Affiliate’s gross negligence or willful misconduct. </w:t>
      </w:r>
    </w:p>
    <w:p>
      <w:pPr>
        <w:pStyle w:val="TextBody"/>
        <w:bidi w:val="0"/>
        <w:spacing w:before="240" w:after="0"/>
        <w:jc w:val="left"/>
        <w:rPr>
          <w:rFonts w:ascii="Times New Roman" w:hAnsi="Times New Roman"/>
          <w:sz w:val="20"/>
        </w:rPr>
      </w:pPr>
      <w:r>
        <w:rPr>
          <w:rFonts w:ascii="Times New Roman" w:hAnsi="Times New Roman"/>
          <w:sz w:val="20"/>
        </w:rPr>
        <w:t xml:space="preserve">(b) The Purchaser will indemnify and hold harmless the Company, each of its directors, each of its officers who signed the Registration Statement, agents, and employees and each person, if any, who controls the Company within the meaning of Section 15 of the Securities Act or Section 20 of the Exchange Act, against any losses, claims, damages, liabilities or expenses that the Company, each of its directors, each of its officers who signed the Registration Statement or controlling person incurs, under the Securities Act, the Exchange Act, or any other federal or state statutory law or regulation, or at common law or otherwise (including in settlement of any litigation, but only if such settlement is effected with the written consent of the Purchaser) insofar as such losses, claims, damages, liabilities or expenses (or actions in respect thereof as contemplated below) arise out of or are based upon (i) any failure to comply with the covenants and agreements contained in </w:t>
      </w:r>
      <w:r>
        <w:rPr>
          <w:rFonts w:ascii="Times New Roman" w:hAnsi="Times New Roman"/>
          <w:sz w:val="20"/>
          <w:u w:val="single"/>
        </w:rPr>
        <w:t>Section 6.2</w:t>
      </w:r>
      <w:r>
        <w:rPr>
          <w:rFonts w:ascii="Times New Roman" w:hAnsi="Times New Roman"/>
          <w:sz w:val="20"/>
        </w:rPr>
        <w:t xml:space="preserve"> hereof respecting the sale of the Shares or (ii) any untrue or alleged untrue statement of any material fact contained in the Registration Statement, the Prospectus, or any amendment or supplement thereto, or arise out of or are based upon the omission or alleged omission to state therein a material fact required to be stated therein or necessary to make the statements in the Registration Statement or any amendment or supplement thereto not misleading or in the Prospectus or any amendment or supplement thereto not misleading in the light of the circumstances under which they were made, in each case to the extent, but only to the extent, that such untrue statement or alleged untrue statement or omission or alleged omission was made in the Registration Statement, the Prospectus, or any amendment or supplement thereto, in reliance upon and in conformity with written information furnished to the Company by or on behalf of the Purchaser or any Purchaser/Affiliate expressly for use therein; and will reimburse the Company, each of its directors, each of its officers who signed the Registration Statement or controlling person for any legal and other expense reasonably incurred by the Company, each of its directors, each of its officers who signed the Registration Statement or controlling person in connection with investigating, defending, settling, compromising or paying any such loss, claim, damage, liability, expense or action; provided, however, that (A) the Purchaser’s aggregate liability under this </w:t>
      </w:r>
      <w:r>
        <w:rPr>
          <w:rFonts w:ascii="Times New Roman" w:hAnsi="Times New Roman"/>
          <w:sz w:val="20"/>
          <w:u w:val="single"/>
        </w:rPr>
        <w:t>Section 6</w:t>
      </w:r>
      <w:r>
        <w:rPr>
          <w:rFonts w:ascii="Times New Roman" w:hAnsi="Times New Roman"/>
          <w:sz w:val="20"/>
        </w:rPr>
        <w:t xml:space="preserve"> shall not exceed the amount of net proceeds received by the Purchaser on the sale of the Shares pursuant to the Registration Statement and (B) the Purchaser will not be liable for amounts paid in settlement of any such loss, claim, damage, liability or action if such settlement is effected without the written consent of the Purchaser which consent shall not be unreasonably withheld or delayed. </w:t>
      </w:r>
    </w:p>
    <w:p>
      <w:pPr>
        <w:pStyle w:val="TextBody"/>
        <w:bidi w:val="0"/>
        <w:spacing w:before="240" w:after="0"/>
        <w:jc w:val="left"/>
        <w:rPr>
          <w:rFonts w:ascii="Times New Roman" w:hAnsi="Times New Roman"/>
          <w:sz w:val="20"/>
        </w:rPr>
      </w:pPr>
      <w:r>
        <w:rPr>
          <w:rFonts w:ascii="Times New Roman" w:hAnsi="Times New Roman"/>
          <w:sz w:val="20"/>
        </w:rPr>
        <w:t xml:space="preserve">(c) Promptly after receipt by an indemnified party under this </w:t>
      </w:r>
      <w:r>
        <w:rPr>
          <w:rFonts w:ascii="Times New Roman" w:hAnsi="Times New Roman"/>
          <w:sz w:val="20"/>
          <w:u w:val="single"/>
        </w:rPr>
        <w:t>Section 6.3</w:t>
      </w:r>
      <w:r>
        <w:rPr>
          <w:rFonts w:ascii="Times New Roman" w:hAnsi="Times New Roman"/>
          <w:sz w:val="20"/>
        </w:rPr>
        <w:t xml:space="preserve"> of notice of the threat or commencement of any action, such indemnified party will, if a claim in respect thereof is to be made against an indemnifying party under this </w:t>
      </w:r>
      <w:r>
        <w:rPr>
          <w:rFonts w:ascii="Times New Roman" w:hAnsi="Times New Roman"/>
          <w:sz w:val="20"/>
          <w:u w:val="single"/>
        </w:rPr>
        <w:t>Section 6.3</w:t>
      </w:r>
      <w:r>
        <w:rPr>
          <w:rFonts w:ascii="Times New Roman" w:hAnsi="Times New Roman"/>
          <w:sz w:val="20"/>
        </w:rPr>
        <w:t xml:space="preserve"> promptly notify the indemnifying party in writing thereof, but the omission to notify the indemnifying party will not relieve it from any liability that it may have to any indemnified party for contribution or otherwise under the indemnity agreement contained in this </w:t>
      </w:r>
      <w:r>
        <w:rPr>
          <w:rFonts w:ascii="Times New Roman" w:hAnsi="Times New Roman"/>
          <w:sz w:val="20"/>
          <w:u w:val="single"/>
        </w:rPr>
        <w:t>Section 6.3</w:t>
      </w:r>
      <w:r>
        <w:rPr>
          <w:rFonts w:ascii="Times New Roman" w:hAnsi="Times New Roman"/>
          <w:sz w:val="20"/>
        </w:rPr>
        <w:t xml:space="preserve"> to the extent it is not prejudiced as a result of such failure. In case any such action is brought against any indemnified party and such indemnified party seeks or intends to seek indemnity from an indemnifying party, the indemnifying party will be entitled to participate in, and, to the extent that it may wish, jointly with all other indemnifying parties similarly notified, to assume the defense thereof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counsel reasonably satisfactory to such indemnified party; provided, however, if the defendants in any such action include both the indemnified party, and the indemnifying party and the indemnified party shall have reasonably concluded, based on an opinion of counsel reasonably satisfactory to the indemnifying party, that there may be a conflict of interest between the positions of the indemnifying party and the indemnified party in conducting the defense of any such action or that there may be legal defenses available to it and/or other indemnified parties that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its election to assume the defense of such action and approval by the indemnified party of counsel, the indemnifying party will not be liable to such indemnified party under this </w:t>
      </w:r>
      <w:r>
        <w:rPr>
          <w:rFonts w:ascii="Times New Roman" w:hAnsi="Times New Roman"/>
          <w:sz w:val="20"/>
          <w:u w:val="single"/>
        </w:rPr>
        <w:t>Section 6.3</w:t>
      </w:r>
      <w:r>
        <w:rPr>
          <w:rFonts w:ascii="Times New Roman" w:hAnsi="Times New Roman"/>
          <w:sz w:val="20"/>
        </w:rPr>
        <w:t xml:space="preserve"> for any legal or other expenses subsequently incurred by such indemnified party in connection with the defense thereof unless (i) the indemnified party shall have employed such counsel in connection with the assumption of legal defenses in accordance with the proviso to the preceding sentence (it being understood, however, that the indemnifying party shall not be liable for the expenses of more than one separate counsel, reasonably satisfactory to such indemnifying party, representing all of the indemnified parties who are parties to such action) or (ii) the indemnifying party shall not have employed counsel reasonably satisfactory to the indemnified party to represent the indemnified party within a reasonable time after notice of commencement of action, in each of which cases the reasonable fees and expenses of counsel shall be at the expense of the indemnifying party. In no event shall any indemnifying party be liable in respect of any amounts paid in settlement of any action unless the indemnifying party shall have approved in writing the terms of such settlement; provided that such consent shall not be unreasonably withheld. No indemnifying party shall, without the prior written consent of the indemnified party, effect any settlement of any pending or threatened proceeding in respect of which any indemnified party is or could have been a party and indemnification could have been sought hereunder by such indemnified party, unless such settlement includes an unconditional release of such indemnified party from all liability on claims that are the subject matter of such proceeding. </w:t>
      </w:r>
    </w:p>
    <w:p>
      <w:pPr>
        <w:pStyle w:val="TextBody"/>
        <w:bidi w:val="0"/>
        <w:spacing w:before="240" w:after="0"/>
        <w:jc w:val="left"/>
        <w:rPr>
          <w:rFonts w:ascii="Times New Roman" w:hAnsi="Times New Roman"/>
          <w:sz w:val="20"/>
        </w:rPr>
      </w:pPr>
      <w:r>
        <w:rPr>
          <w:rFonts w:ascii="Times New Roman" w:hAnsi="Times New Roman"/>
          <w:sz w:val="20"/>
        </w:rPr>
        <w:t xml:space="preserve">(d) If the indemnification provided for in this </w:t>
      </w:r>
      <w:r>
        <w:rPr>
          <w:rFonts w:ascii="Times New Roman" w:hAnsi="Times New Roman"/>
          <w:sz w:val="20"/>
          <w:u w:val="single"/>
        </w:rPr>
        <w:t>Section 6.3</w:t>
      </w:r>
      <w:r>
        <w:rPr>
          <w:rFonts w:ascii="Times New Roman" w:hAnsi="Times New Roman"/>
          <w:sz w:val="20"/>
        </w:rPr>
        <w:t xml:space="preserve"> is required by its terms but is for any reason held to be unavailable to or otherwise insufficient to hold harmless an indemnified party under paragraphs (a), (b) or (c) of this </w:t>
      </w:r>
      <w:r>
        <w:rPr>
          <w:rFonts w:ascii="Times New Roman" w:hAnsi="Times New Roman"/>
          <w:sz w:val="20"/>
          <w:u w:val="single"/>
        </w:rPr>
        <w:t>Section 6.3</w:t>
      </w:r>
      <w:r>
        <w:rPr>
          <w:rFonts w:ascii="Times New Roman" w:hAnsi="Times New Roman"/>
          <w:sz w:val="20"/>
        </w:rPr>
        <w:t xml:space="preserve"> in respect to any losses, claims, damages, liabilities or expenses referred to herein, then each applicable indemnifying party shall contribute to the amount paid or payable by such indemnified party as a result of any losses, claims, damages, liabilities or expenses referred to herein (i) in such proportion as is appropriate to reflect the relative benefits received by the Company and the Purchaser from the private placement of Shares hereunder or (ii) if the allocation provided by clause (i) above is not permitted by applicable law, in such proportion as is appropriate to reflect not only the relative benefits referred to in clause (i) above but the relative fault of the Company and the Purchaser in connection with the statements or omissions or inaccuracies in the representations and warranties in this Agreement and/or the Registration Statement that resulted in such losses, claims, damages, liabilities or expenses, as well as any other relevant equitable considerations. The relative benefits received by the Company on the one hand and the Purchaser on the other shall be deemed to be in the same proportion as the amount paid by the Purchaser to the Company pursuant to this Agreement for the Shares purchased by the Purchaser that were sold pursuant to the Registration Statement bears to the difference (the “</w:t>
      </w:r>
      <w:r>
        <w:rPr>
          <w:rFonts w:ascii="Times New Roman" w:hAnsi="Times New Roman"/>
          <w:b/>
          <w:i/>
          <w:sz w:val="20"/>
        </w:rPr>
        <w:t>Difference</w:t>
      </w:r>
      <w:r>
        <w:rPr>
          <w:rFonts w:ascii="Times New Roman" w:hAnsi="Times New Roman"/>
          <w:sz w:val="20"/>
        </w:rPr>
        <w:t xml:space="preserve">”) between the amount the Purchaser paid for the Shares that were sold pursuant to the Registration Statement and the amount received by the Purchaser from such sale. The relative fault of the Company on the one hand and the Purchaser on the other shall be determined by reference to, among other things, whether the untrue or alleged statement of a material fact or the omission or alleged omission to state a material fact or the inaccurate or the alleged inaccurate representation and/or warranty relates to information supplied by the Company or by the Purchaser and the parties’ relative intent, knowledge, access to information and opportunity to correct or prevent such statement or omission. The amount paid or payable by a party as a result of the losses, claims, damages, liabilities and expenses referred to above shall be deemed to include, subject to the limitations set forth in paragraph (c) of this </w:t>
      </w:r>
      <w:r>
        <w:rPr>
          <w:rFonts w:ascii="Times New Roman" w:hAnsi="Times New Roman"/>
          <w:sz w:val="20"/>
          <w:u w:val="single"/>
        </w:rPr>
        <w:t>Section 6.3</w:t>
      </w:r>
      <w:r>
        <w:rPr>
          <w:rFonts w:ascii="Times New Roman" w:hAnsi="Times New Roman"/>
          <w:sz w:val="20"/>
        </w:rPr>
        <w:t xml:space="preserve">, any legal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 fees or expenses reasonably incurred by such party in connection with investigating or defending any action or claim. The provisions set forth in paragraph (c) of this </w:t>
      </w:r>
      <w:r>
        <w:rPr>
          <w:rFonts w:ascii="Times New Roman" w:hAnsi="Times New Roman"/>
          <w:sz w:val="20"/>
          <w:u w:val="single"/>
        </w:rPr>
        <w:t>Section 6.3</w:t>
      </w:r>
      <w:r>
        <w:rPr>
          <w:rFonts w:ascii="Times New Roman" w:hAnsi="Times New Roman"/>
          <w:sz w:val="20"/>
        </w:rPr>
        <w:t xml:space="preserve"> with respect to the notice of the threat or commencement of any threat or action shall apply if a claim for contribution is to be made under this paragraph (d); provided, however, that no additional notice shall be required with respect to any threat or action for which notice has been given under paragraph (c) for purposes of indemnification. The Company and the Purchaser agree that it would not be just and equitable if contribution pursuant to this </w:t>
      </w:r>
      <w:r>
        <w:rPr>
          <w:rFonts w:ascii="Times New Roman" w:hAnsi="Times New Roman"/>
          <w:sz w:val="20"/>
          <w:u w:val="single"/>
        </w:rPr>
        <w:t>Section 6.3</w:t>
      </w:r>
      <w:r>
        <w:rPr>
          <w:rFonts w:ascii="Times New Roman" w:hAnsi="Times New Roman"/>
          <w:sz w:val="20"/>
        </w:rPr>
        <w:t xml:space="preserve"> were determined solely by pro rata allocation (even if the Purchaser were treated as one entity for such purpose) or by any other method of allocation which does not take account of the equitable considerations referred to in this paragraph. Notwithstanding the provisions of this </w:t>
      </w:r>
      <w:r>
        <w:rPr>
          <w:rFonts w:ascii="Times New Roman" w:hAnsi="Times New Roman"/>
          <w:sz w:val="20"/>
          <w:u w:val="single"/>
        </w:rPr>
        <w:t>Section 6.3</w:t>
      </w:r>
      <w:r>
        <w:rPr>
          <w:rFonts w:ascii="Times New Roman" w:hAnsi="Times New Roman"/>
          <w:sz w:val="20"/>
        </w:rPr>
        <w:t xml:space="preserve">, the Purchaser shall not be required to contribute any amount in excess of the amount by which the Difference exceeds the amount of any damages that the Purchaser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7 NO BROKER’S FEES. </w:t>
      </w:r>
    </w:p>
    <w:p>
      <w:pPr>
        <w:pStyle w:val="TextBody"/>
        <w:bidi w:val="0"/>
        <w:spacing w:before="120" w:after="0"/>
        <w:jc w:val="left"/>
        <w:rPr>
          <w:rFonts w:ascii="Times New Roman" w:hAnsi="Times New Roman"/>
          <w:sz w:val="20"/>
        </w:rPr>
      </w:pPr>
      <w:r>
        <w:rPr>
          <w:rFonts w:ascii="Times New Roman" w:hAnsi="Times New Roman"/>
          <w:sz w:val="20"/>
        </w:rPr>
        <w:t xml:space="preserve">Each of the Company and the Purchaser hereby represents that no broker, investment banker, financial advisor or other individual, corporation, general or limited partnership, limited liability company, firm, joint venture, association, enterprise, joint securities company, trust, unincorporated organization or other entity is entitled to any broker’s, finder’s, financial advisor’s or other similar fee or commission in connection with the transactions contemplated by this Agreement. The Company agrees to indemnify the Purchaser for any claims, losses or expenses incurred by the Purchaser as a result of the representation of the Company in this </w:t>
      </w:r>
      <w:r>
        <w:rPr>
          <w:rFonts w:ascii="Times New Roman" w:hAnsi="Times New Roman"/>
          <w:sz w:val="20"/>
          <w:u w:val="single"/>
        </w:rPr>
        <w:t>Section 7</w:t>
      </w:r>
      <w:r>
        <w:rPr>
          <w:rFonts w:ascii="Times New Roman" w:hAnsi="Times New Roman"/>
          <w:sz w:val="20"/>
        </w:rPr>
        <w:t xml:space="preserve"> being untrue.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8 COVENANTS. </w:t>
      </w:r>
    </w:p>
    <w:p>
      <w:pPr>
        <w:pStyle w:val="TextBody"/>
        <w:bidi w:val="0"/>
        <w:spacing w:before="120" w:after="0"/>
        <w:jc w:val="left"/>
        <w:rPr>
          <w:rFonts w:ascii="Times New Roman" w:hAnsi="Times New Roman"/>
          <w:sz w:val="20"/>
        </w:rPr>
      </w:pPr>
      <w:r>
        <w:rPr>
          <w:rFonts w:ascii="Times New Roman" w:hAnsi="Times New Roman"/>
          <w:sz w:val="20"/>
        </w:rPr>
        <w:t>8.1 </w:t>
      </w:r>
      <w:r>
        <w:rPr>
          <w:rFonts w:ascii="Times New Roman" w:hAnsi="Times New Roman"/>
          <w:sz w:val="20"/>
          <w:u w:val="single"/>
        </w:rPr>
        <w:t>Form D; Blue Sky Filings</w:t>
      </w:r>
      <w:r>
        <w:rPr>
          <w:rFonts w:ascii="Times New Roman" w:hAnsi="Times New Roman"/>
          <w:sz w:val="20"/>
        </w:rPr>
        <w:t xml:space="preserve">. The Company shall file a Form D with respect to the Shares as required under Regulation D of the Securities Act. The Company will take such action as the Company shall reasonably determine is necessary in order to obtain an exemption from, or to qualify the Shares for, sale to the Purchaser at the Closing pursuant to this Agreement under applicable securities of “Blue Sky” laws of the states of the United States and shall provide evidence of such actions promptly upon the written request of the Purchaser. </w:t>
      </w:r>
    </w:p>
    <w:p>
      <w:pPr>
        <w:pStyle w:val="TextBody"/>
        <w:bidi w:val="0"/>
        <w:spacing w:before="240" w:after="0"/>
        <w:jc w:val="left"/>
        <w:rPr>
          <w:rFonts w:ascii="Times New Roman" w:hAnsi="Times New Roman"/>
          <w:sz w:val="20"/>
        </w:rPr>
      </w:pPr>
      <w:r>
        <w:rPr>
          <w:rFonts w:ascii="Times New Roman" w:hAnsi="Times New Roman"/>
          <w:sz w:val="20"/>
        </w:rPr>
        <w:t>8.2 </w:t>
      </w:r>
      <w:r>
        <w:rPr>
          <w:rFonts w:ascii="Times New Roman" w:hAnsi="Times New Roman"/>
          <w:sz w:val="20"/>
          <w:u w:val="single"/>
        </w:rPr>
        <w:t>Listing of Common Stock</w:t>
      </w:r>
      <w:r>
        <w:rPr>
          <w:rFonts w:ascii="Times New Roman" w:hAnsi="Times New Roman"/>
          <w:sz w:val="20"/>
        </w:rPr>
        <w:t xml:space="preserve">. The Company shall prepare and file with the Trading Market an additional shares listing application covering all of the Shares and shall use its best efforts to take all steps necessary to cause all of the Shares to be approved for listing as promptly as possible thereafter. The Company shall pay all fees and expenses in connection with satisfying its obligations under this </w:t>
      </w:r>
      <w:r>
        <w:rPr>
          <w:rFonts w:ascii="Times New Roman" w:hAnsi="Times New Roman"/>
          <w:sz w:val="20"/>
          <w:u w:val="single"/>
        </w:rPr>
        <w:t>Section 8.2</w:t>
      </w:r>
      <w:r>
        <w:rPr>
          <w:rFonts w:ascii="Times New Roman" w:hAnsi="Times New Roman"/>
          <w:sz w:val="20"/>
        </w:rPr>
        <w:t>. The Company agrees, if the Company applies to have the Common Stock traded on any other exchange or market, it will then include in such application all of the Shares, and will use its best efforts to take such other action as is necessary to cause all of the Shares to be listed or quoted on such other exchange or market as promptly as possible. The Company will then take all action reasonably necessary to continue the listing and trading of its Common Stock on such other exchange or market and will comply in all respects with the Company’s reporting, filing and other obligations under the bylaws or rules of such exchange or market. The Company agrees to maintain the eligibility of the Common Stock for electronic transfer through the Depository Trust Company (“</w:t>
      </w:r>
      <w:r>
        <w:rPr>
          <w:rFonts w:ascii="Times New Roman" w:hAnsi="Times New Roman"/>
          <w:b/>
          <w:i/>
          <w:sz w:val="20"/>
        </w:rPr>
        <w:t>DTC</w:t>
      </w:r>
      <w:r>
        <w:rPr>
          <w:rFonts w:ascii="Times New Roman" w:hAnsi="Times New Roman"/>
          <w:sz w:val="20"/>
        </w:rPr>
        <w:t xml:space="preserve">”) or another established clearing corporation, including by timely payment of fees to DTC or such other established clearing corporation in connection with such electronic transfer. </w:t>
      </w:r>
    </w:p>
    <w:p>
      <w:pPr>
        <w:pStyle w:val="TextBody"/>
        <w:bidi w:val="0"/>
        <w:spacing w:before="240" w:after="0"/>
        <w:jc w:val="left"/>
        <w:rPr>
          <w:rFonts w:ascii="Times New Roman" w:hAnsi="Times New Roman"/>
          <w:sz w:val="20"/>
        </w:rPr>
      </w:pPr>
      <w:r>
        <w:rPr>
          <w:rFonts w:ascii="Times New Roman" w:hAnsi="Times New Roman"/>
          <w:sz w:val="20"/>
        </w:rPr>
        <w:t>8.3 </w:t>
      </w:r>
      <w:r>
        <w:rPr>
          <w:rFonts w:ascii="Times New Roman" w:hAnsi="Times New Roman"/>
          <w:sz w:val="20"/>
          <w:u w:val="single"/>
        </w:rPr>
        <w:t>Material Non-Public Information</w:t>
      </w:r>
      <w:r>
        <w:rPr>
          <w:rFonts w:ascii="Times New Roman" w:hAnsi="Times New Roman"/>
          <w:sz w:val="20"/>
        </w:rPr>
        <w:t xml:space="preserve">. The Company has not provided the Purchase with any information that will constitute material non-public information, except insofar as the existence,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terms of the Agreement and other transaction documents and the proposed transactions hereunder may constitute such information. From and after the issuance of the Disclosure Document as set forth in </w:t>
      </w:r>
      <w:r>
        <w:rPr>
          <w:rFonts w:ascii="Times New Roman" w:hAnsi="Times New Roman"/>
          <w:sz w:val="20"/>
          <w:u w:val="single"/>
        </w:rPr>
        <w:t>Section 10.14</w:t>
      </w:r>
      <w:r>
        <w:rPr>
          <w:rFonts w:ascii="Times New Roman" w:hAnsi="Times New Roman"/>
          <w:sz w:val="20"/>
        </w:rPr>
        <w:t xml:space="preserve">, the Company represents to the Purchaser that it shall have publicly disclosed all material, non-public information delivered to the Purchaser by the Company or any of its officers, directors, employees or agents in connection with the transactions contemplated by this Agreement, and the Purchaser shall no longer be subject to any confidentiality or similar obligations under any current agreement, whether written or oral, with the Company, any subsidiary of the Company or any of their respective representatives, Affiliates, officers, directors, employees or agents. To the extent that the Company delivers any material, non-public information to the Purchaser without the Purchaser’s consent, the Company hereby covenants and agrees that the Purchaser shall not have any duty of confidentiality to the Company or any of its officers, directors, agents, employees or Affiliates, provided that the Purchaser shall remain subject to applicable law. To the extent that any notice provided pursuant to this Agreement constitutes, or contains, material, non-public information regarding the Company, the Company shall simultaneously file such notice with the Commission pursuant to a Current Report on Form 8-K. The Company understands and confirms that the Purchaser and its Affiliates will rely on the foregoing representations in effecting transactions in securities of the Company. </w:t>
      </w:r>
    </w:p>
    <w:p>
      <w:pPr>
        <w:pStyle w:val="TextBody"/>
        <w:bidi w:val="0"/>
        <w:spacing w:before="240" w:after="0"/>
        <w:jc w:val="left"/>
        <w:rPr>
          <w:rFonts w:ascii="Times New Roman" w:hAnsi="Times New Roman"/>
          <w:sz w:val="20"/>
        </w:rPr>
      </w:pPr>
      <w:r>
        <w:rPr>
          <w:rFonts w:ascii="Times New Roman" w:hAnsi="Times New Roman"/>
          <w:sz w:val="20"/>
        </w:rPr>
        <w:t>8.4 </w:t>
      </w:r>
      <w:r>
        <w:rPr>
          <w:rFonts w:ascii="Times New Roman" w:hAnsi="Times New Roman"/>
          <w:sz w:val="20"/>
          <w:u w:val="single"/>
        </w:rPr>
        <w:t>Integration</w:t>
      </w:r>
      <w:r>
        <w:rPr>
          <w:rFonts w:ascii="Times New Roman" w:hAnsi="Times New Roman"/>
          <w:sz w:val="20"/>
        </w:rPr>
        <w:t xml:space="preserve">. The Company shall not sell, offer for sale or solicit offers to buy or otherwise negotiate in respect of any security (as defined in Section 2 of the Securities Act) that the Company believes, acting in good faith and after consultation with the Trading Market, would be integrated with the offer or sale of the Shares for purposes of the rules and regulations of the Trading Market such that it would require shareholder approval prior to the closing of such other transaction unless shareholder approval is obtained before the closing of such subsequent transaction. </w:t>
      </w:r>
    </w:p>
    <w:p>
      <w:pPr>
        <w:pStyle w:val="TextBody"/>
        <w:bidi w:val="0"/>
        <w:spacing w:before="240" w:after="0"/>
        <w:jc w:val="left"/>
        <w:rPr>
          <w:rFonts w:ascii="Times New Roman" w:hAnsi="Times New Roman"/>
          <w:sz w:val="20"/>
        </w:rPr>
      </w:pPr>
      <w:r>
        <w:rPr>
          <w:rFonts w:ascii="Times New Roman" w:hAnsi="Times New Roman"/>
          <w:sz w:val="20"/>
        </w:rPr>
        <w:t>8.5 </w:t>
      </w:r>
      <w:r>
        <w:rPr>
          <w:rFonts w:ascii="Times New Roman" w:hAnsi="Times New Roman"/>
          <w:sz w:val="20"/>
          <w:u w:val="single"/>
        </w:rPr>
        <w:t>Legend Removal</w:t>
      </w:r>
      <w:r>
        <w:rPr>
          <w:rFonts w:ascii="Times New Roman" w:hAnsi="Times New Roman"/>
          <w:sz w:val="20"/>
        </w:rPr>
        <w:t>. If the Purchaser has resold Shares in a manner described under the caption “Plan of Distribution” in a then-effective and available Registration Statement or pursuant to Rule 144 of the Securities Act or other available exemption from registration under the Securities Act, the Purchaser shall concurrently (a) send a confirmation to the Company’s transfer agent setting forth the number of such Shares that have been so resold and the date of such resales (such confirmation, the “</w:t>
      </w:r>
      <w:r>
        <w:rPr>
          <w:rFonts w:ascii="Times New Roman" w:hAnsi="Times New Roman"/>
          <w:b/>
          <w:i/>
          <w:sz w:val="20"/>
        </w:rPr>
        <w:t>Transfer Agent Confirmation</w:t>
      </w:r>
      <w:r>
        <w:rPr>
          <w:rFonts w:ascii="Times New Roman" w:hAnsi="Times New Roman"/>
          <w:sz w:val="20"/>
        </w:rPr>
        <w:t>”) and (b) deliver to the Company, the transfer agent and legal counsel to the Company a customary seller’s representation letter and broker’s representation letter confirming the resale of such Shares in the manner described above, together with any other documentation reasonably required by the transfer agent and/or the Depository Trust Company and, if applicable and requested by the Company, a legal opinion of the investor’s counsel that the sale of such shares did not require registration under the Securities Act, in a form and substance reasonably satisfactory to the Company (the “</w:t>
      </w:r>
      <w:r>
        <w:rPr>
          <w:rFonts w:ascii="Times New Roman" w:hAnsi="Times New Roman"/>
          <w:b/>
          <w:i/>
          <w:sz w:val="20"/>
        </w:rPr>
        <w:t>Resale Deliverables</w:t>
      </w:r>
      <w:r>
        <w:rPr>
          <w:rFonts w:ascii="Times New Roman" w:hAnsi="Times New Roman"/>
          <w:sz w:val="20"/>
        </w:rPr>
        <w:t xml:space="preserve">”). The Company and the Purchaser hereby acknowledge that, if and when the Purchaser has (i) resold Shares in a manner described under the caption “Plan of Distribution” in the Registration Statement or pursuant to Rule 144 or other available exemption from registration under the Securities Act and (ii) delivered the Resale Deliverables, the Company shall instruct the transfer agent to cause such shares to be credited to accounts designated by the Purchaser for the persons who purchased such Shares from the Purchaser. Upon the written request by the Purchaser to the Company if, at the time of such request, the Purchaser (i) is not, and has not been during the preceding three months, an affiliate of the Company, (ii) has held the portion of the Shares subject to such request for at least one year as determined in accordance with Rule 144 of the Securities Act and (iii) all of the other requirements of Rule 144 are satisfied, the Company shall, no later than two (2) Business Days following the delivery by the Purchaser to the Company’s transfer agent of one or more legended certificates or book-entry statements representing such Shares issued to the Purchaser together with such other documentation from the Purchaser and its designated broker as the transfer agent or the Company deems necessary and appropriate, authorize the transfer agent to remove the Securities Act restrictive legend (and any stop transfer instructions placed against transfer of any such Shares) affixed to the portion of such Shares for which all conditions to the Purchaser’s ability to resell under Rule 144 have then been satisfied. At the time the Company authorizes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removal of the Securities Act restrictive legend (and any stop transfer instructions placed against transfer of any such Shares) pursuant to this Section 8.5, the Company shall also use its commercially reasonable efforts, at its sole expense, to cause its legal counsel to issue to the transfer agent a legal opinion or direction letter instructing the transfer agent that it is authorized to remove the Securities Act restrictive legend affixed to such Shares as contemplated by this Section 8.5. The Company shall be responsible for the fees of its transfer agent and any Depository Trust Company fees associated with such issuance.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9 NOTICES. </w:t>
      </w:r>
    </w:p>
    <w:p>
      <w:pPr>
        <w:pStyle w:val="TextBody"/>
        <w:bidi w:val="0"/>
        <w:spacing w:before="120" w:after="0"/>
        <w:jc w:val="left"/>
        <w:rPr>
          <w:rFonts w:ascii="Times New Roman" w:hAnsi="Times New Roman"/>
          <w:sz w:val="20"/>
        </w:rPr>
      </w:pPr>
      <w:r>
        <w:rPr>
          <w:rFonts w:ascii="Times New Roman" w:hAnsi="Times New Roman"/>
          <w:sz w:val="20"/>
        </w:rPr>
        <w:t xml:space="preserve">All notices, requests, consents and other communications hereunder shall be in writing, shall be sent by confirmed facsimile or electronic mail, or mailed by first-class registered or certified airmail, or nationally recognized overnight express courier, postage prepaid, and shall be deemed given when so sent in the case of facsimile or electronic mail transmission, or when so received in the case of mail or courier, and addressed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the Company, to: </w:t>
            </w:r>
          </w:p>
        </w:tc>
      </w:tr>
    </w:tbl>
    <w:p>
      <w:pPr>
        <w:pStyle w:val="TextBody"/>
        <w:bidi w:val="0"/>
        <w:spacing w:before="120" w:after="0"/>
        <w:jc w:val="left"/>
        <w:rPr>
          <w:rFonts w:ascii="Times New Roman" w:hAnsi="Times New Roman"/>
          <w:sz w:val="20"/>
        </w:rPr>
      </w:pPr>
      <w:r>
        <w:rPr>
          <w:rFonts w:ascii="Times New Roman" w:hAnsi="Times New Roman"/>
          <w:sz w:val="20"/>
        </w:rPr>
        <w:t xml:space="preserve">Tango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201 Brookline Ave., Suite 901 </w:t>
      </w:r>
    </w:p>
    <w:p>
      <w:pPr>
        <w:pStyle w:val="TextBody"/>
        <w:bidi w:val="0"/>
        <w:spacing w:before="0" w:after="0"/>
        <w:jc w:val="left"/>
        <w:rPr>
          <w:rFonts w:ascii="Times New Roman" w:hAnsi="Times New Roman"/>
          <w:sz w:val="20"/>
        </w:rPr>
      </w:pPr>
      <w:r>
        <w:rPr>
          <w:rFonts w:ascii="Times New Roman" w:hAnsi="Times New Roman"/>
          <w:sz w:val="20"/>
        </w:rPr>
        <w:t xml:space="preserve">Boston, MA 02215 </w:t>
      </w:r>
    </w:p>
    <w:p>
      <w:pPr>
        <w:pStyle w:val="TextBody"/>
        <w:bidi w:val="0"/>
        <w:spacing w:before="0" w:after="0"/>
        <w:jc w:val="left"/>
        <w:rPr>
          <w:rFonts w:ascii="Times New Roman" w:hAnsi="Times New Roman"/>
          <w:sz w:val="20"/>
        </w:rPr>
      </w:pPr>
      <w:r>
        <w:rPr>
          <w:rFonts w:ascii="Times New Roman" w:hAnsi="Times New Roman"/>
          <w:sz w:val="20"/>
        </w:rPr>
        <w:t xml:space="preserve">Telephone No.: (857) 320-4900 </w:t>
      </w:r>
    </w:p>
    <w:p>
      <w:pPr>
        <w:pStyle w:val="TextBody"/>
        <w:bidi w:val="0"/>
        <w:spacing w:before="0" w:after="0"/>
        <w:jc w:val="left"/>
        <w:rPr>
          <w:rFonts w:ascii="Times New Roman" w:hAnsi="Times New Roman"/>
          <w:sz w:val="20"/>
        </w:rPr>
      </w:pPr>
      <w:r>
        <w:rPr>
          <w:rFonts w:ascii="Times New Roman" w:hAnsi="Times New Roman"/>
          <w:sz w:val="20"/>
        </w:rPr>
        <w:t xml:space="preserve">Attention: VP, Legal </w:t>
      </w:r>
    </w:p>
    <w:p>
      <w:pPr>
        <w:pStyle w:val="TextBody"/>
        <w:bidi w:val="0"/>
        <w:spacing w:before="0" w:after="0"/>
        <w:jc w:val="left"/>
        <w:rPr>
          <w:rFonts w:ascii="Times New Roman" w:hAnsi="Times New Roman"/>
          <w:sz w:val="20"/>
        </w:rPr>
      </w:pPr>
      <w:r>
        <w:rPr>
          <w:rFonts w:ascii="Times New Roman" w:hAnsi="Times New Roman"/>
          <w:sz w:val="20"/>
        </w:rPr>
        <w:t xml:space="preserve">E-mail: jfogarty@tangotx.com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0" w:after="0"/>
        <w:jc w:val="left"/>
        <w:rPr>
          <w:rFonts w:ascii="Times New Roman" w:hAnsi="Times New Roman"/>
          <w:sz w:val="20"/>
        </w:rPr>
      </w:pPr>
      <w:r>
        <w:rPr>
          <w:rFonts w:ascii="Times New Roman" w:hAnsi="Times New Roman"/>
          <w:sz w:val="20"/>
        </w:rPr>
        <w:t xml:space="preserve">Goodwin Procter, LLP </w:t>
      </w:r>
    </w:p>
    <w:p>
      <w:pPr>
        <w:pStyle w:val="TextBody"/>
        <w:bidi w:val="0"/>
        <w:spacing w:before="0" w:after="0"/>
        <w:jc w:val="left"/>
        <w:rPr>
          <w:rFonts w:ascii="Times New Roman" w:hAnsi="Times New Roman"/>
          <w:sz w:val="20"/>
        </w:rPr>
      </w:pPr>
      <w:r>
        <w:rPr>
          <w:rFonts w:ascii="Times New Roman" w:hAnsi="Times New Roman"/>
          <w:sz w:val="20"/>
        </w:rPr>
        <w:t xml:space="preserve">100 Northern Ave </w:t>
      </w:r>
    </w:p>
    <w:p>
      <w:pPr>
        <w:pStyle w:val="TextBody"/>
        <w:bidi w:val="0"/>
        <w:spacing w:before="0" w:after="0"/>
        <w:jc w:val="left"/>
        <w:rPr>
          <w:rFonts w:ascii="Times New Roman" w:hAnsi="Times New Roman"/>
          <w:sz w:val="20"/>
        </w:rPr>
      </w:pPr>
      <w:r>
        <w:rPr>
          <w:rFonts w:ascii="Times New Roman" w:hAnsi="Times New Roman"/>
          <w:sz w:val="20"/>
        </w:rPr>
        <w:t>Boston, MA 02210</w:t>
      </w:r>
    </w:p>
    <w:p>
      <w:pPr>
        <w:pStyle w:val="TextBody"/>
        <w:bidi w:val="0"/>
        <w:spacing w:before="0" w:after="0"/>
        <w:jc w:val="left"/>
        <w:rPr>
          <w:rFonts w:ascii="Times New Roman" w:hAnsi="Times New Roman"/>
          <w:sz w:val="20"/>
        </w:rPr>
      </w:pPr>
      <w:r>
        <w:rPr>
          <w:rFonts w:ascii="Times New Roman" w:hAnsi="Times New Roman"/>
          <w:sz w:val="20"/>
        </w:rPr>
        <w:t xml:space="preserve">Telephone No.: (617) 570-1000 </w:t>
      </w:r>
    </w:p>
    <w:p>
      <w:pPr>
        <w:pStyle w:val="TextBody"/>
        <w:bidi w:val="0"/>
        <w:spacing w:before="0" w:after="0"/>
        <w:jc w:val="left"/>
        <w:rPr>
          <w:rFonts w:ascii="Times New Roman" w:hAnsi="Times New Roman"/>
          <w:sz w:val="20"/>
        </w:rPr>
      </w:pPr>
      <w:r>
        <w:rPr>
          <w:rFonts w:ascii="Times New Roman" w:hAnsi="Times New Roman"/>
          <w:sz w:val="20"/>
        </w:rPr>
        <w:t xml:space="preserve">Attention: Mitchell Bloom, Esq. </w:t>
      </w:r>
    </w:p>
    <w:p>
      <w:pPr>
        <w:pStyle w:val="TextBody"/>
        <w:bidi w:val="0"/>
        <w:spacing w:before="0" w:after="0"/>
        <w:jc w:val="left"/>
        <w:rPr>
          <w:rFonts w:ascii="Times New Roman" w:hAnsi="Times New Roman"/>
          <w:sz w:val="20"/>
        </w:rPr>
      </w:pPr>
      <w:r>
        <w:rPr>
          <w:rFonts w:ascii="Times New Roman" w:hAnsi="Times New Roman"/>
          <w:sz w:val="20"/>
        </w:rPr>
        <w:t xml:space="preserve">E-mail: mbloom@goodwinlaw.com </w:t>
      </w:r>
    </w:p>
    <w:p>
      <w:pPr>
        <w:pStyle w:val="TextBody"/>
        <w:bidi w:val="0"/>
        <w:spacing w:before="240" w:after="0"/>
        <w:jc w:val="left"/>
        <w:rPr>
          <w:rFonts w:ascii="Times New Roman" w:hAnsi="Times New Roman"/>
          <w:sz w:val="20"/>
        </w:rPr>
      </w:pPr>
      <w:r>
        <w:rPr>
          <w:rFonts w:ascii="Times New Roman" w:hAnsi="Times New Roman"/>
          <w:sz w:val="20"/>
        </w:rPr>
        <w:t xml:space="preserve">or to such other Person at such other place as the Company shall designate to the Purchaser in writing; and </w:t>
      </w:r>
    </w:p>
    <w:p>
      <w:pPr>
        <w:pStyle w:val="TextBody"/>
        <w:bidi w:val="0"/>
        <w:spacing w:before="240" w:after="0"/>
        <w:jc w:val="left"/>
        <w:rPr>
          <w:rFonts w:ascii="Times New Roman" w:hAnsi="Times New Roman"/>
          <w:sz w:val="20"/>
        </w:rPr>
      </w:pPr>
      <w:r>
        <w:rPr>
          <w:rFonts w:ascii="Times New Roman" w:hAnsi="Times New Roman"/>
          <w:sz w:val="20"/>
        </w:rPr>
        <w:t xml:space="preserve">(b)  if to the Purchaser, to the address set forth on </w:t>
      </w:r>
      <w:r>
        <w:rPr>
          <w:rFonts w:ascii="Times New Roman" w:hAnsi="Times New Roman"/>
          <w:sz w:val="20"/>
          <w:u w:val="single"/>
        </w:rPr>
        <w:t>Schedule A</w:t>
      </w:r>
      <w:r>
        <w:rPr>
          <w:rFonts w:ascii="Times New Roman" w:hAnsi="Times New Roman"/>
          <w:sz w:val="20"/>
        </w:rPr>
        <w:t xml:space="preserve"> or to such other Person at such other place as the Purchaser shall designate to the Company in writing.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10 MISCELLANEOUS. </w:t>
      </w:r>
    </w:p>
    <w:p>
      <w:pPr>
        <w:pStyle w:val="TextBody"/>
        <w:bidi w:val="0"/>
        <w:spacing w:before="120" w:after="0"/>
        <w:jc w:val="left"/>
        <w:rPr>
          <w:rFonts w:ascii="Times New Roman" w:hAnsi="Times New Roman"/>
          <w:sz w:val="20"/>
        </w:rPr>
      </w:pPr>
      <w:r>
        <w:rPr>
          <w:rFonts w:ascii="Times New Roman" w:hAnsi="Times New Roman"/>
          <w:sz w:val="20"/>
        </w:rPr>
        <w:t>10.1 </w:t>
      </w:r>
      <w:r>
        <w:rPr>
          <w:rFonts w:ascii="Times New Roman" w:hAnsi="Times New Roman"/>
          <w:sz w:val="20"/>
          <w:u w:val="single"/>
        </w:rPr>
        <w:t>Termination</w:t>
      </w:r>
      <w:r>
        <w:rPr>
          <w:rFonts w:ascii="Times New Roman" w:hAnsi="Times New Roman"/>
          <w:sz w:val="20"/>
        </w:rPr>
        <w:t xml:space="preserve">. This Agreement may be terminated by written agreement of a Purchaser and the Company </w:t>
      </w:r>
    </w:p>
    <w:p>
      <w:pPr>
        <w:pStyle w:val="TextBody"/>
        <w:bidi w:val="0"/>
        <w:spacing w:before="240" w:after="0"/>
        <w:jc w:val="left"/>
        <w:rPr>
          <w:rFonts w:ascii="Times New Roman" w:hAnsi="Times New Roman"/>
          <w:sz w:val="20"/>
        </w:rPr>
      </w:pPr>
      <w:r>
        <w:rPr>
          <w:rFonts w:ascii="Times New Roman" w:hAnsi="Times New Roman"/>
          <w:sz w:val="20"/>
        </w:rPr>
        <w:t>10.2 </w:t>
      </w:r>
      <w:r>
        <w:rPr>
          <w:rFonts w:ascii="Times New Roman" w:hAnsi="Times New Roman"/>
          <w:sz w:val="20"/>
          <w:u w:val="single"/>
        </w:rPr>
        <w:t>Waivers and Amendments</w:t>
      </w:r>
      <w:r>
        <w:rPr>
          <w:rFonts w:ascii="Times New Roman" w:hAnsi="Times New Roman"/>
          <w:sz w:val="20"/>
        </w:rPr>
        <w:t xml:space="preserve">. Neither this Agreement nor any provision hereof may be changed, waived, discharged, terminated, modified or amended except upon the written consent of the Company and the Purchaser. Notwithstanding anything to the contrary herein, without the express written consent of the Purchaser, (i) this Agreement may not be amended, modified or waived to increase or decrease the number of Shares that the Purchaser is obligated to purchase hereunder or to increase or decrease the Purchase Price to be paid by the Purchaser for such Shares and (ii) this Section 10.2 shall not be amended, modified or waived.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10.3 </w:t>
      </w:r>
      <w:r>
        <w:rPr>
          <w:rFonts w:ascii="Times New Roman" w:hAnsi="Times New Roman"/>
          <w:sz w:val="20"/>
          <w:u w:val="single"/>
        </w:rPr>
        <w:t>Headings; Interpretation</w:t>
      </w:r>
      <w:r>
        <w:rPr>
          <w:rFonts w:ascii="Times New Roman" w:hAnsi="Times New Roman"/>
          <w:sz w:val="20"/>
        </w:rPr>
        <w:t xml:space="preserve">. The headings of the various sections of this Agreement have been inserted for convenience of reference only and shall not be deemed to be part of this Agreement. The terms “hereof,” “herein,” “hereby” and derivative or similar words refer to this Agreement as a whole and not to any particular provision of this Agreement. Except when used together with the word “either” or otherwise for the purpose of identifying mutually exclusive alternatives, the term “or” has the inclusive meaning represented by the phrase “and/or.” All references in this Agreement to “dollars” or “$” shall mean United States dollars. Except where the context otherwise requires, wherever used the singular shall include the plural, the plural the singular, the use of any gender shall be applicable to all genders. The term “including” or “includes” means “including without limitation” or “includes without limitation.” </w:t>
      </w:r>
    </w:p>
    <w:p>
      <w:pPr>
        <w:pStyle w:val="TextBody"/>
        <w:bidi w:val="0"/>
        <w:spacing w:before="240" w:after="0"/>
        <w:jc w:val="left"/>
        <w:rPr>
          <w:rFonts w:ascii="Times New Roman" w:hAnsi="Times New Roman"/>
          <w:sz w:val="20"/>
        </w:rPr>
      </w:pPr>
      <w:r>
        <w:rPr>
          <w:rFonts w:ascii="Times New Roman" w:hAnsi="Times New Roman"/>
          <w:sz w:val="20"/>
        </w:rPr>
        <w:t>10.4 </w:t>
      </w:r>
      <w:r>
        <w:rPr>
          <w:rFonts w:ascii="Times New Roman" w:hAnsi="Times New Roman"/>
          <w:sz w:val="20"/>
          <w:u w:val="single"/>
        </w:rPr>
        <w:t>Severability</w:t>
      </w:r>
      <w:r>
        <w:rPr>
          <w:rFonts w:ascii="Times New Roman" w:hAnsi="Times New Roman"/>
          <w:sz w:val="20"/>
        </w:rPr>
        <w:t xml:space="preserve">. In case any provision contained in this Agreement should be invalid, illegal or unenforceable in any respect, the validity, legality and enforceability of the remaining provisions contained herein shall not in any way be affected or impaired thereby. </w:t>
      </w:r>
    </w:p>
    <w:p>
      <w:pPr>
        <w:pStyle w:val="TextBody"/>
        <w:bidi w:val="0"/>
        <w:spacing w:before="240" w:after="0"/>
        <w:jc w:val="left"/>
        <w:rPr>
          <w:rFonts w:ascii="Times New Roman" w:hAnsi="Times New Roman"/>
          <w:sz w:val="20"/>
        </w:rPr>
      </w:pPr>
      <w:r>
        <w:rPr>
          <w:rFonts w:ascii="Times New Roman" w:hAnsi="Times New Roman"/>
          <w:sz w:val="20"/>
        </w:rPr>
        <w:t>10.5 </w:t>
      </w:r>
      <w:r>
        <w:rPr>
          <w:rFonts w:ascii="Times New Roman" w:hAnsi="Times New Roman"/>
          <w:sz w:val="20"/>
          <w:u w:val="single"/>
        </w:rPr>
        <w:t>Survival</w:t>
      </w:r>
      <w:r>
        <w:rPr>
          <w:rFonts w:ascii="Times New Roman" w:hAnsi="Times New Roman"/>
          <w:sz w:val="20"/>
        </w:rPr>
        <w:t xml:space="preserve">. Subject to applicable statutes of limitations, the representations, warranties, agreements and covenants contained herein shall survive the Closing and the delivery of the Shares. </w:t>
      </w:r>
    </w:p>
    <w:p>
      <w:pPr>
        <w:pStyle w:val="TextBody"/>
        <w:bidi w:val="0"/>
        <w:spacing w:before="240" w:after="0"/>
        <w:jc w:val="left"/>
        <w:rPr>
          <w:rFonts w:ascii="Times New Roman" w:hAnsi="Times New Roman"/>
          <w:sz w:val="20"/>
        </w:rPr>
      </w:pPr>
      <w:r>
        <w:rPr>
          <w:rFonts w:ascii="Times New Roman" w:hAnsi="Times New Roman"/>
          <w:sz w:val="20"/>
        </w:rPr>
        <w:t>10.6 </w:t>
      </w:r>
      <w:r>
        <w:rPr>
          <w:rFonts w:ascii="Times New Roman" w:hAnsi="Times New Roman"/>
          <w:sz w:val="20"/>
          <w:u w:val="single"/>
        </w:rPr>
        <w:t>Governing Law; Jurisdiction</w:t>
      </w:r>
      <w:r>
        <w:rPr>
          <w:rFonts w:ascii="Times New Roman" w:hAnsi="Times New Roman"/>
          <w:sz w:val="20"/>
        </w:rPr>
        <w:t xml:space="preserve">. This Agreement shall be governed by and interpreted in accordance with the substantive laws of the State of New York, without regard to its or any other jurisdiction’s choice of law rules. Any and all disputes arising out of, concerning, or related to this Agreement, or to the interpretation, performance, breach or termination thereof shall be referred to and resolved by the federal courts located in New York, New York. Each party hereto hereby irrevocably waives personal service of process and consents to process being served in any such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 EACH PARTY HEREBY WAIVES ITS RIGHTS TO A JURY TRIAL OF ANY CLAIM OR CAUSE OF ACTION BASED UPON OR ARISING OUT OF THIS AGREEMENT, THE OTHER TRANSACTION DOCUMENTS, THE SHARES OR THE SUBJECT MATTER HEREOF OR THEREOF. THE SCOPE OF THIS WAIVER IS INTENDED TO BE ALL-ENCOMPASSING OF ANY AND ALL DISPUTES THAT MAY BE FILED IN ANY COURT AND THAT RELATE TO THE SUBJECT MATTER OF THIS TRANSACTION, INCLUDING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 </w:t>
      </w:r>
    </w:p>
    <w:p>
      <w:pPr>
        <w:pStyle w:val="TextBody"/>
        <w:bidi w:val="0"/>
        <w:spacing w:before="240" w:after="0"/>
        <w:jc w:val="left"/>
        <w:rPr>
          <w:rFonts w:ascii="Times New Roman" w:hAnsi="Times New Roman"/>
          <w:sz w:val="20"/>
        </w:rPr>
      </w:pPr>
      <w:r>
        <w:rPr>
          <w:rFonts w:ascii="Times New Roman" w:hAnsi="Times New Roman"/>
          <w:sz w:val="20"/>
        </w:rPr>
        <w:t>10.7 </w:t>
      </w:r>
      <w:r>
        <w:rPr>
          <w:rFonts w:ascii="Times New Roman" w:hAnsi="Times New Roman"/>
          <w:sz w:val="20"/>
          <w:u w:val="single"/>
        </w:rPr>
        <w:t>Counterparts</w:t>
      </w:r>
      <w:r>
        <w:rPr>
          <w:rFonts w:ascii="Times New Roman" w:hAnsi="Times New Roman"/>
          <w:sz w:val="20"/>
        </w:rPr>
        <w:t xml:space="preserve">. This Agreement may be executed in counterparts, each of which shall constitute an original, but all of which, when taken together, shall constitute but one instrument, and shall become effective when one or more counterparts have been signed by each party hereto and delivered to the other party. Signatures to this Agreement transmitted by facsimile, by email in “portable document format” (“.pdf”), or by any other electronic means intended to preserve the original graphic and pictorial appearance of this Agreement shall have the same effect as physical delivery of the paper document bearing original signature. </w:t>
      </w:r>
    </w:p>
    <w:p>
      <w:pPr>
        <w:pStyle w:val="TextBody"/>
        <w:bidi w:val="0"/>
        <w:spacing w:before="240" w:after="0"/>
        <w:jc w:val="left"/>
        <w:rPr>
          <w:rFonts w:ascii="Times New Roman" w:hAnsi="Times New Roman"/>
          <w:sz w:val="20"/>
        </w:rPr>
      </w:pPr>
      <w:r>
        <w:rPr>
          <w:rFonts w:ascii="Times New Roman" w:hAnsi="Times New Roman"/>
          <w:sz w:val="20"/>
        </w:rPr>
        <w:t>10.8 </w:t>
      </w:r>
      <w:r>
        <w:rPr>
          <w:rFonts w:ascii="Times New Roman" w:hAnsi="Times New Roman"/>
          <w:sz w:val="20"/>
          <w:u w:val="single"/>
        </w:rPr>
        <w:t>Successors and Assigns</w:t>
      </w:r>
      <w:r>
        <w:rPr>
          <w:rFonts w:ascii="Times New Roman" w:hAnsi="Times New Roman"/>
          <w:sz w:val="20"/>
        </w:rPr>
        <w:t xml:space="preserve">. Except as otherwise expressly provided herein, the provisions hereof shall inure to the benefit of, and be binding upon, the successors, assigns, heirs, executors and administrators of the parties hereto. No party may assign this Agreement or any rights or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hereunder, in whole or in part, without the prior written consent of the other party, provided that the Purchaser may assign any or all of its rights under this Agreement to any Affiliate or to any Person to whom the Purchaser assigns or transfers any Shares, provided that such transferee agrees in writing to be bound, with respect to the transferred Shares, by the provisions of the Agreement that apply to the Purchaser. </w:t>
      </w:r>
    </w:p>
    <w:p>
      <w:pPr>
        <w:pStyle w:val="TextBody"/>
        <w:bidi w:val="0"/>
        <w:spacing w:before="240" w:after="0"/>
        <w:jc w:val="left"/>
        <w:rPr>
          <w:rFonts w:ascii="Times New Roman" w:hAnsi="Times New Roman"/>
          <w:sz w:val="20"/>
        </w:rPr>
      </w:pPr>
      <w:r>
        <w:rPr>
          <w:rFonts w:ascii="Times New Roman" w:hAnsi="Times New Roman"/>
          <w:sz w:val="20"/>
        </w:rPr>
        <w:t>10.9 </w:t>
      </w:r>
      <w:r>
        <w:rPr>
          <w:rFonts w:ascii="Times New Roman" w:hAnsi="Times New Roman"/>
          <w:sz w:val="20"/>
          <w:u w:val="single"/>
        </w:rPr>
        <w:t>No Third-Party Beneficiaries</w:t>
      </w:r>
      <w:r>
        <w:rPr>
          <w:rFonts w:ascii="Times New Roman" w:hAnsi="Times New Roman"/>
          <w:sz w:val="20"/>
        </w:rPr>
        <w:t xml:space="preserve">. This Agreement is intended for the benefit of the parties hereto and their respective successors and permitted assigns and is not for the benefit of, nor may any provision hereof be enforced by, any other Person, except as otherwise set forth in </w:t>
      </w:r>
      <w:r>
        <w:rPr>
          <w:rFonts w:ascii="Times New Roman" w:hAnsi="Times New Roman"/>
          <w:sz w:val="20"/>
          <w:u w:val="single"/>
        </w:rPr>
        <w:t>Section 6.3</w:t>
      </w:r>
      <w:r>
        <w:rPr>
          <w:rFonts w:ascii="Times New Roman" w:hAnsi="Times New Roman"/>
          <w:sz w:val="20"/>
        </w:rPr>
        <w:t xml:space="preserve"> and this </w:t>
      </w:r>
      <w:r>
        <w:rPr>
          <w:rFonts w:ascii="Times New Roman" w:hAnsi="Times New Roman"/>
          <w:sz w:val="20"/>
          <w:u w:val="single"/>
        </w:rPr>
        <w:t>Section 10.9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10.10 </w:t>
      </w:r>
      <w:r>
        <w:rPr>
          <w:rFonts w:ascii="Times New Roman" w:hAnsi="Times New Roman"/>
          <w:sz w:val="20"/>
          <w:u w:val="single"/>
        </w:rPr>
        <w:t>Entire Agreement</w:t>
      </w:r>
      <w:r>
        <w:rPr>
          <w:rFonts w:ascii="Times New Roman" w:hAnsi="Times New Roman"/>
          <w:sz w:val="20"/>
        </w:rPr>
        <w:t xml:space="preserve">. This Agreement and the other documents and instruments delivered pursuant hereto or thereto, including the exhibits and schedules hereto or thereto, constitute the full and entire understanding and agreement between the parties hereto with regard to the subjects hereof and thereof. </w:t>
      </w:r>
    </w:p>
    <w:p>
      <w:pPr>
        <w:pStyle w:val="TextBody"/>
        <w:bidi w:val="0"/>
        <w:spacing w:before="240" w:after="0"/>
        <w:jc w:val="left"/>
        <w:rPr>
          <w:rFonts w:ascii="Times New Roman" w:hAnsi="Times New Roman"/>
          <w:sz w:val="20"/>
        </w:rPr>
      </w:pPr>
      <w:r>
        <w:rPr>
          <w:rFonts w:ascii="Times New Roman" w:hAnsi="Times New Roman"/>
          <w:sz w:val="20"/>
        </w:rPr>
        <w:t>10.11 </w:t>
      </w:r>
      <w:r>
        <w:rPr>
          <w:rFonts w:ascii="Times New Roman" w:hAnsi="Times New Roman"/>
          <w:sz w:val="20"/>
          <w:u w:val="single"/>
        </w:rPr>
        <w:t>Independent Nature of Purchaser’s Obligations and Rights</w:t>
      </w:r>
      <w:r>
        <w:rPr>
          <w:rFonts w:ascii="Times New Roman" w:hAnsi="Times New Roman"/>
          <w:sz w:val="20"/>
        </w:rPr>
        <w:t xml:space="preserve">. The Purchaser shall be entitled to independently protect and enforce its rights, including the rights arising out of this Agreement, and it shall not be necessary for any other Purchaser to be joined as an additional party in any proceeding for such purpose. The Purchaser acknowledges that it is not relying upon any person, firm, or corporation, other than the Company and its officers and directors, in making its investment or decision to invest in the Company. </w:t>
      </w:r>
    </w:p>
    <w:p>
      <w:pPr>
        <w:pStyle w:val="TextBody"/>
        <w:bidi w:val="0"/>
        <w:spacing w:before="240" w:after="0"/>
        <w:jc w:val="left"/>
        <w:rPr>
          <w:rFonts w:ascii="Times New Roman" w:hAnsi="Times New Roman"/>
          <w:sz w:val="20"/>
        </w:rPr>
      </w:pPr>
      <w:r>
        <w:rPr>
          <w:rFonts w:ascii="Times New Roman" w:hAnsi="Times New Roman"/>
          <w:sz w:val="20"/>
        </w:rPr>
        <w:t>10.12 </w:t>
      </w:r>
      <w:r>
        <w:rPr>
          <w:rFonts w:ascii="Times New Roman" w:hAnsi="Times New Roman"/>
          <w:sz w:val="20"/>
          <w:u w:val="single"/>
        </w:rPr>
        <w:t>Payment of Fees and Expenses</w:t>
      </w:r>
      <w:r>
        <w:rPr>
          <w:rFonts w:ascii="Times New Roman" w:hAnsi="Times New Roman"/>
          <w:sz w:val="20"/>
        </w:rPr>
        <w:t xml:space="preserve">. Except as otherwise provided herein or in the other documents or instruments contemplated hereby, each of the Company and the Purchaser shall bear its own expenses and legal fees incurred on its behalf with respect to this Agreement and the transactions contemplated hereby; provided that, at the Closing, the Company shall pay the documented and reasonable out-of-pocket legal fees and expenses of Nextech Invest Ltd. and affiliated entities (as Purchaser hereunder), not to exceed $25,000 in the aggregate. If any action at law or in equity is necessary to enforce or interpret the terms of this Agreement, the prevailing party shall be entitled to reasonable attorney’s fees, costs and necessary disbursements in addition to any other relief to which such party may be entitled. </w:t>
      </w:r>
    </w:p>
    <w:p>
      <w:pPr>
        <w:pStyle w:val="TextBody"/>
        <w:bidi w:val="0"/>
        <w:spacing w:before="240" w:after="0"/>
        <w:jc w:val="left"/>
        <w:rPr>
          <w:rFonts w:ascii="Times New Roman" w:hAnsi="Times New Roman"/>
          <w:sz w:val="20"/>
        </w:rPr>
      </w:pPr>
      <w:r>
        <w:rPr>
          <w:rFonts w:ascii="Times New Roman" w:hAnsi="Times New Roman"/>
          <w:sz w:val="20"/>
        </w:rPr>
        <w:t>10.13 </w:t>
      </w:r>
      <w:r>
        <w:rPr>
          <w:rFonts w:ascii="Times New Roman" w:hAnsi="Times New Roman"/>
          <w:sz w:val="20"/>
          <w:u w:val="single"/>
        </w:rPr>
        <w:t>Further Actions</w:t>
      </w:r>
      <w:r>
        <w:rPr>
          <w:rFonts w:ascii="Times New Roman" w:hAnsi="Times New Roman"/>
          <w:sz w:val="20"/>
        </w:rPr>
        <w:t xml:space="preserve">. Each party hereto agrees to execute, acknowledge, and deliver such further instruments, and to do all such other acts, as may be necessary or appropriate in order to carry out the purposes and intent of this Agreement. </w:t>
      </w:r>
    </w:p>
    <w:p>
      <w:pPr>
        <w:pStyle w:val="TextBody"/>
        <w:bidi w:val="0"/>
        <w:spacing w:before="240" w:after="0"/>
        <w:jc w:val="left"/>
        <w:rPr>
          <w:rFonts w:ascii="Times New Roman" w:hAnsi="Times New Roman"/>
          <w:sz w:val="20"/>
        </w:rPr>
      </w:pPr>
      <w:r>
        <w:rPr>
          <w:rFonts w:ascii="Times New Roman" w:hAnsi="Times New Roman"/>
          <w:sz w:val="20"/>
        </w:rPr>
        <w:t>10.14 </w:t>
      </w:r>
      <w:r>
        <w:rPr>
          <w:rFonts w:ascii="Times New Roman" w:hAnsi="Times New Roman"/>
          <w:sz w:val="20"/>
          <w:u w:val="single"/>
        </w:rPr>
        <w:t>Public Announcement</w:t>
      </w:r>
      <w:r>
        <w:rPr>
          <w:rFonts w:ascii="Times New Roman" w:hAnsi="Times New Roman"/>
          <w:sz w:val="20"/>
        </w:rPr>
        <w:t>. The Company shall by the Disclosure Time, issue a press release disclosing the material terms of the transactions contemplated hereby, and file a Current Report on Form 8-K (together, the “</w:t>
      </w:r>
      <w:r>
        <w:rPr>
          <w:rFonts w:ascii="Times New Roman" w:hAnsi="Times New Roman"/>
          <w:b/>
          <w:i/>
          <w:sz w:val="20"/>
        </w:rPr>
        <w:t>Disclosure Document</w:t>
      </w:r>
      <w:r>
        <w:rPr>
          <w:rFonts w:ascii="Times New Roman" w:hAnsi="Times New Roman"/>
          <w:sz w:val="20"/>
        </w:rPr>
        <w:t xml:space="preserve">”). No press release or, except to the extent required under applicable law, other public announcement shall be made, directly or indirectly, by any party hereto concerning the execution of this Agreement, the terms and conditions hereof or the consummation of the transactions contemplated hereby, in each case without the prior written consent of the other party hereto. Notwithstanding the foregoing, the Company may issue the Disclosure Document (after providing the Purchaser an opportunity to review and comment on such Disclosure Document, it being understood that identity of the Purchaser will be disclosed in the Agreement included as an exhibit to the Disclosure Document and as selling stockholders in the Registration Statement). The Company shall not include the name of the Purchaser or its Affiliates or advisers in any press release (including the Disclosure Document) or marketing materials without the prior written consent of the Purchaser, nor shall the Company include the name of the Purchaser or its Affiliates or advisers in any public announcement or publication (including the Disclosure Document) without the prior written consent of the Purchaser, except if such disclosure is required by law, rule, regulation or applicable Commission guidance, in which case the Company shall provide the Purchaser with prompt prior notice of such requirement so that the Purchaser may (a) seek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appropriate relief to prevent or limit such disclosure, (b) furnish only that portion of the information which is legally required to be furnished or disclosed, and to the extent reasonably feasible, and (c) consult with the Company on content and timing prior to any such disclosure. The Purchaser covenants that until such time as the transactions contemplated by this Agreement are required to be publicly disclosed by the Company as described in this </w:t>
      </w:r>
      <w:r>
        <w:rPr>
          <w:rFonts w:ascii="Times New Roman" w:hAnsi="Times New Roman"/>
          <w:sz w:val="20"/>
          <w:u w:val="single"/>
        </w:rPr>
        <w:t>Section 10.14</w:t>
      </w:r>
      <w:r>
        <w:rPr>
          <w:rFonts w:ascii="Times New Roman" w:hAnsi="Times New Roman"/>
          <w:sz w:val="20"/>
        </w:rPr>
        <w:t xml:space="preserve">, the Purchaser will maintain the confidentiality of all disclosures made to it in connection with this transaction (including the existence and terms of this transaction).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caused this Agreement to be executed by their duly authorized representatives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0"/>
        <w:gridCol w:w="60"/>
        <w:gridCol w:w="3332"/>
      </w:tblGrid>
      <w:tr>
        <w:trPr/>
        <w:tc>
          <w:tcPr>
            <w:tcW w:w="6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TANGO THERAPEUTICS, INC.</w:t>
            </w:r>
          </w:p>
        </w:tc>
      </w:tr>
      <w:tr>
        <w:trPr>
          <w:trHeight w:val="240" w:hRule="atLeast"/>
        </w:trPr>
        <w:tc>
          <w:tcPr>
            <w:tcW w:w="690" w:type="dxa"/>
            <w:tcBorders/>
            <w:vAlign w:val="center"/>
          </w:tcPr>
          <w:p>
            <w:pPr>
              <w:pStyle w:val="TableContents"/>
              <w:bidi w:val="0"/>
              <w:spacing w:before="0" w:after="283"/>
              <w:jc w:val="left"/>
              <w:rPr>
                <w:sz w:val="4"/>
                <w:szCs w:val="4"/>
              </w:rPr>
            </w:pPr>
            <w:r>
              <w:rPr>
                <w:sz w:val="4"/>
                <w:szCs w:val="4"/>
              </w:rPr>
            </w:r>
          </w:p>
        </w:tc>
        <w:tc>
          <w:tcPr>
            <w:tcW w:w="3392" w:type="dxa"/>
            <w:gridSpan w:val="2"/>
            <w:tcBorders/>
            <w:vAlign w:val="center"/>
          </w:tcPr>
          <w:p>
            <w:pPr>
              <w:pStyle w:val="TableContents"/>
              <w:bidi w:val="0"/>
              <w:spacing w:before="0" w:after="283"/>
              <w:jc w:val="left"/>
              <w:rPr>
                <w:sz w:val="4"/>
                <w:szCs w:val="4"/>
              </w:rPr>
            </w:pPr>
            <w:r>
              <w:rPr>
                <w:sz w:val="4"/>
                <w:szCs w:val="4"/>
              </w:rPr>
            </w:r>
          </w:p>
        </w:tc>
      </w:tr>
      <w:tr>
        <w:trPr/>
        <w:tc>
          <w:tcPr>
            <w:tcW w:w="69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Barbara Weber</w:t>
            </w:r>
          </w:p>
        </w:tc>
      </w:tr>
      <w:tr>
        <w:trPr/>
        <w:tc>
          <w:tcPr>
            <w:tcW w:w="69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2" w:type="dxa"/>
            <w:tcBorders/>
          </w:tcPr>
          <w:p>
            <w:pPr>
              <w:pStyle w:val="TableContents"/>
              <w:bidi w:val="0"/>
              <w:spacing w:before="0" w:after="283"/>
              <w:jc w:val="left"/>
              <w:rPr/>
            </w:pPr>
            <w:r>
              <w:rPr/>
              <w:t>Barabara Weber</w:t>
            </w:r>
          </w:p>
        </w:tc>
      </w:tr>
      <w:tr>
        <w:trPr/>
        <w:tc>
          <w:tcPr>
            <w:tcW w:w="69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2" w:type="dxa"/>
            <w:tcBorders/>
          </w:tcPr>
          <w:p>
            <w:pPr>
              <w:pStyle w:val="TableContents"/>
              <w:bidi w:val="0"/>
              <w:spacing w:before="0" w:after="283"/>
              <w:jc w:val="left"/>
              <w:rPr/>
            </w:pPr>
            <w:r>
              <w:rPr/>
              <w:t>Chief Executive Officer</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Stock Purchase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 PAGES FOR INVESTORS FOLLOW]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Stock Purchase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A </w:t>
      </w:r>
    </w:p>
    <w:p>
      <w:pPr>
        <w:pStyle w:val="TextBody"/>
        <w:bidi w:val="0"/>
        <w:spacing w:before="240" w:after="0"/>
        <w:jc w:val="center"/>
        <w:rPr>
          <w:rFonts w:ascii="Times New Roman" w:hAnsi="Times New Roman"/>
          <w:b/>
          <w:sz w:val="20"/>
        </w:rPr>
      </w:pPr>
      <w:r>
        <w:rPr>
          <w:rFonts w:ascii="Times New Roman" w:hAnsi="Times New Roman"/>
          <w:b/>
          <w:sz w:val="20"/>
        </w:rPr>
        <w:t xml:space="preserve">PURCHASER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B </w:t>
      </w:r>
    </w:p>
    <w:p>
      <w:pPr>
        <w:pStyle w:val="TextBody"/>
        <w:bidi w:val="0"/>
        <w:spacing w:before="240" w:after="0"/>
        <w:jc w:val="center"/>
        <w:rPr>
          <w:rFonts w:ascii="Times New Roman" w:hAnsi="Times New Roman"/>
          <w:b/>
          <w:sz w:val="20"/>
        </w:rPr>
      </w:pPr>
      <w:r>
        <w:rPr>
          <w:rFonts w:ascii="Times New Roman" w:hAnsi="Times New Roman"/>
          <w:b/>
          <w:sz w:val="20"/>
        </w:rPr>
        <w:t xml:space="preserve">WIRE INSTRUCTIONS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C </w:t>
      </w:r>
    </w:p>
    <w:p>
      <w:pPr>
        <w:pStyle w:val="TextBody"/>
        <w:bidi w:val="0"/>
        <w:spacing w:before="240" w:after="0"/>
        <w:jc w:val="center"/>
        <w:rPr>
          <w:rFonts w:ascii="Times New Roman" w:hAnsi="Times New Roman"/>
          <w:b/>
          <w:sz w:val="20"/>
        </w:rPr>
      </w:pPr>
      <w:r>
        <w:rPr>
          <w:rFonts w:ascii="Times New Roman" w:hAnsi="Times New Roman"/>
          <w:b/>
          <w:sz w:val="20"/>
        </w:rPr>
        <w:t xml:space="preserve">LIST OF D&amp;O LOCK-UPS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OPINION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C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Lock-Up Agreement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91</Pages>
  <Words>49811</Words>
  <Characters>266354</Characters>
  <CharactersWithSpaces>316284</CharactersWithSpaces>
  <Paragraphs>963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