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As filed with the Securities and Exchange Commission on September 1, 2023</w:t>
      </w:r>
    </w:p>
    <w:p>
      <w:pPr>
        <w:spacing w:after="0" w:line="6" w:lineRule="exact"/>
        <w:rPr>
          <w:sz w:val="24"/>
          <w:szCs w:val="24"/>
          <w:color w:val="auto"/>
        </w:rPr>
      </w:pPr>
    </w:p>
    <w:p>
      <w:pPr>
        <w:ind w:left="928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S-3</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REGISTRATION STATEMENT</w:t>
      </w:r>
    </w:p>
    <w:p>
      <w:pPr>
        <w:jc w:val="center"/>
        <w:ind w:right="-139"/>
        <w:spacing w:after="0"/>
        <w:rPr>
          <w:sz w:val="20"/>
          <w:szCs w:val="20"/>
          <w:color w:val="auto"/>
        </w:rPr>
      </w:pPr>
      <w:r>
        <w:rPr>
          <w:rFonts w:ascii="Arial" w:cs="Arial" w:eastAsia="Arial" w:hAnsi="Arial"/>
          <w:sz w:val="17"/>
          <w:szCs w:val="17"/>
          <w:b w:val="1"/>
          <w:bCs w:val="1"/>
          <w:i w:val="1"/>
          <w:iCs w:val="1"/>
          <w:color w:val="auto"/>
        </w:rPr>
        <w:t>UNDER</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TANGO THERAPEUTICS, INC.</w:t>
      </w:r>
    </w:p>
    <w:p>
      <w:pPr>
        <w:spacing w:after="0" w:line="42"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85-1195036</w:t>
      </w:r>
    </w:p>
    <w:p>
      <w:pPr>
        <w:jc w:val="center"/>
        <w:ind w:right="-139"/>
        <w:spacing w:after="0"/>
        <w:rPr>
          <w:sz w:val="20"/>
          <w:szCs w:val="20"/>
          <w:color w:val="auto"/>
        </w:rPr>
      </w:pPr>
      <w:r>
        <w:rPr>
          <w:rFonts w:ascii="Arial" w:cs="Arial" w:eastAsia="Arial" w:hAnsi="Arial"/>
          <w:sz w:val="14"/>
          <w:szCs w:val="14"/>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201 Brookline Avenue, Suite 901</w:t>
      </w:r>
    </w:p>
    <w:p>
      <w:pPr>
        <w:jc w:val="center"/>
        <w:ind w:right="-139"/>
        <w:spacing w:after="0" w:line="233" w:lineRule="auto"/>
        <w:rPr>
          <w:sz w:val="20"/>
          <w:szCs w:val="20"/>
          <w:color w:val="auto"/>
        </w:rPr>
      </w:pPr>
      <w:r>
        <w:rPr>
          <w:rFonts w:ascii="Arial" w:cs="Arial" w:eastAsia="Arial" w:hAnsi="Arial"/>
          <w:sz w:val="15"/>
          <w:szCs w:val="15"/>
          <w:b w:val="1"/>
          <w:bCs w:val="1"/>
          <w:color w:val="auto"/>
        </w:rPr>
        <w:t>Boston, MA 02215</w:t>
      </w:r>
    </w:p>
    <w:p>
      <w:pPr>
        <w:jc w:val="center"/>
        <w:ind w:right="-139"/>
        <w:spacing w:after="0" w:line="217" w:lineRule="auto"/>
        <w:rPr>
          <w:sz w:val="20"/>
          <w:szCs w:val="20"/>
          <w:color w:val="auto"/>
        </w:rPr>
      </w:pPr>
      <w:r>
        <w:rPr>
          <w:rFonts w:ascii="Arial" w:cs="Arial" w:eastAsia="Arial" w:hAnsi="Arial"/>
          <w:sz w:val="15"/>
          <w:szCs w:val="15"/>
          <w:b w:val="1"/>
          <w:bCs w:val="1"/>
          <w:color w:val="auto"/>
        </w:rPr>
        <w:t>(857) 320-4900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Barbara Weber, M.D.</w:t>
      </w:r>
    </w:p>
    <w:p>
      <w:pPr>
        <w:jc w:val="center"/>
        <w:ind w:right="-13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39"/>
        <w:spacing w:after="0" w:line="225" w:lineRule="auto"/>
        <w:rPr>
          <w:sz w:val="20"/>
          <w:szCs w:val="20"/>
          <w:color w:val="auto"/>
        </w:rPr>
      </w:pPr>
      <w:r>
        <w:rPr>
          <w:rFonts w:ascii="Arial" w:cs="Arial" w:eastAsia="Arial" w:hAnsi="Arial"/>
          <w:sz w:val="15"/>
          <w:szCs w:val="15"/>
          <w:b w:val="1"/>
          <w:bCs w:val="1"/>
          <w:color w:val="auto"/>
        </w:rPr>
        <w:t>201 Brookline Avenue, Suite 901</w:t>
      </w:r>
    </w:p>
    <w:p>
      <w:pPr>
        <w:jc w:val="center"/>
        <w:ind w:right="-139"/>
        <w:spacing w:after="0" w:line="225" w:lineRule="auto"/>
        <w:rPr>
          <w:sz w:val="20"/>
          <w:szCs w:val="20"/>
          <w:color w:val="auto"/>
        </w:rPr>
      </w:pPr>
      <w:r>
        <w:rPr>
          <w:rFonts w:ascii="Arial" w:cs="Arial" w:eastAsia="Arial" w:hAnsi="Arial"/>
          <w:sz w:val="15"/>
          <w:szCs w:val="15"/>
          <w:b w:val="1"/>
          <w:bCs w:val="1"/>
          <w:color w:val="auto"/>
        </w:rPr>
        <w:t>Boston, MA 02215</w:t>
      </w:r>
    </w:p>
    <w:p>
      <w:pPr>
        <w:jc w:val="center"/>
        <w:ind w:right="-139"/>
        <w:spacing w:after="0" w:line="218" w:lineRule="auto"/>
        <w:rPr>
          <w:sz w:val="20"/>
          <w:szCs w:val="20"/>
          <w:color w:val="auto"/>
        </w:rPr>
      </w:pPr>
      <w:r>
        <w:rPr>
          <w:rFonts w:ascii="Arial" w:cs="Arial" w:eastAsia="Arial" w:hAnsi="Arial"/>
          <w:sz w:val="15"/>
          <w:szCs w:val="15"/>
          <w:b w:val="1"/>
          <w:bCs w:val="1"/>
          <w:color w:val="auto"/>
        </w:rPr>
        <w:t>(857) 320-4900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tbl>
      <w:tblPr>
        <w:tblLayout w:type="fixed"/>
        <w:tblInd w:w="2120" w:type="dxa"/>
        <w:tblCellMar>
          <w:top w:w="0" w:type="dxa"/>
          <w:left w:w="0" w:type="dxa"/>
          <w:bottom w:w="0" w:type="dxa"/>
          <w:right w:w="0" w:type="dxa"/>
        </w:tblCellMar>
      </w:tblPr>
      <w:tr>
        <w:trPr>
          <w:trHeight w:val="194"/>
        </w:trPr>
        <w:tc>
          <w:tcPr>
            <w:tcW w:w="2380" w:type="dxa"/>
            <w:vAlign w:val="bottom"/>
          </w:tcPr>
          <w:p>
            <w:pPr>
              <w:spacing w:after="0"/>
              <w:rPr>
                <w:sz w:val="16"/>
                <w:szCs w:val="16"/>
                <w:color w:val="auto"/>
              </w:rPr>
            </w:pPr>
          </w:p>
        </w:tc>
        <w:tc>
          <w:tcPr>
            <w:tcW w:w="5020" w:type="dxa"/>
            <w:vAlign w:val="bottom"/>
          </w:tcPr>
          <w:p>
            <w:pPr>
              <w:ind w:left="800"/>
              <w:spacing w:after="0"/>
              <w:rPr>
                <w:sz w:val="20"/>
                <w:szCs w:val="20"/>
                <w:color w:val="auto"/>
              </w:rPr>
            </w:pPr>
            <w:r>
              <w:rPr>
                <w:rFonts w:ascii="Arial" w:cs="Arial" w:eastAsia="Arial" w:hAnsi="Arial"/>
                <w:sz w:val="15"/>
                <w:szCs w:val="15"/>
                <w:b w:val="1"/>
                <w:bCs w:val="1"/>
                <w:i w:val="1"/>
                <w:iCs w:val="1"/>
                <w:color w:val="auto"/>
              </w:rPr>
              <w:t>Copies to:</w:t>
            </w:r>
          </w:p>
        </w:tc>
      </w:tr>
      <w:tr>
        <w:trPr>
          <w:trHeight w:val="490"/>
        </w:trPr>
        <w:tc>
          <w:tcPr>
            <w:tcW w:w="2380" w:type="dxa"/>
            <w:vAlign w:val="bottom"/>
          </w:tcPr>
          <w:p>
            <w:pPr>
              <w:jc w:val="center"/>
              <w:ind w:right="744"/>
              <w:spacing w:after="0"/>
              <w:rPr>
                <w:sz w:val="20"/>
                <w:szCs w:val="20"/>
                <w:color w:val="auto"/>
              </w:rPr>
            </w:pPr>
            <w:r>
              <w:rPr>
                <w:rFonts w:ascii="Arial" w:cs="Arial" w:eastAsia="Arial" w:hAnsi="Arial"/>
                <w:sz w:val="15"/>
                <w:szCs w:val="15"/>
                <w:b w:val="1"/>
                <w:bCs w:val="1"/>
                <w:color w:val="auto"/>
                <w:w w:val="92"/>
              </w:rPr>
              <w:t>Mitchell S. Bloom, Esq.</w:t>
            </w:r>
          </w:p>
        </w:tc>
        <w:tc>
          <w:tcPr>
            <w:tcW w:w="5020" w:type="dxa"/>
            <w:vAlign w:val="bottom"/>
          </w:tcPr>
          <w:p>
            <w:pPr>
              <w:jc w:val="center"/>
              <w:ind w:left="2824"/>
              <w:spacing w:after="0"/>
              <w:rPr>
                <w:sz w:val="20"/>
                <w:szCs w:val="20"/>
                <w:color w:val="auto"/>
              </w:rPr>
            </w:pPr>
            <w:r>
              <w:rPr>
                <w:rFonts w:ascii="Arial" w:cs="Arial" w:eastAsia="Arial" w:hAnsi="Arial"/>
                <w:sz w:val="15"/>
                <w:szCs w:val="15"/>
                <w:b w:val="1"/>
                <w:bCs w:val="1"/>
                <w:color w:val="auto"/>
                <w:w w:val="92"/>
              </w:rPr>
              <w:t>Douglas Barry, Esq.</w:t>
            </w:r>
          </w:p>
        </w:tc>
      </w:tr>
      <w:tr>
        <w:trPr>
          <w:trHeight w:val="162"/>
        </w:trPr>
        <w:tc>
          <w:tcPr>
            <w:tcW w:w="2380" w:type="dxa"/>
            <w:vAlign w:val="bottom"/>
          </w:tcPr>
          <w:p>
            <w:pPr>
              <w:jc w:val="center"/>
              <w:ind w:right="744"/>
              <w:spacing w:after="0" w:line="162" w:lineRule="exact"/>
              <w:rPr>
                <w:sz w:val="20"/>
                <w:szCs w:val="20"/>
                <w:color w:val="auto"/>
              </w:rPr>
            </w:pPr>
            <w:r>
              <w:rPr>
                <w:rFonts w:ascii="Arial" w:cs="Arial" w:eastAsia="Arial" w:hAnsi="Arial"/>
                <w:sz w:val="15"/>
                <w:szCs w:val="15"/>
                <w:b w:val="1"/>
                <w:bCs w:val="1"/>
                <w:color w:val="auto"/>
                <w:w w:val="94"/>
              </w:rPr>
              <w:t>William D. Collins, Esq.</w:t>
            </w:r>
          </w:p>
        </w:tc>
        <w:tc>
          <w:tcPr>
            <w:tcW w:w="5020" w:type="dxa"/>
            <w:vAlign w:val="bottom"/>
          </w:tcPr>
          <w:p>
            <w:pPr>
              <w:jc w:val="center"/>
              <w:ind w:left="2824"/>
              <w:spacing w:after="0" w:line="162" w:lineRule="exact"/>
              <w:rPr>
                <w:sz w:val="20"/>
                <w:szCs w:val="20"/>
                <w:color w:val="auto"/>
              </w:rPr>
            </w:pPr>
            <w:r>
              <w:rPr>
                <w:rFonts w:ascii="Arial" w:cs="Arial" w:eastAsia="Arial" w:hAnsi="Arial"/>
                <w:sz w:val="15"/>
                <w:szCs w:val="15"/>
                <w:b w:val="1"/>
                <w:bCs w:val="1"/>
                <w:color w:val="auto"/>
                <w:w w:val="90"/>
              </w:rPr>
              <w:t>General Counsel</w:t>
            </w:r>
          </w:p>
        </w:tc>
      </w:tr>
      <w:tr>
        <w:trPr>
          <w:trHeight w:val="162"/>
        </w:trPr>
        <w:tc>
          <w:tcPr>
            <w:tcW w:w="2380" w:type="dxa"/>
            <w:vAlign w:val="bottom"/>
          </w:tcPr>
          <w:p>
            <w:pPr>
              <w:jc w:val="center"/>
              <w:ind w:right="764"/>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5020" w:type="dxa"/>
            <w:vAlign w:val="bottom"/>
          </w:tcPr>
          <w:p>
            <w:pPr>
              <w:jc w:val="center"/>
              <w:ind w:left="2824"/>
              <w:spacing w:after="0" w:line="162" w:lineRule="exact"/>
              <w:rPr>
                <w:sz w:val="20"/>
                <w:szCs w:val="20"/>
                <w:color w:val="auto"/>
              </w:rPr>
            </w:pPr>
            <w:r>
              <w:rPr>
                <w:rFonts w:ascii="Arial" w:cs="Arial" w:eastAsia="Arial" w:hAnsi="Arial"/>
                <w:sz w:val="15"/>
                <w:szCs w:val="15"/>
                <w:b w:val="1"/>
                <w:bCs w:val="1"/>
                <w:color w:val="auto"/>
                <w:w w:val="92"/>
              </w:rPr>
              <w:t>Tango Therapeutics, Inc.</w:t>
            </w:r>
          </w:p>
        </w:tc>
      </w:tr>
      <w:tr>
        <w:trPr>
          <w:trHeight w:val="162"/>
        </w:trPr>
        <w:tc>
          <w:tcPr>
            <w:tcW w:w="2380" w:type="dxa"/>
            <w:vAlign w:val="bottom"/>
          </w:tcPr>
          <w:p>
            <w:pPr>
              <w:jc w:val="center"/>
              <w:ind w:right="744"/>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5020" w:type="dxa"/>
            <w:vAlign w:val="bottom"/>
          </w:tcPr>
          <w:p>
            <w:pPr>
              <w:jc w:val="center"/>
              <w:ind w:left="2824"/>
              <w:spacing w:after="0" w:line="162" w:lineRule="exact"/>
              <w:rPr>
                <w:sz w:val="20"/>
                <w:szCs w:val="20"/>
                <w:color w:val="auto"/>
              </w:rPr>
            </w:pPr>
            <w:r>
              <w:rPr>
                <w:rFonts w:ascii="Arial" w:cs="Arial" w:eastAsia="Arial" w:hAnsi="Arial"/>
                <w:sz w:val="15"/>
                <w:szCs w:val="15"/>
                <w:b w:val="1"/>
                <w:bCs w:val="1"/>
                <w:color w:val="auto"/>
                <w:w w:val="91"/>
              </w:rPr>
              <w:t>201 Brookline Avenue, Suite 901</w:t>
            </w:r>
          </w:p>
        </w:tc>
      </w:tr>
      <w:tr>
        <w:trPr>
          <w:trHeight w:val="162"/>
        </w:trPr>
        <w:tc>
          <w:tcPr>
            <w:tcW w:w="2380" w:type="dxa"/>
            <w:vAlign w:val="bottom"/>
          </w:tcPr>
          <w:p>
            <w:pPr>
              <w:jc w:val="center"/>
              <w:ind w:right="744"/>
              <w:spacing w:after="0" w:line="162" w:lineRule="exact"/>
              <w:rPr>
                <w:sz w:val="20"/>
                <w:szCs w:val="20"/>
                <w:color w:val="auto"/>
              </w:rPr>
            </w:pPr>
            <w:r>
              <w:rPr>
                <w:rFonts w:ascii="Arial" w:cs="Arial" w:eastAsia="Arial" w:hAnsi="Arial"/>
                <w:sz w:val="15"/>
                <w:szCs w:val="15"/>
                <w:b w:val="1"/>
                <w:bCs w:val="1"/>
                <w:color w:val="auto"/>
                <w:w w:val="92"/>
              </w:rPr>
              <w:t>Boston, MA 02210</w:t>
            </w:r>
          </w:p>
        </w:tc>
        <w:tc>
          <w:tcPr>
            <w:tcW w:w="5020" w:type="dxa"/>
            <w:vAlign w:val="bottom"/>
          </w:tcPr>
          <w:p>
            <w:pPr>
              <w:jc w:val="center"/>
              <w:ind w:left="2824"/>
              <w:spacing w:after="0" w:line="162" w:lineRule="exact"/>
              <w:rPr>
                <w:sz w:val="20"/>
                <w:szCs w:val="20"/>
                <w:color w:val="auto"/>
              </w:rPr>
            </w:pPr>
            <w:r>
              <w:rPr>
                <w:rFonts w:ascii="Arial" w:cs="Arial" w:eastAsia="Arial" w:hAnsi="Arial"/>
                <w:sz w:val="15"/>
                <w:szCs w:val="15"/>
                <w:b w:val="1"/>
                <w:bCs w:val="1"/>
                <w:color w:val="auto"/>
                <w:w w:val="92"/>
              </w:rPr>
              <w:t>Boston, MA 02215</w:t>
            </w:r>
          </w:p>
        </w:tc>
      </w:tr>
      <w:tr>
        <w:trPr>
          <w:trHeight w:val="198"/>
        </w:trPr>
        <w:tc>
          <w:tcPr>
            <w:tcW w:w="2380" w:type="dxa"/>
            <w:vAlign w:val="bottom"/>
          </w:tcPr>
          <w:p>
            <w:pPr>
              <w:jc w:val="center"/>
              <w:ind w:right="744"/>
              <w:spacing w:after="0"/>
              <w:rPr>
                <w:sz w:val="20"/>
                <w:szCs w:val="20"/>
                <w:color w:val="auto"/>
              </w:rPr>
            </w:pPr>
            <w:r>
              <w:rPr>
                <w:rFonts w:ascii="Arial" w:cs="Arial" w:eastAsia="Arial" w:hAnsi="Arial"/>
                <w:sz w:val="15"/>
                <w:szCs w:val="15"/>
                <w:b w:val="1"/>
                <w:bCs w:val="1"/>
                <w:color w:val="auto"/>
                <w:w w:val="93"/>
              </w:rPr>
              <w:t>(617) 570-1000</w:t>
            </w:r>
          </w:p>
        </w:tc>
        <w:tc>
          <w:tcPr>
            <w:tcW w:w="5020" w:type="dxa"/>
            <w:vAlign w:val="bottom"/>
          </w:tcPr>
          <w:p>
            <w:pPr>
              <w:jc w:val="center"/>
              <w:ind w:left="2824"/>
              <w:spacing w:after="0"/>
              <w:rPr>
                <w:sz w:val="20"/>
                <w:szCs w:val="20"/>
                <w:color w:val="auto"/>
              </w:rPr>
            </w:pPr>
            <w:r>
              <w:rPr>
                <w:rFonts w:ascii="Arial" w:cs="Arial" w:eastAsia="Arial" w:hAnsi="Arial"/>
                <w:sz w:val="15"/>
                <w:szCs w:val="15"/>
                <w:b w:val="1"/>
                <w:bCs w:val="1"/>
                <w:color w:val="auto"/>
                <w:w w:val="93"/>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12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w:t>
      </w:r>
    </w:p>
    <w:p>
      <w:pPr>
        <w:spacing w:after="0" w:line="183" w:lineRule="exact"/>
        <w:rPr>
          <w:sz w:val="24"/>
          <w:szCs w:val="24"/>
          <w:color w:val="auto"/>
        </w:rPr>
      </w:pPr>
    </w:p>
    <w:p>
      <w:pPr>
        <w:ind w:left="120"/>
        <w:spacing w:after="0" w:line="173" w:lineRule="exact"/>
        <w:rPr>
          <w:sz w:val="20"/>
          <w:szCs w:val="20"/>
          <w:color w:val="auto"/>
        </w:rPr>
      </w:pPr>
      <w:r>
        <w:rPr>
          <w:rFonts w:ascii="Arial" w:cs="Arial" w:eastAsia="Arial" w:hAnsi="Arial"/>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59" w:lineRule="exact"/>
        <w:rPr>
          <w:sz w:val="24"/>
          <w:szCs w:val="24"/>
          <w:color w:val="auto"/>
        </w:rPr>
      </w:pPr>
    </w:p>
    <w:p>
      <w:pPr>
        <w:ind w:left="120" w:right="60"/>
        <w:spacing w:after="0" w:line="197"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75" w:lineRule="exact"/>
        <w:rPr>
          <w:sz w:val="24"/>
          <w:szCs w:val="24"/>
          <w:color w:val="auto"/>
        </w:rPr>
      </w:pPr>
    </w:p>
    <w:p>
      <w:pPr>
        <w:ind w:left="120" w:right="360"/>
        <w:spacing w:after="0" w:line="197"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75" w:lineRule="exact"/>
        <w:rPr>
          <w:sz w:val="24"/>
          <w:szCs w:val="24"/>
          <w:color w:val="auto"/>
        </w:rPr>
      </w:pPr>
    </w:p>
    <w:p>
      <w:pPr>
        <w:ind w:left="120" w:right="20"/>
        <w:spacing w:after="0" w:line="197"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78" w:lineRule="exact"/>
        <w:rPr>
          <w:sz w:val="24"/>
          <w:szCs w:val="24"/>
          <w:color w:val="auto"/>
        </w:rPr>
      </w:pPr>
    </w:p>
    <w:p>
      <w:pPr>
        <w:ind w:left="120" w:right="600"/>
        <w:spacing w:after="0" w:line="217"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184" w:lineRule="exact"/>
        <w:rPr>
          <w:sz w:val="24"/>
          <w:szCs w:val="24"/>
          <w:color w:val="auto"/>
        </w:rPr>
      </w:pPr>
    </w:p>
    <w:p>
      <w:pPr>
        <w:ind w:left="120" w:right="580"/>
        <w:spacing w:after="0" w:line="197" w:lineRule="exact"/>
        <w:rPr>
          <w:sz w:val="20"/>
          <w:szCs w:val="20"/>
          <w:color w:val="auto"/>
        </w:rPr>
      </w:pPr>
      <w:r>
        <w:rPr>
          <w:rFonts w:ascii="Arial" w:cs="Arial" w:eastAsia="Arial" w:hAnsi="Arial"/>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75"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ectPr>
          <w:pgSz w:w="11900" w:h="16838" w:orient="portrait"/>
          <w:cols w:equalWidth="0" w:num="1">
            <w:col w:w="11100"/>
          </w:cols>
          <w:pgMar w:left="320" w:top="230" w:right="479" w:bottom="0" w:gutter="0" w:footer="0" w:header="0"/>
        </w:sectPr>
      </w:pPr>
    </w:p>
    <w:p>
      <w:pPr>
        <w:spacing w:after="0" w:line="259" w:lineRule="exact"/>
        <w:rPr>
          <w:sz w:val="24"/>
          <w:szCs w:val="24"/>
          <w:color w:val="auto"/>
        </w:rPr>
      </w:pPr>
    </w:p>
    <w:p>
      <w:pPr>
        <w:ind w:left="1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57" w:lineRule="exact"/>
        <w:rPr>
          <w:sz w:val="24"/>
          <w:szCs w:val="24"/>
          <w:color w:val="auto"/>
        </w:rPr>
      </w:pPr>
    </w:p>
    <w:p>
      <w:pPr>
        <w:sectPr>
          <w:pgSz w:w="11900" w:h="16838" w:orient="portrait"/>
          <w:cols w:equalWidth="0" w:num="4">
            <w:col w:w="1480" w:space="640"/>
            <w:col w:w="5760" w:space="720"/>
            <w:col w:w="1600" w:space="720"/>
            <w:col w:w="180"/>
          </w:cols>
          <w:pgMar w:left="320" w:top="230" w:right="479" w:bottom="0" w:gutter="0" w:footer="0" w:header="0"/>
          <w:type w:val="continuous"/>
        </w:sectPr>
      </w:pPr>
    </w:p>
    <w:p>
      <w:pPr>
        <w:spacing w:after="0" w:line="5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4">
            <w:col w:w="1420" w:space="700"/>
            <w:col w:w="5760" w:space="720"/>
            <w:col w:w="1680" w:space="640"/>
            <w:col w:w="180"/>
          </w:cols>
          <w:pgMar w:left="320" w:top="230" w:right="479" w:bottom="0" w:gutter="0" w:footer="0" w:header="0"/>
          <w:type w:val="continuous"/>
        </w:sectPr>
      </w:pPr>
    </w:p>
    <w:bookmarkStart w:id="1" w:name="page2"/>
    <w:bookmarkEnd w:id="1"/>
    <w:p>
      <w:pPr>
        <w:jc w:val="right"/>
        <w:spacing w:after="0" w:line="173" w:lineRule="exact"/>
        <w:tabs>
          <w:tab w:leader="none" w:pos="120" w:val="left"/>
        </w:tabs>
        <w:rPr>
          <w:sz w:val="20"/>
          <w:szCs w:val="20"/>
          <w:color w:val="auto"/>
        </w:rPr>
      </w:pPr>
      <w:r>
        <w:rPr>
          <w:rFonts w:ascii="Arial" w:cs="Arial" w:eastAsia="Arial" w:hAnsi="Arial"/>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2" w:lineRule="exact"/>
        <w:rPr>
          <w:sz w:val="20"/>
          <w:szCs w:val="20"/>
          <w:color w:val="auto"/>
        </w:rPr>
      </w:pPr>
    </w:p>
    <w:p>
      <w:pPr>
        <w:ind w:right="30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80" w:lineRule="exact"/>
        <w:rPr>
          <w:sz w:val="20"/>
          <w:szCs w:val="20"/>
          <w:color w:val="auto"/>
        </w:rPr>
      </w:pPr>
    </w:p>
    <w:p>
      <w:pPr>
        <w:jc w:val="both"/>
        <w:ind w:right="160"/>
        <w:spacing w:after="0" w:line="299"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100"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2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The selling stockholders named in this prospectus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September 1, 2023</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15,537,250 Shares</w:t>
      </w:r>
    </w:p>
    <w:p>
      <w:pPr>
        <w:spacing w:after="0" w:line="33"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Offered by the Selling Stockholders</w:t>
      </w:r>
    </w:p>
    <w:p>
      <w:pPr>
        <w:spacing w:after="0" w:line="174"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Tango Therapeutics, Inc.</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This prospectus relates to the proposed resale or other disposition from time to time of up to (i) 13,196,671 shares of our common stock and (ii) 2,340,579 shares of our common stock issuable upon the exercise of pre-funded warrants, or collectively the Shares, by the selling stockholders identified in this prospectus. The Shares being offered were issued and sold to the selling stockholders in a private placement, pursuant to a purchase agreement, dated August 10, 2023, by and among Tango Therapeutics, Inc. and the selling stockholders.</w:t>
      </w:r>
    </w:p>
    <w:p>
      <w:pPr>
        <w:spacing w:after="0" w:line="17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The selling stockholders (which term as used herein includes their respective donees, pledgees, assignees, transferees and other successors in interest) may sell any or all of their securities from time to time on the Nasdaq Global Market or any other stock exchange, market, or trading facility on which the securities are traded or in private transactions. These sales may be at fixed or negotiated prices. See “Plan of Distribution” which begins on page S-24.</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not offering any shares of our common stock for sale under this prospectus and will not receive any of the proceeds from the sale of common stock by the selling stockholders. However, we will generate proceeds in the event of a cash exercise of the pre-funded warrants by the selling stockholders. All expenses of registration incurred in connection with this offering are being borne by us. All selling and other expenses incurred by the selling stockholders will be borne by the selling stockholders.</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selling stockholders may sell any, all or none of the Shares offered by this prospectus and we do not know when or in what amount the selling stockholders may sell their Shares hereunder.</w:t>
      </w:r>
    </w:p>
    <w:p>
      <w:pPr>
        <w:spacing w:after="0" w:line="170"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carefully read this prospectus, as well as any documents incorporated by reference, before you invest in any of the securities being offered. Our common stock is listed on The Nasdaq Global Market under the symbol “TNGX.” On August 31, 2023, the closing price for our common stock, as reported on The Nasdaq Global Market, was $6.49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213360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both"/>
        <w:ind w:left="120" w:right="500"/>
        <w:spacing w:after="0" w:line="324" w:lineRule="auto"/>
        <w:rPr>
          <w:sz w:val="20"/>
          <w:szCs w:val="20"/>
          <w:color w:val="auto"/>
        </w:rPr>
      </w:pPr>
      <w:r>
        <w:rPr>
          <w:rFonts w:ascii="Arial" w:cs="Arial" w:eastAsia="Arial" w:hAnsi="Arial"/>
          <w:sz w:val="18"/>
          <w:szCs w:val="18"/>
          <w:b w:val="1"/>
          <w:bCs w:val="1"/>
          <w:color w:val="auto"/>
        </w:rPr>
        <w:t>Investing in these securities involves certain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2 of this prospectus as well as those included in any accompanying prospectus and in the documents incorporated by reference in this prospectus for a discussion of the factors you should carefully consider before deciding to purchase these securities.</w:t>
      </w:r>
    </w:p>
    <w:p>
      <w:pPr>
        <w:spacing w:after="0" w:line="11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2023.</w:t>
            </w:r>
          </w:p>
        </w:tc>
      </w:tr>
    </w:tbl>
    <w:p>
      <w:pPr>
        <w:sectPr>
          <w:pgSz w:w="11900" w:h="16838" w:orient="portrait"/>
          <w:cols w:equalWidth="0" w:num="1">
            <w:col w:w="11100"/>
          </w:cols>
          <w:pgMar w:left="320" w:top="459" w:right="47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sz w:val="20"/>
                <w:szCs w:val="20"/>
                <w:color w:val="auto"/>
              </w:rPr>
            </w:pPr>
            <w:r>
              <w:rPr>
                <w:rFonts w:ascii="Arial" w:cs="Arial" w:eastAsia="Arial" w:hAnsi="Arial"/>
                <w:sz w:val="18"/>
                <w:szCs w:val="18"/>
                <w:b w:val="1"/>
                <w:bCs w:val="1"/>
                <w:color w:val="0000EE"/>
              </w:rPr>
              <w:t>Table of Contents</w:t>
            </w:r>
          </w:p>
        </w:tc>
        <w:tc>
          <w:tcPr>
            <w:tcW w:w="2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5"/>
          </w:tcPr>
          <w:p>
            <w:pPr>
              <w:spacing w:after="0"/>
              <w:rPr>
                <w:sz w:val="20"/>
                <w:szCs w:val="20"/>
                <w:color w:val="auto"/>
              </w:rPr>
            </w:pPr>
            <w:r>
              <w:rPr>
                <w:rFonts w:ascii="Arial" w:cs="Arial" w:eastAsia="Arial" w:hAnsi="Arial"/>
                <w:sz w:val="18"/>
                <w:szCs w:val="18"/>
                <w:color w:val="0000EE"/>
              </w:rPr>
              <w:t>ABOUT THIS PROSPECTUS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RISK FACTORS</w:t>
            </w:r>
          </w:p>
        </w:tc>
        <w:tc>
          <w:tcPr>
            <w:tcW w:w="640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20" w:type="dxa"/>
            <w:vAlign w:val="bottom"/>
          </w:tcPr>
          <w:p>
            <w:pPr>
              <w:spacing w:after="0"/>
              <w:rPr>
                <w:sz w:val="17"/>
                <w:szCs w:val="17"/>
                <w:color w:val="auto"/>
              </w:rPr>
            </w:pPr>
          </w:p>
        </w:tc>
        <w:tc>
          <w:tcPr>
            <w:tcW w:w="53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OUR COMPANY</w:t>
            </w:r>
          </w:p>
        </w:tc>
        <w:tc>
          <w:tcPr>
            <w:tcW w:w="330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THE OFFERING</w:t>
            </w:r>
          </w:p>
        </w:tc>
        <w:tc>
          <w:tcPr>
            <w:tcW w:w="20" w:type="dxa"/>
            <w:vAlign w:val="bottom"/>
            <w:tcBorders>
              <w:top w:val="single" w:sz="8" w:color="0000EE"/>
            </w:tcBorders>
          </w:tcPr>
          <w:p>
            <w:pPr>
              <w:spacing w:after="0"/>
              <w:rPr>
                <w:sz w:val="17"/>
                <w:szCs w:val="17"/>
                <w:color w:val="auto"/>
              </w:rPr>
            </w:pPr>
          </w:p>
        </w:tc>
        <w:tc>
          <w:tcPr>
            <w:tcW w:w="732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40" w:type="dxa"/>
            <w:vAlign w:val="bottom"/>
            <w:gridSpan w:val="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8"/>
                <w:szCs w:val="18"/>
                <w:color w:val="0000EE"/>
              </w:rPr>
              <w:t>SELLING STOCKHOLDERS</w:t>
            </w:r>
          </w:p>
        </w:tc>
        <w:tc>
          <w:tcPr>
            <w:tcW w:w="5760" w:type="dxa"/>
            <w:vAlign w:val="bottom"/>
            <w:gridSpan w:val="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MATERIAL UNITED STATES FEDERAL INCOME TAX CONSIDERATIONS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0" w:type="dxa"/>
            <w:vAlign w:val="bottom"/>
          </w:tcPr>
          <w:p>
            <w:pPr>
              <w:spacing w:after="0"/>
              <w:rPr>
                <w:sz w:val="17"/>
                <w:szCs w:val="17"/>
                <w:color w:val="auto"/>
              </w:rPr>
            </w:pPr>
          </w:p>
        </w:tc>
        <w:tc>
          <w:tcPr>
            <w:tcW w:w="588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27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EXPERTS</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5"/>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4"/>
              </w:rPr>
              <w:t>INCORPORATION BY REFERENCE</w:t>
            </w:r>
          </w:p>
        </w:tc>
        <w:tc>
          <w:tcPr>
            <w:tcW w:w="980" w:type="dxa"/>
            <w:vAlign w:val="bottom"/>
            <w:tcBorders>
              <w:top w:val="single" w:sz="8" w:color="0000EE"/>
            </w:tcBorders>
            <w:gridSpan w:val="2"/>
          </w:tcPr>
          <w:p>
            <w:pPr>
              <w:spacing w:after="0"/>
              <w:rPr>
                <w:sz w:val="17"/>
                <w:szCs w:val="17"/>
                <w:color w:val="auto"/>
              </w:rPr>
            </w:pPr>
          </w:p>
        </w:tc>
        <w:tc>
          <w:tcPr>
            <w:tcW w:w="482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ectPr>
          <w:pgSz w:w="11900" w:h="16838" w:orient="portrait"/>
          <w:cols w:equalWidth="0" w:num="1">
            <w:col w:w="11080"/>
          </w:cols>
          <w:pgMar w:left="320" w:top="446"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document is part of the registration statement that we filed with the U.S. Securities and Exchange Commission, or the SEC, using a “shelf” registration process. Under this shelf registration process, the selling stockholders may, from time to time, sell the shares of common stock described in this prospectus in one or more offerings.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and the selling stockholders have not authorized anyone to provide you with information or to make any representation other than the information and representations contained or incorporated by reference in this prospectus and the accompanying prospectus and the documents incorporated by reference herein and therein, along with the information contained in any permitted free writing prospectuses we have authorized for use in connection with this offering. We and the selling stockholders take no responsibility for, and can provide no assurance as to the reliability of, any other information that others may give you.</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and are responsible for accuracy of such data and statistics,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6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 prospectus may add to, update or change the information contained in this prospectus. You should read this prospectus and any applicable prospectus, as well as the documents incorporated by reference herein and therein and the additional information described under “Where You Can Find More Information” and “Incorporation by Reference” in this prospectus, before investing in our common stock. As used in this prospectus, unless the context otherwise requires, references to “Tango,” “company,” “we,” “us” and “our” refer to Tango Therapeutics, Inc. and, where appropriate, our subsidiaries.</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trademarks,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w:t>
      </w:r>
      <w:r>
        <w:rPr>
          <w:rFonts w:ascii="Arial" w:cs="Arial" w:eastAsia="Arial" w:hAnsi="Arial"/>
          <w:sz w:val="25"/>
          <w:szCs w:val="25"/>
          <w:color w:val="auto"/>
          <w:vertAlign w:val="superscript"/>
        </w:rPr>
        <w:t>™</w:t>
      </w:r>
      <w:r>
        <w:rPr>
          <w:rFonts w:ascii="Arial" w:cs="Arial" w:eastAsia="Arial" w:hAnsi="Arial"/>
          <w:sz w:val="17"/>
          <w:szCs w:val="17"/>
          <w:color w:val="auto"/>
        </w:rPr>
        <w:t>, but such references should not be construed as any indicator that their respective owners will not assert, to the fullest extent under applicable law, their rights thereto.</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131" w:lineRule="exact"/>
        <w:rPr>
          <w:sz w:val="20"/>
          <w:szCs w:val="20"/>
          <w:color w:val="auto"/>
        </w:rPr>
      </w:pPr>
    </w:p>
    <w:p>
      <w:pPr>
        <w:ind w:left="1080" w:right="220" w:hanging="424"/>
        <w:spacing w:after="0" w:line="279"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IND filings and acceptance, active enrollment in clinical trials, dosing in clinical trials, and initiation and completion of studies or clinical trials and related preparatory work, and the period during which the results of the clinical trials (including initial and final trial results) will become available;</w:t>
      </w:r>
    </w:p>
    <w:p>
      <w:pPr>
        <w:spacing w:after="0" w:line="76"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 and the ability to identify clinical trial investigators to use our product candidates in trials);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2026);</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if approved,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(if approved) and any other approved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 including pricing regulations by U.S. (such as CMS) and foreign regulatory authorities;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industry;</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including those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may from time-to-time provide estimates, projections and other information concerning our industry, our financial performance, our business and the markets for our programs, product candidates and collaborations.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Arial" w:cs="Arial" w:eastAsia="Arial" w:hAnsi="Arial"/>
          <w:sz w:val="16"/>
          <w:szCs w:val="16"/>
          <w:i w:val="1"/>
          <w:iCs w:val="1"/>
          <w:color w:val="auto"/>
        </w:rPr>
        <w:t>Risk Factors</w:t>
      </w:r>
      <w:r>
        <w:rPr>
          <w:rFonts w:ascii="Arial" w:cs="Arial" w:eastAsia="Arial" w:hAnsi="Arial"/>
          <w:sz w:val="16"/>
          <w:szCs w:val="16"/>
          <w:color w:val="auto"/>
        </w:rPr>
        <w: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Initial pharmacodynamic (PD) data from the ongoing TNG908 dose escalation study, released in May 2023, provided proof-of-mechanism of MTA-cooperative PRMT5 inhibition, demonstrated by marked reduction of SDMA staining in MTAP-deleted cancer cells versus normal tissue. Pre-treatment and on-treatment biopsies demonstrated dose-dependent decreases in tumor SDMA staining with minimal or no decrease in normal tissue. The selective inhibition of PRMT5 in MTAP-deleted cancer cells is essential to enable the therapeutic index needed for efficacy. Additional TNG908 clinical data are expected in 2024.</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Given the large number of patients with MTAP-deleted cancers who may benefit from a PRMT5 inhibitor, and the resulting potential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similar to TNG908, evaluating safety and efficacy in multiple tumor types in a Phase 1/2 clinical trial. GBM is excluded from the clinical trial as TNG462 is not expected to cross the blood-brain barrier. The TNG462 IND cleared in the first quarter of 2023 and we announced the first patient in the Phase 1/2 clinical trial was dosed in July 2023.</w:t>
      </w:r>
    </w:p>
    <w:p>
      <w:pPr>
        <w:spacing w:after="0" w:line="19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deletion, a setting where an anti-PD-1 antibody alone is inactive. In the first quarter of 2023, the FDA cleared the TNG260 IND and we announced the first patient in the Phase 1/2 clinical trial was dosed in July 2023. The trial is evaluating the safety, pharmacokinetics (PK), PD and efficacy of TNG260 in combination with pembrolizumab, with a one cycle single agent run-in phase to evaluate the safety and PK of TNG260, in patients with locally advanced or metastatic cancer solid tumors with an STK11 loss-of-function mutation. We believe that TNG260 could be among the first oncology molecules to leverage the benefits of genetically-based patient selection (STK11-mutation) with checkpoint inhibitor therapy.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are developing TNG348, a novel allosteric inhibitor of USP1 for treatment of BRCA1, BRCA2-mutant and other HRD+ cancers. HRD+ cancers, including BRCA 1/2 mutations, represent approximately 50% of ovarian, 25% of breast, 10% of prostate and 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 -naïve and PARP inhibitor-resistant BRCA1/2 mutant and other HRD+ cancers. Additionally, we expect TNG348 to synergize with PARP inhibitors in these settings effectively restoring sensitivity to PARPi in the setting of acquired resistance. We expect to file an IND for this program in mid-2023.</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Private Placement</w:t>
      </w:r>
    </w:p>
    <w:p>
      <w:pPr>
        <w:spacing w:after="0" w:line="12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On August 10, 2023, we and certain accredited investors entered into a Securities Purchase Agreement, or the Purchase Agreement, pursuant to which we agreed to sell and issue and such investors agreed to purchase (i) an aggregate of 13,196,671 shares of common stock at purchase price of $5.15 per share, and/or (ii) pre-funded warrants to purchase an aggregate of 2,340,579 shares of common stock at a purchase price of $5.1499 per pre-funded warrant, in a private placement transaction, or the Private Placement. The closing of the Private Placement occurred on August 11, 2023.</w:t>
      </w:r>
    </w:p>
    <w:p>
      <w:pPr>
        <w:spacing w:after="0" w:line="157"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The Pre-Funded Warrants will have a nominal exercise price of $0.0001 per share, be immediately exercisable upon issuance and remain exercisable until exercised in full. The exercise price and number of shares of common stock issuable upon the exercise of the pre-funded warrants are subject to adjustment in the event of any stock dividends, subdivisions, stock splits, stock combinations or reclassifications as described in the pre-funded warrants. The aggregate gross cash proceeds to the Company for the shares of common stock and pre-funded warrants sold pursuant to the Purchase Agreement, or collectively, the Securities, was $80 million. The purchasers of the Securities are the selling stockholders named in this prospectus.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principal corporate office is located at 201 Brookline Avenue, Suite 901,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entities. As an emerging growth company, we may take advantage of certain exemptions and reduced reporting requirements under the JOBS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as an emerging growth company:</w:t>
      </w:r>
    </w:p>
    <w:p>
      <w:pPr>
        <w:spacing w:after="0" w:line="116" w:lineRule="exact"/>
        <w:rPr>
          <w:sz w:val="20"/>
          <w:szCs w:val="20"/>
          <w:color w:val="auto"/>
        </w:rPr>
      </w:pPr>
    </w:p>
    <w:p>
      <w:pPr>
        <w:ind w:left="1080" w:right="3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4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6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$100.0 million during the most recently completed fiscal year. We may continue to be a smaller reporting company if either (i) the market value of our stock held by non-affiliates is less than $250 million or (ii) our annual revenue was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36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7360" w:type="dxa"/>
            <w:vAlign w:val="bottom"/>
          </w:tcPr>
          <w:p>
            <w:pPr>
              <w:ind w:left="1180"/>
              <w:spacing w:after="0"/>
              <w:rPr>
                <w:sz w:val="20"/>
                <w:szCs w:val="20"/>
                <w:color w:val="auto"/>
              </w:rPr>
            </w:pPr>
            <w:r>
              <w:rPr>
                <w:rFonts w:ascii="Arial" w:cs="Arial" w:eastAsia="Arial" w:hAnsi="Arial"/>
                <w:sz w:val="18"/>
                <w:szCs w:val="18"/>
                <w:b w:val="1"/>
                <w:bCs w:val="1"/>
                <w:color w:val="auto"/>
              </w:rPr>
              <w:t>THE OFFERING</w:t>
            </w:r>
          </w:p>
        </w:tc>
      </w:tr>
      <w:tr>
        <w:trPr>
          <w:trHeight w:val="445"/>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Shares Offered by the Selling Stockholders</w:t>
            </w:r>
          </w:p>
        </w:tc>
        <w:tc>
          <w:tcPr>
            <w:tcW w:w="7360" w:type="dxa"/>
            <w:vAlign w:val="bottom"/>
          </w:tcPr>
          <w:p>
            <w:pPr>
              <w:ind w:left="540"/>
              <w:spacing w:after="0"/>
              <w:rPr>
                <w:sz w:val="20"/>
                <w:szCs w:val="20"/>
                <w:color w:val="auto"/>
              </w:rPr>
            </w:pPr>
            <w:r>
              <w:rPr>
                <w:rFonts w:ascii="Arial" w:cs="Arial" w:eastAsia="Arial" w:hAnsi="Arial"/>
                <w:sz w:val="18"/>
                <w:szCs w:val="18"/>
                <w:color w:val="auto"/>
                <w:w w:val="91"/>
              </w:rPr>
              <w:t>13,196,671 shares of our common stock and 2,340,579 shares of our common stock issuable</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upon the exercise of pre-funded warrants.</w:t>
            </w:r>
          </w:p>
        </w:tc>
      </w:tr>
      <w:tr>
        <w:trPr>
          <w:trHeight w:val="338"/>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Use of Proceeds</w:t>
            </w:r>
          </w:p>
        </w:tc>
        <w:tc>
          <w:tcPr>
            <w:tcW w:w="7360" w:type="dxa"/>
            <w:vAlign w:val="bottom"/>
          </w:tcPr>
          <w:p>
            <w:pPr>
              <w:ind w:left="540"/>
              <w:spacing w:after="0"/>
              <w:rPr>
                <w:sz w:val="20"/>
                <w:szCs w:val="20"/>
                <w:color w:val="auto"/>
              </w:rPr>
            </w:pPr>
            <w:r>
              <w:rPr>
                <w:rFonts w:ascii="Arial" w:cs="Arial" w:eastAsia="Arial" w:hAnsi="Arial"/>
                <w:sz w:val="18"/>
                <w:szCs w:val="18"/>
                <w:color w:val="auto"/>
                <w:w w:val="89"/>
              </w:rPr>
              <w:t>We will not receive any of the proceeds from the sale of the Shares covered by this prospectus.</w:t>
            </w:r>
          </w:p>
        </w:tc>
      </w:tr>
      <w:tr>
        <w:trPr>
          <w:trHeight w:val="351"/>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Nasdaq Symbol</w:t>
            </w:r>
          </w:p>
        </w:tc>
        <w:tc>
          <w:tcPr>
            <w:tcW w:w="7360" w:type="dxa"/>
            <w:vAlign w:val="bottom"/>
          </w:tcPr>
          <w:p>
            <w:pPr>
              <w:ind w:left="540"/>
              <w:spacing w:after="0"/>
              <w:rPr>
                <w:sz w:val="20"/>
                <w:szCs w:val="20"/>
                <w:color w:val="auto"/>
              </w:rPr>
            </w:pPr>
            <w:r>
              <w:rPr>
                <w:rFonts w:ascii="Arial" w:cs="Arial" w:eastAsia="Arial" w:hAnsi="Arial"/>
                <w:sz w:val="18"/>
                <w:szCs w:val="18"/>
                <w:color w:val="auto"/>
              </w:rPr>
              <w:t>TNGX.</w:t>
            </w:r>
          </w:p>
        </w:tc>
      </w:tr>
      <w:tr>
        <w:trPr>
          <w:trHeight w:val="337"/>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Offering Price</w:t>
            </w:r>
          </w:p>
        </w:tc>
        <w:tc>
          <w:tcPr>
            <w:tcW w:w="7360" w:type="dxa"/>
            <w:vAlign w:val="bottom"/>
          </w:tcPr>
          <w:p>
            <w:pPr>
              <w:ind w:left="540"/>
              <w:spacing w:after="0"/>
              <w:rPr>
                <w:sz w:val="20"/>
                <w:szCs w:val="20"/>
                <w:color w:val="auto"/>
              </w:rPr>
            </w:pPr>
            <w:r>
              <w:rPr>
                <w:rFonts w:ascii="Arial" w:cs="Arial" w:eastAsia="Arial" w:hAnsi="Arial"/>
                <w:sz w:val="18"/>
                <w:szCs w:val="18"/>
                <w:color w:val="auto"/>
                <w:w w:val="94"/>
              </w:rPr>
              <w:t>The selling stockholders may offer the Shares offered by this prospectus at fixed prices, at</w:t>
            </w:r>
          </w:p>
        </w:tc>
      </w:tr>
      <w:tr>
        <w:trPr>
          <w:trHeight w:val="216"/>
        </w:trPr>
        <w:tc>
          <w:tcPr>
            <w:tcW w:w="13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w w:val="92"/>
              </w:rPr>
              <w:t>prevailing market prices at the time of sale, at prices related to the prevailing market price, at</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varying prices determined at the time of sale, or at negotiated prices.</w:t>
            </w:r>
          </w:p>
        </w:tc>
      </w:tr>
      <w:tr>
        <w:trPr>
          <w:trHeight w:val="323"/>
        </w:trPr>
        <w:tc>
          <w:tcPr>
            <w:tcW w:w="3760" w:type="dxa"/>
            <w:vAlign w:val="bottom"/>
            <w:gridSpan w:val="2"/>
          </w:tcPr>
          <w:p>
            <w:pPr>
              <w:ind w:left="120"/>
              <w:spacing w:after="0"/>
              <w:rPr>
                <w:sz w:val="20"/>
                <w:szCs w:val="20"/>
                <w:color w:val="auto"/>
              </w:rPr>
            </w:pPr>
            <w:r>
              <w:rPr>
                <w:rFonts w:ascii="Arial" w:cs="Arial" w:eastAsia="Arial" w:hAnsi="Arial"/>
                <w:sz w:val="18"/>
                <w:szCs w:val="18"/>
                <w:color w:val="auto"/>
              </w:rPr>
              <w:t>Risk Factors</w:t>
            </w:r>
          </w:p>
        </w:tc>
        <w:tc>
          <w:tcPr>
            <w:tcW w:w="7360" w:type="dxa"/>
            <w:vAlign w:val="bottom"/>
          </w:tcPr>
          <w:p>
            <w:pPr>
              <w:ind w:left="540"/>
              <w:spacing w:after="0"/>
              <w:rPr>
                <w:sz w:val="20"/>
                <w:szCs w:val="20"/>
                <w:color w:val="auto"/>
              </w:rPr>
            </w:pPr>
            <w:r>
              <w:rPr>
                <w:rFonts w:ascii="Arial" w:cs="Arial" w:eastAsia="Arial" w:hAnsi="Arial"/>
                <w:sz w:val="18"/>
                <w:szCs w:val="18"/>
                <w:color w:val="auto"/>
                <w:w w:val="95"/>
              </w:rPr>
              <w:t>You should read the “Risk Factors” section of this prospectus for a discussion of factors to</w:t>
            </w:r>
          </w:p>
        </w:tc>
      </w:tr>
      <w:tr>
        <w:trPr>
          <w:trHeight w:val="230"/>
        </w:trPr>
        <w:tc>
          <w:tcPr>
            <w:tcW w:w="13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7360" w:type="dxa"/>
            <w:vAlign w:val="bottom"/>
          </w:tcPr>
          <w:p>
            <w:pPr>
              <w:ind w:left="540"/>
              <w:spacing w:after="0"/>
              <w:rPr>
                <w:sz w:val="20"/>
                <w:szCs w:val="20"/>
                <w:color w:val="auto"/>
              </w:rPr>
            </w:pPr>
            <w:r>
              <w:rPr>
                <w:rFonts w:ascii="Arial" w:cs="Arial" w:eastAsia="Arial" w:hAnsi="Arial"/>
                <w:sz w:val="18"/>
                <w:szCs w:val="18"/>
                <w:color w:val="auto"/>
              </w:rPr>
              <w:t>consider carefully before deciding to invest in our common stock.</w:t>
            </w:r>
          </w:p>
        </w:tc>
      </w:tr>
      <w:tr>
        <w:trPr>
          <w:trHeight w:val="364"/>
        </w:trPr>
        <w:tc>
          <w:tcPr>
            <w:tcW w:w="1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360" w:type="dxa"/>
            <w:vAlign w:val="bottom"/>
          </w:tcPr>
          <w:p>
            <w:pPr>
              <w:ind w:left="1820"/>
              <w:spacing w:after="0"/>
              <w:rPr>
                <w:sz w:val="20"/>
                <w:szCs w:val="20"/>
                <w:color w:val="auto"/>
              </w:rPr>
            </w:pPr>
            <w:r>
              <w:rPr>
                <w:rFonts w:ascii="Arial" w:cs="Arial" w:eastAsia="Arial" w:hAnsi="Arial"/>
                <w:sz w:val="18"/>
                <w:szCs w:val="18"/>
                <w:color w:val="auto"/>
              </w:rPr>
              <w:t>8</w:t>
            </w:r>
          </w:p>
        </w:tc>
      </w:tr>
    </w:tbl>
    <w:p>
      <w:pPr>
        <w:ind w:left="182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This prospectus relates to the potential resale from time to time of some of or all 15,537,250 Shares. The selling stockholders will receive all of the proceeds from any sale of such shares. We will not receive any proceeds from any sales of shares of our common stock by the selling stockholders. However, upon any cash exercise of the pre-funded warrants by the selling stockholders, we may receive cash proceeds per share equal to the exercise price of the pre-funded warrant, which could amount up to $234.06 in the aggregate. The holders of the pre-funded warrants are currently not obligated to exercise the pre-funded warrants and we cannot assure you that the holders will choose to exercise all or any pre-funded warrants. If the pre-funded warrants are exercised in a cashless exercise, we will not receive any proceeds from such exercise.</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have agreed to bear the expenses in connection with the registration of our common stock to be offered by this prospectus by the selling stockholders other than any underwriting discounts and commissions relating to the sale of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Our certificate of incorporation authorizes the issuance of 210,000,000 shares, consisting of 200,000,000 shares of common stock, $0.001 par value per share, and 10,000,000 shares of preferred stock, $0.001 par value, all of which shares of preferred stock are undesignated.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certificate of incorporation provides the following with respect to the rights, powers, preferences and privileges of the common stock.</w:t>
      </w:r>
    </w:p>
    <w:p>
      <w:pPr>
        <w:spacing w:after="0" w:line="22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i w:val="1"/>
          <w:iCs w:val="1"/>
          <w:color w:val="auto"/>
        </w:rPr>
        <w:t xml:space="preserve">Voting Power. </w:t>
      </w:r>
      <w:r>
        <w:rPr>
          <w:rFonts w:ascii="Arial" w:cs="Arial" w:eastAsia="Arial" w:hAnsi="Arial"/>
          <w:sz w:val="18"/>
          <w:szCs w:val="18"/>
          <w:color w:val="auto"/>
        </w:rPr>
        <w:t>Except as otherwise required by law or as otherwise provided in any certificate of designation for any series of preferred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84"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will be entitled to receive such dividends, if any, as may be declared from time to time by our board of directors in</w:t>
      </w:r>
      <w:r>
        <w:rPr>
          <w:rFonts w:ascii="Arial" w:cs="Arial" w:eastAsia="Arial" w:hAnsi="Arial"/>
          <w:sz w:val="17"/>
          <w:szCs w:val="17"/>
          <w:i w:val="1"/>
          <w:iCs w:val="1"/>
          <w:color w:val="auto"/>
        </w:rPr>
        <w:t xml:space="preserve"> </w:t>
      </w:r>
      <w:r>
        <w:rPr>
          <w:rFonts w:ascii="Arial" w:cs="Arial" w:eastAsia="Arial" w:hAnsi="Arial"/>
          <w:sz w:val="17"/>
          <w:szCs w:val="17"/>
          <w:color w:val="auto"/>
        </w:rPr>
        <w:t>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Liquidation, Dissolution and Winding Up. </w:t>
      </w:r>
      <w:r>
        <w:rPr>
          <w:rFonts w:ascii="Arial" w:cs="Arial" w:eastAsia="Arial" w:hAnsi="Arial"/>
          <w:sz w:val="18"/>
          <w:szCs w:val="18"/>
          <w:color w:val="auto"/>
        </w:rPr>
        <w:t>In the event of Tango’s voluntary or involuntary liquidation, dissolution, distribution of assets or winding-up,</w:t>
      </w:r>
      <w:r>
        <w:rPr>
          <w:rFonts w:ascii="Arial" w:cs="Arial" w:eastAsia="Arial" w:hAnsi="Arial"/>
          <w:sz w:val="18"/>
          <w:szCs w:val="18"/>
          <w:i w:val="1"/>
          <w:iCs w:val="1"/>
          <w:color w:val="auto"/>
        </w:rPr>
        <w:t xml:space="preserve"> </w:t>
      </w:r>
      <w:r>
        <w:rPr>
          <w:rFonts w:ascii="Arial" w:cs="Arial" w:eastAsia="Arial" w:hAnsi="Arial"/>
          <w:sz w:val="18"/>
          <w:szCs w:val="18"/>
          <w:color w:val="auto"/>
        </w:rPr>
        <w:t>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color w:val="auto"/>
        </w:rPr>
        <w:t xml:space="preserve">Preemptive or Other Rights. </w:t>
      </w:r>
      <w:r>
        <w:rPr>
          <w:rFonts w:ascii="Arial" w:cs="Arial" w:eastAsia="Arial" w:hAnsi="Arial"/>
          <w:sz w:val="18"/>
          <w:szCs w:val="18"/>
          <w:color w:val="auto"/>
        </w:rPr>
        <w:t>Our common stock has no preemptive rights, conversion rights or other subscription rights or redemption or sinking fund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“TNGX”.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Computershare Trust Company, N.A.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1080" w:right="40" w:hanging="424"/>
        <w:spacing w:after="0" w:line="273"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Shelf registration/demand registration rights</w:t>
      </w:r>
      <w:r>
        <w:rPr>
          <w:rFonts w:ascii="Arial" w:cs="Arial" w:eastAsia="Arial" w:hAnsi="Arial"/>
          <w:sz w:val="17"/>
          <w:szCs w:val="17"/>
          <w:color w:val="auto"/>
        </w:rPr>
        <w:t>. At any time and from time to time when an effective shelf registration statement is on file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83" w:lineRule="exact"/>
        <w:rPr>
          <w:rFonts w:ascii="Arial" w:cs="Arial" w:eastAsia="Arial" w:hAnsi="Arial"/>
          <w:sz w:val="17"/>
          <w:szCs w:val="17"/>
          <w:color w:val="auto"/>
        </w:rPr>
      </w:pPr>
    </w:p>
    <w:p>
      <w:pPr>
        <w:ind w:left="1080" w:right="260" w:hanging="424"/>
        <w:spacing w:after="0" w:line="279"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Subject to exceptions for certain offerings and registration statements, if at any time, we propose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76" w:lineRule="exact"/>
        <w:rPr>
          <w:rFonts w:ascii="Arial" w:cs="Arial" w:eastAsia="Arial" w:hAnsi="Arial"/>
          <w:sz w:val="17"/>
          <w:szCs w:val="17"/>
          <w:color w:val="auto"/>
        </w:rPr>
      </w:pPr>
    </w:p>
    <w:p>
      <w:pPr>
        <w:ind w:left="10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The Amended and Restated Registration and Stockholder Rights Agreement contains customary cross-indemnification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of Registration Rights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registration rights granted under the Amended and Restated Registration and Stockholder Rights Agreement will terminate on the earlier of (i) the 10th anniversary of the date of the agreement and (ii) with respect to any Holder, on the date that such Holder no longer holds any Registrable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4200"/>
        <w:spacing w:after="0" w:line="378" w:lineRule="auto"/>
        <w:rPr>
          <w:sz w:val="20"/>
          <w:szCs w:val="20"/>
          <w:color w:val="auto"/>
        </w:rPr>
      </w:pPr>
      <w:r>
        <w:rPr>
          <w:rFonts w:ascii="Arial" w:cs="Arial" w:eastAsia="Arial" w:hAnsi="Arial"/>
          <w:sz w:val="18"/>
          <w:szCs w:val="18"/>
          <w:b w:val="1"/>
          <w:bCs w:val="1"/>
          <w:color w:val="auto"/>
        </w:rPr>
        <w:t xml:space="preserve">Anti-Takeover Effects of our Certificate of Incorporation and Bylaws and Delaware Law </w:t>
      </w:r>
      <w:r>
        <w:rPr>
          <w:rFonts w:ascii="Arial" w:cs="Arial" w:eastAsia="Arial" w:hAnsi="Arial"/>
          <w:sz w:val="18"/>
          <w:szCs w:val="18"/>
          <w:b w:val="1"/>
          <w:bCs w:val="1"/>
          <w:i w:val="1"/>
          <w:iCs w:val="1"/>
          <w:color w:val="auto"/>
        </w:rPr>
        <w:t>Certificate of Incorporation and Bylaws</w:t>
      </w:r>
    </w:p>
    <w:p>
      <w:pPr>
        <w:jc w:val="both"/>
        <w:ind w:left="120" w:right="200"/>
        <w:spacing w:after="0" w:line="286"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71" w:lineRule="exact"/>
        <w:rPr>
          <w:sz w:val="20"/>
          <w:szCs w:val="20"/>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our board of directors;</w:t>
      </w:r>
    </w:p>
    <w:p>
      <w:pPr>
        <w:spacing w:after="0" w:line="130" w:lineRule="exact"/>
        <w:rPr>
          <w:rFonts w:ascii="Arial" w:cs="Arial" w:eastAsia="Arial" w:hAnsi="Arial"/>
          <w:sz w:val="18"/>
          <w:szCs w:val="18"/>
          <w:color w:val="auto"/>
        </w:rPr>
      </w:pPr>
    </w:p>
    <w:p>
      <w:pPr>
        <w:jc w:val="both"/>
        <w:ind w:left="1080" w:right="5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89"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93"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by our board of directors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83"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1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material terms and provisions of the Pre-Funded Warrants to purchase shares of common stock are summarized below. This summary is subject to and qualified in its entirety by the form of Pre-Funded Warrant, which was filed with the SEC as an exhibit to the Company’s Form 8-K on August 11, 2023.</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holder may exercise the Pre-Funded Warrants at any time. There is no expiration date for the Pre-Funded Warrants. As further</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under “Selling Stockholders,” notwithstanding the foregoing, the holders may not exercise the warrant if the holder, together with its affiliates, would beneficially own more than 9.99% of the number of shares of common stock outstanding immediately after giving effect to such exercise. The holders of Pre-Funded Warrants may increase or decrease such percentages not in excess of 19.99% by providing at least 61 days’ prior notice to the Company. The Pre-Funded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w:t>
      </w:r>
    </w:p>
    <w:p>
      <w:pPr>
        <w:spacing w:after="0" w:line="195"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each Pre-Funded Warrant is $0.0001 per share of common stock. The exercise price of the warrants is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appropriate adjustment in the event of stock dividends, subdivisions, stock splits, stock combinations or reclassifications affecting our common stock.</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i w:val="1"/>
          <w:iCs w:val="1"/>
          <w:color w:val="auto"/>
        </w:rPr>
        <w:t xml:space="preserve">Payment of Exercise Price. </w:t>
      </w:r>
      <w:r>
        <w:rPr>
          <w:rFonts w:ascii="Arial" w:cs="Arial" w:eastAsia="Arial" w:hAnsi="Arial"/>
          <w:sz w:val="18"/>
          <w:szCs w:val="18"/>
          <w:color w:val="auto"/>
        </w:rPr>
        <w:t>The warrant holders have the option to provide payment of the exercise price of the shares being acquired upon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warrants by cash exercise or, as described below, by cashless exercise.</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 xml:space="preserve">Cashless Exercise. </w:t>
      </w:r>
      <w:r>
        <w:rPr>
          <w:rFonts w:ascii="Arial" w:cs="Arial" w:eastAsia="Arial" w:hAnsi="Arial"/>
          <w:sz w:val="18"/>
          <w:szCs w:val="18"/>
          <w:color w:val="auto"/>
        </w:rPr>
        <w:t>In lieu of making the cash payment otherwise contemplated to be made to us upon such exercise in payment of the aggregate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the holder may elect instead to receive upon such exercise the net number of shares of common stock determined according to a formula set forth in the Pre-Funded Warrants.</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Subject to compliance with applicable securities laws, the Pre-Funded Warrants may be transferred at the option of the holders upon</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 of the warrants together with payment for all applicable transfer taxes and the appropriate instruments of transfer as described in the Pre-Funded Warrants.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Fundamental Transactions</w:t>
      </w:r>
      <w:r>
        <w:rPr>
          <w:rFonts w:ascii="Arial" w:cs="Arial" w:eastAsia="Arial" w:hAnsi="Arial"/>
          <w:sz w:val="18"/>
          <w:szCs w:val="18"/>
          <w:color w:val="auto"/>
        </w:rPr>
        <w:t>. If, at any time while each Pre-Funded Warrant is outstanding, there is a Fundamental Transaction, which generally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a merger or consolidation resulting in the sale of 50% or more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voting securities of the Company, the sale of all or substantially all of the assets of the Company, or other change of control transaction, then the holder has the right thereafter to receive, upon exercise of the Pre-Funded Warrant, the same amount and kind of securities, cash or property as it would have been entitled to receive upon the occurrence of such Fundamental Transaction if it had been, immediately prior to such Fundamental Transaction, the holder of the number of shares of common stock then issuable upon exercise in full of the Pre-Funded Warrant, or the Alternate Consideration. If the Company undertakes a Fundamental Transaction and the Alternate Consideration is solely in the form of cash, then the Company shall provide for the simultaneous cashless exercise of the Pre-Funded Warrants. If the Company undertakes a Fundamental Transaction in which the Company is not the surviving entity and the Alternate Consideration includes securities of another Person, then the Company shall provide that, prior to or simultaneously with the consummation of such Fundamental Transaction, any successor to the Company, surviving entity or other person or legal entity (including any purchaser of assets of the Company) shall assume the obligation to deliver to the holder such Alternate Consideration as the holder is entitled to receive in accordance with the provisions of the Pre-Funded Warrant, and to assume the other obligations under the Pre-Funded Warrants.</w:t>
      </w:r>
    </w:p>
    <w:p>
      <w:pPr>
        <w:spacing w:after="0" w:line="168"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i w:val="1"/>
          <w:iCs w:val="1"/>
          <w:color w:val="auto"/>
        </w:rPr>
        <w:t xml:space="preserve">Events of Failure. </w:t>
      </w:r>
      <w:r>
        <w:rPr>
          <w:rFonts w:ascii="Arial" w:cs="Arial" w:eastAsia="Arial" w:hAnsi="Arial"/>
          <w:sz w:val="17"/>
          <w:szCs w:val="17"/>
          <w:color w:val="auto"/>
        </w:rPr>
        <w:t>In the event that we fail to timely deliver shares of common stock to any holder, we are required to make whole any holder who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purchases shares of common stock to deliver in satisfaction of a sale by such holder of shares of common stock issuable upon an exercise of the Pre-Funded Warrants that the holder anticipated receiving from the Company, as described in the Pre-Funded Warrants.</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 xml:space="preserve">Rights as a Stockholder. </w:t>
      </w:r>
      <w:r>
        <w:rPr>
          <w:rFonts w:ascii="Arial" w:cs="Arial" w:eastAsia="Arial" w:hAnsi="Arial"/>
          <w:sz w:val="18"/>
          <w:szCs w:val="18"/>
          <w:color w:val="auto"/>
        </w:rPr>
        <w:t>Except by virtue of a holder’s ownership of our common stock, the holders of the Pre-Funded Warrants do not have the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privileges of holders of our common stock, including any voting rights, until they exercise their warrants.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 xml:space="preserve">Waivers and Amendments. </w:t>
      </w:r>
      <w:r>
        <w:rPr>
          <w:rFonts w:ascii="Arial" w:cs="Arial" w:eastAsia="Arial" w:hAnsi="Arial"/>
          <w:sz w:val="18"/>
          <w:szCs w:val="18"/>
          <w:color w:val="auto"/>
        </w:rPr>
        <w:t>Except as otherwise provided in the Pre-Funded Warrant, the provisions of the Pre-Funded Warrants may only be amended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waived with the written consent of the holder of such Pre-Funded Warrant.</w:t>
      </w:r>
    </w:p>
    <w:p>
      <w:pPr>
        <w:spacing w:after="0" w:line="170"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i w:val="1"/>
          <w:iCs w:val="1"/>
          <w:color w:val="auto"/>
        </w:rPr>
        <w:t xml:space="preserve">No Fractional Shares. </w:t>
      </w:r>
      <w:r>
        <w:rPr>
          <w:rFonts w:ascii="Arial" w:cs="Arial" w:eastAsia="Arial" w:hAnsi="Arial"/>
          <w:sz w:val="18"/>
          <w:szCs w:val="18"/>
          <w:color w:val="auto"/>
        </w:rPr>
        <w:t>No fractional shares will be issued in connection with any exercise of the Pre-Funded Warrants. As to any fraction of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holder would otherwise be entitled to purchase upon such exercise, the Company shall pay the holder in cash the fair market value for any such fractional shares, as described in the Pre-Funded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common stock being offered by the selling stockholders are those previously issued to the selling stockholders and those issuable to the selling stockholders upon the exercise of the pre-funded warrants. The selling stockholders acquired these shares and pre-funded warrants from us in a private offering pursuant to an exemption from registration afforded by Section 4(a)(2) of the Securities Act and/or Regulation D promulgated thereunder.</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information presented regarding the selling stockholders is based, in part, on information the selling stockholders provided to us specifically for use in this prospectus. The selling stockholders may sell all, some or none of their shares in this offering. See “Plan of Distribution.” We may supplement this prospectus from time to time in the future to update or change the selling stockholders list and the number of Shares that may be offered and sold by the selling stockholders. The registration for resale of the Shares does not necessarily mean that the selling stockholders will sell all or any of these shares. In addition, the selling stockholders may have sold, transferred or otherwise disposed of, or may sell, transfer or otherwise dispose of, at any time and from time to time, Shares in transactions exempt from the registration requirements of the Securities Act, after the date on which it provided the information set forth in the table below.</w:t>
      </w:r>
    </w:p>
    <w:p>
      <w:pPr>
        <w:spacing w:after="0" w:line="195"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This prospectus covers the resale or other disposition by the selling stockholders or their transferees of up to the total number of Shares issued to the selling stockholders pursuant to the Purchase Agreement. Throughout this prospectus, when we refer to the selling stockholders, we are referring to the purchasers under the Purchase Agreement and, as applicable, any donees, pledgees, assignees, transferees or other successors-in-interest selling the Shares received after the date of this prospectus from the selling stockholders as a gift, pledge, or other non-sale related transfer.</w:t>
      </w:r>
    </w:p>
    <w:p>
      <w:pPr>
        <w:spacing w:after="0" w:line="15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Under the terms of the pre-funded warrants, the Selling Stockholders may not exercise such pre-funded warrants to the extent such exercise would cause the Selling Stockholder, together with its affiliates and attribution parties, to beneficially own a number of shares of common stock which would exceed 9.99%, of our then outstanding Common Stock following such exercise, excluding for purposes of such determination shares of Common Stock issuable upon exercise of such pre-funded warrants which have not been exercised. The number of shares in the third and fourth columns do not reflect this limitation.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following table sets forth, as of the date of this prospectus, the names of each selling stockholder, the aggregate number of shares of common stock beneficially owned thereby, the aggregate number of Shares that the selling stockholders may offer pursuant to this prospectus and the number of shares of common stock beneficially owned by the selling stockholders after the sale of the Shares offered hereby. Because the selling stockholders are not obligated to sell the Shares, we cannot estimate the amount of shares of common stock that the selling stockholders will hold upon consummation of any such sales. For purposes of the following table, we have assumed the sale of all Shares that may be offered for sale pursuant to this prospectus. Percentage of beneficial ownership is based on 101,738,444 common shares outstanding as of August 23, 2023. Pursuant to Rule 416 under the Securities Act, the prospectus also covers any additional shares of common stock that may become issuable in connection with the Shares by reason of a share dividend, share split or similar transaction.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3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1"/>
              </w:rPr>
              <w:t>Shares Beneficially</w:t>
            </w: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20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320" w:type="dxa"/>
            <w:vAlign w:val="bottom"/>
            <w:gridSpan w:val="3"/>
            <w:vMerge w:val="continue"/>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May be</w:t>
            </w:r>
          </w:p>
        </w:tc>
        <w:tc>
          <w:tcPr>
            <w:tcW w:w="2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3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Owned Before the</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Offered</w:t>
            </w:r>
          </w:p>
        </w:tc>
        <w:tc>
          <w:tcPr>
            <w:tcW w:w="2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Owned After the</w:t>
            </w:r>
          </w:p>
        </w:tc>
        <w:tc>
          <w:tcPr>
            <w:tcW w:w="0" w:type="dxa"/>
            <w:vAlign w:val="bottom"/>
          </w:tcPr>
          <w:p>
            <w:pPr>
              <w:spacing w:after="0"/>
              <w:rPr>
                <w:sz w:val="1"/>
                <w:szCs w:val="1"/>
                <w:color w:val="auto"/>
              </w:rPr>
            </w:pPr>
          </w:p>
        </w:tc>
      </w:tr>
      <w:tr>
        <w:trPr>
          <w:trHeight w:val="171"/>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Stockholder</w:t>
            </w:r>
          </w:p>
        </w:tc>
        <w:tc>
          <w:tcPr>
            <w:tcW w:w="23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9"/>
              </w:rPr>
              <w:t>Offering</w:t>
            </w: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Hereby</w:t>
            </w:r>
          </w:p>
        </w:tc>
        <w:tc>
          <w:tcPr>
            <w:tcW w:w="2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2"/>
        </w:trPr>
        <w:tc>
          <w:tcPr>
            <w:tcW w:w="5500" w:type="dxa"/>
            <w:vAlign w:val="bottom"/>
            <w:vMerge w:val="continue"/>
          </w:tcPr>
          <w:p>
            <w:pPr>
              <w:spacing w:after="0"/>
              <w:rPr>
                <w:sz w:val="12"/>
                <w:szCs w:val="12"/>
                <w:color w:val="auto"/>
              </w:rPr>
            </w:pPr>
          </w:p>
        </w:tc>
        <w:tc>
          <w:tcPr>
            <w:tcW w:w="96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Number</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BCLC II Equity opportunities, LP (1)</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2,892,663</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970,873</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1,921,790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Boxer Capital, LLC (2)</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9,464,221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9.30%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2,340,579</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7,123,642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MVA Investors, LLC (3)</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743,542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475,000</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268,542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Casdin Partners Master Fund, L.P. (4)</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388,349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0.38%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388,349</w:t>
            </w:r>
          </w:p>
        </w:tc>
        <w:tc>
          <w:tcPr>
            <w:tcW w:w="9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EcoR1 Capital, L.P. (5)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313,074</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77,475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235,599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EcoR1 Capital Fund Qualified, L.P. (5)</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4,973,262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4.89%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1,281,747</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3,691,515</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Fidelity Select Portfolios: Biotechnology Portfolio (6)</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1,079,725</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466,637</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613,088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Fidelity Advisor Series VII: Fidelity Advisor Biotechnology Fund (6)</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2,383,964</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2.34%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317,852</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2,066,112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Fidelity Capital Trust: Fidelity Stock Selector Small Cap Fund (6)</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1,107,659</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387,835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719,824</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w w:val="98"/>
              </w:rPr>
              <w:t>Fidelity Securities Fund: Fidelity Series Small Cap Opportunities Fund</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(6)</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2,192,630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2.16%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772,654</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1,419,976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Fidelity Mt. Vernon Street Trust: Fidelity Series Growth Company</w:t>
            </w: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Fund (6)</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439,357</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148,501</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290,856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Fidelity Mt. Vernon Street Trust: Fidelity Growth Company Fund (6)</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1,518,032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1.49%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543,718</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974,314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Commingled Pool (6)</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2,399,120</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695,105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1,704,015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rPr>
              <w:t>Fidelity Mt. Vernon Street Trust : Fidelity Growth Company K6 Fund</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8"/>
                <w:szCs w:val="18"/>
                <w:color w:val="auto"/>
              </w:rPr>
              <w:t>(6)</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570,249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0.56%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166,072</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404,177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Nextech Crossover I SCSp (7)</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5,533,980</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5,533,980</w:t>
            </w:r>
          </w:p>
        </w:tc>
        <w:tc>
          <w:tcPr>
            <w:tcW w:w="9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Southpoint Master Fund, LP (8)</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5,276,699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5.19%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776,699</w:t>
            </w:r>
          </w:p>
        </w:tc>
        <w:tc>
          <w:tcPr>
            <w:tcW w:w="960" w:type="dxa"/>
            <w:vAlign w:val="bottom"/>
          </w:tcPr>
          <w:p>
            <w:pPr>
              <w:jc w:val="right"/>
              <w:ind w:right="93"/>
              <w:spacing w:after="0"/>
              <w:rPr>
                <w:sz w:val="20"/>
                <w:szCs w:val="20"/>
                <w:color w:val="auto"/>
              </w:rPr>
            </w:pPr>
            <w:r>
              <w:rPr>
                <w:rFonts w:ascii="Arial" w:cs="Arial" w:eastAsia="Arial" w:hAnsi="Arial"/>
                <w:sz w:val="18"/>
                <w:szCs w:val="18"/>
                <w:color w:val="auto"/>
                <w:w w:val="94"/>
              </w:rPr>
              <w:t>4,500,000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Third Rock Ventures VI, L.P.(9)</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194,174</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194,174</w:t>
            </w:r>
          </w:p>
        </w:tc>
        <w:tc>
          <w:tcPr>
            <w:tcW w:w="9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5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reported under “Number of Shares of Common Stock Beneficially Owned” prior to the Offering, consist of (i) 970,873 Common Stock held by BCLS II Equity Opportunities, LP (“BCLS II Equity”), (ii) 1,713,138 Common Stock held by Bain Capital Life Sciences Fund II, L.P. (“BCLS Fund II”); and (iii) 208,652 Common Stock held by BCIP Life Sciences Associates, LP (“BCIPLS” and, together with BCLS Fund II and BCLS II Equity, the “Bain Capital Life Sciences Entities”).The shares reported under “Number of Shares of Common Stock Being Offered” consist of 970,873 Common Stock held by BCLS II Equity. Bain Capital Life Sciences Investors, LLC, (“BCLSI”) is the manager of Bain Capital Life Sciences Investors II, LLC, which is the general partner of BCLS Fund II, which is the manager of BCLS II Equity Opportunities GP, LLC, which is the general partner of BCLS II Equity. As a result, BCLSI, may be deemed to share voting and dispositive power with respect to the shares held by the Bain Capital Life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8" w:lineRule="auto"/>
        <w:rPr>
          <w:sz w:val="20"/>
          <w:szCs w:val="20"/>
          <w:color w:val="auto"/>
        </w:rPr>
      </w:pPr>
      <w:r>
        <w:rPr>
          <w:rFonts w:ascii="Arial" w:cs="Arial" w:eastAsia="Arial" w:hAnsi="Arial"/>
          <w:sz w:val="18"/>
          <w:szCs w:val="18"/>
          <w:color w:val="auto"/>
        </w:rPr>
        <w:t>Sciences Entities. The address of the Bain Capital Life Sciences Entities is c/o Bain Capital Life Sciences, LP, 200 Clarendon Street, Boston, MA 02116.</w:t>
      </w:r>
    </w:p>
    <w:p>
      <w:pPr>
        <w:spacing w:after="0" w:line="1" w:lineRule="exact"/>
        <w:rPr>
          <w:sz w:val="20"/>
          <w:szCs w:val="20"/>
          <w:color w:val="auto"/>
        </w:rPr>
      </w:pPr>
    </w:p>
    <w:p>
      <w:pPr>
        <w:ind w:left="540" w:right="2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the 2,340,579 shares of common stock underlying certain prefunded warrants purchased by the Boxer Capital , LLC (“Boxer Capital”) (which shares are registered for sale in this Registration Statement), although such shares are presently excluded from the Boxer Capital’s reported beneficial ownership as they may not be acquired by the Boxer Capital within 60 days by operation of a 9.99% conversion cap. Boxer Asset Management Inc. is the managing member of Boxer Capital. Joseph C. Lewis is the sole indirect owner of Boxer Asset Management Inc. Boxer Capital, Boxer Asset Management Inc., and Joseph C. Lewis have shared powers to vote (or direct the vote) and/or to dispose (or direct the disposition) of the common stock. Boxer Asset Management Inc. and Joseph C. Lewis disclaim beneficial ownership over the shares owned by Boxer Capital except to the extent of their pecuniary interest therein. The principal address for Boxer Capital is 12860 El Camino Real, Suite 300, San Diego, CA 92130. The principal address for both Boxer Asset Management Inc. and Joseph C. Lewis is Cay House, EP Taylor Drive N7776, Lyford Cay, New Providence, Bahamas.</w:t>
      </w:r>
    </w:p>
    <w:p>
      <w:pPr>
        <w:spacing w:after="0" w:line="1" w:lineRule="exact"/>
        <w:rPr>
          <w:rFonts w:ascii="Arial" w:cs="Arial" w:eastAsia="Arial" w:hAnsi="Arial"/>
          <w:sz w:val="17"/>
          <w:szCs w:val="17"/>
          <w:color w:val="auto"/>
        </w:rPr>
      </w:pPr>
    </w:p>
    <w:p>
      <w:pPr>
        <w:ind w:left="540" w:right="18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Aaron I. Davis is a member and the Chief Executive Officer of MVA Investors, LLC (“MVA Investors”). MVA Investors and Mr. Davis have shared powers to vote (or direct the vote) and/or to dispose (or direct the disposition of the common stock. Mr. Davis disclaims beneficial ownership over the shares owned by MVA Investors except to the extent of his pecuniary interest therein. The address is 12860 El Camino Real, Suite 300, San Diego, CA 92130.</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The address of each of Casdin Partners Master Fund, L.P., Casdin Capital, LLC, Casdin Partners GP, LLC and Eli Casdin is 1350 Avenue of the Americas, Suite 2600 New York, NY 10019.</w:t>
      </w:r>
    </w:p>
    <w:p>
      <w:pPr>
        <w:ind w:left="540" w:right="240" w:hanging="424"/>
        <w:spacing w:after="0" w:line="250"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Oleg Nodelman directly or indirectly controls EcoR1 Capital Fund, L.P. and EcoR1 Capital Fund Qualified, L.P. (together, the “EcoR1 Funds”) and as a result may be deemed to have voting and dispositive power over the securities held directly by the EcoR1 Funds. The address for the EcoR1 Funds is 357 Tehama Street, Suite 3, San Francisco, CA 94103.</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 The address of these funds and accounts and of FMR LLC is 245 Summer Street, Boston, Massachusetts 02210.</w:t>
      </w:r>
    </w:p>
    <w:p>
      <w:pPr>
        <w:spacing w:after="0" w:line="6" w:lineRule="exact"/>
        <w:rPr>
          <w:rFonts w:ascii="Arial" w:cs="Arial" w:eastAsia="Arial" w:hAnsi="Arial"/>
          <w:sz w:val="16"/>
          <w:szCs w:val="16"/>
          <w:color w:val="auto"/>
        </w:rPr>
      </w:pPr>
    </w:p>
    <w:p>
      <w:pPr>
        <w:ind w:left="540" w:right="180" w:hanging="424"/>
        <w:spacing w:after="0" w:line="281"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general partner of Nextech Crossover I SCSp is Nextech Crossover I GP S.à r.l. Costas Constantinides, Ian Charoub, and Rocco Sgobbo are managers of Nextech Crossover I GP S.à r.l. Each of the entities and individuals above disclaims beneficial ownership of the shares reported herein. The address for Nextech Crossover I SCSp is 8, rue Lou Hemmer, L-1748 Senningerberg, Grand Duchy of Luxembourg.</w:t>
      </w:r>
    </w:p>
    <w:p>
      <w:pPr>
        <w:spacing w:after="0" w:line="1" w:lineRule="exact"/>
        <w:rPr>
          <w:rFonts w:ascii="Arial" w:cs="Arial" w:eastAsia="Arial" w:hAnsi="Arial"/>
          <w:sz w:val="16"/>
          <w:szCs w:val="16"/>
          <w:color w:val="auto"/>
        </w:rPr>
      </w:pPr>
    </w:p>
    <w:p>
      <w:pPr>
        <w:ind w:left="540" w:hanging="424"/>
        <w:spacing w:after="0" w:line="25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320"/>
        <w:spacing w:after="0" w:line="255" w:lineRule="auto"/>
        <w:rPr>
          <w:sz w:val="20"/>
          <w:szCs w:val="20"/>
          <w:color w:val="auto"/>
        </w:rPr>
      </w:pPr>
      <w:r>
        <w:rPr>
          <w:rFonts w:ascii="Arial" w:cs="Arial" w:eastAsia="Arial" w:hAnsi="Arial"/>
          <w:sz w:val="18"/>
          <w:szCs w:val="18"/>
          <w:color w:val="auto"/>
        </w:rPr>
        <w:t>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w:t>
      </w:r>
    </w:p>
    <w:p>
      <w:pPr>
        <w:spacing w:after="0" w:line="3" w:lineRule="exact"/>
        <w:rPr>
          <w:sz w:val="20"/>
          <w:szCs w:val="20"/>
          <w:color w:val="auto"/>
        </w:rPr>
      </w:pPr>
    </w:p>
    <w:p>
      <w:pPr>
        <w:ind w:left="540" w:hanging="424"/>
        <w:spacing w:after="0" w:line="255"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general partner of Third Rock Ventures VI, L.P. is Third Rock Ventures GP VI, L.P. The general partner of Third Rock Ventures GP VI, L.P. is TRV GP VI, LLC. Dr. Reid Huber is a partner at Third Rock Ventures, LLC, and a member of our board of directors. The address of Third Rock Ventures VI, L.P. is 201 Brookline Ave., Suite 1401 Boston MA 02215.</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following is a general discussion of certain material U.S. federal income tax consequences of the acquisition, ownership and disposition of our shares of common stock, which we refer to as our securities. This discussion applies only to securities that are held as capital assets within the meaning of Section 1221 of the Internal Revenue Code of 1986, as amended (the “Code”) for U.S. federal income tax purposes and is applicable only to holders who are receiving our securities in this offering.</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92"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subject to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320" w:top="459" w:right="5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65"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own tax advisor.</w:t>
      </w:r>
    </w:p>
    <w:p>
      <w:pPr>
        <w:spacing w:after="0" w:line="265" w:lineRule="exact"/>
        <w:rPr>
          <w:sz w:val="20"/>
          <w:szCs w:val="20"/>
          <w:color w:val="auto"/>
        </w:rPr>
      </w:pPr>
    </w:p>
    <w:p>
      <w:pPr>
        <w:ind w:left="120" w:right="22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UNITED STATES FEDERAL NON-INCOME, STATE,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59" w:lineRule="auto"/>
        <w:rPr>
          <w:sz w:val="20"/>
          <w:szCs w:val="20"/>
          <w:color w:val="auto"/>
        </w:rPr>
      </w:pPr>
      <w:r>
        <w:rPr>
          <w:rFonts w:ascii="Arial" w:cs="Arial" w:eastAsia="Arial" w:hAnsi="Arial"/>
          <w:sz w:val="18"/>
          <w:szCs w:val="18"/>
          <w:color w:val="auto"/>
        </w:rPr>
        <w:t>“qualified dividend income”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i w:val="1"/>
          <w:iCs w:val="1"/>
          <w:color w:val="auto"/>
        </w:rPr>
        <w:t>Gain or Loss on Sale, Taxable Exchange or Other Taxable Disposition of common stock</w:t>
      </w:r>
      <w:r>
        <w:rPr>
          <w:rFonts w:ascii="Arial" w:cs="Arial" w:eastAsia="Arial" w:hAnsi="Arial"/>
          <w:sz w:val="16"/>
          <w:szCs w:val="16"/>
          <w:color w:val="auto"/>
        </w:rPr>
        <w:t>. Upon a sale or other taxable disposition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distributions paid or deemed paid to a 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 and to the proceeds of the sale or other disposition of our shares of common stock, unless the U.S. holder is an exempt recipient, regardless of whether any tax was actually withheld. Backup withholding (currently at a 24% rate)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8"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generally should be allowed as a refund or a credit against a U.S. holder’s U.S. federal income tax liability provided the required information is timely furnished to the IRS.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i w:val="1"/>
          <w:iCs w:val="1"/>
          <w:color w:val="auto"/>
        </w:rPr>
        <w:t>Taxation of Distributions</w:t>
      </w:r>
      <w:r>
        <w:rPr>
          <w:rFonts w:ascii="Arial" w:cs="Arial" w:eastAsia="Arial" w:hAnsi="Arial"/>
          <w:sz w:val="18"/>
          <w:szCs w:val="18"/>
          <w:color w:val="auto"/>
        </w:rPr>
        <w:t>. In general, any distributions we make to a Non-U.S. holder of shares of our common stock, to the extent paid out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or accumulated earnings and profits (as determined under U.S. federal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income tax principles), will constitute dividends for U.S. federal income tax purposes and, provided such dividends are not effectively connected with the Non-U.S. holder’s conduct of a trade or business within the United States (or, if required by an applicable income tax treaty, attributable to a U.S. permanent establishment or fixed base maintained by such non-U.S. holder in the United States), we (or any applicable withholding agent)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w:t>
      </w:r>
    </w:p>
    <w:p>
      <w:pPr>
        <w:spacing w:after="0" w:line="16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(and, if a tax treaty applies, are attributable to a permanent establishment or fixed base maintained by the non-U.S. holder 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or withholding tax in respect of gain recognized on a sale, taxable exchange or other taxable disposition of our common stock, unless:</w:t>
      </w:r>
    </w:p>
    <w:p>
      <w:pPr>
        <w:spacing w:after="0" w:line="52" w:lineRule="exact"/>
        <w:rPr>
          <w:sz w:val="20"/>
          <w:szCs w:val="20"/>
          <w:color w:val="auto"/>
        </w:rPr>
      </w:pPr>
    </w:p>
    <w:p>
      <w:pPr>
        <w:ind w:left="1080" w:right="20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or</w:t>
      </w:r>
    </w:p>
    <w:p>
      <w:pPr>
        <w:spacing w:after="0" w:line="75" w:lineRule="exact"/>
        <w:rPr>
          <w:rFonts w:ascii="Arial" w:cs="Arial" w:eastAsia="Arial" w:hAnsi="Arial"/>
          <w:sz w:val="18"/>
          <w:szCs w:val="18"/>
          <w:color w:val="auto"/>
        </w:rPr>
      </w:pPr>
    </w:p>
    <w:p>
      <w:pPr>
        <w:ind w:left="1080" w:right="20" w:hanging="424"/>
        <w:spacing w:after="0" w:line="25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60"/>
        <w:spacing w:after="0" w:line="277" w:lineRule="auto"/>
        <w:rPr>
          <w:sz w:val="20"/>
          <w:szCs w:val="20"/>
          <w:color w:val="auto"/>
        </w:rPr>
      </w:pPr>
      <w:r>
        <w:rPr>
          <w:rFonts w:ascii="Arial" w:cs="Arial" w:eastAsia="Arial" w:hAnsi="Arial"/>
          <w:sz w:val="18"/>
          <w:szCs w:val="18"/>
          <w:color w:val="auto"/>
        </w:rPr>
        <w:t>Although there can be no assurance, we do not believe that we are, or have been, a U.S. real property holding corporation for U.S. federal income tax purposes, or that we are likely to become one in the future.</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If the second bullet point applies to a non-U.S. holder, such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provided the Non-U.S. holder has timely filed U.S. federal income tax returns with respect to such losses.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distributions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i w:val="1"/>
          <w:iCs w:val="1"/>
          <w:color w:val="auto"/>
        </w:rPr>
        <w:t>FATCA Withholding Taxes</w:t>
      </w:r>
      <w:r>
        <w:rPr>
          <w:rFonts w:ascii="Arial" w:cs="Arial" w:eastAsia="Arial" w:hAnsi="Arial"/>
          <w:sz w:val="18"/>
          <w:szCs w:val="18"/>
          <w:color w:val="auto"/>
        </w:rPr>
        <w:t>. Provisions in Sections 1471 through 1474 of the Code and the Treasury Regulations and administrative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 under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 or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90" w:lineRule="exact"/>
        <w:rPr>
          <w:sz w:val="20"/>
          <w:szCs w:val="20"/>
          <w:color w:val="auto"/>
        </w:rPr>
      </w:pPr>
    </w:p>
    <w:p>
      <w:pPr>
        <w:ind w:left="120" w:right="20"/>
        <w:spacing w:after="0" w:line="289"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You should consult your own tax advisors regarding the particular U.S. federal, state, local and non-U.S. tax consequences of purchasing, holding and disposing of our common stock, including the consequences of any proposed changes in applicable laws.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Each Selling Stockholder, or the Selling Stockholders,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92"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dealer solicits purchasers;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block trades in which the broker dealer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purchases by a broker dealer as principal and resale by the broker 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settlement of short sales;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transactions through broker dealers that agree with the Selling Stockholder to sell a specified number of such securities at a stipulated price per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Selling Stockholder may also sell securities under Rule 144 or any other exemption from registration under the Securities Act, if available, rather than under this prospectus.</w:t>
      </w:r>
    </w:p>
    <w:p>
      <w:pPr>
        <w:spacing w:after="0" w:line="170"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Broker-dealers engaged by the Selling Stockholder may arrange for other brokers dealers to participate in sales. Broker-dealers may receive commissions or discounts from the Selling Stockholders (or, if any broker 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loan or pledge securities to broker-dealers that in turn may sell such securities, to the extent permitted by applicable law.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prefunded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Stockholders to include the pledgee, transferee or other successors in interest as Selling Stockholders under this prospectus.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57"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We will pay all expenses of the registration of the shares of common stock pursuant to the Purchase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have agreed to indemnify the Selling Stockholders against certain losses, claims, damages and liabilities, including liabilities under the Securities Act, or the Selling Stockholders will be entitled to contribution.</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agreed to keep this prospectus effective continuously effective under the Securities Act until the earliest of (i) the third (3rd) anniversary of the effective date of the registration statement, (ii) such time as all of the Shares have been sold pursuant to the registration statement, or (iii) such time as the Shares become eligible for resale by non-affiliates without any volume limitations or other restrictions pursuant to Rule 144 under the Securities Act.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7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validity of the Shares begin offered by this prospectus has been passed upon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financial statements incorporated in this prospectus by reference to the Annual Report on Form 10-K for the year ended December 31, 2022 have been so incorporated in reliance on the report of PricewaterhouseCoopers LLP, an independent registered public accounting firm, given 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March 27, 2023;</w:t>
      </w:r>
    </w:p>
    <w:p>
      <w:pPr>
        <w:spacing w:after="0" w:line="130"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information specifically incorporated by reference into our Annual Report on </w:t>
      </w:r>
      <w:hyperlink r:id="rId52">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2022 from our definitive proxy statement on </w:t>
      </w:r>
      <w:hyperlink r:id="rId53">
        <w:r>
          <w:rPr>
            <w:rFonts w:ascii="Arial" w:cs="Arial" w:eastAsia="Arial" w:hAnsi="Arial"/>
            <w:sz w:val="16"/>
            <w:szCs w:val="16"/>
            <w:u w:val="single" w:color="auto"/>
            <w:color w:val="0000EE"/>
          </w:rPr>
          <w:t>Schedule 14a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(other than information furnished rather than filed) filed with the SEC on April 24, 2023;</w:t>
      </w:r>
    </w:p>
    <w:p>
      <w:pPr>
        <w:spacing w:after="0" w:line="29"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14"/>
        </w:numPr>
        <w:rPr>
          <w:rFonts w:ascii="Arial" w:cs="Arial" w:eastAsia="Arial" w:hAnsi="Arial"/>
          <w:sz w:val="18"/>
          <w:szCs w:val="18"/>
          <w:color w:val="0000EE"/>
        </w:rPr>
      </w:pPr>
      <w:r>
        <w:rPr>
          <w:rFonts w:ascii="Arial" w:cs="Arial" w:eastAsia="Arial" w:hAnsi="Arial"/>
          <w:sz w:val="18"/>
          <w:szCs w:val="18"/>
          <w:color w:val="auto"/>
        </w:rPr>
        <w:t xml:space="preserve">Quarterly Reports on Form 10-Q for the quarters ended March 31, 2023 and June 30, 2023, filed with the SEC on </w:t>
      </w:r>
      <w:hyperlink r:id="rId54">
        <w:r>
          <w:rPr>
            <w:rFonts w:ascii="Arial" w:cs="Arial" w:eastAsia="Arial" w:hAnsi="Arial"/>
            <w:sz w:val="18"/>
            <w:szCs w:val="18"/>
            <w:u w:val="single" w:color="auto"/>
            <w:color w:val="0000EE"/>
          </w:rPr>
          <w:t>May 9,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55">
        <w:r>
          <w:rPr>
            <w:rFonts w:ascii="Arial" w:cs="Arial" w:eastAsia="Arial" w:hAnsi="Arial"/>
            <w:sz w:val="18"/>
            <w:szCs w:val="18"/>
            <w:u w:val="single" w:color="auto"/>
            <w:color w:val="0000EE"/>
          </w:rPr>
          <w:t>August 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300" w:hanging="424"/>
        <w:spacing w:after="0" w:line="277" w:lineRule="auto"/>
        <w:tabs>
          <w:tab w:leader="none" w:pos="1080" w:val="left"/>
        </w:tabs>
        <w:numPr>
          <w:ilvl w:val="0"/>
          <w:numId w:val="14"/>
        </w:numPr>
        <w:rPr>
          <w:rFonts w:ascii="Arial" w:cs="Arial" w:eastAsia="Arial" w:hAnsi="Arial"/>
          <w:sz w:val="18"/>
          <w:szCs w:val="18"/>
          <w:color w:val="0000EE"/>
        </w:rPr>
      </w:pPr>
      <w:hyperlink r:id="rId56">
        <w:r>
          <w:rPr>
            <w:rFonts w:ascii="Arial" w:cs="Arial" w:eastAsia="Arial" w:hAnsi="Arial"/>
            <w:sz w:val="18"/>
            <w:szCs w:val="18"/>
            <w:color w:val="auto"/>
          </w:rPr>
          <w:t xml:space="preserve">Current Reports on Form 8-K filed with the SEC on </w:t>
        </w:r>
        <w:r>
          <w:rPr>
            <w:rFonts w:ascii="Arial" w:cs="Arial" w:eastAsia="Arial" w:hAnsi="Arial"/>
            <w:sz w:val="18"/>
            <w:szCs w:val="18"/>
            <w:u w:val="single" w:color="auto"/>
            <w:color w:val="0000EE"/>
          </w:rPr>
          <w:t>February 28,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7,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7, 2023</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10, 2023</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August 30,</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2023</w:t>
        </w:r>
        <w:r>
          <w:rPr>
            <w:rFonts w:ascii="Arial" w:cs="Arial" w:eastAsia="Arial" w:hAnsi="Arial"/>
            <w:sz w:val="18"/>
            <w:szCs w:val="18"/>
            <w:color w:val="000000"/>
          </w:rPr>
          <w:t>, but only to the extent that such information is filed, not furnished; and</w:t>
        </w:r>
      </w:hyperlink>
    </w:p>
    <w:p>
      <w:pPr>
        <w:spacing w:after="0" w:line="75" w:lineRule="exact"/>
        <w:rPr>
          <w:rFonts w:ascii="Arial" w:cs="Arial" w:eastAsia="Arial" w:hAnsi="Arial"/>
          <w:sz w:val="18"/>
          <w:szCs w:val="18"/>
          <w:color w:val="0000EE"/>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September 2, 2020, including any amendments or reports filed for the purpose of updating such description.</w:t>
      </w:r>
    </w:p>
    <w:p>
      <w:pPr>
        <w:spacing w:after="0" w:line="170" w:lineRule="exact"/>
        <w:rPr>
          <w:rFonts w:ascii="Arial" w:cs="Arial" w:eastAsia="Arial" w:hAnsi="Arial"/>
          <w:sz w:val="18"/>
          <w:szCs w:val="18"/>
          <w:color w:val="auto"/>
        </w:rPr>
      </w:pPr>
    </w:p>
    <w:p>
      <w:pPr>
        <w:ind w:left="120" w:right="60"/>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auto"/>
        </w:rPr>
      </w:pPr>
    </w:p>
    <w:p>
      <w:pPr>
        <w:ind w:left="120" w:right="500"/>
        <w:spacing w:after="0" w:line="308"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46" w:lineRule="exact"/>
        <w:rPr>
          <w:rFonts w:ascii="Arial" w:cs="Arial" w:eastAsia="Arial" w:hAnsi="Arial"/>
          <w:sz w:val="18"/>
          <w:szCs w:val="18"/>
          <w:color w:val="auto"/>
        </w:rPr>
      </w:pPr>
    </w:p>
    <w:p>
      <w:pPr>
        <w:ind w:left="120"/>
        <w:spacing w:after="0" w:line="263" w:lineRule="auto"/>
        <w:rPr>
          <w:sz w:val="20"/>
          <w:szCs w:val="20"/>
          <w:color w:val="auto"/>
        </w:rPr>
      </w:pPr>
      <w:r>
        <w:rPr>
          <w:rFonts w:ascii="Arial" w:cs="Arial" w:eastAsia="Arial" w:hAnsi="Arial"/>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84"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 or telephone number:</w:t>
      </w:r>
    </w:p>
    <w:p>
      <w:pPr>
        <w:spacing w:after="0" w:line="117"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201 Brookline Avenue, Suite 901</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Boston, MA 02215</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ind w:left="5500" w:hanging="438"/>
        <w:spacing w:after="0"/>
        <w:tabs>
          <w:tab w:leader="none" w:pos="5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320-4900</w:t>
      </w:r>
    </w:p>
    <w:p>
      <w:pPr>
        <w:spacing w:after="0" w:line="1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280035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29"/>
          <w:szCs w:val="29"/>
          <w:b w:val="1"/>
          <w:bCs w:val="1"/>
          <w:color w:val="auto"/>
        </w:rPr>
        <w:t>15,537,250 Shares</w:t>
      </w:r>
    </w:p>
    <w:p>
      <w:pPr>
        <w:spacing w:after="0" w:line="200" w:lineRule="exact"/>
        <w:rPr>
          <w:sz w:val="20"/>
          <w:szCs w:val="20"/>
          <w:color w:val="auto"/>
        </w:rPr>
      </w:pP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9"/>
          <w:szCs w:val="29"/>
          <w:b w:val="1"/>
          <w:bCs w:val="1"/>
          <w:color w:val="auto"/>
        </w:rPr>
        <w:t>Tango Therapeutics, Inc.</w:t>
      </w:r>
    </w:p>
    <w:p>
      <w:pPr>
        <w:spacing w:after="0" w:line="200" w:lineRule="exact"/>
        <w:rPr>
          <w:sz w:val="20"/>
          <w:szCs w:val="20"/>
          <w:color w:val="auto"/>
        </w:rPr>
      </w:pPr>
    </w:p>
    <w:p>
      <w:pPr>
        <w:spacing w:after="0" w:line="389"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492125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874395</wp:posOffset>
            </wp:positionV>
            <wp:extent cx="6995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following table sets forth the various expenses to be incurred in connection with the sale and distribution of the securities being registered. All amounts shown are estimates except the SEC registration fee.</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11,865.58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150,000.00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Accountant’s fees and expenses</w:t>
            </w:r>
          </w:p>
        </w:tc>
        <w:tc>
          <w:tcPr>
            <w:tcW w:w="2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2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161,865.58</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5"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80" w:right="1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80" w:right="36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provide that we will indemnify each of our directors, our executive officers and, at times, their</w:t>
      </w:r>
    </w:p>
    <w:p>
      <w:pPr>
        <w:sectPr>
          <w:pgSz w:w="11900" w:h="16838" w:orient="portrait"/>
          <w:cols w:equalWidth="0" w:num="1">
            <w:col w:w="11060"/>
          </w:cols>
          <w:pgMar w:left="320" w:top="459" w:right="5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00" w:type="dxa"/>
            <w:vAlign w:val="bottom"/>
            <w:gridSpan w:val="8"/>
          </w:tcPr>
          <w:p>
            <w:pPr>
              <w:ind w:left="1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60" w:type="dxa"/>
            <w:vAlign w:val="bottom"/>
          </w:tcPr>
          <w:p>
            <w:pPr>
              <w:jc w:val="right"/>
              <w:ind w:right="555"/>
              <w:spacing w:after="0"/>
              <w:rPr>
                <w:sz w:val="20"/>
                <w:szCs w:val="20"/>
                <w:color w:val="auto"/>
              </w:rPr>
            </w:pPr>
            <w:r>
              <w:rPr>
                <w:rFonts w:ascii="Arial" w:cs="Arial" w:eastAsia="Arial" w:hAnsi="Arial"/>
                <w:sz w:val="14"/>
                <w:szCs w:val="14"/>
                <w:b w:val="1"/>
                <w:bCs w:val="1"/>
                <w:color w:val="auto"/>
              </w:rPr>
              <w:t>EXHIBIT</w:t>
            </w: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48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260" w:type="dxa"/>
            <w:vAlign w:val="bottom"/>
          </w:tcPr>
          <w:p>
            <w:pPr>
              <w:jc w:val="right"/>
              <w:ind w:right="735"/>
              <w:spacing w:after="0"/>
              <w:rPr>
                <w:sz w:val="20"/>
                <w:szCs w:val="20"/>
                <w:color w:val="auto"/>
              </w:rPr>
            </w:pPr>
            <w:r>
              <w:rPr>
                <w:rFonts w:ascii="Arial" w:cs="Arial" w:eastAsia="Arial" w:hAnsi="Arial"/>
                <w:sz w:val="14"/>
                <w:szCs w:val="14"/>
                <w:b w:val="1"/>
                <w:bCs w:val="1"/>
                <w:color w:val="auto"/>
              </w:rPr>
              <w:t>NO.</w:t>
            </w: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4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3.1</w:t>
            </w:r>
          </w:p>
        </w:tc>
        <w:tc>
          <w:tcPr>
            <w:tcW w:w="9720" w:type="dxa"/>
            <w:vAlign w:val="bottom"/>
            <w:tcBorders>
              <w:bottom w:val="single" w:sz="8" w:color="0000EE"/>
            </w:tcBorders>
            <w:gridSpan w:val="10"/>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Second Amended and Restated Certificate of Incorporation of Tango Therapeutics, Inc. (incorporated by reference to Exhibit 3.1 to the</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Registrant’s registration statement on Form S-1 filed with the SEC on September 10, 2021)</w:t>
              </w:r>
            </w:hyperlink>
          </w:p>
        </w:tc>
        <w:tc>
          <w:tcPr>
            <w:tcW w:w="3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3.2</w:t>
            </w:r>
          </w:p>
        </w:tc>
        <w:tc>
          <w:tcPr>
            <w:tcW w:w="9480" w:type="dxa"/>
            <w:vAlign w:val="bottom"/>
            <w:tcBorders>
              <w:bottom w:val="single" w:sz="8" w:color="0000EE"/>
            </w:tcBorders>
            <w:gridSpan w:val="8"/>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Amended and Restated Bylaws of Tango Therapeutics, Inc. (incorporated by reference to Exhibit 4.2 to the Registrant’s registration</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6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statement on Form S-8 filed with the SEC on October 14, 2021)</w:t>
              </w:r>
            </w:hyperlink>
          </w:p>
        </w:tc>
        <w:tc>
          <w:tcPr>
            <w:tcW w:w="5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4.1</w:t>
            </w:r>
          </w:p>
        </w:tc>
        <w:tc>
          <w:tcPr>
            <w:tcW w:w="9720" w:type="dxa"/>
            <w:vAlign w:val="bottom"/>
            <w:gridSpan w:val="10"/>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Amended and Restated Registration and Stockholder Rights Agreement, dated August 10, 2021, by and among Tango Therapeutics,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54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r:id="rId69">
              <w:r>
                <w:rPr>
                  <w:rFonts w:ascii="Arial" w:cs="Arial" w:eastAsia="Arial" w:hAnsi="Arial"/>
                  <w:sz w:val="18"/>
                  <w:szCs w:val="18"/>
                  <w:color w:val="0000EE"/>
                  <w:w w:val="94"/>
                </w:rPr>
                <w:t>Inc. and the stockholders party thereto (incorporated by reference to Exhibit 10.2 to the Current Report on Form 8-K filed by the</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9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Registrant on August 13, 2021)</w:t>
              </w:r>
            </w:hyperlink>
          </w:p>
        </w:tc>
        <w:tc>
          <w:tcPr>
            <w:tcW w:w="4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5.1</w:t>
            </w:r>
          </w:p>
        </w:tc>
        <w:tc>
          <w:tcPr>
            <w:tcW w:w="9720" w:type="dxa"/>
            <w:vAlign w:val="bottom"/>
            <w:gridSpan w:val="10"/>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23.1</w:t>
            </w:r>
          </w:p>
        </w:tc>
        <w:tc>
          <w:tcPr>
            <w:tcW w:w="9720" w:type="dxa"/>
            <w:vAlign w:val="bottom"/>
            <w:gridSpan w:val="10"/>
          </w:tcPr>
          <w:p>
            <w:pPr>
              <w:spacing w:after="0"/>
              <w:rPr>
                <w:sz w:val="20"/>
                <w:szCs w:val="20"/>
                <w:color w:val="auto"/>
              </w:rPr>
            </w:pPr>
            <w:r>
              <w:rPr>
                <w:rFonts w:ascii="Arial" w:cs="Arial" w:eastAsia="Arial" w:hAnsi="Arial"/>
                <w:sz w:val="18"/>
                <w:szCs w:val="18"/>
                <w:color w:val="0000EE"/>
              </w:rPr>
              <w:t>Consent of PricewaterhouseCoopers LLP, independent registered public accounting firm</w:t>
            </w:r>
          </w:p>
        </w:tc>
        <w:tc>
          <w:tcPr>
            <w:tcW w:w="0" w:type="dxa"/>
            <w:vAlign w:val="bottom"/>
          </w:tcPr>
          <w:p>
            <w:pPr>
              <w:spacing w:after="0"/>
              <w:rPr>
                <w:sz w:val="1"/>
                <w:szCs w:val="1"/>
                <w:color w:val="auto"/>
              </w:rPr>
            </w:pPr>
          </w:p>
        </w:tc>
      </w:tr>
      <w:tr>
        <w:trPr>
          <w:trHeight w:val="304"/>
        </w:trPr>
        <w:tc>
          <w:tcPr>
            <w:tcW w:w="1260" w:type="dxa"/>
            <w:vAlign w:val="bottom"/>
          </w:tcPr>
          <w:p>
            <w:pPr>
              <w:jc w:val="right"/>
              <w:ind w:right="775"/>
              <w:spacing w:after="0"/>
              <w:rPr>
                <w:sz w:val="20"/>
                <w:szCs w:val="20"/>
                <w:color w:val="auto"/>
              </w:rPr>
            </w:pPr>
            <w:r>
              <w:rPr>
                <w:rFonts w:ascii="Arial" w:cs="Arial" w:eastAsia="Arial" w:hAnsi="Arial"/>
                <w:sz w:val="18"/>
                <w:szCs w:val="18"/>
                <w:color w:val="auto"/>
              </w:rPr>
              <w:t>23.2</w:t>
            </w:r>
          </w:p>
        </w:tc>
        <w:tc>
          <w:tcPr>
            <w:tcW w:w="42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2"/>
              </w:rPr>
              <w:t>Consent of Goodwin Procter LLP (included in Exhibit 5.1)</w:t>
            </w:r>
          </w:p>
        </w:tc>
        <w:tc>
          <w:tcPr>
            <w:tcW w:w="2120" w:type="dxa"/>
            <w:vAlign w:val="bottom"/>
            <w:tcBorders>
              <w:top w:val="single" w:sz="8" w:color="0000EE"/>
            </w:tcBorders>
            <w:gridSpan w:val="2"/>
          </w:tcPr>
          <w:p>
            <w:pPr>
              <w:spacing w:after="0"/>
              <w:rPr>
                <w:sz w:val="24"/>
                <w:szCs w:val="24"/>
                <w:color w:val="auto"/>
              </w:rPr>
            </w:pPr>
          </w:p>
        </w:tc>
        <w:tc>
          <w:tcPr>
            <w:tcW w:w="33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80" w:hanging="1174"/>
        <w:spacing w:after="0"/>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Power of Attorney (included in the signature pages to the Registration Statement)</w:t>
      </w:r>
    </w:p>
    <w:p>
      <w:pPr>
        <w:spacing w:after="0" w:line="117" w:lineRule="exact"/>
        <w:rPr>
          <w:sz w:val="20"/>
          <w:szCs w:val="20"/>
          <w:color w:val="auto"/>
        </w:rPr>
      </w:pPr>
    </w:p>
    <w:p>
      <w:pPr>
        <w:ind w:left="1380" w:hanging="1264"/>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Filing Fee Table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380" w:hanging="264"/>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 (the “Securities Act”);</w:t>
      </w:r>
    </w:p>
    <w:p>
      <w:pPr>
        <w:spacing w:after="0" w:line="225" w:lineRule="exact"/>
        <w:rPr>
          <w:sz w:val="20"/>
          <w:szCs w:val="20"/>
          <w:color w:val="auto"/>
        </w:rPr>
      </w:pPr>
    </w:p>
    <w:p>
      <w:pPr>
        <w:ind w:left="120" w:right="720" w:hanging="4"/>
        <w:spacing w:after="0" w:line="277" w:lineRule="auto"/>
        <w:tabs>
          <w:tab w:leader="none" w:pos="3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w:t>
      </w:r>
    </w:p>
    <w:p>
      <w:pPr>
        <w:sectPr>
          <w:pgSz w:w="11900" w:h="16838" w:orient="portrait"/>
          <w:cols w:equalWidth="0" w:num="1">
            <w:col w:w="111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sz w:val="20"/>
          <w:szCs w:val="20"/>
          <w:color w:val="auto"/>
        </w:rPr>
      </w:pPr>
    </w:p>
    <w:p>
      <w:pPr>
        <w:ind w:left="120" w:right="360" w:hanging="4"/>
        <w:spacing w:after="0" w:line="277"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87" w:lineRule="exact"/>
        <w:rPr>
          <w:sz w:val="20"/>
          <w:szCs w:val="20"/>
          <w:color w:val="auto"/>
        </w:rPr>
      </w:pPr>
    </w:p>
    <w:p>
      <w:pPr>
        <w:ind w:left="120" w:right="160" w:hanging="4"/>
        <w:spacing w:after="0" w:line="263"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20" w:hanging="4"/>
        <w:spacing w:after="0" w:line="27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80" w:hanging="264"/>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sz w:val="20"/>
          <w:szCs w:val="20"/>
          <w:color w:val="auto"/>
        </w:rPr>
      </w:pPr>
    </w:p>
    <w:p>
      <w:pPr>
        <w:ind w:left="120" w:right="420" w:hanging="4"/>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hanging="4"/>
        <w:spacing w:after="0" w:line="269" w:lineRule="auto"/>
        <w:tabs>
          <w:tab w:leader="none" w:pos="38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ind w:left="120" w:right="160" w:hanging="4"/>
        <w:spacing w:after="0" w:line="25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 any preliminary prospectus or prospectus of such undersigned Registrant relating to the offering required to be filed pursuant to Rule 424;</w:t>
      </w:r>
    </w:p>
    <w:p>
      <w:pPr>
        <w:sectPr>
          <w:pgSz w:w="11900" w:h="16838" w:orient="portrait"/>
          <w:cols w:equalWidth="0" w:num="1">
            <w:col w:w="11140"/>
          </w:cols>
          <w:pgMar w:left="320" w:top="459"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40" w:hanging="4"/>
        <w:spacing w:after="0" w:line="277" w:lineRule="auto"/>
        <w:tabs>
          <w:tab w:leader="none" w:pos="3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such undersigned Registrant or used or referred to by such undersigned Registrant;</w:t>
      </w:r>
    </w:p>
    <w:p>
      <w:pPr>
        <w:spacing w:after="0" w:line="170" w:lineRule="exact"/>
        <w:rPr>
          <w:rFonts w:ascii="Arial" w:cs="Arial" w:eastAsia="Arial" w:hAnsi="Arial"/>
          <w:sz w:val="18"/>
          <w:szCs w:val="18"/>
          <w:color w:val="auto"/>
        </w:rPr>
      </w:pPr>
    </w:p>
    <w:p>
      <w:pPr>
        <w:ind w:left="120" w:right="320" w:hanging="4"/>
        <w:spacing w:after="0" w:line="277" w:lineRule="auto"/>
        <w:tabs>
          <w:tab w:leader="none" w:pos="4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70" w:lineRule="exact"/>
        <w:rPr>
          <w:rFonts w:ascii="Arial" w:cs="Arial" w:eastAsia="Arial" w:hAnsi="Arial"/>
          <w:sz w:val="18"/>
          <w:szCs w:val="18"/>
          <w:color w:val="auto"/>
        </w:rPr>
      </w:pPr>
    </w:p>
    <w:p>
      <w:pPr>
        <w:ind w:left="420" w:hanging="30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such undersigned Registrant to the purchaser.</w:t>
      </w:r>
    </w:p>
    <w:p>
      <w:pPr>
        <w:spacing w:after="0" w:line="225" w:lineRule="exact"/>
        <w:rPr>
          <w:sz w:val="20"/>
          <w:szCs w:val="20"/>
          <w:color w:val="auto"/>
        </w:rPr>
      </w:pPr>
    </w:p>
    <w:p>
      <w:pPr>
        <w:jc w:val="both"/>
        <w:ind w:left="120" w:right="200" w:hanging="4"/>
        <w:spacing w:after="0" w:line="279" w:lineRule="auto"/>
        <w:tabs>
          <w:tab w:leader="none" w:pos="3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71" w:lineRule="exact"/>
        <w:rPr>
          <w:rFonts w:ascii="Arial" w:cs="Arial" w:eastAsia="Arial" w:hAnsi="Arial"/>
          <w:sz w:val="17"/>
          <w:szCs w:val="17"/>
          <w:color w:val="auto"/>
        </w:rPr>
      </w:pPr>
    </w:p>
    <w:p>
      <w:pPr>
        <w:ind w:left="120" w:right="20" w:hanging="4"/>
        <w:spacing w:after="0" w:line="271" w:lineRule="auto"/>
        <w:tabs>
          <w:tab w:leader="none" w:pos="37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78" w:lineRule="exact"/>
        <w:rPr>
          <w:rFonts w:ascii="Arial" w:cs="Arial" w:eastAsia="Arial" w:hAnsi="Arial"/>
          <w:sz w:val="17"/>
          <w:szCs w:val="17"/>
          <w:color w:val="auto"/>
        </w:rPr>
      </w:pPr>
    </w:p>
    <w:p>
      <w:pPr>
        <w:ind w:left="120" w:hanging="4"/>
        <w:spacing w:after="0" w:line="342"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of 1939 in accordance with the rules and regulations prescribed by the SEC under Section 305(b)(2) of the Trust Indenture Act of 1939.</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1st day of September, 2023.</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TANGO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Barbara Weber, MD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KNOW ALL BY THESE PRESENT, that each individual whose signature appears below hereby constitutes and appoints Barbara Weber, Daniella Beckman and Douglas Barry, and each of them, with full power of substitution and resubstitution and full power to act without the other, as such person’s true and lawful attorney-in-fact and agent with full power of substitution and resubstitution, for such person in such person’s name, place and stead, in any and all capacities, to sign any and all amendments (including, without limitation,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rPr>
              <w:t>SIGNATURE NAME</w:t>
            </w: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700" w:type="dxa"/>
            <w:vAlign w:val="bottom"/>
          </w:tcPr>
          <w:p>
            <w:pPr>
              <w:jc w:val="center"/>
              <w:ind w:left="253"/>
              <w:spacing w:after="0"/>
              <w:rPr>
                <w:sz w:val="20"/>
                <w:szCs w:val="20"/>
                <w:color w:val="auto"/>
              </w:rPr>
            </w:pPr>
            <w:r>
              <w:rPr>
                <w:rFonts w:ascii="Arial" w:cs="Arial" w:eastAsia="Arial" w:hAnsi="Arial"/>
                <w:sz w:val="14"/>
                <w:szCs w:val="14"/>
                <w:b w:val="1"/>
                <w:bCs w:val="1"/>
                <w:color w:val="auto"/>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Barbara Weber</w:t>
            </w:r>
          </w:p>
        </w:tc>
        <w:tc>
          <w:tcPr>
            <w:tcW w:w="410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9"/>
              </w:rPr>
              <w:t>Barbara Weber, MD</w:t>
            </w:r>
          </w:p>
        </w:tc>
        <w:tc>
          <w:tcPr>
            <w:tcW w:w="41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7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Daniella Beckman</w:t>
            </w: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Daniella Beckman</w:t>
            </w:r>
          </w:p>
        </w:tc>
        <w:tc>
          <w:tcPr>
            <w:tcW w:w="41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17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Alexis Borisy</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4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Lesley Ann Calhoun</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Lesley Ann Calhoun</w:t>
            </w:r>
          </w:p>
        </w:tc>
        <w:tc>
          <w:tcPr>
            <w:tcW w:w="4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Reid Huber</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Reid Huber, Ph.D.</w:t>
            </w:r>
          </w:p>
        </w:tc>
        <w:tc>
          <w:tcPr>
            <w:tcW w:w="4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John Ketchum</w:t>
            </w:r>
          </w:p>
        </w:tc>
        <w:tc>
          <w:tcPr>
            <w:tcW w:w="4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700" w:type="dxa"/>
            <w:vAlign w:val="bottom"/>
          </w:tcPr>
          <w:p>
            <w:pPr>
              <w:jc w:val="center"/>
              <w:ind w:left="253"/>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John Ketchum</w:t>
            </w:r>
          </w:p>
        </w:tc>
        <w:tc>
          <w:tcPr>
            <w:tcW w:w="4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rPr>
              <w:t>SIGNATURE NAME</w:t>
            </w:r>
          </w:p>
        </w:tc>
        <w:tc>
          <w:tcPr>
            <w:tcW w:w="3400" w:type="dxa"/>
            <w:vAlign w:val="bottom"/>
          </w:tcPr>
          <w:p>
            <w:pPr>
              <w:jc w:val="center"/>
              <w:ind w:left="596"/>
              <w:spacing w:after="0"/>
              <w:rPr>
                <w:sz w:val="20"/>
                <w:szCs w:val="20"/>
                <w:color w:val="auto"/>
              </w:rPr>
            </w:pPr>
            <w:r>
              <w:rPr>
                <w:rFonts w:ascii="Arial" w:cs="Arial" w:eastAsia="Arial" w:hAnsi="Arial"/>
                <w:sz w:val="14"/>
                <w:szCs w:val="14"/>
                <w:b w:val="1"/>
                <w:bCs w:val="1"/>
                <w:color w:val="auto"/>
              </w:rPr>
              <w:t>TITLE</w:t>
            </w:r>
          </w:p>
        </w:tc>
        <w:tc>
          <w:tcPr>
            <w:tcW w:w="2400" w:type="dxa"/>
            <w:vAlign w:val="bottom"/>
          </w:tcPr>
          <w:p>
            <w:pPr>
              <w:jc w:val="center"/>
              <w:ind w:left="956"/>
              <w:spacing w:after="0"/>
              <w:rPr>
                <w:sz w:val="20"/>
                <w:szCs w:val="20"/>
                <w:color w:val="auto"/>
              </w:rPr>
            </w:pPr>
            <w:r>
              <w:rPr>
                <w:rFonts w:ascii="Arial" w:cs="Arial" w:eastAsia="Arial" w:hAnsi="Arial"/>
                <w:sz w:val="14"/>
                <w:szCs w:val="14"/>
                <w:b w:val="1"/>
                <w:bCs w:val="1"/>
                <w:color w:val="auto"/>
              </w:rPr>
              <w:t>DATE</w:t>
            </w:r>
          </w:p>
        </w:tc>
      </w:tr>
      <w:tr>
        <w:trPr>
          <w:trHeight w:val="444"/>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Malte Peters</w:t>
            </w:r>
          </w:p>
        </w:tc>
        <w:tc>
          <w:tcPr>
            <w:tcW w:w="3400" w:type="dxa"/>
            <w:vAlign w:val="bottom"/>
          </w:tcPr>
          <w:p>
            <w:pPr>
              <w:jc w:val="center"/>
              <w:ind w:left="596"/>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956"/>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Malte Peters, MD</w:t>
            </w:r>
          </w:p>
        </w:tc>
        <w:tc>
          <w:tcPr>
            <w:tcW w:w="340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Mace Rothenberg</w:t>
            </w:r>
          </w:p>
        </w:tc>
        <w:tc>
          <w:tcPr>
            <w:tcW w:w="3400" w:type="dxa"/>
            <w:vAlign w:val="bottom"/>
          </w:tcPr>
          <w:p>
            <w:pPr>
              <w:jc w:val="center"/>
              <w:ind w:left="596"/>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ind w:left="956"/>
              <w:spacing w:after="0"/>
              <w:rPr>
                <w:sz w:val="20"/>
                <w:szCs w:val="20"/>
                <w:color w:val="auto"/>
              </w:rPr>
            </w:pPr>
            <w:r>
              <w:rPr>
                <w:rFonts w:ascii="Arial" w:cs="Arial" w:eastAsia="Arial" w:hAnsi="Arial"/>
                <w:sz w:val="18"/>
                <w:szCs w:val="18"/>
                <w:color w:val="auto"/>
                <w:w w:val="88"/>
              </w:rPr>
              <w:t>September 1, 2023</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Mace Rothenberg, MD</w:t>
            </w:r>
          </w:p>
        </w:tc>
        <w:tc>
          <w:tcPr>
            <w:tcW w:w="340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ectPr>
          <w:pgSz w:w="11900" w:h="16838" w:orient="portrait"/>
          <w:cols w:equalWidth="0" w:num="1">
            <w:col w:w="10880"/>
          </w:cols>
          <w:pgMar w:left="320" w:top="459" w:right="6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5.1</w:t>
      </w:r>
    </w:p>
    <w:p>
      <w:pPr>
        <w:spacing w:after="0" w:line="37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14500" cy="377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Boston, MA 02210</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Tango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Brookline Ave., Suite 901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02215</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Registered under Registration Statement on Form S-3</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S-3 (as amended or supplemented, the “Registration Statement”) filed on September 1, 2023, with the Securities and Exchange Commission (the “Commission”) pursuant to the Securities Act of 1933, as amended (the “Securities Act”), relating to the registration of the offering by Tango Therapeutics, Inc., a Delaware corporation (the “Company”), of up to 15,537,250 shares of the Company’s common stock, par value $0.001 per share (the “Common Stock”), to be sold by the selling stockholders listed in the Registration Statement under “Selling Stockholders” (the “Selling Stockholders”), consisting of (a) 13,196,671 issued and outstanding shares of Common Stock (the “Selling Stockholder Shares”) and (b) 2,340,579 shares of Common Stock (the “Warrant Shares”) issuable upon the exercise of pre-funded warrants (the “Warrants”).</w:t>
      </w:r>
    </w:p>
    <w:p>
      <w:pPr>
        <w:spacing w:after="0" w:line="19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For purposes of the opinion set forth below, we have assumed that before the Warrant Shares are issued the Company does not issue shares of Common Stock or reduce the total number of shares of Common Stock the Company is authorized to issue under its certificate of incorporation such that the number of unissued shares of Common Stock authorized under the Company’s certificate of incorporation is less than the number of Warrant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Based on the foregoing, we are of the opinion that (i) the Selling Stockholder Shares have been duly authorized and validly issued and are fully paid and nonassessable and (ii) the Warrant Shares, when delivered and paid for upon exercise of the Warrants in accordance with the terms of the Warrants, will have been duly authorized and validly issued and will be fully paid and nonassessable.</w:t>
      </w:r>
    </w:p>
    <w:p>
      <w:pPr>
        <w:sectPr>
          <w:pgSz w:w="11900" w:h="16838" w:orient="portrait"/>
          <w:cols w:equalWidth="0" w:num="1">
            <w:col w:w="11020"/>
          </w:cols>
          <w:pgMar w:left="440" w:top="121"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Business Lawyer</w:t>
      </w:r>
      <w:r>
        <w:rPr>
          <w:rFonts w:ascii="Arial" w:cs="Arial" w:eastAsia="Arial" w:hAnsi="Arial"/>
          <w:sz w:val="18"/>
          <w:szCs w:val="18"/>
          <w:color w:val="auto"/>
        </w:rPr>
        <w:t xml:space="preserve"> 815 (Summer 2019).</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0980"/>
          </w:cols>
          <w:pgMar w:left="440" w:top="274" w:right="4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We hereby consent to the incorporation by reference in this Registration Statement on Form S-3 of Tango Therapeutics, Inc. of our report dated March 27, 2023 relating to the financial statements, which appears in Tango Therapeutics, Inc.’s Annual Report on Form 10-K for the year ended December 31, 2022. We also consent to the reference to us under the heading “Experts” in such Registration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2023</w:t>
      </w:r>
    </w:p>
    <w:p>
      <w:pPr>
        <w:sectPr>
          <w:pgSz w:w="11900" w:h="16838" w:orient="portrait"/>
          <w:cols w:equalWidth="0" w:num="1">
            <w:col w:w="11020"/>
          </w:cols>
          <w:pgMar w:left="440" w:top="121"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46" w:lineRule="exact"/>
        <w:rPr>
          <w:sz w:val="20"/>
          <w:szCs w:val="20"/>
          <w:color w:val="auto"/>
        </w:rPr>
      </w:pPr>
    </w:p>
    <w:tbl>
      <w:tblPr>
        <w:tblLayout w:type="fixed"/>
        <w:tblInd w:w="894" w:type="dxa"/>
        <w:tblCellMar>
          <w:top w:w="0" w:type="dxa"/>
          <w:left w:w="0" w:type="dxa"/>
          <w:bottom w:w="0" w:type="dxa"/>
          <w:right w:w="0" w:type="dxa"/>
        </w:tblCellMar>
      </w:tblPr>
      <w:tr>
        <w:trPr>
          <w:trHeight w:val="148"/>
        </w:trPr>
        <w:tc>
          <w:tcPr>
            <w:tcW w:w="158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82"/>
              </w:rPr>
              <w:t>Proposed</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color w:val="auto"/>
                <w:w w:val="95"/>
              </w:rPr>
              <w:t>Maximum</w:t>
            </w:r>
          </w:p>
        </w:tc>
        <w:tc>
          <w:tcPr>
            <w:tcW w:w="100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8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3"/>
                <w:szCs w:val="13"/>
                <w:color w:val="auto"/>
                <w:w w:val="92"/>
              </w:rPr>
              <w:t>Maximum</w:t>
            </w:r>
          </w:p>
        </w:tc>
        <w:tc>
          <w:tcPr>
            <w:tcW w:w="144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3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5"/>
              </w:rPr>
              <w:t>Offering</w:t>
            </w: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Aggregate</w:t>
            </w:r>
          </w:p>
        </w:tc>
        <w:tc>
          <w:tcPr>
            <w:tcW w:w="100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1"/>
              </w:rPr>
              <w:t>Amount of</w:t>
            </w:r>
          </w:p>
        </w:tc>
        <w:tc>
          <w:tcPr>
            <w:tcW w:w="0" w:type="dxa"/>
            <w:vAlign w:val="bottom"/>
          </w:tcPr>
          <w:p>
            <w:pPr>
              <w:spacing w:after="0"/>
              <w:rPr>
                <w:sz w:val="1"/>
                <w:szCs w:val="1"/>
                <w:color w:val="auto"/>
              </w:rPr>
            </w:pPr>
          </w:p>
        </w:tc>
      </w:tr>
      <w:tr>
        <w:trPr>
          <w:trHeight w:val="135"/>
        </w:trPr>
        <w:tc>
          <w:tcPr>
            <w:tcW w:w="158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79"/>
              </w:rPr>
              <w:t>Class</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Calculation</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3"/>
              </w:rPr>
              <w:t>Amount</w:t>
            </w:r>
          </w:p>
        </w:tc>
        <w:tc>
          <w:tcPr>
            <w:tcW w:w="7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5"/>
              </w:rPr>
              <w:t>Price Per</w:t>
            </w:r>
          </w:p>
        </w:tc>
        <w:tc>
          <w:tcPr>
            <w:tcW w:w="14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90"/>
              </w:rPr>
              <w:t>Offering</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0"/>
              </w:rPr>
              <w:t>Fee</w:t>
            </w:r>
          </w:p>
        </w:tc>
        <w:tc>
          <w:tcPr>
            <w:tcW w:w="10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Registration</w:t>
            </w:r>
          </w:p>
        </w:tc>
        <w:tc>
          <w:tcPr>
            <w:tcW w:w="0" w:type="dxa"/>
            <w:vAlign w:val="bottom"/>
          </w:tcPr>
          <w:p>
            <w:pPr>
              <w:spacing w:after="0"/>
              <w:rPr>
                <w:sz w:val="1"/>
                <w:szCs w:val="1"/>
                <w:color w:val="auto"/>
              </w:rPr>
            </w:pPr>
          </w:p>
        </w:tc>
      </w:tr>
      <w:tr>
        <w:trPr>
          <w:trHeight w:val="174"/>
        </w:trPr>
        <w:tc>
          <w:tcPr>
            <w:tcW w:w="158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Type</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Title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Rule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Registered (1)</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4"/>
              </w:rPr>
              <w:t>Share (2)</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79"/>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5"/>
              </w:rPr>
              <w:t>Fee (3)</w:t>
            </w:r>
          </w:p>
        </w:tc>
        <w:tc>
          <w:tcPr>
            <w:tcW w:w="0" w:type="dxa"/>
            <w:vAlign w:val="bottom"/>
          </w:tcPr>
          <w:p>
            <w:pPr>
              <w:spacing w:after="0"/>
              <w:rPr>
                <w:sz w:val="1"/>
                <w:szCs w:val="1"/>
                <w:color w:val="auto"/>
              </w:rPr>
            </w:pPr>
          </w:p>
        </w:tc>
      </w:tr>
      <w:tr>
        <w:trPr>
          <w:trHeight w:val="210"/>
        </w:trPr>
        <w:tc>
          <w:tcPr>
            <w:tcW w:w="158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8"/>
                <w:szCs w:val="18"/>
                <w:color w:val="auto"/>
                <w:w w:val="98"/>
              </w:rPr>
              <w:t>Fees to be paid</w:t>
            </w: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w:t>
            </w:r>
          </w:p>
        </w:tc>
        <w:tc>
          <w:tcPr>
            <w:tcW w:w="7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3"/>
              </w:rPr>
              <w:t>Shares,</w:t>
            </w:r>
          </w:p>
        </w:tc>
        <w:tc>
          <w:tcPr>
            <w:tcW w:w="7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par</w:t>
            </w:r>
          </w:p>
        </w:tc>
        <w:tc>
          <w:tcPr>
            <w:tcW w:w="7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7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$0.001</w:t>
            </w:r>
          </w:p>
        </w:tc>
        <w:tc>
          <w:tcPr>
            <w:tcW w:w="72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per share</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457(c)</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15,537,250 shares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$6.93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$107,673,142.50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$0.0001102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$11,865.58</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28"/>
              <w:spacing w:after="0"/>
              <w:rPr>
                <w:sz w:val="20"/>
                <w:szCs w:val="20"/>
                <w:color w:val="auto"/>
              </w:rPr>
            </w:pPr>
            <w:r>
              <w:rPr>
                <w:rFonts w:ascii="Arial" w:cs="Arial" w:eastAsia="Arial" w:hAnsi="Arial"/>
                <w:sz w:val="18"/>
                <w:szCs w:val="18"/>
                <w:color w:val="auto"/>
                <w:w w:val="93"/>
              </w:rPr>
              <w:t>Total Offering Amounts</w:t>
            </w:r>
          </w:p>
        </w:tc>
        <w:tc>
          <w:tcPr>
            <w:tcW w:w="7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$107,673,142.50</w:t>
            </w: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48"/>
              <w:spacing w:after="0"/>
              <w:rPr>
                <w:sz w:val="20"/>
                <w:szCs w:val="20"/>
                <w:color w:val="auto"/>
              </w:rPr>
            </w:pPr>
            <w:r>
              <w:rPr>
                <w:rFonts w:ascii="Arial" w:cs="Arial" w:eastAsia="Arial" w:hAnsi="Arial"/>
                <w:sz w:val="18"/>
                <w:szCs w:val="18"/>
                <w:color w:val="auto"/>
                <w:w w:val="89"/>
              </w:rPr>
              <w:t>Total Fees Previously Paid</w:t>
            </w:r>
          </w:p>
        </w:tc>
        <w:tc>
          <w:tcPr>
            <w:tcW w:w="7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28"/>
              <w:spacing w:after="0"/>
              <w:rPr>
                <w:sz w:val="20"/>
                <w:szCs w:val="20"/>
                <w:color w:val="auto"/>
              </w:rPr>
            </w:pPr>
            <w:r>
              <w:rPr>
                <w:rFonts w:ascii="Arial" w:cs="Arial" w:eastAsia="Arial" w:hAnsi="Arial"/>
                <w:sz w:val="18"/>
                <w:szCs w:val="18"/>
                <w:color w:val="auto"/>
                <w:w w:val="88"/>
              </w:rPr>
              <w:t>Total Fee Offsets</w:t>
            </w:r>
          </w:p>
        </w:tc>
        <w:tc>
          <w:tcPr>
            <w:tcW w:w="7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158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900" w:type="dxa"/>
            <w:vAlign w:val="bottom"/>
            <w:tcBorders>
              <w:bottom w:val="single" w:sz="8" w:color="auto"/>
              <w:right w:val="single" w:sz="8" w:color="auto"/>
            </w:tcBorders>
            <w:gridSpan w:val="3"/>
          </w:tcPr>
          <w:p>
            <w:pPr>
              <w:jc w:val="center"/>
              <w:ind w:right="528"/>
              <w:spacing w:after="0"/>
              <w:rPr>
                <w:sz w:val="20"/>
                <w:szCs w:val="20"/>
                <w:color w:val="auto"/>
              </w:rPr>
            </w:pPr>
            <w:r>
              <w:rPr>
                <w:rFonts w:ascii="Arial" w:cs="Arial" w:eastAsia="Arial" w:hAnsi="Arial"/>
                <w:sz w:val="18"/>
                <w:szCs w:val="18"/>
                <w:color w:val="auto"/>
                <w:w w:val="88"/>
              </w:rPr>
              <w:t>Net Fee Due</w:t>
            </w:r>
          </w:p>
        </w:tc>
        <w:tc>
          <w:tcPr>
            <w:tcW w:w="72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$11,865.58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00" w:hanging="424"/>
        <w:spacing w:after="0" w:line="254"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(i) 13,196,671 shares of the registrant’s common stock and (ii) 2,340,579 shares issuable upon the exercise of pre-funded warrants, by the selling shareholders named in the prospectus contained herein. 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spacing w:after="0" w:line="2"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August 30, 2023, as reported on Nasdaq.</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pursuant to Section 6(b) of the Securities Act.</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2"/>
    </w:lvl>
  </w:abstractNum>
  <w:abstractNum w:abstractNumId="7">
    <w:nsid w:val="431BD7B7"/>
    <w:multiLevelType w:val="hybridMultilevel"/>
    <w:lvl w:ilvl="0">
      <w:lvlJc w:val="left"/>
      <w:lvlText w:val="(%1)"/>
      <w:numFmt w:val="decimal"/>
      <w:start w:val="9"/>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857"/>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24"/>
    </w:lvl>
  </w:abstractNum>
  <w:abstractNum w:abstractNumId="18">
    <w:nsid w:val="6763845E"/>
    <w:multiLevelType w:val="hybridMultilevel"/>
    <w:lvl w:ilvl="0">
      <w:lvlJc w:val="left"/>
      <w:lvlText w:val="%1"/>
      <w:numFmt w:val="decimal"/>
      <w:start w:val="107"/>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lowerRoman"/>
      <w:start w:val="2"/>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1)"/>
      <w:numFmt w:val="decimal"/>
      <w:start w:val="2"/>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Roman"/>
      <w:start w:val="2"/>
    </w:lvl>
  </w:abstractNum>
  <w:abstractNum w:abstractNumId="26">
    <w:nsid w:val="71F32454"/>
    <w:multiLevelType w:val="hybridMultilevel"/>
    <w:lvl w:ilvl="0">
      <w:lvlJc w:val="left"/>
      <w:lvlText w:val="(%1)"/>
      <w:numFmt w:val="decimal"/>
      <w:start w:val="6"/>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jpeg"/><Relationship Id="rId76" Type="http://schemas.openxmlformats.org/officeDocument/2006/relationships/image" Target="media/image60.png"/><Relationship Id="rId52" Type="http://schemas.openxmlformats.org/officeDocument/2006/relationships/hyperlink" Target="http://www.sec.gov/ix?doc=/Archives/edgar/data/1819133/000095017023009854/tngx-20221231.htm" TargetMode="External"/><Relationship Id="rId53" Type="http://schemas.openxmlformats.org/officeDocument/2006/relationships/hyperlink" Target="http://www.sec.gov/Archives/edgar/data/1819133/000095017023014108/def14a_proxy_tngx_april_.htm" TargetMode="External"/><Relationship Id="rId54" Type="http://schemas.openxmlformats.org/officeDocument/2006/relationships/hyperlink" Target="http://www.sec.gov/ix?doc=/Archives/edgar/data/1819133/000095017023019140/tngx-20230331.htm" TargetMode="External"/><Relationship Id="rId55" Type="http://schemas.openxmlformats.org/officeDocument/2006/relationships/hyperlink" Target="http://www.sec.gov/ix?doc=/Archives/edgar/data/1819133/000095017023038750/tngx-20230630.htm" TargetMode="External"/><Relationship Id="rId56" Type="http://schemas.openxmlformats.org/officeDocument/2006/relationships/hyperlink" Target="http://www.sec.gov/Archives/edgar/data/1819133/000119312523224253/d532996d8k.htm" TargetMode="External"/><Relationship Id="rId57" Type="http://schemas.openxmlformats.org/officeDocument/2006/relationships/hyperlink" Target="http://www.sec.gov/Archives/edgar/data/1819133/000121390020024994/ea126358-8a12b_bctgacquis.htm" TargetMode="External"/><Relationship Id="rId67" Type="http://schemas.openxmlformats.org/officeDocument/2006/relationships/hyperlink" Target="http://www.sec.gov/Archives/edgar/data/1819133/000119312521269987/d118907dex31.htm" TargetMode="External"/><Relationship Id="rId68" Type="http://schemas.openxmlformats.org/officeDocument/2006/relationships/hyperlink" Target="http://www.sec.gov/Archives/edgar/data/1819133/000119312521298942/d211731dex42.htm" TargetMode="External"/><Relationship Id="rId69" Type="http://schemas.openxmlformats.org/officeDocument/2006/relationships/hyperlink" Target="http://www.sec.gov/Archives/edgar/data/1819133/000119312521246234/d20334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2023-09-01T06:42:58Z</dcterms:created>
  <dcterms:modified xsi:type="dcterms:W3CDTF">2023-09-01T06:42:58Z</dcterms:modified>
</cp:coreProperties>
</file>