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February 7, 2023</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61"/>
              <w:spacing w:after="0"/>
              <w:rPr>
                <w:sz w:val="20"/>
                <w:szCs w:val="20"/>
                <w:color w:val="auto"/>
              </w:rPr>
            </w:pPr>
            <w:r>
              <w:rPr>
                <w:rFonts w:ascii="Arial" w:cs="Arial" w:eastAsia="Arial" w:hAnsi="Arial"/>
                <w:sz w:val="18"/>
                <w:szCs w:val="18"/>
                <w:b w:val="1"/>
                <w:bCs w:val="1"/>
                <w:color w:val="auto"/>
              </w:rPr>
              <w:t>85-1195036</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89"/>
              </w:rPr>
              <w:t>201 Brookline Ave., Suite 901</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Boston, MA</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02215</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Tango Therapeutics, Inc. 2023 Inducement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Tango Therapeutics, Inc. 2021 Stock Option and Incentive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Tango Therapeutics,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Barbara Weber, M.D.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Tango Therapeutics,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201 Brookline Ave., Suite 901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 MA 02215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(857) 320-4900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86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516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25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Mitchell S. Bloom, Esq.</w:t>
            </w:r>
          </w:p>
        </w:tc>
        <w:tc>
          <w:tcPr>
            <w:tcW w:w="516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Douglas Barry, Esq.</w:t>
            </w:r>
          </w:p>
        </w:tc>
      </w:tr>
      <w:tr>
        <w:trPr>
          <w:trHeight w:val="216"/>
        </w:trPr>
        <w:tc>
          <w:tcPr>
            <w:tcW w:w="25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William D. Collins, Esq.</w:t>
            </w:r>
          </w:p>
        </w:tc>
        <w:tc>
          <w:tcPr>
            <w:tcW w:w="5160" w:type="dxa"/>
            <w:vAlign w:val="bottom"/>
          </w:tcPr>
          <w:p>
            <w:pPr>
              <w:jc w:val="center"/>
              <w:ind w:left="259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25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Goodwin Procter LLP</w:t>
            </w:r>
          </w:p>
        </w:tc>
        <w:tc>
          <w:tcPr>
            <w:tcW w:w="516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Tango Therapeutics, Inc.</w:t>
            </w:r>
          </w:p>
        </w:tc>
      </w:tr>
      <w:tr>
        <w:trPr>
          <w:trHeight w:val="216"/>
        </w:trPr>
        <w:tc>
          <w:tcPr>
            <w:tcW w:w="25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100 Northern Avenue</w:t>
            </w:r>
          </w:p>
        </w:tc>
        <w:tc>
          <w:tcPr>
            <w:tcW w:w="5160" w:type="dxa"/>
            <w:vAlign w:val="bottom"/>
          </w:tcPr>
          <w:p>
            <w:pPr>
              <w:jc w:val="center"/>
              <w:ind w:left="2590"/>
              <w:spacing w:after="0"/>
              <w:rPr>
                <w:sz w:val="20"/>
                <w:szCs w:val="20"/>
                <w:color w:val="auto"/>
              </w:rPr>
            </w:pPr>
            <w:r>
              <w:rPr>
                <w:rFonts w:ascii="Arial" w:cs="Arial" w:eastAsia="Arial" w:hAnsi="Arial"/>
                <w:sz w:val="18"/>
                <w:szCs w:val="18"/>
                <w:b w:val="1"/>
                <w:bCs w:val="1"/>
                <w:color w:val="auto"/>
                <w:w w:val="89"/>
              </w:rPr>
              <w:t>201 Brookline Avenue, Suite 901</w:t>
            </w:r>
          </w:p>
        </w:tc>
      </w:tr>
      <w:tr>
        <w:trPr>
          <w:trHeight w:val="216"/>
        </w:trPr>
        <w:tc>
          <w:tcPr>
            <w:tcW w:w="25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Boston, MA 02210</w:t>
            </w:r>
          </w:p>
        </w:tc>
        <w:tc>
          <w:tcPr>
            <w:tcW w:w="516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Boston, MA 02215</w:t>
            </w:r>
          </w:p>
        </w:tc>
      </w:tr>
      <w:tr>
        <w:trPr>
          <w:trHeight w:val="234"/>
        </w:trPr>
        <w:tc>
          <w:tcPr>
            <w:tcW w:w="25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(617) 570-1000</w:t>
            </w:r>
          </w:p>
        </w:tc>
        <w:tc>
          <w:tcPr>
            <w:tcW w:w="516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63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 AND STATEMENT OF INCORPORATION BY REFERENCE</w:t>
      </w:r>
    </w:p>
    <w:p>
      <w:pPr>
        <w:spacing w:after="0" w:line="229" w:lineRule="exact"/>
        <w:rPr>
          <w:sz w:val="20"/>
          <w:szCs w:val="20"/>
          <w:color w:val="auto"/>
        </w:rPr>
      </w:pPr>
    </w:p>
    <w:p>
      <w:pPr>
        <w:ind w:firstLine="4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This Registration Statement on Form S-8 (the “Registration Statement”) is being filed for the purpose of (i) registering 3,000,000 shares of common stock, par value $0.001 per share (the “Common Stock”), reserved and available for issuance under the Registrant’s 2023 Inducement Plan (the “Inducement Plan”); (ii) registering the offer and sale of an additional 4,408,969 shares of the Registrant’s Common Stock, to be issued under the Registrant’s 2021 Stock Option and Incentive Plan and (iii) registering the offer and sale of an additional 881,793 shares of the Registrant’s Common Stock, to be issued under the Registrant’s 2021 Employee Stock Purchase Plan. This Registration Statement incorporates by reference the contents of the registration statement on </w:t>
      </w:r>
      <w:hyperlink r:id="rId19">
        <w:r>
          <w:rPr>
            <w:rFonts w:ascii="Arial" w:cs="Arial" w:eastAsia="Arial" w:hAnsi="Arial"/>
            <w:sz w:val="17"/>
            <w:szCs w:val="17"/>
            <w:u w:val="single" w:color="auto"/>
            <w:color w:val="0000EE"/>
          </w:rPr>
          <w:t>Form S-8</w:t>
        </w:r>
      </w:hyperlink>
      <w:r>
        <w:rPr>
          <w:rFonts w:ascii="Arial" w:cs="Arial" w:eastAsia="Arial" w:hAnsi="Arial"/>
          <w:sz w:val="17"/>
          <w:szCs w:val="17"/>
          <w:color w:val="auto"/>
        </w:rPr>
        <w:t>, File No. 333-260258, filed by the Registrant on October 14, 2021, relating to the Registrant’s 2021 Stock Option and Incentive Plan and 2021 Employee Stock Purchase Plan pursuant to General Instruction E.</w:t>
      </w:r>
    </w:p>
    <w:p>
      <w:pPr>
        <w:spacing w:after="0" w:line="17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On February 6, 2023, the Registrant’s board of directors adopted the Inducement Plan pursuant to which the Registrant reserved 3,000,000 shares of Common Stock, to be used exclusively for grants of equity based awards to individuals who were not previously employees or directors of the Registrant, as an inducement material to the individual’s entry into employment with the Registrant within the meaning of Rule 5635(c)(4) of the Nasdaq Listing Rules. The Inducement Plan provides for the grant of equity-based awards in the form of nonstatutory stock options, stock appreciation rights, restricted stock awards, restricted stock unit awards, unrestricted stock awards, and dividend equivalent rights. The Inducement Plan was adopted by the board of directors without stockholder approval pursuant to Rule 5635(c)(4) of the Nasdaq Listing Rules.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The documents containing the information specified in this Item 1 will be sent or given to participants as specified by Rule 428(b)(1) under the Securities Act of 1933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Commission:</w:t>
      </w:r>
    </w:p>
    <w:p>
      <w:pPr>
        <w:spacing w:after="0" w:line="117" w:lineRule="exact"/>
        <w:rPr>
          <w:sz w:val="20"/>
          <w:szCs w:val="20"/>
          <w:color w:val="auto"/>
        </w:rPr>
      </w:pPr>
    </w:p>
    <w:p>
      <w:pPr>
        <w:ind w:left="440"/>
        <w:spacing w:after="0"/>
        <w:rPr>
          <w:rFonts w:ascii="Arial" w:cs="Arial" w:eastAsia="Arial" w:hAnsi="Arial"/>
          <w:sz w:val="17"/>
          <w:szCs w:val="17"/>
          <w:color w:val="auto"/>
        </w:rPr>
      </w:pPr>
      <w:r>
        <w:rPr>
          <w:rFonts w:ascii="Arial" w:cs="Arial" w:eastAsia="Arial" w:hAnsi="Arial"/>
          <w:sz w:val="17"/>
          <w:szCs w:val="17"/>
          <w:color w:val="auto"/>
        </w:rPr>
        <w:t xml:space="preserve">(a) The Registrant’s Annual Report on Form 10-K for the year ended December 31, 2021, filed with the Commission on </w:t>
      </w:r>
      <w:hyperlink r:id="rId20">
        <w:r>
          <w:rPr>
            <w:rFonts w:ascii="Arial" w:cs="Arial" w:eastAsia="Arial" w:hAnsi="Arial"/>
            <w:sz w:val="17"/>
            <w:szCs w:val="17"/>
            <w:u w:val="single" w:color="auto"/>
            <w:color w:val="0000EE"/>
          </w:rPr>
          <w:t>March 28, 2022</w:t>
        </w:r>
      </w:hyperlink>
      <w:r>
        <w:rPr>
          <w:rFonts w:ascii="Arial" w:cs="Arial" w:eastAsia="Arial" w:hAnsi="Arial"/>
          <w:sz w:val="17"/>
          <w:szCs w:val="17"/>
          <w:color w:val="auto"/>
        </w:rPr>
        <w:t>;</w:t>
      </w:r>
    </w:p>
    <w:p>
      <w:pPr>
        <w:sectPr>
          <w:pgSz w:w="11900" w:h="16838" w:orient="portrait"/>
          <w:cols w:equalWidth="0" w:num="1">
            <w:col w:w="11000"/>
          </w:cols>
          <w:pgMar w:left="440" w:top="270" w:right="459" w:bottom="1440" w:gutter="0" w:footer="0" w:header="0"/>
        </w:sectPr>
      </w:pPr>
    </w:p>
    <w:bookmarkStart w:id="2" w:name="page3"/>
    <w:bookmarkEnd w:id="2"/>
    <w:p>
      <w:pPr>
        <w:ind w:right="120" w:firstLine="436"/>
        <w:spacing w:after="0" w:line="342" w:lineRule="auto"/>
        <w:tabs>
          <w:tab w:leader="none" w:pos="695" w:val="left"/>
        </w:tabs>
        <w:numPr>
          <w:ilvl w:val="0"/>
          <w:numId w:val="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information specifically incorporated by reference into the Annual Report on Form 10-K for the year ended December 31, 2021 from the definitive proxy statement on Schedule 14a (other than information furnished rather than filed) filed with the Commission on </w:t>
      </w:r>
      <w:hyperlink r:id="rId22">
        <w:r>
          <w:rPr>
            <w:rFonts w:ascii="Arial" w:cs="Arial" w:eastAsia="Arial" w:hAnsi="Arial"/>
            <w:sz w:val="16"/>
            <w:szCs w:val="16"/>
            <w:u w:val="single" w:color="auto"/>
            <w:color w:val="0000EE"/>
          </w:rPr>
          <w:t>April 26, 2022</w:t>
        </w:r>
      </w:hyperlink>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40" w:firstLine="436"/>
        <w:spacing w:after="0" w:line="277" w:lineRule="auto"/>
        <w:tabs>
          <w:tab w:leader="none" w:pos="6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quarters ended March 31, 2022, June 30, 2022 and September 30, 2022, filed with the Commission on </w:t>
      </w:r>
      <w:hyperlink r:id="rId23">
        <w:r>
          <w:rPr>
            <w:rFonts w:ascii="Arial" w:cs="Arial" w:eastAsia="Arial" w:hAnsi="Arial"/>
            <w:sz w:val="18"/>
            <w:szCs w:val="18"/>
            <w:u w:val="single" w:color="auto"/>
            <w:color w:val="0000EE"/>
          </w:rPr>
          <w:t>May 11, 2022</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August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5">
        <w:r>
          <w:rPr>
            <w:rFonts w:ascii="Arial" w:cs="Arial" w:eastAsia="Arial" w:hAnsi="Arial"/>
            <w:sz w:val="18"/>
            <w:szCs w:val="18"/>
            <w:u w:val="single" w:color="auto"/>
            <w:color w:val="0000EE"/>
          </w:rPr>
          <w:t>November 10, 2022</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 on Form 8-K, filed with the Commission on </w:t>
      </w:r>
      <w:hyperlink r:id="rId26">
        <w:r>
          <w:rPr>
            <w:rFonts w:ascii="Arial" w:cs="Arial" w:eastAsia="Arial" w:hAnsi="Arial"/>
            <w:sz w:val="18"/>
            <w:szCs w:val="18"/>
            <w:u w:val="single" w:color="auto"/>
            <w:color w:val="0000EE"/>
          </w:rPr>
          <w:t>June 10, 2022</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firstLine="436"/>
        <w:spacing w:after="0" w:line="308" w:lineRule="auto"/>
        <w:tabs>
          <w:tab w:leader="none" w:pos="68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Form 8-A (File No. 001-39485), filed with the Commission on </w:t>
      </w:r>
      <w:hyperlink r:id="rId27">
        <w:r>
          <w:rPr>
            <w:rFonts w:ascii="Arial" w:cs="Arial" w:eastAsia="Arial" w:hAnsi="Arial"/>
            <w:sz w:val="17"/>
            <w:szCs w:val="17"/>
            <w:u w:val="single" w:color="auto"/>
            <w:color w:val="0000EE"/>
          </w:rPr>
          <w:t>September 2, 2020</w:t>
        </w:r>
      </w:hyperlink>
      <w:r>
        <w:rPr>
          <w:rFonts w:ascii="Arial" w:cs="Arial" w:eastAsia="Arial" w:hAnsi="Arial"/>
          <w:sz w:val="17"/>
          <w:szCs w:val="17"/>
          <w:color w:val="auto"/>
        </w:rPr>
        <w:t>, including all amendments and reports filed for the purpose of updating such description.</w:t>
      </w:r>
    </w:p>
    <w:p>
      <w:pPr>
        <w:spacing w:after="0" w:line="146" w:lineRule="exact"/>
        <w:rPr>
          <w:rFonts w:ascii="Arial" w:cs="Arial" w:eastAsia="Arial" w:hAnsi="Arial"/>
          <w:sz w:val="18"/>
          <w:szCs w:val="18"/>
          <w:color w:val="auto"/>
        </w:rPr>
      </w:pPr>
    </w:p>
    <w:p>
      <w:pPr>
        <w:ind w:right="120" w:firstLine="440"/>
        <w:spacing w:after="0" w:line="257"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Securities Exchange Act of 1934, as amended, or the Exchange Act (other than any such documents or portions thereof that are deemed to have been furnished and not filed in accordance with the rules of the SEC),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8" w:lineRule="exact"/>
        <w:rPr>
          <w:rFonts w:ascii="Arial" w:cs="Arial" w:eastAsia="Arial" w:hAnsi="Arial"/>
          <w:sz w:val="18"/>
          <w:szCs w:val="18"/>
          <w:color w:val="auto"/>
        </w:rPr>
      </w:pPr>
    </w:p>
    <w:p>
      <w:pPr>
        <w:ind w:right="20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6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firstLine="440"/>
        <w:spacing w:after="0" w:line="290" w:lineRule="auto"/>
        <w:rPr>
          <w:sz w:val="20"/>
          <w:szCs w:val="20"/>
          <w:color w:val="auto"/>
        </w:rPr>
      </w:pPr>
      <w:r>
        <w:rPr>
          <w:rFonts w:ascii="Arial" w:cs="Arial" w:eastAsia="Arial" w:hAnsi="Arial"/>
          <w:sz w:val="16"/>
          <w:szCs w:val="16"/>
          <w:color w:val="auto"/>
        </w:rPr>
        <w:t>Section 145(a) of the General Corporation Law of the State of Delaware, or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ectPr>
          <w:pgSz w:w="11900" w:h="16838" w:orient="portrait"/>
          <w:cols w:equalWidth="0" w:num="1">
            <w:col w:w="11000"/>
          </w:cols>
          <w:pgMar w:left="440" w:top="274" w:right="459" w:bottom="1440" w:gutter="0" w:footer="0" w:header="0"/>
        </w:sectPr>
      </w:pPr>
    </w:p>
    <w:bookmarkStart w:id="3" w:name="page4"/>
    <w:bookmarkEnd w:id="3"/>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145(b) of the DGCL provides, in general, that a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adjudicating court shall deem proper.</w:t>
      </w:r>
    </w:p>
    <w:p>
      <w:pPr>
        <w:spacing w:after="0" w:line="18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Section 145(g) of the DGCL provides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the person against such liability under Section 145 of the DGCL. The Registrant currently maintains insurance policies under which, subject to the limitations of the policies, its directors and officers are insured against liability for actions taken in their capacity as directors and officers.</w:t>
      </w:r>
    </w:p>
    <w:p>
      <w:pPr>
        <w:spacing w:after="0" w:line="16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As permitted under Section 102(b)(7) of the DGCL, the Registrant’s certificate of incorporation provides that no director of the Registrant shall be personally liable to the Registrant or the Registrant’s stockholders for monetary damages for any breach of such director’s fiduciary duty as a director, except for liability (i) for any breach of the director’s duty of loyalty to the Registrant or the Registrant’s stockholders, (ii) for acts or omissions not in good faith or which involve intentional misconduct or a knowing violation of law, (iii) in respect of unlawful dividend payments or stock redemptions or repurchases under Section 174 of the DGCL, or (iv) for any transaction from which the director derived an improper personal benefit. In addition, the Registrant’s certificate of incorporation provides that if the DGCL is amended to authorize the further elimination or limitation of the liability of directors, then the liability of a director of the Registrant shall be eliminated or limited to the fullest extent permitted by the DGCL, as so amended.</w:t>
      </w:r>
    </w:p>
    <w:p>
      <w:pPr>
        <w:spacing w:after="0" w:line="166"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Registrant’s certificate of incorporation further provides that any amendment, repeal or modification of the provision in the Registrant’s certificate of incorporation limiting a director’s liability, either by the Registrant’s stockholders or an amendment to the DGCL, will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Registrant’s bylaws provide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such person is or was, or has agreed to become, the Registrant’s director or officer, or is or was serving, or has agreed to serve, at the Registrant’s request, as a director, officer, partner, employee or trustee of, or in a similar capacity with, another corporation, partnership, joint venture or other enterprise,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person acted in good faith and in a manner such person reasonably believed to be in or not opposed to the Registrant’s best interests, and, with respect to any criminal action or proceeding, such person had no reasonable cause to believe his or her conduct was unlawful. The Registrant’s bylaws also provide that the Registrant will advance expenses to such person in connection with a legal proceeding, subject to limited exceptions.</w:t>
      </w:r>
    </w:p>
    <w:p>
      <w:pPr>
        <w:spacing w:after="0" w:line="18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indemnification agreements provide that the Registrant will indemnify each of such directors and executive officers to the fullest extent permitted by law and the Registrant’s certificate of incorporation and bylaws.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the Exhibit Index for a list of exhibits filed as part of this Registration Statement, which Exhibit Index is incorporated herein by reference.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2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1022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00" w:type="dxa"/>
            <w:vAlign w:val="bottom"/>
          </w:tcPr>
          <w:p>
            <w:pPr>
              <w:spacing w:after="0"/>
              <w:rPr>
                <w:sz w:val="14"/>
                <w:szCs w:val="14"/>
                <w:color w:val="auto"/>
              </w:rPr>
            </w:pPr>
          </w:p>
        </w:tc>
        <w:tc>
          <w:tcPr>
            <w:tcW w:w="10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00" w:right="360" w:hanging="62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30">
        <w:r>
          <w:rPr>
            <w:rFonts w:ascii="Arial" w:cs="Arial" w:eastAsia="Arial" w:hAnsi="Arial"/>
            <w:sz w:val="18"/>
            <w:szCs w:val="18"/>
            <w:u w:val="single" w:color="auto"/>
            <w:color w:val="0000EE"/>
          </w:rPr>
          <w:t>Second Amended and Restated Certificate of Incorporation of the Registrant (incorporated by reference to Exhibit 3.1 to the Registrant’s</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registration statement on Form S-1 filed with the Commission on September 10, 2021).</w:t>
        </w:r>
      </w:hyperlink>
    </w:p>
    <w:p>
      <w:pPr>
        <w:spacing w:after="0" w:line="62" w:lineRule="exact"/>
        <w:rPr>
          <w:sz w:val="20"/>
          <w:szCs w:val="20"/>
          <w:color w:val="auto"/>
        </w:rPr>
      </w:pPr>
    </w:p>
    <w:p>
      <w:pPr>
        <w:ind w:left="800" w:right="120" w:hanging="62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1">
        <w:r>
          <w:rPr>
            <w:rFonts w:ascii="Arial" w:cs="Arial" w:eastAsia="Arial" w:hAnsi="Arial"/>
            <w:sz w:val="18"/>
            <w:szCs w:val="18"/>
            <w:u w:val="single" w:color="auto"/>
            <w:color w:val="0000EE"/>
          </w:rPr>
          <w:t>Amended and Restated Bylaws of the Registrant (incorporated by reference to Exhibit 4.2 to the Registrant’s registration statement on Form</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S-8 filed with the Commission on October 14, 2021).</w:t>
        </w:r>
      </w:hyperlink>
    </w:p>
    <w:p>
      <w:pPr>
        <w:spacing w:after="0" w:line="62" w:lineRule="exact"/>
        <w:rPr>
          <w:sz w:val="20"/>
          <w:szCs w:val="20"/>
          <w:color w:val="auto"/>
        </w:rPr>
      </w:pPr>
    </w:p>
    <w:p>
      <w:pPr>
        <w:ind w:left="800" w:right="160" w:hanging="62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32">
        <w:r>
          <w:rPr>
            <w:rFonts w:ascii="Arial" w:cs="Arial" w:eastAsia="Arial" w:hAnsi="Arial"/>
            <w:sz w:val="18"/>
            <w:szCs w:val="18"/>
            <w:u w:val="single" w:color="auto"/>
            <w:color w:val="0000EE"/>
          </w:rPr>
          <w:t>Specimen common stock certificate (incorporated by reference to Exhibit 4.5 to the Registrant’s registration statement on Form S-4/A, filed</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with the Commission on July 16, 2021).</w:t>
        </w:r>
      </w:hyperlink>
    </w:p>
    <w:p>
      <w:pPr>
        <w:spacing w:after="0" w:line="62" w:lineRule="exact"/>
        <w:rPr>
          <w:sz w:val="20"/>
          <w:szCs w:val="20"/>
          <w:color w:val="auto"/>
        </w:rPr>
      </w:pPr>
    </w:p>
    <w:p>
      <w:pPr>
        <w:ind w:left="800" w:right="560" w:hanging="62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33">
        <w:r>
          <w:rPr>
            <w:rFonts w:ascii="Arial" w:cs="Arial" w:eastAsia="Arial" w:hAnsi="Arial"/>
            <w:sz w:val="18"/>
            <w:szCs w:val="18"/>
            <w:u w:val="single" w:color="auto"/>
            <w:color w:val="0000EE"/>
          </w:rPr>
          <w:t>Description of Securities (incorporated by reference to Exhibit 4.2 to the Registrant’s Annual Report on Form 10-K for the year ended</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December 31, 2021, filed with the Commission on March 28, 2022).</w:t>
        </w:r>
      </w:hyperlink>
    </w:p>
    <w:p>
      <w:pPr>
        <w:spacing w:after="0" w:line="62"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Goodwin Procter LLP.</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Goodwin Procter LLP (included in Exhibit 5.1).</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PricewaterhouseCoopers LLP.</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signature page).</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Tango Therapeutics, Inc. 2023 Inducement Plan and forms of award agreements thereunder</w:t>
      </w:r>
    </w:p>
    <w:p>
      <w:pPr>
        <w:spacing w:after="0" w:line="117" w:lineRule="exact"/>
        <w:rPr>
          <w:sz w:val="20"/>
          <w:szCs w:val="20"/>
          <w:color w:val="auto"/>
        </w:rPr>
      </w:pPr>
    </w:p>
    <w:p>
      <w:pPr>
        <w:ind w:left="800" w:right="80" w:hanging="71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34">
        <w:r>
          <w:rPr>
            <w:rFonts w:ascii="Arial" w:cs="Arial" w:eastAsia="Arial" w:hAnsi="Arial"/>
            <w:sz w:val="18"/>
            <w:szCs w:val="18"/>
            <w:u w:val="single" w:color="auto"/>
            <w:color w:val="0000EE"/>
          </w:rPr>
          <w:t>Tango Therapeutics, Inc. 2021 Stock Option and Incentive Plan (incorporated by reference to Exhibit 10.4 to the Registrant’s Current Report</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on Form 8-K filed with the SEC on August 13, 2021).</w:t>
        </w:r>
      </w:hyperlink>
    </w:p>
    <w:p>
      <w:pPr>
        <w:spacing w:after="0" w:line="62" w:lineRule="exact"/>
        <w:rPr>
          <w:sz w:val="20"/>
          <w:szCs w:val="20"/>
          <w:color w:val="auto"/>
        </w:rPr>
      </w:pPr>
    </w:p>
    <w:p>
      <w:pPr>
        <w:ind w:left="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r:id="rId35">
        <w:r>
          <w:rPr>
            <w:rFonts w:ascii="Arial" w:cs="Arial" w:eastAsia="Arial" w:hAnsi="Arial"/>
            <w:sz w:val="16"/>
            <w:szCs w:val="16"/>
            <w:u w:val="single" w:color="auto"/>
            <w:color w:val="0000EE"/>
          </w:rPr>
          <w:t>Forms of Award Agreements under the Tango Therapeutics, Inc. 2021 Stock Option and Incentive Plan (incorporated by reference to Exhibit</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10.5 to the Registrant’s Current Report on Form 8-K filed with the SEC on August 13, 2021).</w:t>
        </w:r>
      </w:hyperlink>
    </w:p>
    <w:p>
      <w:pPr>
        <w:spacing w:after="0" w:line="103" w:lineRule="exact"/>
        <w:rPr>
          <w:sz w:val="20"/>
          <w:szCs w:val="20"/>
          <w:color w:val="auto"/>
        </w:rPr>
      </w:pPr>
    </w:p>
    <w:p>
      <w:pPr>
        <w:ind w:left="800" w:right="180" w:hanging="71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99.4</w:t>
      </w:r>
      <w:r>
        <w:rPr>
          <w:sz w:val="20"/>
          <w:szCs w:val="20"/>
          <w:color w:val="auto"/>
        </w:rPr>
        <w:tab/>
      </w:r>
      <w:hyperlink r:id="rId36">
        <w:r>
          <w:rPr>
            <w:rFonts w:ascii="Arial" w:cs="Arial" w:eastAsia="Arial" w:hAnsi="Arial"/>
            <w:sz w:val="18"/>
            <w:szCs w:val="18"/>
            <w:u w:val="single" w:color="auto"/>
            <w:color w:val="0000EE"/>
          </w:rPr>
          <w:t>Tango Therapeutics, Inc. 2021 Employee Stock Purchase Plan (incorporated by reference to Exhibit 10.6 to the Registrant’s Current Report</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on Form 8-K filed with the SEC on August 13, 2021).</w:t>
        </w:r>
      </w:hyperlink>
    </w:p>
    <w:p>
      <w:pPr>
        <w:spacing w:after="0" w:line="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700" w:hanging="26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right="160" w:firstLine="436"/>
        <w:spacing w:after="0" w:line="293"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420" w:firstLine="436"/>
        <w:spacing w:after="0" w:line="277" w:lineRule="auto"/>
        <w:tabs>
          <w:tab w:leader="none" w:pos="7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provided, however, that paragraphs (a)(1)(i) and (a)(1)(ii) above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49" w:lineRule="exact"/>
        <w:rPr>
          <w:sz w:val="20"/>
          <w:szCs w:val="20"/>
          <w:color w:val="auto"/>
        </w:rPr>
      </w:pPr>
    </w:p>
    <w:p>
      <w:pPr>
        <w:ind w:firstLine="436"/>
        <w:spacing w:after="0" w:line="263"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640" w:firstLine="436"/>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firstLine="436"/>
        <w:spacing w:after="0" w:line="25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20" w:firstLine="436"/>
        <w:spacing w:after="0" w:line="271"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000"/>
          </w:cols>
          <w:pgMar w:left="440" w:top="270"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February, 2023.</w:t>
      </w:r>
    </w:p>
    <w:p>
      <w:pPr>
        <w:spacing w:after="0" w:line="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Weber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Barbara Weber, M.D.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Weber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Barbara Weber, M.D.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Daniella Beckman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Daniella Beckman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Alexis Borisy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Lesley Calhoun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Lesley Calhoun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Davis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Aaron Davis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Reid Huber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Reid Huber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Malte Peters</w:t>
            </w:r>
          </w:p>
        </w:tc>
        <w:tc>
          <w:tcPr>
            <w:tcW w:w="2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180"/>
              <w:spacing w:after="0"/>
              <w:rPr>
                <w:sz w:val="20"/>
                <w:szCs w:val="20"/>
                <w:color w:val="auto"/>
              </w:rPr>
            </w:pPr>
            <w:r>
              <w:rPr>
                <w:rFonts w:ascii="Arial" w:cs="Arial" w:eastAsia="Arial" w:hAnsi="Arial"/>
                <w:sz w:val="18"/>
                <w:szCs w:val="18"/>
                <w:color w:val="auto"/>
                <w:w w:val="88"/>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Malte Peters, M.D.</w:t>
            </w:r>
          </w:p>
        </w:tc>
        <w:tc>
          <w:tcPr>
            <w:tcW w:w="29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Mace Rothenberg</w:t>
            </w:r>
          </w:p>
        </w:tc>
        <w:tc>
          <w:tcPr>
            <w:tcW w:w="2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2180"/>
              <w:spacing w:after="0"/>
              <w:rPr>
                <w:sz w:val="20"/>
                <w:szCs w:val="20"/>
                <w:color w:val="auto"/>
              </w:rPr>
            </w:pPr>
            <w:r>
              <w:rPr>
                <w:rFonts w:ascii="Arial" w:cs="Arial" w:eastAsia="Arial" w:hAnsi="Arial"/>
                <w:sz w:val="18"/>
                <w:szCs w:val="18"/>
                <w:color w:val="auto"/>
                <w:w w:val="88"/>
              </w:rPr>
              <w:t>February 7, 2023</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Mace Rothenberg, M.D.</w:t>
            </w:r>
          </w:p>
        </w:tc>
        <w:tc>
          <w:tcPr>
            <w:tcW w:w="29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0500"/>
          </w:cols>
          <w:pgMar w:left="440" w:top="274" w:right="9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145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714500" cy="41148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Boston, MA 02210</w:t>
      </w:r>
    </w:p>
    <w:p>
      <w:pPr>
        <w:spacing w:after="0" w:line="1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Brookline Ave., Suite 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02215</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8,290,762 shares (the “Shares”) of Common Stock, $0.001 par value per share (“Common Stock”), of Tango Therapeutics, Inc., a Delaware corporation (the “Company”), that may be issued pursuant to the Company’s 2023 Inducement Plan, 2021 Stock Option and Incentive Plan, and 2021 Employee Stock Purchase Plan (collectively, the “Plans”).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Tango Therapeutics, Inc. of our report dated March 28, 2022 relating to the financial statements, which appears in Tango Therapeutics, Inc.’s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INDUCEMENT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name of the plan is the Tango Therapeutics, Inc. 2023 Inducement Plan (as amended from time to time, the “Plan”). The purpose of the Plan is to enable Tango Therapeutics, Inc. (the “Company”) to grant equity awards to induce highly-qualified prospective officers and employees who are not currently employed by the Company and its Subsidiaries to accept employment and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5635(c)(4) of the Marketplace Rules of the NASDAQ Stock Market, Inc.</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i w:val="1"/>
          <w:iCs w:val="1"/>
          <w:color w:val="auto"/>
        </w:rPr>
        <w:t xml:space="preserve">“Administrator” </w:t>
      </w:r>
      <w:r>
        <w:rPr>
          <w:rFonts w:ascii="Arial" w:cs="Arial" w:eastAsia="Arial" w:hAnsi="Arial"/>
          <w:sz w:val="17"/>
          <w:szCs w:val="17"/>
          <w:color w:val="auto"/>
        </w:rPr>
        <w:t>means either the Board or the compensation committee of the Board or a similar committee performing the functions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and which is comprised of not less than two Non-Employee Directors who are independent.</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24"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or</w:t>
      </w:r>
      <w:r>
        <w:rPr>
          <w:rFonts w:ascii="Arial" w:cs="Arial" w:eastAsia="Arial" w:hAnsi="Arial"/>
          <w:sz w:val="17"/>
          <w:szCs w:val="17"/>
          <w:i w:val="1"/>
          <w:iCs w:val="1"/>
          <w:color w:val="auto"/>
        </w:rPr>
        <w:t xml:space="preserve"> “Awards,” </w:t>
      </w:r>
      <w:r>
        <w:rPr>
          <w:rFonts w:ascii="Arial" w:cs="Arial" w:eastAsia="Arial" w:hAnsi="Arial"/>
          <w:sz w:val="17"/>
          <w:szCs w:val="17"/>
          <w:color w:val="auto"/>
        </w:rPr>
        <w:t>except where referring to a particular category of grant under the Plan, shall include Non-Qualified Stock Options,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Restricted Stock Awards, Restricted Stock Units, Unrestricted Stock Awards and Dividend Equivalent Rights.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Award Certificate is subject to the terms and conditions of the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 consultant or adviser who provides</w:t>
      </w:r>
      <w:r>
        <w:rPr>
          <w:rFonts w:ascii="Arial" w:cs="Arial" w:eastAsia="Arial" w:hAnsi="Arial"/>
          <w:sz w:val="18"/>
          <w:szCs w:val="18"/>
          <w:i w:val="1"/>
          <w:iCs w:val="1"/>
          <w:color w:val="auto"/>
        </w:rPr>
        <w:t xml:space="preserve"> bona fide </w:t>
      </w:r>
      <w:r>
        <w:rPr>
          <w:rFonts w:ascii="Arial" w:cs="Arial" w:eastAsia="Arial" w:hAnsi="Arial"/>
          <w:sz w:val="18"/>
          <w:szCs w:val="18"/>
          <w:color w:val="auto"/>
        </w:rPr>
        <w:t>services to the Company or an Affiliate as an independent contractor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as a consultant or advisor under Instruction A.1.(a)(1) of Form S-8 under the Act.</w:t>
      </w:r>
    </w:p>
    <w:p>
      <w:pPr>
        <w:sectPr>
          <w:pgSz w:w="11900" w:h="16838" w:orient="portrait"/>
          <w:cols w:equalWidth="0" w:num="1">
            <w:col w:w="11020"/>
          </w:cols>
          <w:pgMar w:left="440" w:top="121" w:right="439" w:bottom="1440" w:gutter="0" w:footer="0" w:header="0"/>
        </w:sectPr>
      </w:pPr>
    </w:p>
    <w:bookmarkStart w:id="11" w:name="page12"/>
    <w:bookmarkEnd w:id="11"/>
    <w:p>
      <w:pPr>
        <w:ind w:left="4" w:right="80" w:firstLine="440"/>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“Dividend Equivalent Right” </w:t>
      </w:r>
      <w:r>
        <w:rPr>
          <w:rFonts w:ascii="Arial" w:cs="Arial" w:eastAsia="Arial" w:hAnsi="Arial"/>
          <w:sz w:val="16"/>
          <w:szCs w:val="16"/>
          <w:color w:val="auto"/>
        </w:rPr>
        <w:t>means an Award entitling the grantee to receive credits based on cash dividends that would have been paid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specified in the Dividend Equivalent Right (or other award to which it relates) if such shares had been issued to and held by the grantee.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is approved by the Board as set forth in Section 19.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 under Section 422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repurchase.</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stock units subject to such restrictions and conditions as the Administrator may determine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 xml:space="preserve">“Sale Event” </w:t>
      </w:r>
      <w:r>
        <w:rPr>
          <w:rFonts w:ascii="Arial" w:cs="Arial" w:eastAsia="Arial" w:hAnsi="Arial"/>
          <w:sz w:val="16"/>
          <w:szCs w:val="16"/>
          <w:color w:val="auto"/>
        </w:rPr>
        <w:t>means (i) the sale of all or substantially all of the assets of the Company on a consolidated basis to an unrelated person or entity,</w:t>
      </w:r>
    </w:p>
    <w:p>
      <w:pPr>
        <w:spacing w:after="0" w:line="46"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merger, reorganization or consolidation pursuant to which the holders of the Company’s outstanding voting power and outstanding stock</w:t>
      </w:r>
    </w:p>
    <w:p>
      <w:pPr>
        <w:spacing w:after="0" w:line="20" w:lineRule="exact"/>
        <w:rPr>
          <w:rFonts w:ascii="Arial" w:cs="Arial" w:eastAsia="Arial" w:hAnsi="Arial"/>
          <w:sz w:val="17"/>
          <w:szCs w:val="17"/>
          <w:color w:val="auto"/>
        </w:rPr>
      </w:pPr>
    </w:p>
    <w:p>
      <w:pPr>
        <w:ind w:left="4"/>
        <w:spacing w:after="0" w:line="292" w:lineRule="auto"/>
        <w:rPr>
          <w:rFonts w:ascii="Arial" w:cs="Arial" w:eastAsia="Arial" w:hAnsi="Arial"/>
          <w:sz w:val="17"/>
          <w:szCs w:val="17"/>
          <w:color w:val="auto"/>
        </w:rPr>
      </w:pPr>
      <w:r>
        <w:rPr>
          <w:rFonts w:ascii="Arial" w:cs="Arial" w:eastAsia="Arial" w:hAnsi="Arial"/>
          <w:sz w:val="16"/>
          <w:szCs w:val="16"/>
          <w:color w:val="auto"/>
        </w:rPr>
        <w:t>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2" w:name="page13"/>
    <w:bookmarkEnd w:id="12"/>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an employee, director or Consultant of the Company or any Affiliate (e.g.,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shall be deemed to continue without interruption in the event an individual’s status changes from full-time employee to part-time employee or Consultant).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$0.001 per share, of the Company, subject to adjustments pursuant to Section 3.</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680" w:hanging="24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225" w:lineRule="exact"/>
        <w:rPr>
          <w:rFonts w:ascii="Arial" w:cs="Arial" w:eastAsia="Arial" w:hAnsi="Arial"/>
          <w:sz w:val="18"/>
          <w:szCs w:val="18"/>
          <w:color w:val="auto"/>
        </w:rPr>
      </w:pPr>
    </w:p>
    <w:p>
      <w:pPr>
        <w:ind w:right="640" w:firstLine="436"/>
        <w:spacing w:after="0" w:line="27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225" w:lineRule="exact"/>
        <w:rPr>
          <w:rFonts w:ascii="Arial" w:cs="Arial" w:eastAsia="Arial" w:hAnsi="Arial"/>
          <w:sz w:val="18"/>
          <w:szCs w:val="18"/>
          <w:color w:val="auto"/>
        </w:rPr>
      </w:pPr>
    </w:p>
    <w:p>
      <w:pPr>
        <w:jc w:val="both"/>
        <w:ind w:right="60" w:firstLine="987"/>
        <w:spacing w:after="0" w:line="263" w:lineRule="auto"/>
        <w:tabs>
          <w:tab w:leader="none" w:pos="1256"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Non-Qualified Stock Options, Stock Appreciation Rights, Restricted Stock Awards, Restricted Stock Units, Unrestricted Stock Awards and Dividend Equivalent Rights, or any combination of the foregoing, granted to any one or more grantees;</w:t>
      </w:r>
    </w:p>
    <w:p>
      <w:pPr>
        <w:spacing w:after="0" w:line="183" w:lineRule="exact"/>
        <w:rPr>
          <w:rFonts w:ascii="Arial" w:cs="Arial" w:eastAsia="Arial" w:hAnsi="Arial"/>
          <w:sz w:val="18"/>
          <w:szCs w:val="18"/>
          <w:color w:val="auto"/>
        </w:rPr>
      </w:pPr>
    </w:p>
    <w:p>
      <w:pPr>
        <w:ind w:left="1300" w:hanging="313"/>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225" w:lineRule="exact"/>
        <w:rPr>
          <w:rFonts w:ascii="Arial" w:cs="Arial" w:eastAsia="Arial" w:hAnsi="Arial"/>
          <w:sz w:val="18"/>
          <w:szCs w:val="18"/>
          <w:color w:val="auto"/>
        </w:rPr>
      </w:pPr>
    </w:p>
    <w:p>
      <w:pPr>
        <w:ind w:firstLine="987"/>
        <w:spacing w:after="0" w:line="342" w:lineRule="auto"/>
        <w:tabs>
          <w:tab w:leader="none" w:pos="1296"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3" w:name="page14"/>
    <w:bookmarkEnd w:id="13"/>
    <w:p>
      <w:pPr>
        <w:ind w:left="1244" w:hanging="253"/>
        <w:spacing w:after="0"/>
        <w:tabs>
          <w:tab w:leader="none" w:pos="124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accelerate at any time the exercisability or vesting of all or any portion of any Award;</w:t>
      </w:r>
    </w:p>
    <w:p>
      <w:pPr>
        <w:spacing w:after="0" w:line="225" w:lineRule="exact"/>
        <w:rPr>
          <w:rFonts w:ascii="Arial" w:cs="Arial" w:eastAsia="Arial" w:hAnsi="Arial"/>
          <w:sz w:val="18"/>
          <w:szCs w:val="18"/>
          <w:color w:val="auto"/>
        </w:rPr>
      </w:pPr>
    </w:p>
    <w:p>
      <w:pPr>
        <w:ind w:left="4" w:right="220" w:firstLine="987"/>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the provisions of Section 5(c) or Section 6(d), as applicable, to extend at any time the period in which Stock Options and Stock Appreciation Rights may be exercised; and</w:t>
      </w:r>
    </w:p>
    <w:p>
      <w:pPr>
        <w:spacing w:after="0" w:line="170" w:lineRule="exact"/>
        <w:rPr>
          <w:rFonts w:ascii="Arial" w:cs="Arial" w:eastAsia="Arial" w:hAnsi="Arial"/>
          <w:sz w:val="18"/>
          <w:szCs w:val="18"/>
          <w:color w:val="auto"/>
        </w:rPr>
      </w:pPr>
    </w:p>
    <w:p>
      <w:pPr>
        <w:ind w:left="4" w:right="60" w:firstLine="987"/>
        <w:spacing w:after="0" w:line="259" w:lineRule="auto"/>
        <w:tabs>
          <w:tab w:leader="none" w:pos="1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225" w:lineRule="exact"/>
        <w:rPr>
          <w:sz w:val="20"/>
          <w:szCs w:val="20"/>
          <w:color w:val="auto"/>
        </w:rPr>
      </w:pPr>
    </w:p>
    <w:p>
      <w:pPr>
        <w:ind w:left="684" w:hanging="244"/>
        <w:spacing w:after="0"/>
        <w:tabs>
          <w:tab w:leader="none" w:pos="684"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342" w:lineRule="auto"/>
        <w:tabs>
          <w:tab w:leader="none" w:pos="69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23" w:lineRule="exact"/>
        <w:rPr>
          <w:rFonts w:ascii="Arial" w:cs="Arial" w:eastAsia="Arial" w:hAnsi="Arial"/>
          <w:sz w:val="16"/>
          <w:szCs w:val="16"/>
          <w:color w:val="auto"/>
        </w:rPr>
      </w:pPr>
    </w:p>
    <w:p>
      <w:pPr>
        <w:ind w:left="4" w:right="160" w:firstLine="436"/>
        <w:spacing w:after="0" w:line="273" w:lineRule="auto"/>
        <w:tabs>
          <w:tab w:leader="none" w:pos="689"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77" w:lineRule="exact"/>
        <w:rPr>
          <w:rFonts w:ascii="Arial" w:cs="Arial" w:eastAsia="Arial" w:hAnsi="Arial"/>
          <w:sz w:val="17"/>
          <w:szCs w:val="17"/>
          <w:color w:val="auto"/>
        </w:rPr>
      </w:pPr>
    </w:p>
    <w:p>
      <w:pPr>
        <w:ind w:left="4" w:firstLine="436"/>
        <w:spacing w:after="0" w:line="284" w:lineRule="auto"/>
        <w:tabs>
          <w:tab w:leader="none" w:pos="66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w:t>
      </w:r>
    </w:p>
    <w:p>
      <w:pPr>
        <w:spacing w:after="0" w:line="2" w:lineRule="exact"/>
        <w:rPr>
          <w:rFonts w:ascii="Arial" w:cs="Arial" w:eastAsia="Arial" w:hAnsi="Arial"/>
          <w:sz w:val="16"/>
          <w:szCs w:val="16"/>
          <w:color w:val="auto"/>
        </w:rPr>
      </w:pPr>
    </w:p>
    <w:p>
      <w:pPr>
        <w:jc w:val="both"/>
        <w:ind w:left="4" w:right="60" w:hanging="4"/>
        <w:spacing w:after="0" w:line="253"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STOCK ISSUABLE UNDER THE PLAN; MERGERS; SUBSTITUTION</w:t>
      </w:r>
    </w:p>
    <w:p>
      <w:pPr>
        <w:spacing w:after="0" w:line="225" w:lineRule="exact"/>
        <w:rPr>
          <w:sz w:val="20"/>
          <w:szCs w:val="20"/>
          <w:color w:val="auto"/>
        </w:rPr>
      </w:pPr>
    </w:p>
    <w:p>
      <w:pPr>
        <w:ind w:firstLine="436"/>
        <w:spacing w:after="0" w:line="271" w:lineRule="auto"/>
        <w:tabs>
          <w:tab w:leader="none" w:pos="68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Stock Issuable</w:t>
      </w:r>
      <w:r>
        <w:rPr>
          <w:rFonts w:ascii="Arial" w:cs="Arial" w:eastAsia="Arial" w:hAnsi="Arial"/>
          <w:sz w:val="17"/>
          <w:szCs w:val="17"/>
          <w:color w:val="auto"/>
        </w:rPr>
        <w:t>. The maximum number of shares of Stock reserved and available for issuance under the Plan shall be 3,000,000 shares, subject to adjustment as provided in Section 3(c) hereof.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78" w:lineRule="exact"/>
        <w:rPr>
          <w:rFonts w:ascii="Arial" w:cs="Arial" w:eastAsia="Arial" w:hAnsi="Arial"/>
          <w:sz w:val="17"/>
          <w:szCs w:val="17"/>
          <w:color w:val="auto"/>
        </w:rPr>
      </w:pPr>
    </w:p>
    <w:p>
      <w:pPr>
        <w:ind w:right="20" w:firstLine="436"/>
        <w:spacing w:after="0" w:line="28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 w:name="page16"/>
    <w:bookmarkEnd w:id="15"/>
    <w:p>
      <w:pPr>
        <w:ind w:firstLine="436"/>
        <w:spacing w:after="0" w:line="285" w:lineRule="auto"/>
        <w:tabs>
          <w:tab w:leader="none" w:pos="68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Grantees under the Plan will be such individuals to whom the Company may issue securities without stockholder approval in accordance with Rule 5635(c)(4) of the Marketplace Rules of the NASDAQ Stock Market, Inc. and related guidance thereunder, as selected from time to time by the Administrator in its sole discretion; provided that Awards may not be granted to individuals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20" w:firstLine="436"/>
        <w:spacing w:after="0" w:line="277"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a Non-Qualified Stock Option, and shall be in such form as the Administrator may from time to time approve.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6" w:name="page17"/>
    <w:bookmarkEnd w:id="16"/>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70" w:lineRule="exact"/>
        <w:rPr>
          <w:sz w:val="20"/>
          <w:szCs w:val="20"/>
          <w:color w:val="auto"/>
        </w:rPr>
      </w:pPr>
    </w:p>
    <w:p>
      <w:pPr>
        <w:ind w:firstLine="436"/>
        <w:spacing w:after="0" w:line="301"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Notwithstanding the foregoing, Stock Options may be granted with an exercise price per share that is less than 100 percent of the Fair Market Value on the date of grant (i) to individuals who are not subject to U.S. income tax on the date of grant or (ii) if the Stock Option is otherwise compliant with Section 409A.</w:t>
      </w:r>
    </w:p>
    <w:p>
      <w:pPr>
        <w:spacing w:after="0" w:line="157" w:lineRule="exact"/>
        <w:rPr>
          <w:rFonts w:ascii="Arial" w:cs="Arial" w:eastAsia="Arial" w:hAnsi="Arial"/>
          <w:sz w:val="16"/>
          <w:szCs w:val="16"/>
          <w:color w:val="auto"/>
        </w:rPr>
      </w:pPr>
    </w:p>
    <w:p>
      <w:pPr>
        <w:ind w:right="80" w:firstLine="436"/>
        <w:spacing w:after="0" w:line="277"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w:t>
      </w:r>
    </w:p>
    <w:p>
      <w:pPr>
        <w:spacing w:after="0" w:line="170" w:lineRule="exact"/>
        <w:rPr>
          <w:rFonts w:ascii="Arial" w:cs="Arial" w:eastAsia="Arial" w:hAnsi="Arial"/>
          <w:sz w:val="18"/>
          <w:szCs w:val="18"/>
          <w:color w:val="auto"/>
        </w:rPr>
      </w:pPr>
    </w:p>
    <w:p>
      <w:pPr>
        <w:ind w:firstLine="436"/>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6" w:lineRule="exact"/>
        <w:rPr>
          <w:rFonts w:ascii="Arial" w:cs="Arial" w:eastAsia="Arial" w:hAnsi="Arial"/>
          <w:sz w:val="18"/>
          <w:szCs w:val="18"/>
          <w:color w:val="auto"/>
        </w:rPr>
      </w:pPr>
    </w:p>
    <w:p>
      <w:pPr>
        <w:jc w:val="both"/>
        <w:ind w:right="300" w:firstLine="436"/>
        <w:spacing w:after="0" w:line="263"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225" w:lineRule="exact"/>
        <w:rPr>
          <w:rFonts w:ascii="Arial" w:cs="Arial" w:eastAsia="Arial" w:hAnsi="Arial"/>
          <w:sz w:val="18"/>
          <w:szCs w:val="18"/>
          <w:color w:val="auto"/>
        </w:rPr>
      </w:pPr>
    </w:p>
    <w:p>
      <w:pPr>
        <w:ind w:right="20" w:firstLine="987"/>
        <w:spacing w:after="0" w:line="342" w:lineRule="auto"/>
        <w:tabs>
          <w:tab w:leader="none" w:pos="125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23" w:lineRule="exact"/>
        <w:rPr>
          <w:rFonts w:ascii="Arial" w:cs="Arial" w:eastAsia="Arial" w:hAnsi="Arial"/>
          <w:sz w:val="16"/>
          <w:szCs w:val="16"/>
          <w:color w:val="auto"/>
        </w:rPr>
      </w:pPr>
    </w:p>
    <w:p>
      <w:pPr>
        <w:ind w:right="80" w:firstLine="987"/>
        <w:spacing w:after="0" w:line="279" w:lineRule="auto"/>
        <w:tabs>
          <w:tab w:leader="none" w:pos="1306" w:val="left"/>
        </w:tabs>
        <w:numPr>
          <w:ilvl w:val="1"/>
          <w:numId w:val="14"/>
        </w:numPr>
        <w:rPr>
          <w:rFonts w:ascii="Arial" w:cs="Arial" w:eastAsia="Arial" w:hAnsi="Arial"/>
          <w:sz w:val="17"/>
          <w:szCs w:val="17"/>
          <w:color w:val="auto"/>
        </w:rPr>
      </w:pPr>
      <w:r>
        <w:rPr>
          <w:rFonts w:ascii="Arial" w:cs="Arial" w:eastAsia="Arial" w:hAnsi="Arial"/>
          <w:sz w:val="17"/>
          <w:szCs w:val="17"/>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1" w:lineRule="exact"/>
        <w:rPr>
          <w:rFonts w:ascii="Arial" w:cs="Arial" w:eastAsia="Arial" w:hAnsi="Arial"/>
          <w:sz w:val="17"/>
          <w:szCs w:val="17"/>
          <w:color w:val="auto"/>
        </w:rPr>
      </w:pPr>
    </w:p>
    <w:p>
      <w:pPr>
        <w:ind w:right="80" w:firstLine="987"/>
        <w:spacing w:after="0" w:line="27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ind w:right="200" w:firstLine="436"/>
        <w:spacing w:after="0" w:line="301"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57" w:lineRule="exact"/>
        <w:rPr>
          <w:rFonts w:ascii="Arial" w:cs="Arial" w:eastAsia="Arial" w:hAnsi="Arial"/>
          <w:sz w:val="16"/>
          <w:szCs w:val="16"/>
          <w:color w:val="auto"/>
        </w:rPr>
      </w:pPr>
    </w:p>
    <w:p>
      <w:pPr>
        <w:jc w:val="both"/>
        <w:ind w:right="220" w:firstLine="436"/>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to individuals who are not subject to U.S. income tax on the date of grant, or (ii) if the Stock Appreciation Right is otherwise compliant with Section 409A.</w:t>
      </w:r>
    </w:p>
    <w:p>
      <w:pPr>
        <w:spacing w:after="0" w:line="186"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70" w:lineRule="exact"/>
        <w:rPr>
          <w:rFonts w:ascii="Arial" w:cs="Arial" w:eastAsia="Arial" w:hAnsi="Arial"/>
          <w:sz w:val="18"/>
          <w:szCs w:val="18"/>
          <w:color w:val="auto"/>
        </w:rPr>
      </w:pPr>
    </w:p>
    <w:p>
      <w:pPr>
        <w:ind w:right="300" w:firstLine="436"/>
        <w:spacing w:after="0" w:line="311"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ind w:right="20" w:firstLine="436"/>
        <w:spacing w:after="0" w:line="311" w:lineRule="auto"/>
        <w:tabs>
          <w:tab w:leader="none" w:pos="68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 w:name="page19"/>
    <w:bookmarkEnd w:id="18"/>
    <w:p>
      <w:pPr>
        <w:ind w:left="4" w:firstLine="436"/>
        <w:spacing w:after="0" w:line="284" w:lineRule="auto"/>
        <w:tabs>
          <w:tab w:leader="none" w:pos="699"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a Stockholder</w:t>
      </w:r>
      <w:r>
        <w:rPr>
          <w:rFonts w:ascii="Arial" w:cs="Arial" w:eastAsia="Arial" w:hAnsi="Arial"/>
          <w:sz w:val="16"/>
          <w:szCs w:val="16"/>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4" w:lineRule="exact"/>
        <w:rPr>
          <w:rFonts w:ascii="Arial" w:cs="Arial" w:eastAsia="Arial" w:hAnsi="Arial"/>
          <w:sz w:val="16"/>
          <w:szCs w:val="16"/>
          <w:color w:val="auto"/>
        </w:rPr>
      </w:pPr>
    </w:p>
    <w:p>
      <w:pPr>
        <w:ind w:left="4" w:right="260" w:hanging="4"/>
        <w:spacing w:after="0" w:line="255" w:lineRule="auto"/>
        <w:tabs>
          <w:tab w:leader="none" w:pos="2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9" w:lineRule="exact"/>
        <w:rPr>
          <w:rFonts w:ascii="Arial" w:cs="Arial" w:eastAsia="Arial" w:hAnsi="Arial"/>
          <w:sz w:val="18"/>
          <w:szCs w:val="18"/>
          <w:color w:val="auto"/>
        </w:rPr>
      </w:pPr>
    </w:p>
    <w:p>
      <w:pPr>
        <w:ind w:left="4" w:firstLine="436"/>
        <w:spacing w:after="0" w:line="270" w:lineRule="auto"/>
        <w:tabs>
          <w:tab w:leader="none" w:pos="68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0" w:lineRule="exact"/>
        <w:rPr>
          <w:rFonts w:ascii="Arial" w:cs="Arial" w:eastAsia="Arial" w:hAnsi="Arial"/>
          <w:sz w:val="17"/>
          <w:szCs w:val="17"/>
          <w:color w:val="auto"/>
        </w:rPr>
      </w:pPr>
    </w:p>
    <w:p>
      <w:pPr>
        <w:ind w:left="4" w:right="20" w:firstLine="436"/>
        <w:spacing w:after="0" w:line="301"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4" w:firstLine="436"/>
        <w:spacing w:after="0" w:line="270" w:lineRule="auto"/>
        <w:tabs>
          <w:tab w:leader="none" w:pos="68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19" w:name="page20"/>
    <w:bookmarkEnd w:id="19"/>
    <w:p>
      <w:pPr>
        <w:jc w:val="both"/>
        <w:ind w:right="100" w:firstLine="436"/>
        <w:spacing w:after="0" w:line="311"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48" w:lineRule="exact"/>
        <w:rPr>
          <w:rFonts w:ascii="Arial" w:cs="Arial" w:eastAsia="Arial" w:hAnsi="Arial"/>
          <w:sz w:val="16"/>
          <w:szCs w:val="16"/>
          <w:color w:val="auto"/>
        </w:rPr>
      </w:pPr>
    </w:p>
    <w:p>
      <w:pPr>
        <w:jc w:val="both"/>
        <w:ind w:right="340" w:firstLine="436"/>
        <w:spacing w:after="0" w:line="286"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UNRESTRICTED STOCK AWARDS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225" w:lineRule="exact"/>
        <w:rPr>
          <w:sz w:val="20"/>
          <w:szCs w:val="20"/>
          <w:color w:val="auto"/>
        </w:rPr>
      </w:pPr>
    </w:p>
    <w:p>
      <w:pPr>
        <w:ind w:right="80" w:firstLine="436"/>
        <w:spacing w:after="0" w:line="269" w:lineRule="auto"/>
        <w:tabs>
          <w:tab w:leader="none" w:pos="68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0" w:name="page21"/>
    <w:bookmarkEnd w:id="20"/>
    <w:p>
      <w:pPr>
        <w:ind w:right="300" w:firstLine="436"/>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Arial" w:cs="Arial" w:eastAsia="Arial" w:hAnsi="Arial"/>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TRANSFERABILITY OF AWARDS</w:t>
      </w:r>
    </w:p>
    <w:p>
      <w:pPr>
        <w:spacing w:after="0" w:line="225" w:lineRule="exact"/>
        <w:rPr>
          <w:sz w:val="20"/>
          <w:szCs w:val="20"/>
          <w:color w:val="auto"/>
        </w:rPr>
      </w:pPr>
    </w:p>
    <w:p>
      <w:pPr>
        <w:ind w:firstLine="436"/>
        <w:spacing w:after="0" w:line="257"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7" w:lineRule="exact"/>
        <w:rPr>
          <w:rFonts w:ascii="Arial" w:cs="Arial" w:eastAsia="Arial" w:hAnsi="Arial"/>
          <w:sz w:val="18"/>
          <w:szCs w:val="18"/>
          <w:color w:val="auto"/>
        </w:rPr>
      </w:pPr>
    </w:p>
    <w:p>
      <w:pPr>
        <w:ind w:right="260" w:firstLine="436"/>
        <w:spacing w:after="0" w:line="275"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Administrator Action</w:t>
      </w:r>
      <w:r>
        <w:rPr>
          <w:rFonts w:ascii="Arial" w:cs="Arial" w:eastAsia="Arial" w:hAnsi="Arial"/>
          <w:sz w:val="17"/>
          <w:szCs w:val="17"/>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6" w:lineRule="exact"/>
        <w:rPr>
          <w:rFonts w:ascii="Arial" w:cs="Arial" w:eastAsia="Arial" w:hAnsi="Arial"/>
          <w:sz w:val="17"/>
          <w:szCs w:val="17"/>
          <w:color w:val="auto"/>
        </w:rPr>
      </w:pPr>
    </w:p>
    <w:p>
      <w:pPr>
        <w:ind w:right="40" w:firstLine="436"/>
        <w:spacing w:after="0" w:line="275" w:lineRule="auto"/>
        <w:tabs>
          <w:tab w:leader="none" w:pos="68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6" w:lineRule="exact"/>
        <w:rPr>
          <w:rFonts w:ascii="Arial" w:cs="Arial" w:eastAsia="Arial" w:hAnsi="Arial"/>
          <w:sz w:val="17"/>
          <w:szCs w:val="17"/>
          <w:color w:val="auto"/>
        </w:rPr>
      </w:pPr>
    </w:p>
    <w:p>
      <w:pPr>
        <w:ind w:right="180" w:firstLine="436"/>
        <w:spacing w:after="0" w:line="25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TAX WITHHOLDING</w:t>
      </w:r>
    </w:p>
    <w:p>
      <w:pPr>
        <w:spacing w:after="0" w:line="225" w:lineRule="exact"/>
        <w:rPr>
          <w:sz w:val="20"/>
          <w:szCs w:val="20"/>
          <w:color w:val="auto"/>
        </w:rPr>
      </w:pPr>
    </w:p>
    <w:p>
      <w:pPr>
        <w:ind w:firstLine="436"/>
        <w:spacing w:after="0" w:line="293" w:lineRule="auto"/>
        <w:tabs>
          <w:tab w:leader="none" w:pos="68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Payment by Grantee</w:t>
      </w:r>
      <w:r>
        <w:rPr>
          <w:rFonts w:ascii="Arial" w:cs="Arial" w:eastAsia="Arial" w:hAnsi="Arial"/>
          <w:sz w:val="16"/>
          <w:szCs w:val="16"/>
          <w:color w:val="auto"/>
        </w:rPr>
        <w:t>. Each grantee shall, no later than the date as of which the value of an Award or of any Stock or other amount received thereunder first becomes includable in the gross income of the grantee for income tax purposes, pay to the Company or any applicable Affiliate, or make arrangements satisfactory to the Administrator regarding payment of, any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64" w:lineRule="exact"/>
        <w:rPr>
          <w:rFonts w:ascii="Arial" w:cs="Arial" w:eastAsia="Arial" w:hAnsi="Arial"/>
          <w:sz w:val="16"/>
          <w:szCs w:val="16"/>
          <w:color w:val="auto"/>
        </w:rPr>
      </w:pPr>
    </w:p>
    <w:p>
      <w:pPr>
        <w:ind w:right="40" w:firstLine="436"/>
        <w:spacing w:after="0" w:line="271"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Payment in Stock</w:t>
      </w:r>
      <w:r>
        <w:rPr>
          <w:rFonts w:ascii="Arial" w:cs="Arial" w:eastAsia="Arial" w:hAnsi="Arial"/>
          <w:sz w:val="17"/>
          <w:szCs w:val="17"/>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TERMINATION OF SERVICE RELATIONSHIP, TRANSFER, LEAVE OF ABSENCE, ETC.</w:t>
      </w:r>
    </w:p>
    <w:p>
      <w:pPr>
        <w:spacing w:after="0" w:line="225" w:lineRule="exact"/>
        <w:rPr>
          <w:sz w:val="20"/>
          <w:szCs w:val="20"/>
          <w:color w:val="auto"/>
        </w:rPr>
      </w:pPr>
    </w:p>
    <w:p>
      <w:pPr>
        <w:ind w:right="200" w:firstLine="436"/>
        <w:spacing w:after="0" w:line="277"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a Service Relationship:</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transfer to the Company from an Affiliate or from the Company to an Affiliate, or from one Affiliate to another; or</w:t>
      </w:r>
    </w:p>
    <w:p>
      <w:pPr>
        <w:spacing w:after="0" w:line="225" w:lineRule="exact"/>
        <w:rPr>
          <w:rFonts w:ascii="Arial" w:cs="Arial" w:eastAsia="Arial" w:hAnsi="Arial"/>
          <w:sz w:val="18"/>
          <w:szCs w:val="18"/>
          <w:color w:val="auto"/>
        </w:rPr>
      </w:pPr>
    </w:p>
    <w:p>
      <w:pPr>
        <w:ind w:right="200" w:firstLine="987"/>
        <w:spacing w:after="0" w:line="263" w:lineRule="auto"/>
        <w:tabs>
          <w:tab w:leader="none" w:pos="125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AMENDMENTS AND TERMINATION</w:t>
      </w:r>
    </w:p>
    <w:p>
      <w:pPr>
        <w:spacing w:after="0" w:line="225"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Nothing in this Section 16 shall limit the Administrator’s authority to take any action permitted pursuant to Section 3(b) or 3(c).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436"/>
        <w:spacing w:after="0" w:line="277"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 w:name="page24"/>
    <w:bookmarkEnd w:id="23"/>
    <w:p>
      <w:pPr>
        <w:ind w:left="-40" w:firstLine="436"/>
        <w:spacing w:after="0" w:line="285"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Stock</w:t>
      </w:r>
      <w:r>
        <w:rPr>
          <w:rFonts w:ascii="Arial" w:cs="Arial" w:eastAsia="Arial" w:hAnsi="Arial"/>
          <w:sz w:val="16"/>
          <w:szCs w:val="16"/>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6" w:lineRule="exact"/>
        <w:rPr>
          <w:rFonts w:ascii="Arial" w:cs="Arial" w:eastAsia="Arial" w:hAnsi="Arial"/>
          <w:sz w:val="16"/>
          <w:szCs w:val="16"/>
          <w:color w:val="auto"/>
        </w:rPr>
      </w:pPr>
    </w:p>
    <w:p>
      <w:pPr>
        <w:ind w:left="-40" w:right="20" w:firstLine="436"/>
        <w:spacing w:after="0" w:line="263" w:lineRule="auto"/>
        <w:tabs>
          <w:tab w:leader="none" w:pos="64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83" w:lineRule="exact"/>
        <w:rPr>
          <w:rFonts w:ascii="Arial" w:cs="Arial" w:eastAsia="Arial" w:hAnsi="Arial"/>
          <w:sz w:val="18"/>
          <w:szCs w:val="18"/>
          <w:color w:val="auto"/>
        </w:rPr>
      </w:pPr>
    </w:p>
    <w:p>
      <w:pPr>
        <w:ind w:left="-40" w:firstLine="436"/>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3" w:lineRule="exact"/>
        <w:rPr>
          <w:rFonts w:ascii="Arial" w:cs="Arial" w:eastAsia="Arial" w:hAnsi="Arial"/>
          <w:sz w:val="18"/>
          <w:szCs w:val="18"/>
          <w:color w:val="auto"/>
        </w:rPr>
      </w:pPr>
    </w:p>
    <w:p>
      <w:pPr>
        <w:ind w:left="-40" w:right="120" w:firstLine="436"/>
        <w:spacing w:after="0" w:line="259" w:lineRule="auto"/>
        <w:tabs>
          <w:tab w:leader="none" w:pos="64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86" w:lineRule="exact"/>
        <w:rPr>
          <w:rFonts w:ascii="Arial" w:cs="Arial" w:eastAsia="Arial" w:hAnsi="Arial"/>
          <w:sz w:val="18"/>
          <w:szCs w:val="18"/>
          <w:color w:val="auto"/>
        </w:rPr>
      </w:pPr>
    </w:p>
    <w:p>
      <w:pPr>
        <w:ind w:left="-40" w:right="180" w:firstLine="436"/>
        <w:spacing w:after="0" w:line="277" w:lineRule="auto"/>
        <w:tabs>
          <w:tab w:leader="none" w:pos="6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4" w:right="499" w:bottom="1440" w:gutter="0" w:footer="0" w:header="0"/>
        </w:sectPr>
      </w:pPr>
    </w:p>
    <w:bookmarkStart w:id="24" w:name="page25"/>
    <w:bookmarkEnd w:id="24"/>
    <w:p>
      <w:pPr>
        <w:jc w:val="both"/>
        <w:ind w:firstLine="436"/>
        <w:spacing w:after="0" w:line="286" w:lineRule="auto"/>
        <w:tabs>
          <w:tab w:leader="none" w:pos="69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Clawback Policy</w:t>
      </w:r>
      <w:r>
        <w:rPr>
          <w:rFonts w:ascii="Arial" w:cs="Arial" w:eastAsia="Arial" w:hAnsi="Arial"/>
          <w:sz w:val="17"/>
          <w:szCs w:val="17"/>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Plan shall become effective immediately upon approval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February 6, 2023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2023 INDUCEMENT PLAN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-10160</wp:posOffset>
            </wp:positionV>
            <wp:extent cx="2456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-10160</wp:posOffset>
            </wp:positionV>
            <wp:extent cx="1285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-10160</wp:posOffset>
            </wp:positionV>
            <wp:extent cx="13995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jc w:val="both"/>
        <w:ind w:right="200" w:firstLine="440"/>
        <w:spacing w:after="0" w:line="279" w:lineRule="auto"/>
        <w:rPr>
          <w:sz w:val="20"/>
          <w:szCs w:val="20"/>
          <w:color w:val="auto"/>
        </w:rPr>
      </w:pPr>
      <w:r>
        <w:rPr>
          <w:rFonts w:ascii="Arial" w:cs="Arial" w:eastAsia="Arial" w:hAnsi="Arial"/>
          <w:sz w:val="17"/>
          <w:szCs w:val="17"/>
          <w:color w:val="auto"/>
        </w:rPr>
        <w:t>Pursuant to the Tango Therapeutics, Inc. 2023 Inducement Plan, as amended through the date hereof (the “Plan”), Tango Therapeutics, Inc. (the “Company”) hereby grants an award of the number of Restricted Stock Units listed above (an “Award”) to the Grantee named above. Each Restricted Stock Unit shall relate to one share of Common Stock, par value $0.001 per share (the “Stock”), of the Company. This Award has been granted as an inducement pursuant to Rule 5635(c)(4) of the Marketplace Rules of NASDAQ Stock Market, Inc.</w:t>
      </w:r>
    </w:p>
    <w:p>
      <w:pPr>
        <w:spacing w:after="0" w:line="171" w:lineRule="exact"/>
        <w:rPr>
          <w:sz w:val="20"/>
          <w:szCs w:val="20"/>
          <w:color w:val="auto"/>
        </w:rPr>
      </w:pPr>
    </w:p>
    <w:p>
      <w:pPr>
        <w:ind w:firstLine="436"/>
        <w:spacing w:after="0" w:line="259"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6" w:lineRule="exact"/>
        <w:rPr>
          <w:rFonts w:ascii="Arial" w:cs="Arial" w:eastAsia="Arial" w:hAnsi="Arial"/>
          <w:sz w:val="18"/>
          <w:szCs w:val="18"/>
          <w:color w:val="auto"/>
        </w:rPr>
      </w:pPr>
    </w:p>
    <w:p>
      <w:pPr>
        <w:jc w:val="both"/>
        <w:ind w:right="220" w:firstLine="436"/>
        <w:spacing w:after="0" w:line="259"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an employee of the Company or a Subsidiary on such on such Vesting Dates. If a series of Vesting Dates is specified, then the restrictions and conditions in Paragraph 1 shall lapse only with respect to the number of Restricted Stock Units specified as vested on such date.</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Incremental Number of</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7"/>
        </w:trPr>
        <w:tc>
          <w:tcPr>
            <w:tcW w:w="13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Restricted Stock Units Vested</w:t>
            </w:r>
          </w:p>
        </w:tc>
        <w:tc>
          <w:tcPr>
            <w:tcW w:w="1800" w:type="dxa"/>
            <w:vAlign w:val="bottom"/>
            <w:gridSpan w:val="2"/>
          </w:tcPr>
          <w:p>
            <w:pPr>
              <w:ind w:left="520"/>
              <w:spacing w:after="0"/>
              <w:rPr>
                <w:sz w:val="20"/>
                <w:szCs w:val="20"/>
                <w:color w:val="auto"/>
              </w:rPr>
            </w:pPr>
            <w:r>
              <w:rPr>
                <w:rFonts w:ascii="Arial" w:cs="Arial" w:eastAsia="Arial" w:hAnsi="Arial"/>
                <w:sz w:val="14"/>
                <w:szCs w:val="14"/>
                <w:color w:val="auto"/>
              </w:rPr>
              <w:t>Vesting Date</w:t>
            </w:r>
          </w:p>
        </w:tc>
      </w:tr>
      <w:tr>
        <w:trPr>
          <w:trHeight w:val="163"/>
        </w:trPr>
        <w:tc>
          <w:tcPr>
            <w:tcW w:w="1320" w:type="dxa"/>
            <w:vAlign w:val="bottom"/>
          </w:tcPr>
          <w:p>
            <w:pPr>
              <w:spacing w:after="0"/>
              <w:rPr>
                <w:sz w:val="14"/>
                <w:szCs w:val="14"/>
                <w:color w:val="auto"/>
              </w:rPr>
            </w:pPr>
          </w:p>
        </w:tc>
        <w:tc>
          <w:tcPr>
            <w:tcW w:w="172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92"/>
              </w:rPr>
              <w:t>_____________ (__%)</w:t>
            </w:r>
          </w:p>
        </w:tc>
        <w:tc>
          <w:tcPr>
            <w:tcW w:w="3960" w:type="dxa"/>
            <w:vAlign w:val="bottom"/>
          </w:tcPr>
          <w:p>
            <w:pPr>
              <w:spacing w:after="0"/>
              <w:rPr>
                <w:sz w:val="14"/>
                <w:szCs w:val="14"/>
                <w:color w:val="auto"/>
              </w:rPr>
            </w:pPr>
          </w:p>
        </w:tc>
        <w:tc>
          <w:tcPr>
            <w:tcW w:w="16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r>
      <w:tr>
        <w:trPr>
          <w:trHeight w:val="196"/>
        </w:trPr>
        <w:tc>
          <w:tcPr>
            <w:tcW w:w="3040" w:type="dxa"/>
            <w:vAlign w:val="bottom"/>
            <w:gridSpan w:val="2"/>
          </w:tcPr>
          <w:p>
            <w:pPr>
              <w:ind w:left="1320"/>
              <w:spacing w:after="0" w:line="196" w:lineRule="exact"/>
              <w:rPr>
                <w:sz w:val="20"/>
                <w:szCs w:val="20"/>
                <w:color w:val="auto"/>
              </w:rPr>
            </w:pPr>
            <w:r>
              <w:rPr>
                <w:rFonts w:ascii="Arial" w:cs="Arial" w:eastAsia="Arial" w:hAnsi="Arial"/>
                <w:sz w:val="18"/>
                <w:szCs w:val="18"/>
                <w:color w:val="auto"/>
                <w:w w:val="92"/>
              </w:rPr>
              <w:t>_____________ (__%)</w:t>
            </w:r>
          </w:p>
        </w:tc>
        <w:tc>
          <w:tcPr>
            <w:tcW w:w="396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040" w:type="dxa"/>
            <w:vAlign w:val="bottom"/>
            <w:gridSpan w:val="2"/>
          </w:tcPr>
          <w:p>
            <w:pPr>
              <w:ind w:left="1320"/>
              <w:spacing w:after="0" w:line="196" w:lineRule="exact"/>
              <w:rPr>
                <w:sz w:val="20"/>
                <w:szCs w:val="20"/>
                <w:color w:val="auto"/>
              </w:rPr>
            </w:pPr>
            <w:r>
              <w:rPr>
                <w:rFonts w:ascii="Arial" w:cs="Arial" w:eastAsia="Arial" w:hAnsi="Arial"/>
                <w:sz w:val="18"/>
                <w:szCs w:val="18"/>
                <w:color w:val="auto"/>
                <w:w w:val="92"/>
              </w:rPr>
              <w:t>_____________ (__%)</w:t>
            </w:r>
          </w:p>
        </w:tc>
        <w:tc>
          <w:tcPr>
            <w:tcW w:w="396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040" w:type="dxa"/>
            <w:vAlign w:val="bottom"/>
            <w:gridSpan w:val="2"/>
          </w:tcPr>
          <w:p>
            <w:pPr>
              <w:ind w:left="1320"/>
              <w:spacing w:after="0" w:line="196" w:lineRule="exact"/>
              <w:rPr>
                <w:sz w:val="20"/>
                <w:szCs w:val="20"/>
                <w:color w:val="auto"/>
              </w:rPr>
            </w:pPr>
            <w:r>
              <w:rPr>
                <w:rFonts w:ascii="Arial" w:cs="Arial" w:eastAsia="Arial" w:hAnsi="Arial"/>
                <w:sz w:val="18"/>
                <w:szCs w:val="18"/>
                <w:color w:val="auto"/>
                <w:w w:val="92"/>
              </w:rPr>
              <w:t>_____________ (__%)</w:t>
            </w:r>
          </w:p>
        </w:tc>
        <w:tc>
          <w:tcPr>
            <w:tcW w:w="396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7000" w:type="dxa"/>
            <w:vAlign w:val="bottom"/>
            <w:gridSpan w:val="3"/>
          </w:tcPr>
          <w:p>
            <w:pPr>
              <w:spacing w:after="0"/>
              <w:rPr>
                <w:sz w:val="20"/>
                <w:szCs w:val="20"/>
                <w:color w:val="auto"/>
              </w:rPr>
            </w:pPr>
            <w:r>
              <w:rPr>
                <w:rFonts w:ascii="Arial" w:cs="Arial" w:eastAsia="Arial" w:hAnsi="Arial"/>
                <w:sz w:val="18"/>
                <w:szCs w:val="18"/>
                <w:color w:val="auto"/>
                <w:w w:val="90"/>
              </w:rPr>
              <w:t>The Administrator may at any time accelerate the vesting schedule specified in this Paragraph 2.</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right="60" w:firstLine="436"/>
        <w:spacing w:after="0" w:line="279"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70" w:right="479" w:bottom="1440" w:gutter="0" w:footer="0" w:header="0"/>
        </w:sectPr>
      </w:pPr>
    </w:p>
    <w:bookmarkStart w:id="26" w:name="page27"/>
    <w:bookmarkEnd w:id="26"/>
    <w:p>
      <w:pPr>
        <w:ind w:left="-20" w:right="120" w:firstLine="436"/>
        <w:spacing w:after="0" w:line="25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 of Stock.</w:t>
      </w:r>
    </w:p>
    <w:p>
      <w:pPr>
        <w:spacing w:after="0" w:line="186" w:lineRule="exact"/>
        <w:rPr>
          <w:rFonts w:ascii="Arial" w:cs="Arial" w:eastAsia="Arial" w:hAnsi="Arial"/>
          <w:sz w:val="18"/>
          <w:szCs w:val="18"/>
          <w:color w:val="auto"/>
        </w:rPr>
      </w:pPr>
    </w:p>
    <w:p>
      <w:pPr>
        <w:ind w:left="-20" w:right="20" w:firstLine="436"/>
        <w:spacing w:after="0" w:line="263"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20" w:right="80" w:firstLine="436"/>
        <w:spacing w:after="0" w:line="25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94" w:lineRule="exact"/>
        <w:rPr>
          <w:rFonts w:ascii="Arial" w:cs="Arial" w:eastAsia="Arial" w:hAnsi="Arial"/>
          <w:sz w:val="18"/>
          <w:szCs w:val="18"/>
          <w:color w:val="auto"/>
        </w:rPr>
      </w:pPr>
    </w:p>
    <w:p>
      <w:pPr>
        <w:ind w:left="-20" w:right="160" w:firstLine="436"/>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46" w:lineRule="exact"/>
        <w:rPr>
          <w:rFonts w:ascii="Arial" w:cs="Arial" w:eastAsia="Arial" w:hAnsi="Arial"/>
          <w:sz w:val="17"/>
          <w:szCs w:val="17"/>
          <w:color w:val="auto"/>
        </w:rPr>
      </w:pPr>
    </w:p>
    <w:p>
      <w:pPr>
        <w:ind w:left="-20" w:right="40" w:firstLine="436"/>
        <w:spacing w:after="0" w:line="263"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Grantee’s employment and neither the Plan nor this Agreement shall interfere in any way with the right of the Company or any Subsidiary to terminate the employment of the Grantee at any time.</w:t>
      </w:r>
    </w:p>
    <w:p>
      <w:pPr>
        <w:spacing w:after="0" w:line="183" w:lineRule="exact"/>
        <w:rPr>
          <w:rFonts w:ascii="Arial" w:cs="Arial" w:eastAsia="Arial" w:hAnsi="Arial"/>
          <w:sz w:val="18"/>
          <w:szCs w:val="18"/>
          <w:color w:val="auto"/>
        </w:rPr>
      </w:pPr>
    </w:p>
    <w:p>
      <w:pPr>
        <w:ind w:left="-20" w:right="40" w:firstLine="436"/>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left="-20" w:firstLine="436"/>
        <w:spacing w:after="0" w:line="253" w:lineRule="auto"/>
        <w:tabs>
          <w:tab w:leader="none" w:pos="69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27" w:name="page28"/>
    <w:bookmarkEnd w:id="27"/>
    <w:p>
      <w:pPr>
        <w:jc w:val="both"/>
        <w:ind w:firstLine="436"/>
        <w:spacing w:after="0" w:line="263" w:lineRule="auto"/>
        <w:tabs>
          <w:tab w:leader="none" w:pos="70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399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-10160</wp:posOffset>
            </wp:positionV>
            <wp:extent cx="25704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263525</wp:posOffset>
            </wp:positionV>
            <wp:extent cx="25704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570480"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537845</wp:posOffset>
            </wp:positionV>
            <wp:extent cx="25704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570480" cy="889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812165</wp:posOffset>
            </wp:positionV>
            <wp:extent cx="2570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440" w:top="274" w:right="61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TANGO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INDUCEMENT PLAN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-10160</wp:posOffset>
            </wp:positionV>
            <wp:extent cx="22853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2285365"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126365</wp:posOffset>
            </wp:positionV>
            <wp:extent cx="142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-10160</wp:posOffset>
            </wp:positionV>
            <wp:extent cx="10280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97"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-10160</wp:posOffset>
            </wp:positionV>
            <wp:extent cx="9709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9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[FMV on Grant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-10160</wp:posOffset>
            </wp:positionV>
            <wp:extent cx="1028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-10160</wp:posOffset>
            </wp:positionV>
            <wp:extent cx="10280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 more than 10 years]</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Pursuant to the Tango Therapeutics, Inc. 2023 Inducement Plan, as amended through the date hereof (the “Plan”), Tango Therapeutics,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has been granted as an inducement pursuant to Rule 5635(c)(4) of the Marketplace Rules of NASDAQ Stock Market, Inc. This Stock Option is not intended to be an “incentive stock option” under Section 422 of the Internal Revenue Code of 1986, as amended.</w:t>
      </w:r>
    </w:p>
    <w:p>
      <w:pPr>
        <w:spacing w:after="0" w:line="178" w:lineRule="exact"/>
        <w:rPr>
          <w:sz w:val="20"/>
          <w:szCs w:val="20"/>
          <w:color w:val="auto"/>
        </w:rPr>
      </w:pPr>
    </w:p>
    <w:p>
      <w:pPr>
        <w:ind w:right="20" w:firstLine="436"/>
        <w:spacing w:after="0" w:line="25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1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680" w:type="dxa"/>
            <w:vAlign w:val="bottom"/>
            <w:gridSpan w:val="2"/>
          </w:tcPr>
          <w:p>
            <w:pPr>
              <w:spacing w:after="0"/>
              <w:rPr>
                <w:sz w:val="20"/>
                <w:szCs w:val="20"/>
                <w:color w:val="auto"/>
              </w:rPr>
            </w:pPr>
            <w:r>
              <w:rPr>
                <w:rFonts w:ascii="Arial" w:cs="Arial" w:eastAsia="Arial" w:hAnsi="Arial"/>
                <w:sz w:val="14"/>
                <w:szCs w:val="14"/>
                <w:color w:val="auto"/>
              </w:rPr>
              <w:t>Incremental Number of</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7"/>
        </w:trPr>
        <w:tc>
          <w:tcPr>
            <w:tcW w:w="5680" w:type="dxa"/>
            <w:vAlign w:val="bottom"/>
            <w:gridSpan w:val="2"/>
          </w:tcPr>
          <w:p>
            <w:pPr>
              <w:spacing w:after="0"/>
              <w:rPr>
                <w:sz w:val="20"/>
                <w:szCs w:val="20"/>
                <w:color w:val="auto"/>
              </w:rPr>
            </w:pPr>
            <w:r>
              <w:rPr>
                <w:rFonts w:ascii="Arial" w:cs="Arial" w:eastAsia="Arial" w:hAnsi="Arial"/>
                <w:sz w:val="14"/>
                <w:szCs w:val="14"/>
                <w:color w:val="auto"/>
              </w:rPr>
              <w:t>Option Shares Exercisable</w:t>
            </w:r>
          </w:p>
        </w:tc>
        <w:tc>
          <w:tcPr>
            <w:tcW w:w="1800" w:type="dxa"/>
            <w:vAlign w:val="bottom"/>
            <w:gridSpan w:val="2"/>
          </w:tcPr>
          <w:p>
            <w:pPr>
              <w:ind w:left="340"/>
              <w:spacing w:after="0"/>
              <w:rPr>
                <w:sz w:val="20"/>
                <w:szCs w:val="20"/>
                <w:color w:val="auto"/>
              </w:rPr>
            </w:pPr>
            <w:r>
              <w:rPr>
                <w:rFonts w:ascii="Arial" w:cs="Arial" w:eastAsia="Arial" w:hAnsi="Arial"/>
                <w:sz w:val="14"/>
                <w:szCs w:val="14"/>
                <w:color w:val="auto"/>
              </w:rPr>
              <w:t>Exercisability Date</w:t>
            </w:r>
          </w:p>
        </w:tc>
      </w:tr>
      <w:tr>
        <w:trPr>
          <w:trHeight w:val="163"/>
        </w:trPr>
        <w:tc>
          <w:tcPr>
            <w:tcW w:w="154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w w:val="88"/>
              </w:rPr>
              <w:t>_____________ (___</w:t>
            </w:r>
          </w:p>
        </w:tc>
        <w:tc>
          <w:tcPr>
            <w:tcW w:w="4140" w:type="dxa"/>
            <w:vAlign w:val="bottom"/>
          </w:tcPr>
          <w:p>
            <w:pPr>
              <w:jc w:val="right"/>
              <w:ind w:right="3830"/>
              <w:spacing w:after="0" w:line="163" w:lineRule="exact"/>
              <w:rPr>
                <w:sz w:val="20"/>
                <w:szCs w:val="20"/>
                <w:color w:val="auto"/>
              </w:rPr>
            </w:pPr>
            <w:r>
              <w:rPr>
                <w:rFonts w:ascii="Arial" w:cs="Arial" w:eastAsia="Arial" w:hAnsi="Arial"/>
                <w:sz w:val="18"/>
                <w:szCs w:val="18"/>
                <w:color w:val="auto"/>
                <w:w w:val="90"/>
              </w:rPr>
              <w:t>%)</w:t>
            </w:r>
          </w:p>
        </w:tc>
        <w:tc>
          <w:tcPr>
            <w:tcW w:w="16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r>
      <w:tr>
        <w:trPr>
          <w:trHeight w:val="196"/>
        </w:trPr>
        <w:tc>
          <w:tcPr>
            <w:tcW w:w="5680" w:type="dxa"/>
            <w:vAlign w:val="bottom"/>
            <w:gridSpan w:val="2"/>
          </w:tcPr>
          <w:p>
            <w:pPr>
              <w:jc w:val="right"/>
              <w:ind w:right="3830"/>
              <w:spacing w:after="0" w:line="196" w:lineRule="exact"/>
              <w:rPr>
                <w:sz w:val="20"/>
                <w:szCs w:val="20"/>
                <w:color w:val="auto"/>
              </w:rPr>
            </w:pPr>
            <w:r>
              <w:rPr>
                <w:rFonts w:ascii="Arial" w:cs="Arial" w:eastAsia="Arial" w:hAnsi="Arial"/>
                <w:sz w:val="18"/>
                <w:szCs w:val="18"/>
                <w:color w:val="auto"/>
                <w:w w:val="90"/>
              </w:rPr>
              <w:t>_____________ (___%)</w:t>
            </w: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680" w:type="dxa"/>
            <w:vAlign w:val="bottom"/>
            <w:gridSpan w:val="2"/>
          </w:tcPr>
          <w:p>
            <w:pPr>
              <w:jc w:val="right"/>
              <w:ind w:right="3830"/>
              <w:spacing w:after="0" w:line="196" w:lineRule="exact"/>
              <w:rPr>
                <w:sz w:val="20"/>
                <w:szCs w:val="20"/>
                <w:color w:val="auto"/>
              </w:rPr>
            </w:pPr>
            <w:r>
              <w:rPr>
                <w:rFonts w:ascii="Arial" w:cs="Arial" w:eastAsia="Arial" w:hAnsi="Arial"/>
                <w:sz w:val="18"/>
                <w:szCs w:val="18"/>
                <w:color w:val="auto"/>
                <w:w w:val="90"/>
              </w:rPr>
              <w:t>_____________ (___%)</w:t>
            </w: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5680" w:type="dxa"/>
            <w:vAlign w:val="bottom"/>
            <w:gridSpan w:val="2"/>
          </w:tcPr>
          <w:p>
            <w:pPr>
              <w:jc w:val="right"/>
              <w:ind w:right="3830"/>
              <w:spacing w:after="0" w:line="196" w:lineRule="exact"/>
              <w:rPr>
                <w:sz w:val="20"/>
                <w:szCs w:val="20"/>
                <w:color w:val="auto"/>
              </w:rPr>
            </w:pPr>
            <w:r>
              <w:rPr>
                <w:rFonts w:ascii="Arial" w:cs="Arial" w:eastAsia="Arial" w:hAnsi="Arial"/>
                <w:sz w:val="18"/>
                <w:szCs w:val="18"/>
                <w:color w:val="auto"/>
                <w:w w:val="90"/>
              </w:rPr>
              <w:t>_____________ (___%)</w:t>
            </w:r>
          </w:p>
        </w:tc>
        <w:tc>
          <w:tcPr>
            <w:tcW w:w="1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bl>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980"/>
          </w:cols>
          <w:pgMar w:left="440" w:top="270" w:right="479" w:bottom="1440" w:gutter="0" w:footer="0" w:header="0"/>
        </w:sectPr>
      </w:pPr>
    </w:p>
    <w:bookmarkStart w:id="29" w:name="page30"/>
    <w:bookmarkEnd w:id="29"/>
    <w:p>
      <w:pPr>
        <w:ind w:left="620" w:hanging="184"/>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63" w:lineRule="auto"/>
        <w:tabs>
          <w:tab w:leader="none" w:pos="1236"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of Stock attested to.</w:t>
      </w:r>
    </w:p>
    <w:p>
      <w:pPr>
        <w:spacing w:after="0" w:line="177" w:lineRule="exact"/>
        <w:rPr>
          <w:sz w:val="20"/>
          <w:szCs w:val="20"/>
          <w:color w:val="auto"/>
        </w:rPr>
      </w:pPr>
    </w:p>
    <w:p>
      <w:pPr>
        <w:ind w:right="20" w:firstLine="987"/>
        <w:spacing w:after="0" w:line="291"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0" w:name="page31"/>
    <w:bookmarkEnd w:id="30"/>
    <w:p>
      <w:pPr>
        <w:ind w:right="20" w:firstLine="987"/>
        <w:spacing w:after="0" w:line="263" w:lineRule="auto"/>
        <w:tabs>
          <w:tab w:leader="none" w:pos="1236" w:val="left"/>
        </w:tabs>
        <w:numPr>
          <w:ilvl w:val="1"/>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number of shares of Stock with respect to which this Stock Option may be exercised at any one time shall be 100 shares, unless the number of shares with respect to which this Stock Option is being exercised is the total number of shares of Stock subject to exercise under this Stock Option at the time.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40" w:firstLine="436"/>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or a Subsidiary terminates, the period within which to exercise the Stock Option may be subject to earlier termination as set forth below.</w:t>
      </w:r>
    </w:p>
    <w:p>
      <w:pPr>
        <w:spacing w:after="0" w:line="170"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40" w:firstLine="987"/>
        <w:spacing w:after="0" w:line="301" w:lineRule="auto"/>
        <w:tabs>
          <w:tab w:leader="none" w:pos="124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employment terminates by reason of the Optionee’s disability (as determined by the Administrator), any portion of this Stock Option outstanding on such date, to the extent exercisable on the date of such termination of employment,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spacing w:after="0" w:line="157" w:lineRule="exact"/>
        <w:rPr>
          <w:rFonts w:ascii="Arial" w:cs="Arial" w:eastAsia="Arial" w:hAnsi="Arial"/>
          <w:sz w:val="16"/>
          <w:szCs w:val="16"/>
          <w:color w:val="auto"/>
        </w:rPr>
      </w:pPr>
    </w:p>
    <w:p>
      <w:pPr>
        <w:ind w:firstLine="987"/>
        <w:spacing w:after="0" w:line="273" w:lineRule="auto"/>
        <w:tabs>
          <w:tab w:leader="none" w:pos="1236"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any Subsidiary.</w:t>
      </w:r>
    </w:p>
    <w:p>
      <w:pPr>
        <w:spacing w:after="0" w:line="177" w:lineRule="exact"/>
        <w:rPr>
          <w:rFonts w:ascii="Arial" w:cs="Arial" w:eastAsia="Arial" w:hAnsi="Arial"/>
          <w:sz w:val="17"/>
          <w:szCs w:val="17"/>
          <w:color w:val="auto"/>
        </w:rPr>
      </w:pPr>
    </w:p>
    <w:p>
      <w:pPr>
        <w:ind w:right="180" w:firstLine="987"/>
        <w:spacing w:after="0" w:line="301" w:lineRule="auto"/>
        <w:tabs>
          <w:tab w:leader="none" w:pos="124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 w:name="page32"/>
    <w:bookmarkEnd w:id="31"/>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Administrator’s determination of the reason for termination of the Optionee’s employment shall be conclusive and binding on the Optionee and his or her representatives or legatees.</w:t>
      </w:r>
    </w:p>
    <w:p>
      <w:pPr>
        <w:spacing w:after="0" w:line="170" w:lineRule="exact"/>
        <w:rPr>
          <w:sz w:val="20"/>
          <w:szCs w:val="20"/>
          <w:color w:val="auto"/>
        </w:rPr>
      </w:pPr>
    </w:p>
    <w:p>
      <w:pPr>
        <w:ind w:firstLine="436"/>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right="340" w:firstLine="436"/>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3" w:lineRule="exact"/>
        <w:rPr>
          <w:rFonts w:ascii="Arial" w:cs="Arial" w:eastAsia="Arial" w:hAnsi="Arial"/>
          <w:sz w:val="18"/>
          <w:szCs w:val="18"/>
          <w:color w:val="auto"/>
        </w:rPr>
      </w:pPr>
    </w:p>
    <w:p>
      <w:pPr>
        <w:ind w:right="40" w:firstLine="436"/>
        <w:spacing w:after="0" w:line="25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94" w:lineRule="exact"/>
        <w:rPr>
          <w:rFonts w:ascii="Arial" w:cs="Arial" w:eastAsia="Arial" w:hAnsi="Arial"/>
          <w:sz w:val="18"/>
          <w:szCs w:val="18"/>
          <w:color w:val="auto"/>
        </w:rPr>
      </w:pPr>
    </w:p>
    <w:p>
      <w:pPr>
        <w:jc w:val="both"/>
        <w:ind w:firstLine="436"/>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Optionee’s employment and neither the Plan nor this Agreement shall interfere in any way with the right of the Company or any Subsidiary to terminate the employment of the Optionee at any time.</w:t>
      </w:r>
    </w:p>
    <w:p>
      <w:pPr>
        <w:spacing w:after="0" w:line="183" w:lineRule="exact"/>
        <w:rPr>
          <w:rFonts w:ascii="Arial" w:cs="Arial" w:eastAsia="Arial" w:hAnsi="Arial"/>
          <w:sz w:val="18"/>
          <w:szCs w:val="18"/>
          <w:color w:val="auto"/>
        </w:rPr>
      </w:pPr>
    </w:p>
    <w:p>
      <w:pPr>
        <w:ind w:right="400" w:firstLine="436"/>
        <w:spacing w:after="0" w:line="277"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right="60" w:firstLine="436"/>
        <w:spacing w:after="0" w:line="270"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2" w:name="page33"/>
    <w:bookmarkEnd w:id="32"/>
    <w:p>
      <w:pPr>
        <w:ind w:firstLine="436"/>
        <w:spacing w:after="0" w:line="263"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170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-10160</wp:posOffset>
            </wp:positionV>
            <wp:extent cx="1742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Signature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126365</wp:posOffset>
            </wp:positionV>
            <wp:extent cx="1742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263525</wp:posOffset>
            </wp:positionV>
            <wp:extent cx="1742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400685</wp:posOffset>
            </wp:positionV>
            <wp:extent cx="1742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S-8</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314" w:type="dxa"/>
        <w:tblCellMar>
          <w:top w:w="0" w:type="dxa"/>
          <w:left w:w="0" w:type="dxa"/>
          <w:bottom w:w="0" w:type="dxa"/>
          <w:right w:w="0" w:type="dxa"/>
        </w:tblCellMar>
      </w:tblPr>
      <w:tr>
        <w:trPr>
          <w:trHeight w:val="144"/>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9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Security</w:t>
            </w:r>
          </w:p>
        </w:tc>
        <w:tc>
          <w:tcPr>
            <w:tcW w:w="15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0"/>
              </w:rPr>
              <w:t>Fee</w:t>
            </w:r>
          </w:p>
        </w:tc>
        <w:tc>
          <w:tcPr>
            <w:tcW w:w="15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0"/>
              </w:rPr>
              <w:t>Offering</w:t>
            </w:r>
          </w:p>
        </w:tc>
        <w:tc>
          <w:tcPr>
            <w:tcW w:w="9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3"/>
              </w:rPr>
              <w:t>Maximum</w:t>
            </w: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jc w:val="center"/>
              <w:ind w:left="41"/>
              <w:spacing w:after="0" w:line="135" w:lineRule="exact"/>
              <w:rPr>
                <w:sz w:val="20"/>
                <w:szCs w:val="20"/>
                <w:color w:val="auto"/>
              </w:rPr>
            </w:pPr>
            <w:r>
              <w:rPr>
                <w:rFonts w:ascii="Arial" w:cs="Arial" w:eastAsia="Arial" w:hAnsi="Arial"/>
                <w:sz w:val="13"/>
                <w:szCs w:val="13"/>
                <w:b w:val="1"/>
                <w:bCs w:val="1"/>
                <w:color w:val="auto"/>
                <w:w w:val="85"/>
              </w:rPr>
              <w:t>Security</w:t>
            </w:r>
          </w:p>
        </w:tc>
        <w:tc>
          <w:tcPr>
            <w:tcW w:w="1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15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Fee</w:t>
            </w: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74"/>
        </w:trPr>
        <w:tc>
          <w:tcPr>
            <w:tcW w:w="680" w:type="dxa"/>
            <w:vAlign w:val="bottom"/>
            <w:tcBorders>
              <w:left w:val="single" w:sz="8" w:color="auto"/>
              <w:bottom w:val="single" w:sz="8" w:color="auto"/>
              <w:right w:val="single" w:sz="8" w:color="auto"/>
            </w:tcBorders>
          </w:tcPr>
          <w:p>
            <w:pPr>
              <w:jc w:val="center"/>
              <w:ind w:left="41"/>
              <w:spacing w:after="0"/>
              <w:rPr>
                <w:sz w:val="20"/>
                <w:szCs w:val="20"/>
                <w:color w:val="auto"/>
              </w:rPr>
            </w:pPr>
            <w:r>
              <w:rPr>
                <w:rFonts w:ascii="Arial" w:cs="Arial" w:eastAsia="Arial" w:hAnsi="Arial"/>
                <w:sz w:val="13"/>
                <w:szCs w:val="13"/>
                <w:b w:val="1"/>
                <w:bCs w:val="1"/>
                <w:color w:val="auto"/>
                <w:w w:val="92"/>
              </w:rPr>
              <w:t>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Registered (1)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0" w:type="dxa"/>
            <w:vAlign w:val="bottom"/>
          </w:tcPr>
          <w:p>
            <w:pPr>
              <w:spacing w:after="0"/>
              <w:rPr>
                <w:sz w:val="1"/>
                <w:szCs w:val="1"/>
                <w:color w:val="auto"/>
              </w:rPr>
            </w:pPr>
          </w:p>
        </w:tc>
      </w:tr>
      <w:tr>
        <w:trPr>
          <w:trHeight w:val="206"/>
        </w:trPr>
        <w:tc>
          <w:tcPr>
            <w:tcW w:w="680" w:type="dxa"/>
            <w:vAlign w:val="bottom"/>
            <w:tcBorders>
              <w:left w:val="single" w:sz="8" w:color="auto"/>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89"/>
              </w:rPr>
              <w:t>2023</w:t>
            </w:r>
          </w:p>
        </w:tc>
        <w:tc>
          <w:tcPr>
            <w:tcW w:w="15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Inducement</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158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$0.001 par value</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80" w:type="dxa"/>
            <w:vAlign w:val="bottom"/>
            <w:tcBorders>
              <w:left w:val="single" w:sz="8" w:color="auto"/>
              <w:bottom w:val="single" w:sz="8" w:color="auto"/>
              <w:right w:val="single" w:sz="8" w:color="auto"/>
            </w:tcBorders>
          </w:tcPr>
          <w:p>
            <w:pPr>
              <w:jc w:val="center"/>
              <w:ind w:left="41"/>
              <w:spacing w:after="0"/>
              <w:rPr>
                <w:sz w:val="20"/>
                <w:szCs w:val="20"/>
                <w:color w:val="auto"/>
              </w:rPr>
            </w:pPr>
            <w:r>
              <w:rPr>
                <w:rFonts w:ascii="Arial" w:cs="Arial" w:eastAsia="Arial" w:hAnsi="Arial"/>
                <w:sz w:val="18"/>
                <w:szCs w:val="18"/>
                <w:color w:val="auto"/>
                <w:w w:val="95"/>
              </w:rPr>
              <w:t>Equity</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 shares (2)</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$6.57 (3)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$19,710,000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$.0001102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$2,172.04</w:t>
            </w:r>
          </w:p>
        </w:tc>
        <w:tc>
          <w:tcPr>
            <w:tcW w:w="0" w:type="dxa"/>
            <w:vAlign w:val="bottom"/>
          </w:tcPr>
          <w:p>
            <w:pPr>
              <w:spacing w:after="0"/>
              <w:rPr>
                <w:sz w:val="1"/>
                <w:szCs w:val="1"/>
                <w:color w:val="auto"/>
              </w:rPr>
            </w:pPr>
          </w:p>
        </w:tc>
      </w:tr>
      <w:tr>
        <w:trPr>
          <w:trHeight w:val="211"/>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Stock</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Option and</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Incentive Plan</w:t>
            </w:r>
          </w:p>
        </w:tc>
        <w:tc>
          <w:tcPr>
            <w:tcW w:w="158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$0.001 par value</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right w:val="single" w:sz="8" w:color="auto"/>
            </w:tcBorders>
          </w:tcPr>
          <w:p>
            <w:pPr>
              <w:jc w:val="center"/>
              <w:ind w:left="41"/>
              <w:spacing w:after="0"/>
              <w:rPr>
                <w:sz w:val="20"/>
                <w:szCs w:val="20"/>
                <w:color w:val="auto"/>
              </w:rPr>
            </w:pPr>
            <w:r>
              <w:rPr>
                <w:rFonts w:ascii="Arial" w:cs="Arial" w:eastAsia="Arial" w:hAnsi="Arial"/>
                <w:sz w:val="18"/>
                <w:szCs w:val="18"/>
                <w:color w:val="auto"/>
                <w:w w:val="95"/>
              </w:rPr>
              <w:t>Equity</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4,408,969 shares (4)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$6.57 (5)</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$28,966,924</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$.0001102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$3,192.16</w:t>
            </w:r>
          </w:p>
        </w:tc>
        <w:tc>
          <w:tcPr>
            <w:tcW w:w="0" w:type="dxa"/>
            <w:vAlign w:val="bottom"/>
          </w:tcPr>
          <w:p>
            <w:pPr>
              <w:spacing w:after="0"/>
              <w:rPr>
                <w:sz w:val="1"/>
                <w:szCs w:val="1"/>
                <w:color w:val="auto"/>
              </w:rPr>
            </w:pPr>
          </w:p>
        </w:tc>
      </w:tr>
      <w:tr>
        <w:trPr>
          <w:trHeight w:val="211"/>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 Employee</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 Purchase</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158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$0.001 par value</w:t>
            </w:r>
          </w:p>
        </w:tc>
        <w:tc>
          <w:tcPr>
            <w:tcW w:w="15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80" w:type="dxa"/>
            <w:vAlign w:val="bottom"/>
            <w:tcBorders>
              <w:left w:val="single" w:sz="8" w:color="auto"/>
              <w:bottom w:val="single" w:sz="8" w:color="auto"/>
              <w:right w:val="single" w:sz="8" w:color="auto"/>
            </w:tcBorders>
          </w:tcPr>
          <w:p>
            <w:pPr>
              <w:jc w:val="center"/>
              <w:ind w:left="41"/>
              <w:spacing w:after="0"/>
              <w:rPr>
                <w:sz w:val="20"/>
                <w:szCs w:val="20"/>
                <w:color w:val="auto"/>
              </w:rPr>
            </w:pPr>
            <w:r>
              <w:rPr>
                <w:rFonts w:ascii="Arial" w:cs="Arial" w:eastAsia="Arial" w:hAnsi="Arial"/>
                <w:sz w:val="18"/>
                <w:szCs w:val="18"/>
                <w:color w:val="auto"/>
                <w:w w:val="95"/>
              </w:rPr>
              <w:t>Equity</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457(c) and 457(h)(1)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881,793 shares (6)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$5.58 (7)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$4,920,405</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$.0001102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$542.23</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2860" w:type="dxa"/>
            <w:vAlign w:val="bottom"/>
            <w:tcBorders>
              <w:bottom w:val="single" w:sz="8" w:color="auto"/>
            </w:tcBorders>
            <w:gridSpan w:val="2"/>
          </w:tcPr>
          <w:p>
            <w:pPr>
              <w:jc w:val="center"/>
              <w:ind w:left="894"/>
              <w:spacing w:after="0"/>
              <w:rPr>
                <w:sz w:val="20"/>
                <w:szCs w:val="20"/>
                <w:color w:val="auto"/>
              </w:rPr>
            </w:pPr>
            <w:r>
              <w:rPr>
                <w:rFonts w:ascii="Arial" w:cs="Arial" w:eastAsia="Arial" w:hAnsi="Arial"/>
                <w:sz w:val="18"/>
                <w:szCs w:val="18"/>
                <w:color w:val="auto"/>
                <w:w w:val="92"/>
              </w:rPr>
              <w:t>Total Offering Amounts</w:t>
            </w:r>
          </w:p>
        </w:tc>
        <w:tc>
          <w:tcPr>
            <w:tcW w:w="15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$53,597,329</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$5,906.43</w:t>
            </w:r>
          </w:p>
        </w:tc>
        <w:tc>
          <w:tcPr>
            <w:tcW w:w="0" w:type="dxa"/>
            <w:vAlign w:val="bottom"/>
          </w:tcPr>
          <w:p>
            <w:pPr>
              <w:spacing w:after="0"/>
              <w:rPr>
                <w:sz w:val="1"/>
                <w:szCs w:val="1"/>
                <w:color w:val="auto"/>
              </w:rPr>
            </w:pPr>
          </w:p>
        </w:tc>
      </w:tr>
      <w:tr>
        <w:trPr>
          <w:trHeight w:val="236"/>
        </w:trPr>
        <w:tc>
          <w:tcPr>
            <w:tcW w:w="68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20"/>
              <w:spacing w:after="0"/>
              <w:rPr>
                <w:sz w:val="20"/>
                <w:szCs w:val="20"/>
                <w:color w:val="auto"/>
              </w:rPr>
            </w:pPr>
            <w:r>
              <w:rPr>
                <w:rFonts w:ascii="Arial" w:cs="Arial" w:eastAsia="Arial" w:hAnsi="Arial"/>
                <w:sz w:val="18"/>
                <w:szCs w:val="18"/>
                <w:color w:val="auto"/>
                <w:w w:val="89"/>
              </w:rPr>
              <w:t>Total Fee Offsets</w:t>
            </w:r>
          </w:p>
        </w:tc>
        <w:tc>
          <w:tcPr>
            <w:tcW w:w="15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6"/>
        </w:trPr>
        <w:tc>
          <w:tcPr>
            <w:tcW w:w="68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220"/>
              <w:spacing w:after="0"/>
              <w:rPr>
                <w:sz w:val="20"/>
                <w:szCs w:val="20"/>
                <w:color w:val="auto"/>
              </w:rPr>
            </w:pPr>
            <w:r>
              <w:rPr>
                <w:rFonts w:ascii="Arial" w:cs="Arial" w:eastAsia="Arial" w:hAnsi="Arial"/>
                <w:sz w:val="18"/>
                <w:szCs w:val="18"/>
                <w:color w:val="auto"/>
                <w:w w:val="90"/>
              </w:rPr>
              <w:t>Net Fee Due</w:t>
            </w:r>
          </w:p>
        </w:tc>
        <w:tc>
          <w:tcPr>
            <w:tcW w:w="15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$5,906.43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60" w:hanging="424"/>
        <w:spacing w:after="0" w:line="267" w:lineRule="auto"/>
        <w:tabs>
          <w:tab w:leader="none" w:pos="4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shall also cover any additional shares of common stock, $0.001 par value per share (“Common Stock”) which become issuable under the Registrant’s 2023 Inducement Plan (the “2023 Plan”), the Tango Therapeutics, Inc. 2021 Stock Option and Incentive Plan (the “2021 Plan”) or the Tango Therapeutics, Inc.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4" w:lineRule="exact"/>
        <w:rPr>
          <w:rFonts w:ascii="Arial" w:cs="Arial" w:eastAsia="Arial" w:hAnsi="Arial"/>
          <w:sz w:val="17"/>
          <w:szCs w:val="17"/>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of Common Stock that may become issuable under the Registrant’s 2023 Inducement Plan pursuant to its terms.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 (c) and 457(h)(1) of the Securities Act, and based on</w:t>
      </w:r>
    </w:p>
    <w:p>
      <w:pPr>
        <w:spacing w:after="0" w:line="32" w:lineRule="exact"/>
        <w:rPr>
          <w:rFonts w:ascii="Arial" w:cs="Arial" w:eastAsia="Arial" w:hAnsi="Arial"/>
          <w:sz w:val="16"/>
          <w:szCs w:val="16"/>
          <w:color w:val="auto"/>
        </w:rPr>
      </w:pPr>
    </w:p>
    <w:p>
      <w:pPr>
        <w:ind w:left="424" w:right="40"/>
        <w:spacing w:after="0" w:line="250" w:lineRule="auto"/>
        <w:rPr>
          <w:rFonts w:ascii="Arial" w:cs="Arial" w:eastAsia="Arial" w:hAnsi="Arial"/>
          <w:sz w:val="16"/>
          <w:szCs w:val="16"/>
          <w:color w:val="auto"/>
        </w:rPr>
      </w:pPr>
      <w:r>
        <w:rPr>
          <w:rFonts w:ascii="Arial" w:cs="Arial" w:eastAsia="Arial" w:hAnsi="Arial"/>
          <w:sz w:val="18"/>
          <w:szCs w:val="18"/>
          <w:color w:val="auto"/>
        </w:rPr>
        <w:t>$6.57, the average of the high and low sale prices of the Common Stock of the Registrant as reported on the Nasdaq Global Market on February 6, 2023.</w:t>
      </w:r>
    </w:p>
    <w:p>
      <w:pPr>
        <w:ind w:left="424" w:right="60" w:hanging="424"/>
        <w:spacing w:after="0" w:line="250"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an automatic increase of 4,408,969 shares of common stock to the number of shares available for issuance under the 2021 Plan effective as of January 1, 2023. Shares available for issuance under the 2021 Plan were previously registered on Form S-8 filed with the Securities and Exchange Commission on October 14, 2021 (File No. 333-260258).</w:t>
      </w:r>
    </w:p>
    <w:p>
      <w:pPr>
        <w:spacing w:after="0" w:line="1" w:lineRule="exact"/>
        <w:rPr>
          <w:rFonts w:ascii="Arial" w:cs="Arial" w:eastAsia="Arial" w:hAnsi="Arial"/>
          <w:sz w:val="18"/>
          <w:szCs w:val="18"/>
          <w:color w:val="auto"/>
        </w:rPr>
      </w:pPr>
    </w:p>
    <w:p>
      <w:pPr>
        <w:ind w:left="424" w:right="20" w:hanging="424"/>
        <w:spacing w:after="0" w:line="281" w:lineRule="auto"/>
        <w:tabs>
          <w:tab w:leader="none" w:pos="4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(h)(1) of the Securities Act, and based on $6.57, the average of the high and low sale prices of the Registrant’s common stock as reported on the Nasdaq Global Market on February 6, 2023.</w:t>
      </w:r>
    </w:p>
    <w:p>
      <w:pPr>
        <w:spacing w:after="0" w:line="1" w:lineRule="exact"/>
        <w:rPr>
          <w:rFonts w:ascii="Arial" w:cs="Arial" w:eastAsia="Arial" w:hAnsi="Arial"/>
          <w:sz w:val="16"/>
          <w:szCs w:val="16"/>
          <w:color w:val="auto"/>
        </w:rPr>
      </w:pPr>
    </w:p>
    <w:p>
      <w:pPr>
        <w:jc w:val="both"/>
        <w:ind w:left="424" w:right="660" w:hanging="424"/>
        <w:spacing w:after="0" w:line="250"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an automatic increase of 881,793 shares of common stock to the number of shares available for issuance under the 2021 ESPP effective as of January 1, 2023. Shares available for issuance under the 2021 ESPP were previously registered on Form S-8 filed with the Securities and Exchange Commission on October 14, 2021 (File No. 333-260258).</w:t>
      </w:r>
    </w:p>
    <w:p>
      <w:pPr>
        <w:spacing w:after="0" w:line="1" w:lineRule="exact"/>
        <w:rPr>
          <w:rFonts w:ascii="Arial" w:cs="Arial" w:eastAsia="Arial" w:hAnsi="Arial"/>
          <w:sz w:val="18"/>
          <w:szCs w:val="18"/>
          <w:color w:val="auto"/>
        </w:rPr>
      </w:pPr>
    </w:p>
    <w:p>
      <w:pPr>
        <w:ind w:left="424" w:right="60" w:hanging="424"/>
        <w:spacing w:after="0" w:line="253"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(h)(1) of the Securities Act, and based on 85% of $6.57, the average of the high and low sale prices of the Registrant’s common stock as reported on the Nasdaq Global Market on February 6, 2023. Pursuant to the 2021 ESPP, the purchase price of the shares of common stock reserved for issuance thereunder will be at a maximum discount of 15% of the fair market value of a share of common stock on the first trading day of the applicable offering period or on the last trading day of the applicable offering period, whichever is less.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2"/>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lowerLetter"/>
      <w:start w:val="2"/>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Letter"/>
      <w:start w:val="1"/>
    </w:lvl>
    <w:lvl w:ilvl="1">
      <w:lvlJc w:val="left"/>
      <w:lvlText w:val="(%2)"/>
      <w:numFmt w:val="lowerRoman"/>
      <w:start w:val="1"/>
    </w:lvl>
  </w:abstractNum>
  <w:abstractNum w:abstractNumId="7">
    <w:nsid w:val="75A2A8D4"/>
    <w:multiLevelType w:val="hybridMultilevel"/>
    <w:lvl w:ilvl="0">
      <w:lvlJc w:val="left"/>
      <w:lvlText w:val="(%1)"/>
      <w:numFmt w:val="lowerRoman"/>
      <w:start w:val="5"/>
    </w:lvl>
  </w:abstractNum>
  <w:abstractNum w:abstractNumId="8">
    <w:nsid w:val="8EDBDAB"/>
    <w:multiLevelType w:val="hybridMultilevel"/>
    <w:lvl w:ilvl="0">
      <w:lvlJc w:val="left"/>
      <w:lvlText w:val="%1"/>
      <w:numFmt w:val="lowerLetter"/>
      <w:start w:val="1"/>
    </w:lvl>
    <w:lvl w:ilvl="1">
      <w:lvlJc w:val="left"/>
      <w:lvlText w:val="(%2)"/>
      <w:numFmt w:val="lowerLetter"/>
      <w:start w:val="3"/>
    </w:lvl>
  </w:abstractNum>
  <w:abstractNum w:abstractNumId="9">
    <w:nsid w:val="79838CB2"/>
    <w:multiLevelType w:val="hybridMultilevel"/>
    <w:lvl w:ilvl="0">
      <w:lvlJc w:val="left"/>
      <w:lvlText w:val="(%1)"/>
      <w:numFmt w:val="lowerLetter"/>
      <w:start w:val="22"/>
    </w:lvl>
    <w:lvl w:ilvl="1">
      <w:lvlJc w:val="left"/>
      <w:lvlText w:val="%2"/>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3"/>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2"/>
    </w:lvl>
    <w:lvl w:ilvl="1">
      <w:lvlJc w:val="left"/>
      <w:lvlText w:val="(%2)"/>
      <w:numFmt w:val="lowerRoman"/>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lvl w:ilvl="1">
      <w:lvlJc w:val="left"/>
      <w:lvlText w:val="(%2)"/>
      <w:numFmt w:val="lowerLetter"/>
      <w:start w:val="2"/>
    </w:lvl>
  </w:abstractNum>
  <w:abstractNum w:abstractNumId="17">
    <w:nsid w:val="2901D82"/>
    <w:multiLevelType w:val="hybridMultilevel"/>
    <w:lvl w:ilvl="0">
      <w:lvlJc w:val="left"/>
      <w:lvlText w:val="(%1)"/>
      <w:numFmt w:val="lowerLetter"/>
      <w:start w:val="35"/>
    </w:lvl>
    <w:lvl w:ilvl="1">
      <w:lvlJc w:val="left"/>
      <w:lvlText w:val="(%2)"/>
      <w:numFmt w:val="lowerLetter"/>
      <w:start w:val="3"/>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2"/>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2"/>
    </w:lvl>
  </w:abstractNum>
  <w:abstractNum w:abstractNumId="27">
    <w:nsid w:val="614FD4A1"/>
    <w:multiLevelType w:val="hybridMultilevel"/>
    <w:lvl w:ilvl="0">
      <w:lvlJc w:val="left"/>
      <w:lvlText w:val="(%1)"/>
      <w:numFmt w:val="lowerLetter"/>
      <w:start w:val="7"/>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1."/>
      <w:numFmt w:val="decimal"/>
      <w:start w:val="1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lvl w:ilvl="1">
      <w:lvlJc w:val="left"/>
      <w:lvlText w:val="(%2)"/>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decimal"/>
      <w:start w:val="1"/>
    </w:lvl>
    <w:lvl w:ilvl="1">
      <w:lvlJc w:val="left"/>
      <w:lvlText w:val="(%2)"/>
      <w:numFmt w:val="lowerLetter"/>
      <w:start w:val="3"/>
    </w:lvl>
  </w:abstractNum>
  <w:abstractNum w:abstractNumId="36">
    <w:nsid w:val="2463B9EA"/>
    <w:multiLevelType w:val="hybridMultilevel"/>
    <w:lvl w:ilvl="0">
      <w:lvlJc w:val="left"/>
      <w:lvlText w:val="%1."/>
      <w:numFmt w:val="decimal"/>
      <w:start w:val="3"/>
    </w:lvl>
    <w:lvl w:ilvl="1">
      <w:lvlJc w:val="left"/>
      <w:lvlText w:val="(%2)"/>
      <w:numFmt w:val="lowerLetter"/>
      <w:start w:val="1"/>
    </w:lvl>
  </w:abstractNum>
  <w:abstractNum w:abstractNumId="37">
    <w:nsid w:val="5E884ADC"/>
    <w:multiLevelType w:val="hybridMultilevel"/>
    <w:lvl w:ilvl="0">
      <w:lvlJc w:val="left"/>
      <w:lvlText w:val="%1."/>
      <w:numFmt w:val="decimal"/>
      <w:start w:val="4"/>
    </w:lvl>
  </w:abstractNum>
  <w:abstractNum w:abstractNumId="38">
    <w:nsid w:val="51EAD36B"/>
    <w:multiLevelType w:val="hybridMultilevel"/>
    <w:lvl w:ilvl="0">
      <w:lvlJc w:val="left"/>
      <w:lvlText w:val="%1."/>
      <w:numFmt w:val="decimal"/>
      <w:start w:val="10"/>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jpe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19" Type="http://schemas.openxmlformats.org/officeDocument/2006/relationships/hyperlink" Target="http://www.sec.gov/Archives/edgar/data/1819133/000119312521298942/d211731ds8.htm" TargetMode="External"/><Relationship Id="rId20" Type="http://schemas.openxmlformats.org/officeDocument/2006/relationships/hyperlink" Target="http://www.sec.gov/ix?doc=/Archives/edgar/data/1819133/000095017022004721/tngx-20211231.htm" TargetMode="External"/><Relationship Id="rId22" Type="http://schemas.openxmlformats.org/officeDocument/2006/relationships/hyperlink" Target="http://www.sec.gov/Archives/edgar/data/1819133/000095017022006137/def_14a_proxy_-_tngx_apr.htm" TargetMode="External"/><Relationship Id="rId23" Type="http://schemas.openxmlformats.org/officeDocument/2006/relationships/hyperlink" Target="http://www.sec.gov/ix?doc=/Archives/edgar/data/1819133/000095017022009139/tngx-20220331.htm" TargetMode="External"/><Relationship Id="rId24" Type="http://schemas.openxmlformats.org/officeDocument/2006/relationships/hyperlink" Target="http://www.sec.gov/ix?doc=/Archives/edgar/data/1819133/000095017022016257/tngx-20220630.htm" TargetMode="External"/><Relationship Id="rId25" Type="http://schemas.openxmlformats.org/officeDocument/2006/relationships/hyperlink" Target="http://www.sec.gov/ix?doc=/Archives/edgar/data/1819133/000095017022024219/tngx-20220930.htm" TargetMode="External"/><Relationship Id="rId26" Type="http://schemas.openxmlformats.org/officeDocument/2006/relationships/hyperlink" Target="http://www.sec.gov/ix?doc=/Archives/edgar/data/1819133/000095017022011475/tngx-20220608.htm" TargetMode="External"/><Relationship Id="rId27" Type="http://schemas.openxmlformats.org/officeDocument/2006/relationships/hyperlink" Target="http://www.sec.gov/Archives/edgar/data/1819133/000121390020024994/ea126358-8a12b_bctgacquis.htm" TargetMode="External"/><Relationship Id="rId30" Type="http://schemas.openxmlformats.org/officeDocument/2006/relationships/hyperlink" Target="http://www.sec.gov/Archives/edgar/data/1819133/000119312521269987/d118907dex31.htm" TargetMode="External"/><Relationship Id="rId31" Type="http://schemas.openxmlformats.org/officeDocument/2006/relationships/hyperlink" Target="http://www.sec.gov/Archives/edgar/data/1819133/000119312521298942/d211731dex42.htm" TargetMode="External"/><Relationship Id="rId32" Type="http://schemas.openxmlformats.org/officeDocument/2006/relationships/hyperlink" Target="http://www.sec.gov/Archives/edgar/data/1819133/000121390021037131/ea144230ex4-5_bctgacq.htm" TargetMode="External"/><Relationship Id="rId33" Type="http://schemas.openxmlformats.org/officeDocument/2006/relationships/hyperlink" Target="http://www.sec.gov/Archives/edgar/data/1819133/000095017022004721/tngx-ex4_2.htm" TargetMode="External"/><Relationship Id="rId34" Type="http://schemas.openxmlformats.org/officeDocument/2006/relationships/hyperlink" Target="http://www.sec.gov/Archives/edgar/data/1819133/000119312521246234/d203347dex104.htm" TargetMode="External"/><Relationship Id="rId35" Type="http://schemas.openxmlformats.org/officeDocument/2006/relationships/hyperlink" Target="http://www.sec.gov/Archives/edgar/data/1819133/000119312521246234/d203347dex105.htm" TargetMode="External"/><Relationship Id="rId36"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2023-02-07T15:26:20Z</dcterms:created>
  <dcterms:modified xsi:type="dcterms:W3CDTF">2023-02-07T15:26:20Z</dcterms:modified>
</cp:coreProperties>
</file>