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352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Ketchum John B</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TANGO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201 BROOKLINE AVE., SUITE 901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Tango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TNGX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2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2120" w:type="dxa"/>
            <w:vAlign w:val="bottom"/>
            <w:gridSpan w:val="3"/>
          </w:tcPr>
          <w:p>
            <w:pPr>
              <w:ind w:left="80"/>
              <w:spacing w:after="0"/>
              <w:rPr>
                <w:sz w:val="20"/>
                <w:szCs w:val="20"/>
                <w:color w:val="auto"/>
              </w:rPr>
            </w:pPr>
            <w:r>
              <w:rPr>
                <w:rFonts w:ascii="Arial" w:cs="Arial" w:eastAsia="Arial" w:hAnsi="Arial"/>
                <w:sz w:val="17"/>
                <w:szCs w:val="17"/>
                <w:color w:val="0000FF"/>
              </w:rPr>
              <w:t>08/29/2023</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08/29/2023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10,000</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10,000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7.19</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08/29/2023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60,000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08/29/2033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6"/>
              <w:spacing w:after="0" w:line="189" w:lineRule="exact"/>
              <w:rPr>
                <w:sz w:val="20"/>
                <w:szCs w:val="20"/>
                <w:color w:val="auto"/>
              </w:rPr>
            </w:pPr>
            <w:r>
              <w:rPr>
                <w:rFonts w:ascii="Arial" w:cs="Arial" w:eastAsia="Arial" w:hAnsi="Arial"/>
                <w:sz w:val="17"/>
                <w:szCs w:val="17"/>
                <w:color w:val="0000FF"/>
                <w:w w:val="84"/>
              </w:rPr>
              <w:t>60,000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60,000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60" w:firstLine="2"/>
        <w:spacing w:after="0" w:line="318"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shares are represented by restricted stock units (the "RSUs"). Each RSU represents a contingent right to receive one share of Common Stock of the Issuer. The RSUs will vest in three substantially equal annual installments on each of August 19, 2024, August 18, 2025 and August 17, 2026, subject to the Reporting Person's continuous service with the Issuer as of each such vesting date.</w:t>
      </w:r>
    </w:p>
    <w:p>
      <w:pPr>
        <w:ind w:left="40" w:right="3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shall vest and become exercisable in 36 substantially equal monthly installments over a period of three years beginning on August 29, 2023, subject to the Reporting Person's continuous service with the Issuer as of each such vesting date.</w:t>
      </w:r>
    </w:p>
    <w:p>
      <w:pPr>
        <w:spacing w:after="0" w:line="1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Douglas Barry,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08/31/2023</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91806" TargetMode="External"/><Relationship Id="rId13"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2023-08-31T15:56:27Z</dcterms:created>
  <dcterms:modified xsi:type="dcterms:W3CDTF">2023-08-31T15:56:27Z</dcterms:modified>
</cp:coreProperties>
</file>