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___)</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Tango Therapeutics, Inc.</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87583X109</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September 11, 2023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7,827,636</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7,827,636</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7,827,636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7,827,636</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7,827,636</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7,827,636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7,370,467</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7,370,467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7,370,467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87583X109</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Tango Therapeutics,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201 Brookline Ave., Suite 901, Boston, MA 02215</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shares of </w:t>
      </w:r>
      <w:r>
        <w:rPr>
          <w:rFonts w:ascii="Arial" w:cs="Arial" w:eastAsia="Arial" w:hAnsi="Arial"/>
          <w:sz w:val="20"/>
          <w:szCs w:val="20"/>
          <w:b w:val="1"/>
          <w:bCs w:val="1"/>
          <w:color w:val="auto"/>
        </w:rPr>
        <w:t>Common Stock, par value $0.001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87583X109</w:t>
      </w:r>
      <w:r>
        <w:rPr>
          <w:rFonts w:ascii="Arial" w:cs="Arial" w:eastAsia="Arial" w:hAnsi="Arial"/>
          <w:sz w:val="20"/>
          <w:szCs w:val="20"/>
          <w:color w:val="auto"/>
        </w:rPr>
        <w:t>.</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233"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87583X109</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6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48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percentages reported in this Schedule 13G are based on 101,663,940 shares of Common Stock outstanding as of August 11, 2023, consisting of (1) 88,467,269 shares of Common Stock outstanding as of August 2, 2023, as reported in the Form 10-Q filed by the Issuer on August 7, 2023, and (2) 13,196,671 shares of Common Stock issued in the closing of the private placement disclosed in the Form 8-K filed by the Issuer on August 10, 2023.</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300" w:right="22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0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ectPr>
          <w:pgSz w:w="11900" w:h="16838" w:orient="portrait"/>
          <w:cols w:equalWidth="0" w:num="1">
            <w:col w:w="11080"/>
          </w:cols>
          <w:pgMar w:left="320" w:top="233" w:right="499" w:bottom="118" w:gutter="0" w:footer="0" w:header="0"/>
        </w:sectPr>
      </w:pPr>
    </w:p>
    <w:bookmarkStart w:id="6" w:name="page7"/>
    <w:bookmarkEnd w:id="6"/>
    <w:p>
      <w:pPr>
        <w:ind w:left="660" w:right="680"/>
        <w:spacing w:after="0" w:line="264"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September 21, 2023</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i w:val="1"/>
                <w:iCs w:val="1"/>
                <w:color w:val="auto"/>
                <w:w w:val="91"/>
              </w:rPr>
              <w:t>/s/ 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87583X109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Dated: September 21, 2023</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i w:val="1"/>
                <w:iCs w:val="1"/>
                <w:color w:val="auto"/>
                <w:w w:val="91"/>
              </w:rPr>
              <w:t>/s/ 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2023-09-21T16:29:03Z</dcterms:created>
  <dcterms:modified xsi:type="dcterms:W3CDTF">2023-09-21T16:29:03Z</dcterms:modified>
</cp:coreProperties>
</file>