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Kevin Gillis</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Third Rock Ventures, LLC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201 Brookline Ave, Suite 1401, Boston, MA 02215</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(617) 585-2000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30,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71" w:lineRule="exact"/>
        <w:rPr>
          <w:sz w:val="20"/>
          <w:szCs w:val="20"/>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Rock Ventures IV, L.P.</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WC</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720" w:hanging="90"/>
        <w:spacing w:after="0" w:line="196" w:lineRule="exact"/>
        <w:tabs>
          <w:tab w:leader="none" w:pos="720" w:val="left"/>
        </w:tabs>
        <w:numPr>
          <w:ilvl w:val="1"/>
          <w:numId w:val="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spacing w:after="0" w:line="10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Delaware</w:t>
      </w:r>
    </w:p>
    <w:p>
      <w:pPr>
        <w:spacing w:after="0" w:line="47" w:lineRule="exact"/>
        <w:rPr>
          <w:rFonts w:ascii="Times New Roman" w:cs="Times New Roman" w:eastAsia="Times New Roman" w:hAnsi="Times New Roman"/>
          <w:sz w:val="17"/>
          <w:szCs w:val="17"/>
          <w:color w:val="auto"/>
        </w:rPr>
      </w:pPr>
    </w:p>
    <w:p>
      <w:pPr>
        <w:ind w:left="1640" w:hanging="92"/>
        <w:spacing w:after="0"/>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Pr>
          <w:p>
            <w:pPr>
              <w:spacing w:after="0"/>
              <w:rPr>
                <w:sz w:val="19"/>
                <w:szCs w:val="19"/>
                <w:color w:val="auto"/>
              </w:rPr>
            </w:pPr>
          </w:p>
        </w:tc>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2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20" w:type="dxa"/>
            <w:vAlign w:val="bottom"/>
          </w:tcPr>
          <w:p>
            <w:pPr>
              <w:spacing w:after="0"/>
              <w:rPr>
                <w:sz w:val="18"/>
                <w:szCs w:val="18"/>
                <w:color w:val="auto"/>
              </w:rPr>
            </w:pP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17,001,475</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20" w:type="dxa"/>
            <w:vAlign w:val="bottom"/>
          </w:tcPr>
          <w:p>
            <w:pPr>
              <w:spacing w:after="0"/>
              <w:rPr>
                <w:sz w:val="18"/>
                <w:szCs w:val="18"/>
                <w:color w:val="auto"/>
              </w:rPr>
            </w:pP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52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  17,001,475</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700" w:hanging="83"/>
        <w:spacing w:after="0"/>
        <w:tabs>
          <w:tab w:leader="none" w:pos="700"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17,001,475</w:t>
      </w:r>
    </w:p>
    <w:p>
      <w:pPr>
        <w:spacing w:after="0" w:line="5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00" w:hanging="83"/>
        <w:spacing w:after="0" w:line="184" w:lineRule="exact"/>
        <w:tabs>
          <w:tab w:leader="none" w:pos="700" w:val="left"/>
        </w:tabs>
        <w:numPr>
          <w:ilvl w:val="2"/>
          <w:numId w:val="4"/>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1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700" w:hanging="83"/>
        <w:spacing w:after="0"/>
        <w:tabs>
          <w:tab w:leader="none" w:pos="700"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15.9%*</w:t>
      </w:r>
    </w:p>
    <w:p>
      <w:pPr>
        <w:spacing w:after="0" w:line="5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700" w:hanging="83"/>
        <w:spacing w:after="0"/>
        <w:tabs>
          <w:tab w:leader="none" w:pos="700"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PN</w:t>
      </w:r>
    </w:p>
    <w:p>
      <w:pPr>
        <w:spacing w:after="0" w:line="302" w:lineRule="exact"/>
        <w:rPr>
          <w:rFonts w:ascii="Times New Roman" w:cs="Times New Roman" w:eastAsia="Times New Roman" w:hAnsi="Times New Roman"/>
          <w:sz w:val="16"/>
          <w:szCs w:val="16"/>
          <w:color w:val="auto"/>
        </w:rPr>
      </w:pPr>
    </w:p>
    <w:p>
      <w:pPr>
        <w:ind w:left="420" w:hanging="432"/>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percent of class was calculated based on 107,144,465 shares of common stock issued and outstanding as of August 1, 2024, as disclosed in the Issuer’s 10-Q filed with the Securities and Exchange Commission on August 7, 2024.</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87583X109</w:t>
      </w:r>
    </w:p>
    <w:p>
      <w:pPr>
        <w:spacing w:after="0" w:line="171"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Rock Ventures GP IV, L.P.</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720" w:hanging="90"/>
        <w:spacing w:after="0" w:line="196" w:lineRule="exact"/>
        <w:tabs>
          <w:tab w:leader="none" w:pos="720" w:val="left"/>
        </w:tabs>
        <w:numPr>
          <w:ilvl w:val="1"/>
          <w:numId w:val="6"/>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spacing w:after="0" w:line="10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Delaware</w:t>
      </w:r>
    </w:p>
    <w:p>
      <w:pPr>
        <w:spacing w:after="0" w:line="47" w:lineRule="exact"/>
        <w:rPr>
          <w:rFonts w:ascii="Times New Roman" w:cs="Times New Roman" w:eastAsia="Times New Roman" w:hAnsi="Times New Roman"/>
          <w:sz w:val="17"/>
          <w:szCs w:val="17"/>
          <w:color w:val="auto"/>
        </w:rPr>
      </w:pPr>
    </w:p>
    <w:p>
      <w:pPr>
        <w:ind w:left="1640" w:hanging="92"/>
        <w:spacing w:after="0"/>
        <w:tabs>
          <w:tab w:leader="none" w:pos="16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Pr>
          <w:p>
            <w:pPr>
              <w:spacing w:after="0"/>
              <w:rPr>
                <w:sz w:val="19"/>
                <w:szCs w:val="19"/>
                <w:color w:val="auto"/>
              </w:rPr>
            </w:pPr>
          </w:p>
        </w:tc>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2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20" w:type="dxa"/>
            <w:vAlign w:val="bottom"/>
          </w:tcPr>
          <w:p>
            <w:pPr>
              <w:spacing w:after="0"/>
              <w:rPr>
                <w:sz w:val="18"/>
                <w:szCs w:val="18"/>
                <w:color w:val="auto"/>
              </w:rPr>
            </w:pP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17,001,475</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20" w:type="dxa"/>
            <w:vAlign w:val="bottom"/>
          </w:tcPr>
          <w:p>
            <w:pPr>
              <w:spacing w:after="0"/>
              <w:rPr>
                <w:sz w:val="18"/>
                <w:szCs w:val="18"/>
                <w:color w:val="auto"/>
              </w:rPr>
            </w:pP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52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  17,001,475</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700" w:hanging="83"/>
        <w:spacing w:after="0"/>
        <w:tabs>
          <w:tab w:leader="none" w:pos="70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17,001,475</w:t>
      </w:r>
    </w:p>
    <w:p>
      <w:pPr>
        <w:spacing w:after="0" w:line="5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00" w:hanging="83"/>
        <w:spacing w:after="0" w:line="184" w:lineRule="exact"/>
        <w:tabs>
          <w:tab w:leader="none" w:pos="700" w:val="left"/>
        </w:tabs>
        <w:numPr>
          <w:ilvl w:val="2"/>
          <w:numId w:val="7"/>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1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700" w:hanging="83"/>
        <w:spacing w:after="0"/>
        <w:tabs>
          <w:tab w:leader="none" w:pos="70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15.9%*</w:t>
      </w:r>
    </w:p>
    <w:p>
      <w:pPr>
        <w:spacing w:after="0" w:line="5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700" w:hanging="83"/>
        <w:spacing w:after="0"/>
        <w:tabs>
          <w:tab w:leader="none" w:pos="70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PN</w:t>
      </w:r>
    </w:p>
    <w:p>
      <w:pPr>
        <w:spacing w:after="0" w:line="302" w:lineRule="exact"/>
        <w:rPr>
          <w:rFonts w:ascii="Times New Roman" w:cs="Times New Roman" w:eastAsia="Times New Roman" w:hAnsi="Times New Roman"/>
          <w:sz w:val="16"/>
          <w:szCs w:val="16"/>
          <w:color w:val="auto"/>
        </w:rPr>
      </w:pPr>
    </w:p>
    <w:p>
      <w:pPr>
        <w:ind w:left="420" w:hanging="432"/>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percent of class was calculated based on 107,144,465 shares of common stock issued and outstanding as of August 1, 2024, as disclosed in the Issuer’s 10-Q filed with the Securities and Exchange Commission on August 7, 2024.</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71"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TRV GP IV, LLC</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720" w:hanging="90"/>
        <w:spacing w:after="0" w:line="196" w:lineRule="exact"/>
        <w:tabs>
          <w:tab w:leader="none" w:pos="720" w:val="left"/>
        </w:tabs>
        <w:numPr>
          <w:ilvl w:val="1"/>
          <w:numId w:val="9"/>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spacing w:after="0" w:line="10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720" w:hanging="90"/>
        <w:spacing w:after="0"/>
        <w:tabs>
          <w:tab w:leader="none" w:pos="7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Delaware</w:t>
      </w:r>
    </w:p>
    <w:p>
      <w:pPr>
        <w:spacing w:after="0" w:line="47" w:lineRule="exact"/>
        <w:rPr>
          <w:rFonts w:ascii="Times New Roman" w:cs="Times New Roman" w:eastAsia="Times New Roman" w:hAnsi="Times New Roman"/>
          <w:sz w:val="17"/>
          <w:szCs w:val="17"/>
          <w:color w:val="auto"/>
        </w:rPr>
      </w:pPr>
    </w:p>
    <w:p>
      <w:pPr>
        <w:ind w:left="1640" w:hanging="92"/>
        <w:spacing w:after="0"/>
        <w:tabs>
          <w:tab w:leader="none" w:pos="16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Pr>
          <w:p>
            <w:pPr>
              <w:spacing w:after="0"/>
              <w:rPr>
                <w:sz w:val="19"/>
                <w:szCs w:val="19"/>
                <w:color w:val="auto"/>
              </w:rPr>
            </w:pPr>
          </w:p>
        </w:tc>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2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20" w:type="dxa"/>
            <w:vAlign w:val="bottom"/>
          </w:tcPr>
          <w:p>
            <w:pPr>
              <w:spacing w:after="0"/>
              <w:rPr>
                <w:sz w:val="18"/>
                <w:szCs w:val="18"/>
                <w:color w:val="auto"/>
              </w:rPr>
            </w:pP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17,001,475</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20" w:type="dxa"/>
            <w:vAlign w:val="bottom"/>
          </w:tcPr>
          <w:p>
            <w:pPr>
              <w:spacing w:after="0"/>
              <w:rPr>
                <w:sz w:val="18"/>
                <w:szCs w:val="18"/>
                <w:color w:val="auto"/>
              </w:rPr>
            </w:pPr>
          </w:p>
        </w:tc>
        <w:tc>
          <w:tcPr>
            <w:tcW w:w="8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52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  17,001,475</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700" w:hanging="83"/>
        <w:spacing w:after="0"/>
        <w:tabs>
          <w:tab w:leader="none" w:pos="70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17,001,475</w:t>
      </w:r>
    </w:p>
    <w:p>
      <w:pPr>
        <w:spacing w:after="0" w:line="5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00" w:hanging="83"/>
        <w:spacing w:after="0" w:line="184" w:lineRule="exact"/>
        <w:tabs>
          <w:tab w:leader="none" w:pos="700" w:val="left"/>
        </w:tabs>
        <w:numPr>
          <w:ilvl w:val="2"/>
          <w:numId w:val="10"/>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1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700" w:hanging="83"/>
        <w:spacing w:after="0"/>
        <w:tabs>
          <w:tab w:leader="none" w:pos="70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15.9%*</w:t>
      </w:r>
    </w:p>
    <w:p>
      <w:pPr>
        <w:spacing w:after="0" w:line="59" w:lineRule="exact"/>
        <w:rPr>
          <w:rFonts w:ascii="Times New Roman" w:cs="Times New Roman" w:eastAsia="Times New Roman" w:hAnsi="Times New Roman"/>
          <w:sz w:val="16"/>
          <w:szCs w:val="16"/>
          <w:color w:val="auto"/>
        </w:rPr>
      </w:pPr>
    </w:p>
    <w:p>
      <w:pPr>
        <w:ind w:left="620" w:hanging="467"/>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700" w:hanging="83"/>
        <w:spacing w:after="0"/>
        <w:tabs>
          <w:tab w:leader="none" w:pos="70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OO</w:t>
      </w:r>
    </w:p>
    <w:p>
      <w:pPr>
        <w:spacing w:after="0" w:line="302" w:lineRule="exact"/>
        <w:rPr>
          <w:rFonts w:ascii="Times New Roman" w:cs="Times New Roman" w:eastAsia="Times New Roman" w:hAnsi="Times New Roman"/>
          <w:sz w:val="16"/>
          <w:szCs w:val="16"/>
          <w:color w:val="auto"/>
        </w:rPr>
      </w:pPr>
    </w:p>
    <w:p>
      <w:pPr>
        <w:ind w:left="420" w:hanging="432"/>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percent of class was calculated based on 107,144,465 shares of common stock issued and outstanding as of August 1, 2024, as disclosed in the Issuer’s 10-Q filed with the Securities and Exchange Commission on August 7, 2024.</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EXPLANATORY STATEMENT</w:t>
      </w:r>
    </w:p>
    <w:p>
      <w:pPr>
        <w:spacing w:after="0" w:line="117"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This Amendment No. 1(this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Schedule 13D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filed by the Reporting Persons on August 19, 2021, with respect to the shares of 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Tango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transactions described in Item 5(c) resulted in a decrease of over one percent (1%) in the aggregate percentage ownership reported by the Reporting Persons in the Schedule 13D. Except as specifically provided herein, this Amendment does not modify any of the information previously reported in the Schedule 13D.</w:t>
      </w:r>
    </w:p>
    <w:p>
      <w:pPr>
        <w:spacing w:after="0" w:line="328"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5(a)-(c) is hereby amended and restated as follows:</w:t>
      </w:r>
    </w:p>
    <w:p>
      <w:pPr>
        <w:spacing w:after="0" w:line="117" w:lineRule="exact"/>
        <w:rPr>
          <w:sz w:val="20"/>
          <w:szCs w:val="20"/>
          <w:color w:val="auto"/>
        </w:rPr>
      </w:pPr>
    </w:p>
    <w:p>
      <w:pPr>
        <w:ind w:left="4" w:right="640" w:hanging="4"/>
        <w:spacing w:after="0" w:line="282"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30, 2024, TRV IV had shared voting and dispositive power with respect to 17,001,475 shares of the Issuer’s Common Stock, constituting approximately 15.9% of the Issuer’s outstanding Common Stock.</w:t>
      </w:r>
    </w:p>
    <w:p>
      <w:pPr>
        <w:spacing w:after="0" w:line="158"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color w:val="auto"/>
        </w:rPr>
        <w:t>As of August 30, 2024, Third Rock Ventures GP IV, L.P. (“</w:t>
      </w:r>
      <w:r>
        <w:rPr>
          <w:rFonts w:ascii="Times New Roman" w:cs="Times New Roman" w:eastAsia="Times New Roman" w:hAnsi="Times New Roman"/>
          <w:sz w:val="18"/>
          <w:szCs w:val="18"/>
          <w:b w:val="1"/>
          <w:bCs w:val="1"/>
          <w:color w:val="auto"/>
        </w:rPr>
        <w:t>TRV GP IV</w:t>
      </w:r>
      <w:r>
        <w:rPr>
          <w:rFonts w:ascii="Times New Roman" w:cs="Times New Roman" w:eastAsia="Times New Roman" w:hAnsi="Times New Roman"/>
          <w:sz w:val="18"/>
          <w:szCs w:val="18"/>
          <w:color w:val="auto"/>
        </w:rPr>
        <w:t>”), as the general partner of TRV IV may be deemed to have shared voting and dispositive power with respect to all 17,001,475 shares of the Issuer’s Common Stock owned by TRV IV, constituting approximately 15.9% of the Issuer’s outstanding Common Stock.</w:t>
      </w:r>
    </w:p>
    <w:p>
      <w:pPr>
        <w:spacing w:after="0" w:line="171" w:lineRule="exact"/>
        <w:rPr>
          <w:sz w:val="20"/>
          <w:szCs w:val="20"/>
          <w:color w:val="auto"/>
        </w:rPr>
      </w:pPr>
    </w:p>
    <w:p>
      <w:pPr>
        <w:ind w:left="4" w:right="380"/>
        <w:spacing w:after="0" w:line="268" w:lineRule="auto"/>
        <w:rPr>
          <w:sz w:val="20"/>
          <w:szCs w:val="20"/>
          <w:color w:val="auto"/>
        </w:rPr>
      </w:pPr>
      <w:r>
        <w:rPr>
          <w:rFonts w:ascii="Times New Roman" w:cs="Times New Roman" w:eastAsia="Times New Roman" w:hAnsi="Times New Roman"/>
          <w:sz w:val="18"/>
          <w:szCs w:val="18"/>
          <w:color w:val="auto"/>
        </w:rPr>
        <w:t>As of August 30, 2024, TRV GP IV, LLC (“</w:t>
      </w:r>
      <w:r>
        <w:rPr>
          <w:rFonts w:ascii="Times New Roman" w:cs="Times New Roman" w:eastAsia="Times New Roman" w:hAnsi="Times New Roman"/>
          <w:sz w:val="18"/>
          <w:szCs w:val="18"/>
          <w:b w:val="1"/>
          <w:bCs w:val="1"/>
          <w:color w:val="auto"/>
        </w:rPr>
        <w:t>TRV GP IV LLC</w:t>
      </w:r>
      <w:r>
        <w:rPr>
          <w:rFonts w:ascii="Times New Roman" w:cs="Times New Roman" w:eastAsia="Times New Roman" w:hAnsi="Times New Roman"/>
          <w:sz w:val="18"/>
          <w:szCs w:val="18"/>
          <w:color w:val="auto"/>
        </w:rPr>
        <w:t>,” and collectively with TRV IV and TRV GP IV,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as the general partner of TRV GP IV may be deemed to have shared voting and dispositive power with respect to all 17,001,475 shares of the Issuer’s Common Stock owned by TRV IV, constituting approximately 15.9% of the Issuer’s outstanding Common Stock.</w:t>
      </w:r>
    </w:p>
    <w:p>
      <w:pPr>
        <w:spacing w:after="0" w:line="175"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percent of class was calculated based on 107,144,465 shares of common stock issued and outstanding as of August 1, 2024, as disclosed in the Issuer’s 10-Q filed with the Securities and Exchange Commission on August 7, 2024.</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Regarding the number of shares as to which such person has:</w:t>
      </w:r>
    </w:p>
    <w:p>
      <w:pPr>
        <w:spacing w:after="0" w:line="117" w:lineRule="exact"/>
        <w:rPr>
          <w:sz w:val="20"/>
          <w:szCs w:val="20"/>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cover sheets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cover sheets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See line 9 of cover sheets.</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cover sheets</w:t>
      </w:r>
    </w:p>
    <w:p>
      <w:pPr>
        <w:spacing w:after="0" w:line="225" w:lineRule="exact"/>
        <w:rPr>
          <w:sz w:val="20"/>
          <w:szCs w:val="20"/>
          <w:color w:val="auto"/>
        </w:rPr>
      </w:pPr>
    </w:p>
    <w:p>
      <w:pPr>
        <w:ind w:left="4" w:hanging="4"/>
        <w:spacing w:after="0" w:line="282"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table below, no transactions in the Common Stock were effected by the Reporting Persons during the 60-day period ended August 30, 2024.</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2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Where and</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How Effected</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07/17/2024</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550,171</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9.7903*</w:t>
            </w:r>
          </w:p>
        </w:tc>
        <w:tc>
          <w:tcPr>
            <w:tcW w:w="3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Disposed in the Open Market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07/18/2024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191,490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9.8098</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07/22/2024</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262,740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9.7819*</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07/23/2024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9.7868*</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07/24/2024</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9.8158*</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07/25/2024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100,599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9.8686*</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07/26/2024</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9.839*</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07/30/2024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9.8012*</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07/31/2024</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9.9338*</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08/01/2024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08/16/2024</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9.7885*</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08/19/2024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10.0928*</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08/27/2024</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11.5466*</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08/30/2024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11.5983</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Disposed in the Open Market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The price reported is a weighted average price. These shares were sold in multiple transactions.</w:t>
      </w:r>
    </w:p>
    <w:p>
      <w:pPr>
        <w:sectPr>
          <w:pgSz w:w="11900" w:h="16838" w:orient="portrait"/>
          <w:cols w:equalWidth="0" w:num="1">
            <w:col w:w="10864"/>
          </w:cols>
          <w:pgMar w:left="436" w:top="270"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THIRD ROCK VENTURES GP IV,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TRV GP IV,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THIRD ROCK VENTURES GP IV,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TRV GP IV, LLC,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TRV GP IV,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Operating Officer</w:t>
      </w:r>
    </w:p>
    <w:sectPr>
      <w:pgSz w:w="11900" w:h="16838" w:orient="portrait"/>
      <w:cols w:equalWidth="0" w:num="1">
        <w:col w:w="10640"/>
      </w:cols>
      <w:pgMar w:left="440" w:top="27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
      <w:numFmt w:val="bullet"/>
      <w:start w:val="1"/>
    </w:lvl>
    <w:lvl w:ilvl="1">
      <w:lvlJc w:val="left"/>
      <w:lvlText w:val=" "/>
      <w:numFmt w:val="bullet"/>
      <w:start w:val="1"/>
    </w:lvl>
  </w:abstractNum>
  <w:abstractNum w:abstractNumId="2">
    <w:nsid w:val="7545E14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515F007C"/>
    <w:multiLevelType w:val="hybridMultilevel"/>
    <w:lvl w:ilvl="0">
      <w:lvlJc w:val="left"/>
      <w:lvlText w:val="*"/>
      <w:numFmt w:val="bullet"/>
      <w:start w:val="1"/>
    </w:lvl>
    <w:lvl w:ilvl="1">
      <w:lvlJc w:val="left"/>
      <w:lvlText w:val="(%2)"/>
      <w:numFmt w:val="decimal"/>
      <w:start w:val="11"/>
    </w:lvl>
    <w:lvl w:ilvl="2">
      <w:lvlJc w:val="left"/>
      <w:lvlText w:val=" "/>
      <w:numFmt w:val="bullet"/>
      <w:start w:val="1"/>
    </w:lvl>
  </w:abstractNum>
  <w:abstractNum w:abstractNumId="4">
    <w:nsid w:val="5BD062C2"/>
    <w:multiLevelType w:val="hybridMultilevel"/>
    <w:lvl w:ilvl="0">
      <w:lvlJc w:val="left"/>
      <w:lvlText w:val=" "/>
      <w:numFmt w:val="bullet"/>
      <w:start w:val="1"/>
    </w:lvl>
    <w:lvl w:ilvl="1">
      <w:lvlJc w:val="left"/>
      <w:lvlText w:val=" "/>
      <w:numFmt w:val="bullet"/>
      <w:start w:val="1"/>
    </w:lvl>
  </w:abstractNum>
  <w:abstractNum w:abstractNumId="5">
    <w:nsid w:val="1220085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4DB127F8"/>
    <w:multiLevelType w:val="hybridMultilevel"/>
    <w:lvl w:ilvl="0">
      <w:lvlJc w:val="left"/>
      <w:lvlText w:val="*"/>
      <w:numFmt w:val="bullet"/>
      <w:start w:val="1"/>
    </w:lvl>
    <w:lvl w:ilvl="1">
      <w:lvlJc w:val="left"/>
      <w:lvlText w:val="(%2)"/>
      <w:numFmt w:val="decimal"/>
      <w:start w:val="11"/>
    </w:lvl>
    <w:lvl w:ilvl="2">
      <w:lvlJc w:val="left"/>
      <w:lvlText w:val=" "/>
      <w:numFmt w:val="bullet"/>
      <w:start w:val="1"/>
    </w:lvl>
  </w:abstractNum>
  <w:abstractNum w:abstractNumId="7">
    <w:nsid w:val="216231B"/>
    <w:multiLevelType w:val="hybridMultilevel"/>
    <w:lvl w:ilvl="0">
      <w:lvlJc w:val="left"/>
      <w:lvlText w:val=" "/>
      <w:numFmt w:val="bullet"/>
      <w:start w:val="1"/>
    </w:lvl>
    <w:lvl w:ilvl="1">
      <w:lvlJc w:val="left"/>
      <w:lvlText w:val=" "/>
      <w:numFmt w:val="bullet"/>
      <w:start w:val="1"/>
    </w:lvl>
  </w:abstractNum>
  <w:abstractNum w:abstractNumId="8">
    <w:nsid w:val="1F16E9E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1190CDE7"/>
    <w:multiLevelType w:val="hybridMultilevel"/>
    <w:lvl w:ilvl="0">
      <w:lvlJc w:val="left"/>
      <w:lvlText w:val="*"/>
      <w:numFmt w:val="bullet"/>
      <w:start w:val="1"/>
    </w:lvl>
    <w:lvl w:ilvl="1">
      <w:lvlJc w:val="left"/>
      <w:lvlText w:val="(%2)"/>
      <w:numFmt w:val="decimal"/>
      <w:start w:val="11"/>
    </w:lvl>
    <w:lvl w:ilvl="2">
      <w:lvlJc w:val="left"/>
      <w:lvlText w:val=" "/>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2024-09-04T19:57:33Z</dcterms:created>
  <dcterms:modified xsi:type="dcterms:W3CDTF">2024-09-04T19:57:33Z</dcterms:modified>
</cp:coreProperties>
</file>