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TANGO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10/30/2026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25,285,740.00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25,286,624.00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25,286,624.00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25,286,624.00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25,286,624.00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5220"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15.0 %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11"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TANGO THERAPEUTICS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201 BROOKLINE AVENUE,SUITE 901,BOSTON,MA,USA,02215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FMR LLC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520"/>
        <w:spacing w:after="0" w:line="241" w:lineRule="auto"/>
        <w:rPr>
          <w:sz w:val="20"/>
          <w:szCs w:val="20"/>
          <w:color w:val="auto"/>
        </w:rPr>
      </w:pPr>
      <w:r>
        <w:rPr>
          <w:sz w:val="1"/>
          <w:szCs w:val="1"/>
          <w:color w:val="auto"/>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25286624.00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9720"/>
          </w:cols>
          <w:pgMar w:left="360" w:top="111" w:right="899" w:bottom="0"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15.0 %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jc w:val="right"/>
        <w:ind w:right="4540"/>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ectPr>
          <w:pgSz w:w="11900" w:h="16838" w:orient="portrait"/>
          <w:cols w:equalWidth="0" w:num="1">
            <w:col w:w="10640"/>
          </w:cols>
          <w:pgMar w:left="360" w:top="111" w:right="899"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25286624.00</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COMMON STOCK of TANGO THERAPEUTICS INC. No one other person's interest in the COMMON STOCK of TANGO THERAPEUTICS INC is more than five percent of the total outstanding COMMON STOCK.</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409"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ind w:left="566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effective as of January 3, 2023, by and on behalf</w:t>
      </w:r>
    </w:p>
    <w:p>
      <w:pPr>
        <w:ind w:left="6740"/>
        <w:spacing w:after="0" w:line="231" w:lineRule="auto"/>
        <w:rPr>
          <w:sz w:val="20"/>
          <w:szCs w:val="20"/>
          <w:color w:val="auto"/>
        </w:rPr>
      </w:pPr>
      <w:r>
        <w:rPr>
          <w:rFonts w:ascii="Times New Roman" w:cs="Times New Roman" w:eastAsia="Times New Roman" w:hAnsi="Times New Roman"/>
          <w:sz w:val="22"/>
          <w:szCs w:val="22"/>
          <w:color w:val="auto"/>
        </w:rPr>
        <w:t>of FMR LLC and its direct and indirect</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11/05/2026</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ectPr>
          <w:pgSz w:w="11900" w:h="16838" w:orient="portrait"/>
          <w:cols w:equalWidth="0" w:num="1">
            <w:col w:w="11140"/>
          </w:cols>
          <w:pgMar w:left="360" w:top="409" w:right="399" w:bottom="0" w:gutter="0" w:footer="0" w:header="0"/>
          <w:type w:val="continuous"/>
        </w:sectPr>
      </w:pPr>
    </w:p>
    <w:bookmarkStart w:id="4" w:name="page5"/>
    <w:bookmarkEnd w:id="4"/>
    <w:p>
      <w:pPr>
        <w:ind w:left="5700"/>
        <w:spacing w:after="0"/>
        <w:rPr>
          <w:sz w:val="20"/>
          <w:szCs w:val="20"/>
          <w:color w:val="auto"/>
        </w:rPr>
      </w:pPr>
      <w:r>
        <w:rPr>
          <w:rFonts w:ascii="Times New Roman" w:cs="Times New Roman" w:eastAsia="Times New Roman" w:hAnsi="Times New Roman"/>
          <w:sz w:val="22"/>
          <w:szCs w:val="22"/>
          <w:color w:val="auto"/>
        </w:rPr>
        <w:t>Name/Title: Duly authorized under Power of Attorney</w:t>
      </w:r>
    </w:p>
    <w:p>
      <w:pPr>
        <w:spacing w:after="0" w:line="1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1"/>
          <w:szCs w:val="21"/>
          <w:color w:val="auto"/>
        </w:rPr>
        <w:t>effective as of January 26, 2023, by and on behalf</w:t>
      </w:r>
    </w:p>
    <w:p>
      <w:pPr>
        <w:spacing w:after="0" w:line="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of Abigail P. Johnson**</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11/05/2026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 This power of attorney is incorporated herein by reference to Exhibit 24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Schedule 13G filed by FMR LLC on January 10, 2023, accession number: 0000315066-23-000003. ** This power of attorney is incorporated herein by reference to Exhibit 24 to the Schedule 13G filed by FMR LLC on January 31, 2023, accession number: 0000315066-23-000038.</w:t>
      </w:r>
    </w:p>
    <w:p>
      <w:pPr>
        <w:spacing w:after="0" w:line="4" w:lineRule="exact"/>
        <w:rPr>
          <w:sz w:val="20"/>
          <w:szCs w:val="20"/>
          <w:color w:val="auto"/>
        </w:rPr>
      </w:pPr>
    </w:p>
    <w:p>
      <w:pPr>
        <w:jc w:val="center"/>
        <w:ind w:right="680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120"/>
          </w:cols>
          <w:pgMar w:left="320" w:top="112" w:right="45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110" w:right="1440" w:bottom="1440" w:gutter="0" w:footer="0" w:header="0"/>
        </w:sectPr>
      </w:pP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110" w:right="1440" w:bottom="1440" w:gutter="0" w:footer="0" w:header="0"/>
          <w:type w:val="continuous"/>
        </w:sectPr>
      </w:pPr>
    </w:p>
    <w:p>
      <w:pPr>
        <w:spacing w:after="0" w:line="2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Institutional Asset Management Trust Company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Management &amp; Research Company LLC * IA</w:t>
      </w:r>
    </w:p>
    <w:p>
      <w:pPr>
        <w:spacing w:after="0"/>
        <w:tabs>
          <w:tab w:leader="none" w:pos="3680" w:val="left"/>
        </w:tabs>
        <w:rPr>
          <w:sz w:val="20"/>
          <w:szCs w:val="20"/>
          <w:color w:val="auto"/>
        </w:rPr>
      </w:pPr>
      <w:r>
        <w:rPr>
          <w:rFonts w:ascii="Courier New" w:cs="Courier New" w:eastAsia="Courier New" w:hAnsi="Courier New"/>
          <w:sz w:val="18"/>
          <w:szCs w:val="18"/>
          <w:color w:val="auto"/>
        </w:rPr>
        <w:t>Fidelity Management Trust Company</w:t>
      </w:r>
      <w:r>
        <w:rPr>
          <w:sz w:val="20"/>
          <w:szCs w:val="20"/>
          <w:color w:val="auto"/>
        </w:rPr>
        <w:tab/>
      </w:r>
      <w:r>
        <w:rPr>
          <w:rFonts w:ascii="Courier New" w:cs="Courier New" w:eastAsia="Courier New" w:hAnsi="Courier New"/>
          <w:sz w:val="16"/>
          <w:szCs w:val="16"/>
          <w:color w:val="auto"/>
        </w:rPr>
        <w:t>BK</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pacing w:after="0" w:line="495" w:lineRule="exact"/>
        <w:rPr>
          <w:sz w:val="20"/>
          <w:szCs w:val="20"/>
          <w:color w:val="auto"/>
        </w:rPr>
      </w:pPr>
    </w:p>
    <w:p>
      <w:pPr>
        <w:sectPr>
          <w:pgSz w:w="11900" w:h="16838" w:orient="portrait"/>
          <w:cols w:equalWidth="0" w:num="2">
            <w:col w:w="5580" w:space="220"/>
            <w:col w:w="4339"/>
          </w:cols>
          <w:pgMar w:left="320" w:top="110" w:right="1440" w:bottom="1440" w:gutter="0" w:footer="0" w:header="0"/>
          <w:type w:val="continuous"/>
        </w:sectPr>
      </w:pP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311" w:lineRule="exact"/>
        <w:rPr>
          <w:sz w:val="20"/>
          <w:szCs w:val="20"/>
          <w:color w:val="auto"/>
        </w:rPr>
      </w:pPr>
    </w:p>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The undersigned persons, on November 5, 2026, agree and consent to the joint filing on their behalf of this Schedule 13G in connection with their beneficial ownership of the COMMON STOCK of TANGO THERAPEUTICS INC at October 30, 2026.</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11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1"/>
      <w:numFmt w:val="decimal"/>
      <w:start w:val="11"/>
    </w:lvl>
  </w:abstractNum>
  <w:abstractNum w:abstractNumId="4">
    <w:nsid w:val="41B71EFB"/>
    <w:multiLevelType w:val="hybridMultilevel"/>
    <w:lvl w:ilvl="0">
      <w:lvlJc w:val="left"/>
      <w:lvlText w:val="(%1)"/>
      <w:numFmt w:val="lowerLetter"/>
      <w:start w:val="3"/>
    </w:lvl>
  </w:abstractNum>
  <w:abstractNum w:abstractNumId="5">
    <w:nsid w:val="79E2A9E3"/>
    <w:multiLevelType w:val="hybridMultilevel"/>
    <w:lvl w:ilvl="0">
      <w:lvlJc w:val="left"/>
      <w:lvlText w:val="(%1)"/>
      <w:numFmt w:val="lowerRoman"/>
      <w:start w:val="2"/>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2026-11-06T08:46:34Z</dcterms:created>
  <dcterms:modified xsi:type="dcterms:W3CDTF">2026-11-06T08:46:34Z</dcterms:modified>
</cp:coreProperties>
</file>