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480" w:type="dxa"/>
            <w:vAlign w:val="bottom"/>
            <w:gridSpan w:val="3"/>
          </w:tcPr>
          <w:p>
            <w:pPr>
              <w:ind w:left="120"/>
              <w:spacing w:after="0"/>
              <w:rPr>
                <w:sz w:val="20"/>
                <w:szCs w:val="20"/>
                <w:color w:val="auto"/>
              </w:rPr>
            </w:pPr>
            <w:r>
              <w:rPr>
                <w:rFonts w:ascii="Arial" w:cs="Arial" w:eastAsia="Arial" w:hAnsi="Arial"/>
                <w:sz w:val="18"/>
                <w:szCs w:val="18"/>
                <w:b w:val="1"/>
                <w:bCs w:val="1"/>
                <w:color w:val="auto"/>
                <w:w w:val="92"/>
              </w:rPr>
              <w:t>For the transition period from</w:t>
            </w:r>
          </w:p>
        </w:tc>
        <w:tc>
          <w:tcPr>
            <w:tcW w:w="1260" w:type="dxa"/>
            <w:vAlign w:val="bottom"/>
            <w:tcBorders>
              <w:bottom w:val="single" w:sz="8" w:color="auto"/>
            </w:tcBorders>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to________________</w:t>
            </w:r>
          </w:p>
        </w:tc>
      </w:tr>
      <w:tr>
        <w:trPr>
          <w:trHeight w:val="519"/>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5"/>
          </w:tcPr>
          <w:p>
            <w:pPr>
              <w:jc w:val="center"/>
              <w:ind w:right="3730"/>
              <w:spacing w:after="0"/>
              <w:rPr>
                <w:sz w:val="20"/>
                <w:szCs w:val="20"/>
                <w:color w:val="auto"/>
              </w:rPr>
            </w:pPr>
            <w:r>
              <w:rPr>
                <w:rFonts w:ascii="Arial" w:cs="Arial" w:eastAsia="Arial" w:hAnsi="Arial"/>
                <w:sz w:val="25"/>
                <w:szCs w:val="25"/>
                <w:b w:val="1"/>
                <w:bCs w:val="1"/>
                <w:color w:val="auto"/>
              </w:rPr>
              <w:t>BCTG ACQUISITION CORP.</w:t>
            </w:r>
          </w:p>
        </w:tc>
      </w:tr>
      <w:tr>
        <w:trPr>
          <w:trHeight w:val="230"/>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gridSpan w:val="6"/>
          </w:tcPr>
          <w:p>
            <w:pPr>
              <w:jc w:val="center"/>
              <w:ind w:right="3530"/>
              <w:spacing w:after="0"/>
              <w:rPr>
                <w:sz w:val="20"/>
                <w:szCs w:val="20"/>
                <w:color w:val="auto"/>
              </w:rPr>
            </w:pPr>
            <w:r>
              <w:rPr>
                <w:rFonts w:ascii="Arial" w:cs="Arial" w:eastAsia="Arial" w:hAnsi="Arial"/>
                <w:sz w:val="18"/>
                <w:szCs w:val="18"/>
                <w:color w:val="auto"/>
                <w:w w:val="91"/>
              </w:rPr>
              <w:t>(Exact Name of Registrant as Specified in Charter)</w:t>
            </w:r>
          </w:p>
        </w:tc>
      </w:tr>
      <w:tr>
        <w:trPr>
          <w:trHeight w:val="439"/>
        </w:trPr>
        <w:tc>
          <w:tcPr>
            <w:tcW w:w="2900" w:type="dxa"/>
            <w:vAlign w:val="bottom"/>
          </w:tcPr>
          <w:p>
            <w:pPr>
              <w:jc w:val="center"/>
              <w:ind w:left="630"/>
              <w:spacing w:after="0"/>
              <w:rPr>
                <w:sz w:val="20"/>
                <w:szCs w:val="20"/>
                <w:color w:val="auto"/>
              </w:rPr>
            </w:pPr>
            <w:r>
              <w:rPr>
                <w:rFonts w:ascii="Arial" w:cs="Arial" w:eastAsia="Arial" w:hAnsi="Arial"/>
                <w:sz w:val="18"/>
                <w:szCs w:val="18"/>
                <w:color w:val="auto"/>
                <w:w w:val="92"/>
              </w:rPr>
              <w:t>Delaware</w:t>
            </w:r>
          </w:p>
        </w:tc>
        <w:tc>
          <w:tcPr>
            <w:tcW w:w="3740" w:type="dxa"/>
            <w:vAlign w:val="bottom"/>
            <w:gridSpan w:val="4"/>
          </w:tcPr>
          <w:p>
            <w:pPr>
              <w:jc w:val="center"/>
              <w:ind w:left="1630"/>
              <w:spacing w:after="0"/>
              <w:rPr>
                <w:sz w:val="20"/>
                <w:szCs w:val="20"/>
                <w:color w:val="auto"/>
              </w:rPr>
            </w:pPr>
            <w:r>
              <w:rPr>
                <w:rFonts w:ascii="Arial" w:cs="Arial" w:eastAsia="Arial" w:hAnsi="Arial"/>
                <w:sz w:val="18"/>
                <w:szCs w:val="18"/>
                <w:color w:val="auto"/>
                <w:w w:val="90"/>
              </w:rPr>
              <w:t>001-39485</w:t>
            </w:r>
          </w:p>
        </w:tc>
        <w:tc>
          <w:tcPr>
            <w:tcW w:w="4600" w:type="dxa"/>
            <w:vAlign w:val="bottom"/>
            <w:gridSpan w:val="3"/>
          </w:tcPr>
          <w:p>
            <w:pPr>
              <w:jc w:val="center"/>
              <w:ind w:left="930"/>
              <w:spacing w:after="0"/>
              <w:rPr>
                <w:sz w:val="20"/>
                <w:szCs w:val="20"/>
                <w:color w:val="auto"/>
              </w:rPr>
            </w:pPr>
            <w:r>
              <w:rPr>
                <w:rFonts w:ascii="Arial" w:cs="Arial" w:eastAsia="Arial" w:hAnsi="Arial"/>
                <w:sz w:val="18"/>
                <w:szCs w:val="18"/>
                <w:color w:val="auto"/>
                <w:w w:val="89"/>
              </w:rPr>
              <w:t>85-1195036</w:t>
            </w:r>
          </w:p>
        </w:tc>
      </w:tr>
      <w:tr>
        <w:trPr>
          <w:trHeight w:val="202"/>
        </w:trPr>
        <w:tc>
          <w:tcPr>
            <w:tcW w:w="2900" w:type="dxa"/>
            <w:vAlign w:val="bottom"/>
            <w:tcBorders>
              <w:top w:val="single" w:sz="8" w:color="auto"/>
            </w:tcBorders>
          </w:tcPr>
          <w:p>
            <w:pPr>
              <w:jc w:val="center"/>
              <w:ind w:left="630"/>
              <w:spacing w:after="0" w:line="201" w:lineRule="exact"/>
              <w:rPr>
                <w:sz w:val="20"/>
                <w:szCs w:val="20"/>
                <w:color w:val="auto"/>
              </w:rPr>
            </w:pPr>
            <w:r>
              <w:rPr>
                <w:rFonts w:ascii="Arial" w:cs="Arial" w:eastAsia="Arial" w:hAnsi="Arial"/>
                <w:sz w:val="18"/>
                <w:szCs w:val="18"/>
                <w:color w:val="auto"/>
                <w:w w:val="90"/>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top w:val="single" w:sz="8" w:color="auto"/>
            </w:tcBorders>
            <w:gridSpan w:val="2"/>
          </w:tcPr>
          <w:p>
            <w:pPr>
              <w:jc w:val="center"/>
              <w:ind w:left="698"/>
              <w:spacing w:after="0" w:line="201" w:lineRule="exact"/>
              <w:rPr>
                <w:sz w:val="20"/>
                <w:szCs w:val="20"/>
                <w:color w:val="auto"/>
              </w:rPr>
            </w:pPr>
            <w:r>
              <w:rPr>
                <w:rFonts w:ascii="Arial" w:cs="Arial" w:eastAsia="Arial" w:hAnsi="Arial"/>
                <w:sz w:val="18"/>
                <w:szCs w:val="18"/>
                <w:color w:val="auto"/>
                <w:w w:val="91"/>
              </w:rPr>
              <w:t>(Commission</w:t>
            </w: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0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2"/>
          </w:tcPr>
          <w:p>
            <w:pPr>
              <w:jc w:val="center"/>
              <w:ind w:left="698"/>
              <w:spacing w:after="0"/>
              <w:rPr>
                <w:sz w:val="20"/>
                <w:szCs w:val="20"/>
                <w:color w:val="auto"/>
              </w:rPr>
            </w:pPr>
            <w:r>
              <w:rPr>
                <w:rFonts w:ascii="Arial" w:cs="Arial" w:eastAsia="Arial" w:hAnsi="Arial"/>
                <w:sz w:val="18"/>
                <w:szCs w:val="18"/>
                <w:color w:val="auto"/>
                <w:w w:val="92"/>
              </w:rPr>
              <w:t>File Number)</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12860 El Camino Real, Suite 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(858) 400-3120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11682 El Camino Real, Suite 320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w:t>
            </w:r>
          </w:p>
        </w:tc>
        <w:tc>
          <w:tcPr>
            <w:tcW w:w="4600" w:type="dxa"/>
            <w:vAlign w:val="bottom"/>
          </w:tcPr>
          <w:p>
            <w:pPr>
              <w:spacing w:after="0"/>
              <w:rPr>
                <w:sz w:val="24"/>
                <w:szCs w:val="24"/>
                <w:color w:val="auto"/>
              </w:rPr>
            </w:pPr>
          </w:p>
        </w:tc>
      </w:tr>
      <w:tr>
        <w:trPr>
          <w:trHeight w:val="241"/>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BCTG</w:t>
            </w:r>
          </w:p>
        </w:tc>
        <w:tc>
          <w:tcPr>
            <w:tcW w:w="2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90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2020, 21,377,250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216"/>
        </w:trPr>
        <w:tc>
          <w:tcPr>
            <w:tcW w:w="10240" w:type="dxa"/>
            <w:vAlign w:val="bottom"/>
            <w:gridSpan w:val="6"/>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00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Balance Sheet as of September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720" w:type="dxa"/>
            <w:vAlign w:val="bottom"/>
            <w:shd w:val="clear" w:color="auto" w:fill="CCEEFF"/>
          </w:tcPr>
          <w:p>
            <w:pPr>
              <w:spacing w:after="0"/>
              <w:rPr>
                <w:sz w:val="15"/>
                <w:szCs w:val="15"/>
                <w:color w:val="auto"/>
              </w:rPr>
            </w:pPr>
          </w:p>
        </w:tc>
        <w:tc>
          <w:tcPr>
            <w:tcW w:w="9520" w:type="dxa"/>
            <w:vAlign w:val="bottom"/>
            <w:gridSpan w:val="5"/>
            <w:shd w:val="clear" w:color="auto" w:fill="CCEEFF"/>
          </w:tcPr>
          <w:p>
            <w:pPr>
              <w:ind w:left="20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for the Three Months Ended September 30, 2020 and for the Period from May</w:t>
              </w:r>
            </w:hyperlink>
          </w:p>
        </w:tc>
        <w:tc>
          <w:tcPr>
            <w:tcW w:w="1000" w:type="dxa"/>
            <w:vAlign w:val="bottom"/>
            <w:shd w:val="clear" w:color="auto" w:fill="CCEEFF"/>
          </w:tcPr>
          <w:p>
            <w:pPr>
              <w:spacing w:after="0"/>
              <w:rPr>
                <w:sz w:val="15"/>
                <w:szCs w:val="15"/>
                <w:color w:val="auto"/>
              </w:rPr>
            </w:pPr>
          </w:p>
        </w:tc>
      </w:tr>
      <w:tr>
        <w:trPr>
          <w:trHeight w:val="216"/>
        </w:trPr>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320" w:type="dxa"/>
            <w:vAlign w:val="bottom"/>
            <w:tcBorders>
              <w:top w:val="single" w:sz="8" w:color="0000EE"/>
            </w:tcBorders>
            <w:gridSpan w:val="4"/>
            <w:shd w:val="clear" w:color="auto" w:fill="CCEEFF"/>
          </w:tcPr>
          <w:p>
            <w:pPr>
              <w:ind w:left="1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21, 2020 (inception) through September 30, 2020</w:t>
              </w:r>
            </w:hyperlink>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720" w:type="dxa"/>
            <w:vAlign w:val="bottom"/>
            <w:shd w:val="clear" w:color="auto" w:fill="CCEEFF"/>
          </w:tcPr>
          <w:p>
            <w:pPr>
              <w:spacing w:after="0"/>
              <w:rPr>
                <w:sz w:val="15"/>
                <w:szCs w:val="15"/>
                <w:color w:val="auto"/>
              </w:rPr>
            </w:pPr>
          </w:p>
        </w:tc>
        <w:tc>
          <w:tcPr>
            <w:tcW w:w="9520" w:type="dxa"/>
            <w:vAlign w:val="bottom"/>
            <w:gridSpan w:val="5"/>
            <w:shd w:val="clear" w:color="auto" w:fill="CCEEFF"/>
          </w:tcPr>
          <w:p>
            <w:pPr>
              <w:ind w:left="200"/>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Statements of Changes in Stockholders’ Equity for the Three Months Ended September 30, 2020 and for</w:t>
              </w:r>
            </w:hyperlink>
          </w:p>
        </w:tc>
        <w:tc>
          <w:tcPr>
            <w:tcW w:w="1000" w:type="dxa"/>
            <w:vAlign w:val="bottom"/>
            <w:shd w:val="clear" w:color="auto" w:fill="CCEEFF"/>
          </w:tcPr>
          <w:p>
            <w:pPr>
              <w:spacing w:after="0"/>
              <w:rPr>
                <w:sz w:val="15"/>
                <w:szCs w:val="15"/>
                <w:color w:val="auto"/>
              </w:rPr>
            </w:pPr>
          </w:p>
        </w:tc>
      </w:tr>
      <w:tr>
        <w:trPr>
          <w:trHeight w:val="217"/>
        </w:trPr>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320" w:type="dxa"/>
            <w:vAlign w:val="bottom"/>
            <w:tcBorders>
              <w:top w:val="single" w:sz="8" w:color="0000EE"/>
            </w:tcBorders>
            <w:gridSpan w:val="4"/>
            <w:shd w:val="clear" w:color="auto" w:fill="CCEEFF"/>
          </w:tcPr>
          <w:p>
            <w:pPr>
              <w:ind w:left="1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Period from May 21, 2020 (inception) through September 30, 2020</w:t>
              </w:r>
            </w:hyperlink>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w w:val="95"/>
              </w:rPr>
            </w:pPr>
            <w:hyperlink w:anchor="page6">
              <w:r>
                <w:rPr>
                  <w:rFonts w:ascii="Arial" w:cs="Arial" w:eastAsia="Arial" w:hAnsi="Arial"/>
                  <w:sz w:val="18"/>
                  <w:szCs w:val="18"/>
                  <w:u w:val="single" w:color="auto"/>
                  <w:color w:val="0000EE"/>
                  <w:w w:val="95"/>
                </w:rPr>
                <w:t>Unaudited Condensed Statement of Cash Flows for the Period from May 21, 2020 (inception) through September 30, 2020</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6"/>
            <w:shd w:val="clear" w:color="auto" w:fill="CCEEFF"/>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PART II. OTHER INFORMATION</w:t>
              </w:r>
            </w:hyperlink>
          </w:p>
        </w:tc>
        <w:tc>
          <w:tcPr>
            <w:tcW w:w="100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 from Registered Securities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2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682"/>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92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9"/>
              </w:rPr>
              <w:t>BCTG ACQUISITION CORP.</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92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9"/>
              </w:rPr>
              <w:t>UNAUDITED CONDENSED BALANCE SHEET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69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9"/>
              </w:rPr>
              <w:t>September 30, 2020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Current assets:</w:t>
            </w:r>
          </w:p>
        </w:tc>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6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1,552,227</w:t>
            </w:r>
          </w:p>
        </w:tc>
      </w:tr>
      <w:tr>
        <w:trPr>
          <w:trHeight w:val="237"/>
        </w:trPr>
        <w:tc>
          <w:tcPr>
            <w:tcW w:w="32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69,619</w:t>
            </w: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in Trust Account</w:t>
            </w:r>
          </w:p>
        </w:tc>
        <w:tc>
          <w:tcPr>
            <w:tcW w:w="6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166,761,850</w:t>
            </w:r>
          </w:p>
        </w:tc>
        <w:tc>
          <w:tcPr>
            <w:tcW w:w="100" w:type="dxa"/>
            <w:vAlign w:val="bottom"/>
            <w:tcBorders>
              <w:bottom w:val="single" w:sz="8" w:color="CCEEFF"/>
            </w:tcBorders>
          </w:tcPr>
          <w:p>
            <w:pPr>
              <w:spacing w:after="0"/>
              <w:rPr>
                <w:sz w:val="20"/>
                <w:szCs w:val="20"/>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168,383,696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2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Current liabilities:</w:t>
            </w: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74,394</w:t>
            </w:r>
          </w:p>
        </w:tc>
      </w:tr>
      <w:tr>
        <w:trPr>
          <w:trHeight w:val="25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6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35,491</w:t>
            </w:r>
          </w:p>
        </w:tc>
      </w:tr>
      <w:tr>
        <w:trPr>
          <w:trHeight w:val="203"/>
        </w:trPr>
        <w:tc>
          <w:tcPr>
            <w:tcW w:w="3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67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115,050</w:t>
            </w:r>
          </w:p>
        </w:tc>
        <w:tc>
          <w:tcPr>
            <w:tcW w:w="100" w:type="dxa"/>
            <w:vAlign w:val="bottom"/>
            <w:tcBorders>
              <w:top w:val="single" w:sz="8" w:color="CCEEFF"/>
            </w:tcBorders>
          </w:tcPr>
          <w:p>
            <w:pPr>
              <w:spacing w:after="0"/>
              <w:rPr>
                <w:sz w:val="17"/>
                <w:szCs w:val="17"/>
                <w:color w:val="auto"/>
              </w:rPr>
            </w:pPr>
          </w:p>
        </w:tc>
      </w:tr>
      <w:tr>
        <w:trPr>
          <w:trHeight w:val="24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6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5,836,250</w:t>
            </w:r>
          </w:p>
        </w:tc>
      </w:tr>
      <w:tr>
        <w:trPr>
          <w:trHeight w:val="203"/>
        </w:trPr>
        <w:tc>
          <w:tcPr>
            <w:tcW w:w="3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67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5,951,300</w:t>
            </w:r>
          </w:p>
        </w:tc>
        <w:tc>
          <w:tcPr>
            <w:tcW w:w="100" w:type="dxa"/>
            <w:vAlign w:val="bottom"/>
            <w:tcBorders>
              <w:top w:val="single" w:sz="8" w:color="CCEEFF"/>
            </w:tcBorders>
          </w:tcPr>
          <w:p>
            <w:pPr>
              <w:spacing w:after="0"/>
              <w:rPr>
                <w:sz w:val="17"/>
                <w:szCs w:val="17"/>
                <w:color w:val="auto"/>
              </w:rPr>
            </w:pPr>
          </w:p>
        </w:tc>
      </w:tr>
      <w:tr>
        <w:trPr>
          <w:trHeight w:val="216"/>
        </w:trPr>
        <w:tc>
          <w:tcPr>
            <w:tcW w:w="326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15,743,239 shares subject to possible redemption at $10.00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Arial" w:cs="Arial" w:eastAsia="Arial" w:hAnsi="Arial"/>
          <w:sz w:val="18"/>
          <w:szCs w:val="18"/>
          <w:color w:val="auto"/>
        </w:rPr>
        <w:t>Common stock, $0.0001 par value; 30,000,000 shares authorized; 5,634,011 shares issued and outstanding (excluding 15,743,239 shares subject to possible redemption)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157,432,390</w:t>
      </w:r>
    </w:p>
    <w:p>
      <w:pPr>
        <w:spacing w:after="0" w:line="200" w:lineRule="exact"/>
        <w:rPr>
          <w:sz w:val="20"/>
          <w:szCs w:val="20"/>
          <w:color w:val="auto"/>
        </w:rPr>
      </w:pPr>
    </w:p>
    <w:p>
      <w:pPr>
        <w:spacing w:after="0" w:line="25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5,052,305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(52,862)</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$ 168,383,696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180"/>
            <w:col w:w="1220"/>
          </w:cols>
          <w:pgMar w:left="320" w:top="904"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For The Three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May 21, 2020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(64,250)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(64,722)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(52,390)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(52,862)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16,675,000</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16,675,000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Public Shares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4,302,125</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4,271,863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to Sponsor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4,168,750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24,583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June 30, 2020</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4,168,750</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417</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24,583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(472)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24,528</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in initial public offering, gross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16,675,000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166,748,332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166,750,000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(9,624,742)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(9,624,742)</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shares to Sponsor in private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533,500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5,334,947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subject to possible redemption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(15,743,239)</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(157,430,815)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(157,432,390)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(52,390)</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(52,390)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September 30, 2020 (unaudited)</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5,634,011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5,052,305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(52,862</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40"/>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auto"/>
        </w:rPr>
        <w:t>FOR THE PERIOD FROM MAY 21, 2020 (INCEPTION) THROUGH SEPTEMBER 30,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Franchise tax payable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of offering costs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note payable -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underwriting commissions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Value of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Value of common stock subject to possible redemption</w:t>
      </w:r>
    </w:p>
    <w:p>
      <w:pPr>
        <w:spacing w:after="0" w:line="211" w:lineRule="exact"/>
        <w:rPr>
          <w:sz w:val="20"/>
          <w:szCs w:val="20"/>
          <w:color w:val="auto"/>
        </w:rPr>
      </w:pPr>
    </w:p>
    <w:p>
      <w:pPr>
        <w:ind w:left="2140"/>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hanging="555"/>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(52,862)</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(11,850)</w:t>
      </w:r>
    </w:p>
    <w:p>
      <w:pPr>
        <w:spacing w:after="0" w:line="233"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(69,619)</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5,165</w:t>
      </w:r>
    </w:p>
    <w:p>
      <w:pPr>
        <w:spacing w:after="0" w:line="9"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4,394</w:t>
      </w:r>
    </w:p>
    <w:p>
      <w:pPr>
        <w:spacing w:after="0" w:line="9"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35,491</w:t>
      </w:r>
    </w:p>
    <w:p>
      <w:pPr>
        <w:spacing w:after="0" w:line="2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(89,281)</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(166,750,000)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(166,750,000)</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166,750,000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5,335,000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(127,232)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(3,591,285)</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168,391,508</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1,552,227</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1,552,227</w:t>
      </w:r>
    </w:p>
    <w:p>
      <w:pPr>
        <w:spacing w:after="0" w:line="200" w:lineRule="exact"/>
        <w:rPr>
          <w:sz w:val="20"/>
          <w:szCs w:val="20"/>
          <w:color w:val="auto"/>
        </w:rPr>
      </w:pPr>
    </w:p>
    <w:p>
      <w:pPr>
        <w:spacing w:after="0" w:line="324" w:lineRule="exact"/>
        <w:rPr>
          <w:sz w:val="20"/>
          <w:szCs w:val="20"/>
          <w:color w:val="auto"/>
        </w:rPr>
      </w:pPr>
    </w:p>
    <w:p>
      <w:pPr>
        <w:ind w:left="520" w:hanging="51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127,207</w:t>
      </w:r>
    </w:p>
    <w:p>
      <w:pPr>
        <w:spacing w:after="0" w:line="23"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400" w:hanging="395"/>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5,836,250</w:t>
      </w:r>
    </w:p>
    <w:p>
      <w:pPr>
        <w:spacing w:after="0" w:line="20" w:lineRule="exact"/>
        <w:rPr>
          <w:rFonts w:ascii="Arial" w:cs="Arial" w:eastAsia="Arial" w:hAnsi="Arial"/>
          <w:sz w:val="17"/>
          <w:szCs w:val="17"/>
          <w:color w:val="auto"/>
        </w:rPr>
      </w:pPr>
    </w:p>
    <w:p>
      <w:pPr>
        <w:ind w:left="220" w:hanging="215"/>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157,484,340</w:t>
      </w:r>
    </w:p>
    <w:p>
      <w:pPr>
        <w:spacing w:after="0" w:line="20" w:lineRule="exact"/>
        <w:rPr>
          <w:rFonts w:ascii="Arial" w:cs="Arial" w:eastAsia="Arial" w:hAnsi="Arial"/>
          <w:sz w:val="17"/>
          <w:szCs w:val="17"/>
          <w:color w:val="auto"/>
        </w:rPr>
      </w:pPr>
    </w:p>
    <w:p>
      <w:pPr>
        <w:ind w:left="560" w:hanging="55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(51,950)</w:t>
      </w:r>
    </w:p>
    <w:p>
      <w:pPr>
        <w:sectPr>
          <w:pgSz w:w="11900" w:h="16838" w:orient="portrait"/>
          <w:cols w:equalWidth="0" w:num="2">
            <w:col w:w="9300" w:space="720"/>
            <w:col w:w="118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BASIS OF PRESENTATION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BCTG Acquisition Corp. (the “Company”) was incorporated as a Delaware corporation on May 21, 2020. The Company was formed for the purpose of effecting a merger, capital stock exchange, asset acquisition, stock purchase, reorganization or other similar business combination (“Initial Business Combination”) with one or more operating businesses or entities that it has not yet selected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“Securities Act”), as modified by the Jumpstart our Business Startups Act of 2012 (the “JOBS Act”).</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2020, the Company had not commenced any operations, other than searching for a target business. All activity for the period from May 21, 2020 (inception) through September 30, 2020 had been related to the Company’s formation and the initial public offering (“Initial Public Offering”) described below, and since offering, the search for a prospective Initial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($10.00 per share),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“Initial Stockholders”)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jc w:val="both"/>
        <w:ind w:firstLine="47"/>
        <w:spacing w:after="0" w:line="279" w:lineRule="auto"/>
        <w:rPr>
          <w:sz w:val="20"/>
          <w:szCs w:val="20"/>
          <w:color w:val="auto"/>
        </w:rPr>
      </w:pPr>
      <w:r>
        <w:rPr>
          <w:rFonts w:ascii="Arial" w:cs="Arial" w:eastAsia="Arial" w:hAnsi="Arial"/>
          <w:sz w:val="17"/>
          <w:szCs w:val="17"/>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 Business Combination has not been consummated within 24 months from the closing of the Initial Public Offering, or September 8, 2022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from May 21, 2020 (inception) through September 30, 2020 are not necessarily indicative of the results that may be expected through December 31, 2020.</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September 14, 2020 and September 4,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Emerging Growth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emerging growth company,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had $1.6 million of cash in its operating account and approximately $1.5 million of working capital.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September 30,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w:t>
      </w:r>
    </w:p>
    <w:p>
      <w:pPr>
        <w:spacing w:after="0" w:line="46" w:lineRule="exact"/>
        <w:rPr>
          <w:sz w:val="20"/>
          <w:szCs w:val="20"/>
          <w:color w:val="auto"/>
        </w:rPr>
      </w:pPr>
    </w:p>
    <w:p>
      <w:pPr>
        <w:jc w:val="both"/>
        <w:ind w:firstLine="8"/>
        <w:spacing w:after="0" w:line="271" w:lineRule="auto"/>
        <w:tabs>
          <w:tab w:leader="none" w:pos="350" w:val="left"/>
        </w:tabs>
        <w:numPr>
          <w:ilvl w:val="0"/>
          <w:numId w:val="8"/>
        </w:numPr>
        <w:rPr>
          <w:rFonts w:ascii="Arial" w:cs="Arial" w:eastAsia="Arial" w:hAnsi="Arial"/>
          <w:sz w:val="17"/>
          <w:szCs w:val="17"/>
          <w:color w:val="auto"/>
        </w:rPr>
      </w:pPr>
      <w:r>
        <w:rPr>
          <w:rFonts w:ascii="Arial" w:cs="Arial" w:eastAsia="Arial" w:hAnsi="Arial"/>
          <w:sz w:val="17"/>
          <w:szCs w:val="17"/>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is included in net gain from investments held in Trust Account in the accompanying unaudited condensed statement of operations. The estimated fair values of investments held in the Trust Account are determined using available market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2020, the carrying values of cash, accounts payable, accrued expenses,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Offering Costs associated with the Initial Public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September 30, 2020, 15,743,239 shares of common stock subject to possible redemption are presented as temporary equity, outside of the stockholders’ equity section of the Company’s condensed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loss per share of common stock is computed by dividing net loss applicable to stockholders by the weighted average number of shares of common stock outstanding during the periods. Weighted average share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September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unaudited statements of operations includes a presentation of income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$(23,631) for three months ended September 30, 2020 and for the period from May 21, 2020 (inception) through September 30, 2020, by the weighted average number of shares of Public Shares outstanding for the periods. Net loss per share, basic and diluted for Founder Shares is calculated by dividing the net income, less income attributable to Founder Shares, by the weighted average number of shares of Founder Shares outstanding for the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no unrecognized tax benefits as of September 30, 2020. 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at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portion of the proceeds from the Private Placement Shares was added to the proceeds from the Initial Public Offering to be held in the Trust Account.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8, 2020; thus, these Founder Shares were no longer subject to forfeiture.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21, 2020 and June 10, 2020, the Sponsor agreed to loan the Company up to $25,025 and $274,975, respectively, for an aggregate amount of $300,000 to be used for the payment of costs related to the Initial Public Offering pursuant to a promissory note (each, a “Note” and, collectively, the “Notes”). The Notes were non-interest bearing, unsecured and due upon the date the Company consummated the Initial Public Offering. The Company borrowed approximately $127,000 under the Notes. The Company repaid the Notes in full on September 10, 2020.</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September 30, 2020, the Company incurred $10,000 related to these services. As of September 30, 2020, no amounts were payable related to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granted the underwriters a 45-day option from the date of the prospectus to purchase up to 2,175,000 additional shares at the Initial Public Offering price less the underwriting discounts and commissions. On September 8, 2020, the underwriters fully exercised the over-allotment option.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and Uncertainties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September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shares of preferred stock issued or outstanding.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—The Company is authorized to issue 30,000,000 shares of common stock, par value of $0.0001 per share. On September 2,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declared a dividend of 0.16 shares for each outstanding share of common stock (an aggregate of 575,000 shares). All shares and associated amounts have been retroactively restated to reflect the share dividend. As of September 30, 2020, there were 21,377,250 shares of common stock outstanding, including 15,743,239 shares of common stock subject to possible redemption that were classified outside of permanent equity in the accompanying balance sheet.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on a recurring basis as of September 30, 2020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Quoted Prices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Markets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1)</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 held in Trust: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166,758,263</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Money Market Fund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3,587</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166,761,850</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September 30, 2020 and for the period from May 21, 2020 (inception) through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References to the “Company,” “BCTG Acquisition Corp.,” “BCTG,” “our,” “us” or “we” refer to BCTG Acquisition Corp.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blank check company incorporated as a Delaware corporation on May 21, 2020. We were formed for the purpose of effecting a merger, share exchange, asset acquisition, share purchase, reorganization or similar business combination with one or more businesses (the “Business Combination”). Although we are not limited to a particular industry or sector for purposes of consummating a Business Combination, intend to focus on businesses that have their primary operations located in North America and Europe in the biotechnology industry. We are an emerging growth company and, as such, we are subject to all of the risks associated with emerging growth companies.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sponsor is BCTG Holdings, LLC, a Delaware limited liability company (the “Sponsor”). The registration statement for our initial public offering (the “Initial Public Offering”) was declared effective on September 2, 2020. On September 8, 2020, we consummated an Initial Public Offering of 16,675,000 shares of common stock (the “Public Shares”), which includes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(including the exercise of the over-allotment) $166.8 million, representing the net proceeds of the sale of the Public Shares in the Initial Public Offering and certain proceeds of the Private Placement, was placed in a trust account (“Trust Account”) located in the United States with Continental Stock Transfer &amp; Trust Company acting as trustee, and held as cash or invested only in U.S. “government securities,” within the meaning set forth in Section 2(a)(16) of the Investment Company Act, with a maturity of 185 days or less, or in money market funds meeting certain conditions under the Investment Company Act, which invest only in direct U.S. government treasury obligations, as determined by us, until the earlier of: (i) the completion of a Business Combination and (ii) the distribution of the Trust Account as described below.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We will have 24 months from the closing of the Initial Public Offering, or September 8, 2022, to complete our initial Business Combination (the “Combination Period”). If we do not complete a Business Combination within this period of time (and stockholders do not approve an amendment to the amended and restated certificate of incorporation to extend this date)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our obligations under Delaware law to provide for claims of creditors and the requirements of other applicable law. The initial stockholders have agreed to waive their liquidation rights with respect to the Founder Shares if we fail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we fail to complete a Business Combination within the Combination Period. The underwriters have agreed to waive their rights to their deferred underwriting commission held in the Trust Account in the event we do not complete a Business Combination within the Combination Period and, in such event, such amounts will be included with the funds held in the Trust Account that will be available to fund the redemption of our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had $1.6 million in cash available for operating expenses and approximately $1.5 million of working capital.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the Initial Public Offering, our liquidity needs were satisfied through a payment of $25,000 from our Sponsor in exchange for the issuance of the Founder Shares (as defined below), and the loans under the Note (as defined below) of approximately $127,000 to us to cover for offering costs in connection with the Initial Public Offering. We fully repaid the Notes on September 10, 2020. Subsequent to the consummation of the Initial Public Offering on September 8, 2020, the liquidity needs have been satisfied through the net proceeds from the consummation of the Private Placement not held in the Trust Account. In addition, in order to finance transaction costs in connection with a Business Combination, our officers, directors and initial stockholders may, but are not obligated to, provide us Working Capital Loans (as defined below). To date, there were no amounts outstanding under any Working Capital Loans.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the foregoing,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entire activity since inception up to September 30, 2020 was in preparation for our formation, the Initial Public Offering, and, since the closing of our Initial Public Offering, a search for business combination candidates. We will not be generating any operating revenues until after the closing and completion of our initial Business Combination. We expect to generate non-operating income in the form of income earned on investments on marketable securities held in the Trust Account after the Initial Public Offering.</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period from May 21, 2020 (inception) through September 30, 2020, we had net loss of $52,862, which consisted of $29,231 in general and administrative expenses and $35,491 in franchise tax expense, offset by $11,849 in interest income on marketable securities held in the Trust Account.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4, 2020, we issued 3,593,750 shares of common stock to our Sponsor in exchange for a payment of $25,000 (the “Founder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4,493,450 shares of common stock, and our independent directors and advisors collectively own 208,800 shares of common stock. Our Sponsor had agreed to forfeit up to an aggregate of 543,750 Founder Shares, so that the Founder Shares would represent 20% of our issued and outstanding shares after the Initial Public Offering , to the extent the underwriters’ over-allotment option was not exercised in full or in part. On September 8, 2020, the underwriters exercised their 15% over-allotment option in full; thus, the Founder Shares were no longer subject to forfeiture.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Concurrently with the closing of the Initial Public Offering, our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of our unaudited condensed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21, 2020 and June 10, 2020, our Sponsor agreed to loan us up to $25,025 and $274,975, respectively, for an aggregate amount of $300,000 to be used for the payment of costs related to the Initial Public Offering pursuant to a promissory note (each, a “Note” and, collectively, the “Notes”). The Notes were non-interest bearing, unsecured and due upon the date we consummate the Initial Public Offering. We borrowed approximately $127,000 under the Notes and repaid the Notes in full on September 10, 2020.</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“Working Capital Loans”).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Placement Shares. We did not have any borrowings under the Working Capital Loans as of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the date of our prospectus, we agreed to pay an affiliate of the Sponsor a total of $10,000 per month for office space and certain office and secretarial services. Upon completion of the Initial Business Combination or our liquidation, we will cease paying these monthly fees. For the period from May 21, 2020 (inception) through September 30, 2020, the Company incurred $10,000 related to these services. As of September 30, 2020, no amounts were payable related to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if the underwriters’ over-allotment option is exercised in full. The deferred fee will become payable to the underwriters from the amounts held in the Trust Account solely in the event that we complete a Business Combination, subject to the terms of the underwriting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investments held in the Trust Account are classified as trading securities. Trading securities are presented on the balance sheet at fair value at the end of each reporting period. Gains and losses resulting from the change in fair value of these securities is included in gain on marketable securities, dividends and interest held in Trust Account in the accompanying unaudited condensed statement of operations. The estimated fair values of investments held in the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 Accordingly, as of September 30, 2020, 15,743,239 shares of common stock subject to possible redemption are presented as temporary equity, outside of the stockholders’ equity section of the accompanying unaudited condensed balance sheet.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comply with accounting and disclosure requirements of FASB ASC Topic 260, “Earnings Per Share.” Net loss per share of common stock is computed by dividing net loss applicable to stockholders by the weighted average number of shares of common stock outstanding during the periods. Weighted average share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September 30, 2020, we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unaudited condensed financial statements.</w:t>
      </w:r>
    </w:p>
    <w:p>
      <w:pPr>
        <w:spacing w:after="0" w:line="16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2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2020,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September 30, 2020 covered by this Quarterly Report on Form 10-Q that has materially affected, or is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(the “Registration Statement”) for our Initial Public Offering was declared effective on September 2, 2020. On September 8, 2020, we consummated the Initial Public Offering of 16,675,000 shares of common stock (the “Public Shares”), which includes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 The Private Placement Shares are identical to the shares of Common Stock sold in the IPO. Additionally, the Sponsor has agreed not to transfer, assign, or sell any of the Private Placement Shares (except in limited circumstances, as described in the Registration Statement) until the date that is 30 days after the date we complete our initial business combination. Our Sponsor was granted certain demand and piggyback registration rights in connection with the purchase of the Private Shares.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(including the exercise of the over-allotment) $166.75 million ($10.00 per share) of the net proceeds of the sale of the Public Shares in the Initial Public Offering and the Private Placement were placed in a trust account (“Trust Account”) located in the United States with Continental Stock Transfer &amp; Trust Company acting as trustee, and held as cash or invested only in U.S. “government securities,” within the meaning set forth in Section 2(a)(16) of the Investment Company Act, with a maturity of 185 days or less, or in money market funds meeting certain conditions under the Investment Company Act, which invest only in direct U.S. government treasury obligations, as determined by us, until the earlier of: (i) the completion of a Business Combination and (ii) the distribution of the Trust Account as described below.</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paid a total of approximately $3.3 million in underwriting discounts and commissions (not including the 3.5% deferred underwriting commission payable at the consummation of the initial business combination) and approximately $0.4 million for other costs and expenses related to our formation and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41"/>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2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200" w:type="dxa"/>
            <w:vAlign w:val="bottom"/>
            <w:tcBorders>
              <w:top w:val="single" w:sz="8" w:color="auto"/>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Certification of Chief Executive Officer (Principal Executive Officer) Pursuant to Rules 13a-14(a) and 15d-14(a) under the Securities</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Exchange Act of 1934, as Adopted Pursuant to Section 302 of the Sarbanes-Oxley Act of 2002.</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5"/>
          </w:tcPr>
          <w:p>
            <w:pPr>
              <w:spacing w:after="0" w:line="17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Certification of Chief Financial Officer and Treasurer (Principal Financial and Accounting Officer) Pursuant to Rules 13a-14(a) and 15d-</w:t>
              </w:r>
            </w:hyperlink>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14(a) under the Securities Exchange Act of 1934, as Adopted Pursuant to Section 302 of the Sarbanes-Oxley Act of 2002.</w:t>
              </w:r>
            </w:hyperlink>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Chief Executive Officer (Principal Executive Officer) Pursuant to 18 U.S.C. Section 1350, as Adopted Pursuant to Section</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906 of the Sarbanes-Oxley Act of 2002.</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5"/>
          </w:tcPr>
          <w:p>
            <w:pPr>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Chief Financial Officer and Treasurer (Principal Financial and Accounting Officer) Pursuant to 18 U.S.C. Section 1350, as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Adopted Pursuant to Section 906 of the Sarbanes-Oxley Act of 2002.</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8"/>
                <w:szCs w:val="18"/>
                <w:color w:val="auto"/>
              </w:rPr>
            </w:pP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color w:val="auto"/>
              </w:rPr>
              <w:t>Dated: November 13, 2020</w:t>
            </w:r>
          </w:p>
        </w:tc>
        <w:tc>
          <w:tcPr>
            <w:tcW w:w="7480" w:type="dxa"/>
            <w:vAlign w:val="bottom"/>
            <w:gridSpan w:val="2"/>
          </w:tcPr>
          <w:p>
            <w:pPr>
              <w:ind w:left="3000"/>
              <w:spacing w:after="0"/>
              <w:rPr>
                <w:sz w:val="20"/>
                <w:szCs w:val="20"/>
                <w:color w:val="auto"/>
              </w:rPr>
            </w:pPr>
            <w:r>
              <w:rPr>
                <w:rFonts w:ascii="Arial" w:cs="Arial" w:eastAsia="Arial" w:hAnsi="Arial"/>
                <w:sz w:val="18"/>
                <w:szCs w:val="18"/>
                <w:b w:val="1"/>
                <w:bCs w:val="1"/>
                <w:color w:val="auto"/>
              </w:rPr>
              <w:t>BCTG ACQUISITION CORP.</w:t>
            </w:r>
          </w:p>
        </w:tc>
      </w:tr>
      <w:tr>
        <w:trPr>
          <w:trHeight w:val="439"/>
        </w:trPr>
        <w:tc>
          <w:tcPr>
            <w:tcW w:w="3760" w:type="dxa"/>
            <w:vAlign w:val="bottom"/>
          </w:tcPr>
          <w:p>
            <w:pPr>
              <w:spacing w:after="0"/>
              <w:rPr>
                <w:sz w:val="24"/>
                <w:szCs w:val="24"/>
                <w:color w:val="auto"/>
              </w:rPr>
            </w:pPr>
          </w:p>
        </w:tc>
        <w:tc>
          <w:tcPr>
            <w:tcW w:w="3560" w:type="dxa"/>
            <w:vAlign w:val="bottom"/>
          </w:tcPr>
          <w:p>
            <w:pPr>
              <w:ind w:left="30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3760" w:type="dxa"/>
            <w:vAlign w:val="bottom"/>
          </w:tcPr>
          <w:p>
            <w:pPr>
              <w:spacing w:after="0"/>
              <w:rPr>
                <w:sz w:val="17"/>
                <w:szCs w:val="17"/>
                <w:color w:val="auto"/>
              </w:rPr>
            </w:pPr>
          </w:p>
        </w:tc>
        <w:tc>
          <w:tcPr>
            <w:tcW w:w="3560" w:type="dxa"/>
            <w:vAlign w:val="bottom"/>
          </w:tcPr>
          <w:p>
            <w:pPr>
              <w:ind w:left="30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16"/>
        </w:trPr>
        <w:tc>
          <w:tcPr>
            <w:tcW w:w="3760" w:type="dxa"/>
            <w:vAlign w:val="bottom"/>
          </w:tcPr>
          <w:p>
            <w:pPr>
              <w:spacing w:after="0"/>
              <w:rPr>
                <w:sz w:val="18"/>
                <w:szCs w:val="18"/>
                <w:color w:val="auto"/>
              </w:rPr>
            </w:pPr>
          </w:p>
        </w:tc>
        <w:tc>
          <w:tcPr>
            <w:tcW w:w="3560" w:type="dxa"/>
            <w:vAlign w:val="bottom"/>
          </w:tcPr>
          <w:p>
            <w:pPr>
              <w:ind w:left="30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7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760" w:type="dxa"/>
            <w:vAlign w:val="bottom"/>
          </w:tcPr>
          <w:p>
            <w:pPr>
              <w:spacing w:after="0"/>
              <w:rPr>
                <w:sz w:val="24"/>
                <w:szCs w:val="24"/>
                <w:color w:val="auto"/>
              </w:rPr>
            </w:pPr>
          </w:p>
        </w:tc>
        <w:tc>
          <w:tcPr>
            <w:tcW w:w="3560" w:type="dxa"/>
            <w:vAlign w:val="bottom"/>
          </w:tcPr>
          <w:p>
            <w:pPr>
              <w:ind w:left="30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Beauchamp</w:t>
            </w:r>
          </w:p>
        </w:tc>
      </w:tr>
      <w:tr>
        <w:trPr>
          <w:trHeight w:val="202"/>
        </w:trPr>
        <w:tc>
          <w:tcPr>
            <w:tcW w:w="3760" w:type="dxa"/>
            <w:vAlign w:val="bottom"/>
          </w:tcPr>
          <w:p>
            <w:pPr>
              <w:spacing w:after="0"/>
              <w:rPr>
                <w:sz w:val="17"/>
                <w:szCs w:val="17"/>
                <w:color w:val="auto"/>
              </w:rPr>
            </w:pPr>
          </w:p>
        </w:tc>
        <w:tc>
          <w:tcPr>
            <w:tcW w:w="3560" w:type="dxa"/>
            <w:vAlign w:val="bottom"/>
          </w:tcPr>
          <w:p>
            <w:pPr>
              <w:ind w:left="30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Michael Beauchamp</w:t>
            </w:r>
          </w:p>
        </w:tc>
      </w:tr>
      <w:tr>
        <w:trPr>
          <w:trHeight w:val="216"/>
        </w:trPr>
        <w:tc>
          <w:tcPr>
            <w:tcW w:w="3760" w:type="dxa"/>
            <w:vAlign w:val="bottom"/>
          </w:tcPr>
          <w:p>
            <w:pPr>
              <w:spacing w:after="0"/>
              <w:rPr>
                <w:sz w:val="18"/>
                <w:szCs w:val="18"/>
                <w:color w:val="auto"/>
              </w:rPr>
            </w:pPr>
          </w:p>
        </w:tc>
        <w:tc>
          <w:tcPr>
            <w:tcW w:w="3560" w:type="dxa"/>
            <w:vAlign w:val="bottom"/>
          </w:tcPr>
          <w:p>
            <w:pPr>
              <w:ind w:left="30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7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7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Aaron I. Davis,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Aaron I. Davis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Beauchamp,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Beauchamp</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BCTG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Aaron I. Davis, Chief Executive Officer and Chairman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6"/>
          <w:szCs w:val="16"/>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Chairman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BCTG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Michael Beauchamp, Chief Financial Officer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6"/>
          <w:szCs w:val="16"/>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Beauchamp</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6"/>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2020-11-13T16:11:53Z</dcterms:created>
  <dcterms:modified xsi:type="dcterms:W3CDTF">2020-11-13T16:11:53Z</dcterms:modified>
</cp:coreProperties>
</file>