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May 12, 2025</w:t>
      </w:r>
    </w:p>
    <w:p>
      <w:pPr>
        <w:spacing w:after="0" w:line="14"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S-3</w:t>
      </w:r>
    </w:p>
    <w:p>
      <w:pPr>
        <w:spacing w:after="0" w:line="4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REGISTRATION STATEMENT</w:t>
      </w:r>
    </w:p>
    <w:p>
      <w:pPr>
        <w:jc w:val="center"/>
        <w:ind w:right="-2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220980</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TANGO THERAPEUTICS, INC.</w:t>
      </w:r>
    </w:p>
    <w:p>
      <w:pPr>
        <w:spacing w:after="0" w:line="4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Delaware</w:t>
      </w:r>
    </w:p>
    <w:p>
      <w:pPr>
        <w:spacing w:after="0" w:line="19"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incorporation or organization)</w:t>
      </w:r>
    </w:p>
    <w:p>
      <w:pPr>
        <w:spacing w:after="0" w:line="19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85-1195036</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Identification Number)</w:t>
      </w:r>
    </w:p>
    <w:p>
      <w:pPr>
        <w:spacing w:after="0" w:line="19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201 Brookline Avenue, Suite 901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Boston, MA 02215</w:t>
      </w:r>
    </w:p>
    <w:p>
      <w:pPr>
        <w:jc w:val="center"/>
        <w:ind w:right="-219"/>
        <w:spacing w:after="0"/>
        <w:rPr>
          <w:sz w:val="20"/>
          <w:szCs w:val="20"/>
          <w:color w:val="auto"/>
        </w:rPr>
      </w:pPr>
      <w:r>
        <w:rPr>
          <w:rFonts w:ascii="Arial" w:cs="Arial" w:eastAsia="Arial" w:hAnsi="Arial"/>
          <w:sz w:val="18"/>
          <w:szCs w:val="18"/>
          <w:b w:val="1"/>
          <w:bCs w:val="1"/>
          <w:color w:val="auto"/>
        </w:rPr>
        <w:t>(857) 320-4900</w:t>
      </w:r>
    </w:p>
    <w:p>
      <w:pPr>
        <w:spacing w:after="0" w:line="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Barbara Weber, M.D.</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219"/>
        <w:spacing w:after="0" w:line="234" w:lineRule="auto"/>
        <w:rPr>
          <w:sz w:val="20"/>
          <w:szCs w:val="20"/>
          <w:color w:val="auto"/>
        </w:rPr>
      </w:pPr>
      <w:r>
        <w:rPr>
          <w:rFonts w:ascii="Arial" w:cs="Arial" w:eastAsia="Arial" w:hAnsi="Arial"/>
          <w:sz w:val="18"/>
          <w:szCs w:val="18"/>
          <w:b w:val="1"/>
          <w:bCs w:val="1"/>
          <w:color w:val="auto"/>
        </w:rPr>
        <w:t>201 Brookline Avenue, Suite 901</w:t>
      </w:r>
    </w:p>
    <w:p>
      <w:pPr>
        <w:jc w:val="center"/>
        <w:ind w:right="-219"/>
        <w:spacing w:after="0" w:line="235" w:lineRule="auto"/>
        <w:rPr>
          <w:sz w:val="20"/>
          <w:szCs w:val="20"/>
          <w:color w:val="auto"/>
        </w:rPr>
      </w:pPr>
      <w:r>
        <w:rPr>
          <w:rFonts w:ascii="Arial" w:cs="Arial" w:eastAsia="Arial" w:hAnsi="Arial"/>
          <w:sz w:val="18"/>
          <w:szCs w:val="18"/>
          <w:b w:val="1"/>
          <w:bCs w:val="1"/>
          <w:color w:val="auto"/>
        </w:rPr>
        <w:t>Boston, MA 02215</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(857) 320-4900</w:t>
      </w:r>
    </w:p>
    <w:p>
      <w:pPr>
        <w:spacing w:after="0" w:line="1"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1900" w:type="dxa"/>
        <w:tblCellMar>
          <w:top w:w="0" w:type="dxa"/>
          <w:left w:w="0" w:type="dxa"/>
          <w:bottom w:w="0" w:type="dxa"/>
          <w:right w:w="0" w:type="dxa"/>
        </w:tblCellMar>
      </w:tblPr>
      <w:tr>
        <w:trPr>
          <w:trHeight w:val="235"/>
        </w:trPr>
        <w:tc>
          <w:tcPr>
            <w:tcW w:w="2640" w:type="dxa"/>
            <w:vAlign w:val="bottom"/>
          </w:tcPr>
          <w:p>
            <w:pPr>
              <w:spacing w:after="0"/>
              <w:rPr>
                <w:sz w:val="20"/>
                <w:szCs w:val="20"/>
                <w:color w:val="auto"/>
              </w:rPr>
            </w:pPr>
          </w:p>
        </w:tc>
        <w:tc>
          <w:tcPr>
            <w:tcW w:w="6480" w:type="dxa"/>
            <w:vAlign w:val="bottom"/>
          </w:tcPr>
          <w:p>
            <w:pPr>
              <w:ind w:left="660"/>
              <w:spacing w:after="0"/>
              <w:rPr>
                <w:sz w:val="20"/>
                <w:szCs w:val="20"/>
                <w:color w:val="auto"/>
              </w:rPr>
            </w:pPr>
            <w:r>
              <w:rPr>
                <w:rFonts w:ascii="Arial" w:cs="Arial" w:eastAsia="Arial" w:hAnsi="Arial"/>
                <w:sz w:val="17"/>
                <w:szCs w:val="17"/>
                <w:b w:val="1"/>
                <w:bCs w:val="1"/>
                <w:i w:val="1"/>
                <w:iCs w:val="1"/>
                <w:color w:val="auto"/>
              </w:rPr>
              <w:t>Copies to:</w:t>
            </w:r>
          </w:p>
        </w:tc>
      </w:tr>
      <w:tr>
        <w:trPr>
          <w:trHeight w:val="403"/>
        </w:trPr>
        <w:tc>
          <w:tcPr>
            <w:tcW w:w="2640" w:type="dxa"/>
            <w:vAlign w:val="bottom"/>
          </w:tcPr>
          <w:p>
            <w:pPr>
              <w:jc w:val="center"/>
              <w:ind w:right="570"/>
              <w:spacing w:after="0"/>
              <w:rPr>
                <w:sz w:val="20"/>
                <w:szCs w:val="20"/>
                <w:color w:val="auto"/>
              </w:rPr>
            </w:pPr>
            <w:r>
              <w:rPr>
                <w:rFonts w:ascii="Arial" w:cs="Arial" w:eastAsia="Arial" w:hAnsi="Arial"/>
                <w:sz w:val="18"/>
                <w:szCs w:val="18"/>
                <w:b w:val="1"/>
                <w:bCs w:val="1"/>
                <w:color w:val="auto"/>
                <w:w w:val="99"/>
              </w:rPr>
              <w:t>Mitchell S. Bloom, Esq.</w:t>
            </w:r>
          </w:p>
        </w:tc>
        <w:tc>
          <w:tcPr>
            <w:tcW w:w="6480" w:type="dxa"/>
            <w:vAlign w:val="bottom"/>
          </w:tcPr>
          <w:p>
            <w:pPr>
              <w:jc w:val="center"/>
              <w:ind w:left="1271"/>
              <w:spacing w:after="0"/>
              <w:rPr>
                <w:sz w:val="20"/>
                <w:szCs w:val="20"/>
                <w:color w:val="auto"/>
              </w:rPr>
            </w:pPr>
            <w:r>
              <w:rPr>
                <w:rFonts w:ascii="Arial" w:cs="Arial" w:eastAsia="Arial" w:hAnsi="Arial"/>
                <w:sz w:val="18"/>
                <w:szCs w:val="18"/>
                <w:b w:val="1"/>
                <w:bCs w:val="1"/>
                <w:color w:val="auto"/>
                <w:w w:val="98"/>
              </w:rPr>
              <w:t>Douglas Barry, Esq.</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8"/>
              </w:rPr>
              <w:t>Marishka DeToy, Esq.</w:t>
            </w:r>
          </w:p>
        </w:tc>
        <w:tc>
          <w:tcPr>
            <w:tcW w:w="6480" w:type="dxa"/>
            <w:vAlign w:val="bottom"/>
          </w:tcPr>
          <w:p>
            <w:pPr>
              <w:jc w:val="center"/>
              <w:ind w:left="1271"/>
              <w:spacing w:after="0" w:line="202" w:lineRule="exact"/>
              <w:rPr>
                <w:sz w:val="20"/>
                <w:szCs w:val="20"/>
                <w:color w:val="auto"/>
              </w:rPr>
            </w:pPr>
            <w:r>
              <w:rPr>
                <w:rFonts w:ascii="Arial" w:cs="Arial" w:eastAsia="Arial" w:hAnsi="Arial"/>
                <w:sz w:val="18"/>
                <w:szCs w:val="18"/>
                <w:b w:val="1"/>
                <w:bCs w:val="1"/>
                <w:color w:val="auto"/>
                <w:w w:val="99"/>
              </w:rPr>
              <w:t>Chief Legal Officer, Chief Compliance Officer and Corporate</w:t>
            </w:r>
          </w:p>
        </w:tc>
      </w:tr>
      <w:tr>
        <w:trPr>
          <w:trHeight w:val="202"/>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Goodwin Procter LLP</w:t>
            </w:r>
          </w:p>
        </w:tc>
        <w:tc>
          <w:tcPr>
            <w:tcW w:w="6480" w:type="dxa"/>
            <w:vAlign w:val="bottom"/>
          </w:tcPr>
          <w:p>
            <w:pPr>
              <w:jc w:val="center"/>
              <w:ind w:left="1251"/>
              <w:spacing w:after="0" w:line="202" w:lineRule="exact"/>
              <w:rPr>
                <w:sz w:val="20"/>
                <w:szCs w:val="20"/>
                <w:color w:val="auto"/>
              </w:rPr>
            </w:pPr>
            <w:r>
              <w:rPr>
                <w:rFonts w:ascii="Arial" w:cs="Arial" w:eastAsia="Arial" w:hAnsi="Arial"/>
                <w:sz w:val="18"/>
                <w:szCs w:val="18"/>
                <w:b w:val="1"/>
                <w:bCs w:val="1"/>
                <w:color w:val="auto"/>
                <w:w w:val="99"/>
              </w:rPr>
              <w:t>Secretary</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100 Northern Avenue</w:t>
            </w:r>
          </w:p>
        </w:tc>
        <w:tc>
          <w:tcPr>
            <w:tcW w:w="6480" w:type="dxa"/>
            <w:vAlign w:val="bottom"/>
          </w:tcPr>
          <w:p>
            <w:pPr>
              <w:jc w:val="center"/>
              <w:ind w:left="1271"/>
              <w:spacing w:after="0" w:line="202" w:lineRule="exact"/>
              <w:rPr>
                <w:sz w:val="20"/>
                <w:szCs w:val="20"/>
                <w:color w:val="auto"/>
              </w:rPr>
            </w:pPr>
            <w:r>
              <w:rPr>
                <w:rFonts w:ascii="Arial" w:cs="Arial" w:eastAsia="Arial" w:hAnsi="Arial"/>
                <w:sz w:val="18"/>
                <w:szCs w:val="18"/>
                <w:b w:val="1"/>
                <w:bCs w:val="1"/>
                <w:color w:val="auto"/>
                <w:w w:val="99"/>
              </w:rPr>
              <w:t>Tango Therapeutics, Inc.</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rPr>
              <w:t>Boston, MA 02210</w:t>
            </w:r>
          </w:p>
        </w:tc>
        <w:tc>
          <w:tcPr>
            <w:tcW w:w="6480" w:type="dxa"/>
            <w:vAlign w:val="bottom"/>
          </w:tcPr>
          <w:p>
            <w:pPr>
              <w:jc w:val="center"/>
              <w:ind w:left="1271"/>
              <w:spacing w:after="0" w:line="202" w:lineRule="exact"/>
              <w:rPr>
                <w:sz w:val="20"/>
                <w:szCs w:val="20"/>
                <w:color w:val="auto"/>
              </w:rPr>
            </w:pPr>
            <w:r>
              <w:rPr>
                <w:rFonts w:ascii="Arial" w:cs="Arial" w:eastAsia="Arial" w:hAnsi="Arial"/>
                <w:sz w:val="18"/>
                <w:szCs w:val="18"/>
                <w:b w:val="1"/>
                <w:bCs w:val="1"/>
                <w:color w:val="auto"/>
                <w:w w:val="99"/>
              </w:rPr>
              <w:t>201 Brookline Avenue, Suite 901</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rPr>
              <w:t>(617) 570-1000</w:t>
            </w:r>
          </w:p>
        </w:tc>
        <w:tc>
          <w:tcPr>
            <w:tcW w:w="6480" w:type="dxa"/>
            <w:vAlign w:val="bottom"/>
          </w:tcPr>
          <w:p>
            <w:pPr>
              <w:jc w:val="center"/>
              <w:ind w:left="1271"/>
              <w:spacing w:after="0" w:line="202" w:lineRule="exact"/>
              <w:rPr>
                <w:sz w:val="20"/>
                <w:szCs w:val="20"/>
                <w:color w:val="auto"/>
              </w:rPr>
            </w:pPr>
            <w:r>
              <w:rPr>
                <w:rFonts w:ascii="Arial" w:cs="Arial" w:eastAsia="Arial" w:hAnsi="Arial"/>
                <w:sz w:val="18"/>
                <w:szCs w:val="18"/>
                <w:b w:val="1"/>
                <w:bCs w:val="1"/>
                <w:color w:val="auto"/>
              </w:rPr>
              <w:t>Boston, MA 02215</w:t>
            </w:r>
          </w:p>
        </w:tc>
      </w:tr>
      <w:tr>
        <w:trPr>
          <w:trHeight w:val="247"/>
        </w:trPr>
        <w:tc>
          <w:tcPr>
            <w:tcW w:w="2640" w:type="dxa"/>
            <w:vAlign w:val="bottom"/>
          </w:tcPr>
          <w:p>
            <w:pPr>
              <w:spacing w:after="0"/>
              <w:rPr>
                <w:sz w:val="21"/>
                <w:szCs w:val="21"/>
                <w:color w:val="auto"/>
              </w:rPr>
            </w:pPr>
          </w:p>
        </w:tc>
        <w:tc>
          <w:tcPr>
            <w:tcW w:w="6480" w:type="dxa"/>
            <w:vAlign w:val="bottom"/>
          </w:tcPr>
          <w:p>
            <w:pPr>
              <w:jc w:val="center"/>
              <w:ind w:left="1271"/>
              <w:spacing w:after="0"/>
              <w:rPr>
                <w:sz w:val="20"/>
                <w:szCs w:val="20"/>
                <w:color w:val="auto"/>
              </w:rPr>
            </w:pPr>
            <w:r>
              <w:rPr>
                <w:rFonts w:ascii="Arial" w:cs="Arial" w:eastAsia="Arial" w:hAnsi="Arial"/>
                <w:sz w:val="18"/>
                <w:szCs w:val="18"/>
                <w:b w:val="1"/>
                <w:bCs w:val="1"/>
                <w:color w:val="auto"/>
              </w:rPr>
              <w:t>(857) 320-4900</w:t>
            </w:r>
          </w:p>
        </w:tc>
      </w:tr>
    </w:tbl>
    <w:p>
      <w:pPr>
        <w:sectPr>
          <w:pgSz w:w="11900" w:h="16838" w:orient="portrait"/>
          <w:cols w:equalWidth="0" w:num="1">
            <w:col w:w="11020"/>
          </w:cols>
          <w:pgMar w:left="320" w:top="225"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285750</wp:posOffset>
            </wp:positionV>
            <wp:extent cx="2245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10" w:lineRule="exact"/>
        <w:rPr>
          <w:sz w:val="20"/>
          <w:szCs w:val="20"/>
          <w:color w:val="auto"/>
        </w:rPr>
      </w:pPr>
    </w:p>
    <w:p>
      <w:pPr>
        <w:ind w:left="120" w:right="640"/>
        <w:spacing w:after="0" w:line="225" w:lineRule="exact"/>
        <w:rPr>
          <w:sz w:val="20"/>
          <w:szCs w:val="20"/>
          <w:color w:val="auto"/>
        </w:rPr>
      </w:pPr>
      <w:r>
        <w:rPr>
          <w:rFonts w:ascii="Arial" w:cs="Arial" w:eastAsia="Arial" w:hAnsi="Arial"/>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20"/>
        <w:spacing w:after="0" w:line="225"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40"/>
        <w:spacing w:after="0" w:line="225"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240"/>
        <w:spacing w:after="0" w:line="225"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60"/>
        <w:spacing w:after="0" w:line="225"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60"/>
        <w:spacing w:after="0" w:line="225"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71" w:lineRule="exact"/>
        <w:rPr>
          <w:sz w:val="20"/>
          <w:szCs w:val="20"/>
          <w:color w:val="auto"/>
        </w:rPr>
      </w:pPr>
    </w:p>
    <w:p>
      <w:pPr>
        <w:ind w:left="120" w:right="360"/>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9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880"/>
              <w:spacing w:after="0"/>
              <w:rPr>
                <w:sz w:val="20"/>
                <w:szCs w:val="20"/>
                <w:color w:val="auto"/>
              </w:rPr>
            </w:pPr>
            <w:r>
              <w:rPr>
                <w:rFonts w:ascii="Arial" w:cs="Arial" w:eastAsia="Arial" w:hAnsi="Arial"/>
                <w:sz w:val="17"/>
                <w:szCs w:val="17"/>
                <w:color w:val="auto"/>
              </w:rPr>
              <w:t>Accelerated filer</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24"/>
        </w:trPr>
        <w:tc>
          <w:tcPr>
            <w:tcW w:w="1960" w:type="dxa"/>
            <w:vAlign w:val="bottom"/>
          </w:tcPr>
          <w:p>
            <w:pPr>
              <w:spacing w:after="0"/>
              <w:rPr>
                <w:sz w:val="20"/>
                <w:szCs w:val="20"/>
                <w:color w:val="auto"/>
              </w:rPr>
            </w:pPr>
            <w:r>
              <w:rPr>
                <w:rFonts w:ascii="Arial" w:cs="Arial" w:eastAsia="Arial" w:hAnsi="Arial"/>
                <w:sz w:val="17"/>
                <w:szCs w:val="17"/>
                <w:color w:val="auto"/>
              </w:rPr>
              <w:t>Non-accelerated filer</w:t>
            </w:r>
          </w:p>
        </w:tc>
        <w:tc>
          <w:tcPr>
            <w:tcW w:w="33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880"/>
              <w:spacing w:after="0"/>
              <w:rPr>
                <w:sz w:val="20"/>
                <w:szCs w:val="20"/>
                <w:color w:val="auto"/>
              </w:rPr>
            </w:pPr>
            <w:r>
              <w:rPr>
                <w:rFonts w:ascii="Arial" w:cs="Arial" w:eastAsia="Arial" w:hAnsi="Arial"/>
                <w:sz w:val="17"/>
                <w:szCs w:val="17"/>
                <w:color w:val="auto"/>
              </w:rPr>
              <w:t>Smaller reporting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24"/>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Arial" w:cs="Arial" w:eastAsia="Arial" w:hAnsi="Arial"/>
                <w:sz w:val="17"/>
                <w:szCs w:val="17"/>
                <w:color w:val="auto"/>
              </w:rPr>
              <w:t>Emerging growth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0" w:lineRule="exact"/>
        <w:rPr>
          <w:sz w:val="20"/>
          <w:szCs w:val="20"/>
          <w:color w:val="auto"/>
        </w:rPr>
      </w:pPr>
    </w:p>
    <w:p>
      <w:pPr>
        <w:ind w:left="120" w:right="1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79"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316"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We are filing this registration statement with the Securities and Exchange Commission (the “SEC”) using a “shelf” registration process to replace our prior registration statement (File No. 333-267224) (the “Prior Registration Statement”) that will expire on September 12, 2025, in accordance with applicable SEC regulations. Pursuant to Rule 415(a)(6) under the Securities Act of 1933, as amended, the offering of securities under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Prior Registration Statement will be deemed terminated as of the date of effectiveness of this registration statement. Under this registered “shelf,” in the future, we may, from time to time, sell any combination of the securities described herein, in one or more offerings, up to a maximum aggregate offering price of $400,000,000.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registration statement contains two prospectuses:</w:t>
      </w:r>
    </w:p>
    <w:p>
      <w:pPr>
        <w:spacing w:after="0" w:line="196" w:lineRule="exact"/>
        <w:rPr>
          <w:sz w:val="20"/>
          <w:szCs w:val="20"/>
          <w:color w:val="auto"/>
        </w:rPr>
      </w:pPr>
    </w:p>
    <w:p>
      <w:pPr>
        <w:jc w:val="both"/>
        <w:ind w:left="980" w:right="160" w:hanging="432"/>
        <w:spacing w:after="0" w:line="246"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a base prospectus, which covers the offering, issuance and sale by us of up to a maximum aggregate offering price of $400,000,000 of our common stock, preferred stock, debt securities, warrants to purchase our common stock, and/or units from time to time in one or more offerings; and</w:t>
      </w:r>
    </w:p>
    <w:p>
      <w:pPr>
        <w:spacing w:after="0" w:line="6"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a sale agreement prospectus supplement covering the offering, issuance and sale by us of up to a maximum aggregate offering price of up to $100,000,000 of our common stock that may be issued and sold from time to time under an Open Market Sale Agreement</w:t>
      </w:r>
      <w:r>
        <w:rPr>
          <w:rFonts w:ascii="Arial" w:cs="Arial" w:eastAsia="Arial" w:hAnsi="Arial"/>
          <w:sz w:val="12"/>
          <w:szCs w:val="12"/>
          <w:color w:val="auto"/>
        </w:rPr>
        <w:t>SM</w:t>
      </w:r>
      <w:r>
        <w:rPr>
          <w:rFonts w:ascii="Arial" w:cs="Arial" w:eastAsia="Arial" w:hAnsi="Arial"/>
          <w:sz w:val="17"/>
          <w:szCs w:val="17"/>
          <w:color w:val="auto"/>
        </w:rPr>
        <w:t>, or the sale agreement, which we entered into with Jefferies LLC, as sales agent in September 2022.</w:t>
      </w:r>
    </w:p>
    <w:p>
      <w:pPr>
        <w:spacing w:after="0" w:line="121"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 agreement prospectus supplement immediately follows the base prospectus. The $100,000,000 of common stock that may be offered, issued and sold under the sale agreement prospectus supplement is included in the $400,000,000 of securities that may be offered, issued and sold by us under the base prospectus. Upon termination of the sale agreement, any portion of the $100,000,000 included in the sale agreement prospectus supplement that is not sold pursuant to the sale agreement will be available for sale in other offerings pursuant to the base prospectus, and if no shares of common stock are sold under the sale agreement, the full $400,000,000 of securities may be sold in other offerings pursuant to the base prospectus and a corresponding prospectus supplement.</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03" w:type="dxa"/>
        <w:tblCellMar>
          <w:top w:w="0" w:type="dxa"/>
          <w:left w:w="0" w:type="dxa"/>
          <w:bottom w:w="0" w:type="dxa"/>
          <w:right w:w="0" w:type="dxa"/>
        </w:tblCellMar>
      </w:tblPr>
      <w:tr>
        <w:trPr>
          <w:trHeight w:val="320"/>
        </w:trPr>
        <w:tc>
          <w:tcPr>
            <w:tcW w:w="195" w:type="dxa"/>
            <w:vAlign w:val="bottom"/>
            <w:textDirection w:val="btLr"/>
          </w:tcPr>
          <w:p>
            <w:pPr>
              <w:spacing w:after="0"/>
              <w:rPr>
                <w:sz w:val="20"/>
                <w:szCs w:val="20"/>
                <w:color w:val="auto"/>
              </w:rPr>
            </w:pPr>
            <w:r>
              <w:rPr>
                <w:rFonts w:ascii="Arial" w:cs="Arial" w:eastAsia="Arial" w:hAnsi="Arial"/>
                <w:sz w:val="17"/>
                <w:szCs w:val="17"/>
                <w:b w:val="1"/>
                <w:bCs w:val="1"/>
                <w:color w:val="C21128"/>
              </w:rPr>
              <w:t>and</w:t>
            </w:r>
          </w:p>
        </w:tc>
      </w:tr>
    </w:tbl>
    <w:p>
      <w:pPr>
        <w:spacing w:after="0" w:line="240" w:lineRule="exact"/>
        <w:rPr>
          <w:sz w:val="20"/>
          <w:szCs w:val="20"/>
          <w:color w:val="auto"/>
        </w:rPr>
      </w:pPr>
    </w:p>
    <w:tbl>
      <w:tblPr>
        <w:tblLayout w:type="fixed"/>
        <w:tblInd w:w="36" w:type="dxa"/>
        <w:tblCellMar>
          <w:top w:w="0" w:type="dxa"/>
          <w:left w:w="0" w:type="dxa"/>
          <w:bottom w:w="0" w:type="dxa"/>
          <w:right w:w="0" w:type="dxa"/>
        </w:tblCellMar>
      </w:tblPr>
      <w:tr>
        <w:trPr>
          <w:trHeight w:val="10820"/>
        </w:trPr>
        <w:tc>
          <w:tcPr>
            <w:tcW w:w="665" w:type="dxa"/>
            <w:vAlign w:val="bottom"/>
            <w:textDirection w:val="btLr"/>
          </w:tcPr>
          <w:p>
            <w:pPr>
              <w:spacing w:after="0" w:line="257" w:lineRule="auto"/>
              <w:rPr>
                <w:sz w:val="20"/>
                <w:szCs w:val="20"/>
                <w:color w:val="auto"/>
              </w:rPr>
            </w:pPr>
            <w:r>
              <w:rPr>
                <w:rFonts w:ascii="Arial" w:cs="Arial" w:eastAsia="Arial" w:hAnsi="Arial"/>
                <w:sz w:val="18"/>
                <w:szCs w:val="18"/>
                <w:b w:val="1"/>
                <w:bCs w:val="1"/>
                <w:color w:val="C21128"/>
              </w:rPr>
              <w:t>we are not soliciting offers to buy these securities in any jurisdiction where the offer or sale is not permitted. statement filed with the Securities and Exchange Commission is effective. This prospectus is not an offer to sell these securities The information in this prospectus is not complete and may be changed. We may not sell these securities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C21128"/>
        </w:rPr>
        <w:t>Subject to completion, dated May 12,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178435</wp:posOffset>
            </wp:positionV>
            <wp:extent cx="233997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997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Tango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Warrants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Units</w:t>
      </w:r>
    </w:p>
    <w:p>
      <w:pPr>
        <w:spacing w:after="0" w:line="20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may offer and sell, from time to time issue, in one or more series or classes, up to $400,000,000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8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“TNGX.” On May 8, 2025, the closing price for our common stock, as reported on The Nasdaq Global Market, was $1.10 per share.</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Investing in these securities involves certain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2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6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 2025.</w:t>
      </w:r>
    </w:p>
    <w:p>
      <w:pPr>
        <w:sectPr>
          <w:pgSz w:w="11900" w:h="16838" w:orient="portrait"/>
          <w:cols w:equalWidth="0" w:num="2">
            <w:col w:w="701" w:space="279"/>
            <w:col w:w="9280"/>
          </w:cols>
          <w:pgMar w:left="320" w:top="455" w:right="13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000" w:type="dxa"/>
            <w:vAlign w:val="bottom"/>
            <w:gridSpan w:val="15"/>
          </w:tcPr>
          <w:p>
            <w:pPr>
              <w:spacing w:after="0"/>
              <w:rPr>
                <w:sz w:val="20"/>
                <w:szCs w:val="20"/>
                <w:color w:val="auto"/>
              </w:rPr>
            </w:pPr>
            <w:r>
              <w:rPr>
                <w:rFonts w:ascii="Arial" w:cs="Arial" w:eastAsia="Arial" w:hAnsi="Arial"/>
                <w:sz w:val="17"/>
                <w:szCs w:val="17"/>
                <w:color w:val="0000EE"/>
              </w:rPr>
              <w:t>ABOUT THIS PROSPECTUS</w:t>
            </w:r>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85"/>
        </w:trPr>
        <w:tc>
          <w:tcPr>
            <w:tcW w:w="2240" w:type="dxa"/>
            <w:vAlign w:val="bottom"/>
            <w:tcBorders>
              <w:top w:val="single" w:sz="8" w:color="0000EE"/>
            </w:tcBorders>
            <w:gridSpan w:val="8"/>
          </w:tcPr>
          <w:p>
            <w:pPr>
              <w:spacing w:after="0"/>
              <w:rPr>
                <w:sz w:val="20"/>
                <w:szCs w:val="20"/>
                <w:color w:val="auto"/>
              </w:rPr>
            </w:pPr>
            <w:r>
              <w:rPr>
                <w:rFonts w:ascii="Arial" w:cs="Arial" w:eastAsia="Arial" w:hAnsi="Arial"/>
                <w:sz w:val="17"/>
                <w:szCs w:val="17"/>
                <w:color w:val="0000EE"/>
              </w:rPr>
              <w:t>RISK FACTORS</w:t>
            </w:r>
          </w:p>
        </w:tc>
        <w:tc>
          <w:tcPr>
            <w:tcW w:w="576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SPECIAL NOTE REGARDING FORWARD-LOOKING STATEMENTS</w:t>
            </w:r>
          </w:p>
        </w:tc>
        <w:tc>
          <w:tcPr>
            <w:tcW w:w="30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85"/>
        </w:trPr>
        <w:tc>
          <w:tcPr>
            <w:tcW w:w="12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98"/>
              </w:rPr>
              <w:t>OUR COMPANY</w:t>
            </w:r>
          </w:p>
        </w:tc>
        <w:tc>
          <w:tcPr>
            <w:tcW w:w="3960" w:type="dxa"/>
            <w:vAlign w:val="bottom"/>
            <w:tcBorders>
              <w:top w:val="single" w:sz="8" w:color="0000EE"/>
            </w:tcBorders>
            <w:gridSpan w:val="11"/>
          </w:tcPr>
          <w:p>
            <w:pPr>
              <w:spacing w:after="0"/>
              <w:rPr>
                <w:sz w:val="24"/>
                <w:szCs w:val="24"/>
                <w:color w:val="auto"/>
              </w:rPr>
            </w:pPr>
          </w:p>
        </w:tc>
        <w:tc>
          <w:tcPr>
            <w:tcW w:w="27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85"/>
        </w:trPr>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USE OF PROCEEDS</w:t>
            </w:r>
          </w:p>
        </w:tc>
        <w:tc>
          <w:tcPr>
            <w:tcW w:w="6360" w:type="dxa"/>
            <w:vAlign w:val="bottom"/>
            <w:gridSpan w:val="10"/>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SECURITIES THAT MAY BE OFFERED</w:t>
            </w:r>
          </w:p>
        </w:tc>
        <w:tc>
          <w:tcPr>
            <w:tcW w:w="3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85"/>
        </w:trPr>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7"/>
                <w:szCs w:val="17"/>
                <w:color w:val="0000EE"/>
              </w:rPr>
              <w:t>DESCRIPTION OF CAPITAL STOCK</w:t>
            </w:r>
          </w:p>
        </w:tc>
        <w:tc>
          <w:tcPr>
            <w:tcW w:w="496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DESCRIPTION OF DEBT SECURITIES</w:t>
            </w:r>
          </w:p>
        </w:tc>
        <w:tc>
          <w:tcPr>
            <w:tcW w:w="30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85"/>
        </w:trPr>
        <w:tc>
          <w:tcPr>
            <w:tcW w:w="302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0000EE"/>
              </w:rPr>
              <w:t>DESCRIPTION OF WARRANTS</w:t>
            </w:r>
          </w:p>
        </w:tc>
        <w:tc>
          <w:tcPr>
            <w:tcW w:w="498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85"/>
        </w:trPr>
        <w:tc>
          <w:tcPr>
            <w:tcW w:w="246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0000EE"/>
              </w:rPr>
              <w:t>DESCRIPTION OF UNITS</w:t>
            </w:r>
          </w:p>
        </w:tc>
        <w:tc>
          <w:tcPr>
            <w:tcW w:w="554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85"/>
        </w:trPr>
        <w:tc>
          <w:tcPr>
            <w:tcW w:w="19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w w:val="99"/>
              </w:rPr>
              <w:t>PLAN OF DISTRIBUTION</w:t>
            </w:r>
          </w:p>
        </w:tc>
        <w:tc>
          <w:tcPr>
            <w:tcW w:w="20" w:type="dxa"/>
            <w:vAlign w:val="bottom"/>
            <w:tcBorders>
              <w:top w:val="single" w:sz="8" w:color="0000EE"/>
            </w:tcBorders>
          </w:tcPr>
          <w:p>
            <w:pPr>
              <w:spacing w:after="0"/>
              <w:rPr>
                <w:sz w:val="24"/>
                <w:szCs w:val="24"/>
                <w:color w:val="auto"/>
              </w:rPr>
            </w:pPr>
          </w:p>
        </w:tc>
        <w:tc>
          <w:tcPr>
            <w:tcW w:w="600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600" w:type="dxa"/>
            <w:vAlign w:val="bottom"/>
            <w:gridSpan w:val="11"/>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200" w:type="dxa"/>
            <w:vAlign w:val="bottom"/>
            <w:gridSpan w:val="1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370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9"/>
              </w:rPr>
              <w:t>WHERE YOU CAN FIND MORE INFORMATION</w:t>
            </w:r>
          </w:p>
        </w:tc>
        <w:tc>
          <w:tcPr>
            <w:tcW w:w="430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INCORPORATION BY REFERENCE</w:t>
            </w: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63"/>
        </w:trPr>
        <w:tc>
          <w:tcPr>
            <w:tcW w:w="80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3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price of up to $400,000,000.</w:t>
      </w:r>
    </w:p>
    <w:p>
      <w:pPr>
        <w:spacing w:after="0" w:line="121"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headings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by Reference</w:t>
      </w:r>
      <w:r>
        <w:rPr>
          <w:rFonts w:ascii="Arial" w:cs="Arial" w:eastAsia="Arial" w:hAnsi="Arial"/>
          <w:sz w:val="17"/>
          <w:szCs w:val="17"/>
          <w:color w:val="auto"/>
        </w:rPr>
        <w:t>” beginning on page 24 of this prospectus.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273" w:lineRule="exact"/>
        <w:rPr>
          <w:sz w:val="20"/>
          <w:szCs w:val="20"/>
          <w:color w:val="auto"/>
        </w:rPr>
      </w:pPr>
    </w:p>
    <w:p>
      <w:pPr>
        <w:ind w:left="120" w:right="720"/>
        <w:spacing w:after="0" w:line="280" w:lineRule="auto"/>
        <w:rPr>
          <w:sz w:val="20"/>
          <w:szCs w:val="20"/>
          <w:color w:val="auto"/>
        </w:rPr>
      </w:pPr>
      <w:r>
        <w:rPr>
          <w:rFonts w:ascii="Arial" w:cs="Arial" w:eastAsia="Arial" w:hAnsi="Arial"/>
          <w:sz w:val="17"/>
          <w:szCs w:val="17"/>
          <w:b w:val="1"/>
          <w:bCs w:val="1"/>
          <w:color w:val="auto"/>
        </w:rPr>
        <w:t>THIS PROSPECTUS MAY NOT BE USED TO OFFER AND SELL SECURITIES UNLESS IT IS ACCOMPANIED BY AN ADDITIONAL PROSPECTUS OR A PROSPECTUS SUPPLEMENT.</w:t>
      </w:r>
    </w:p>
    <w:p>
      <w:pPr>
        <w:spacing w:after="0" w:line="84" w:lineRule="exact"/>
        <w:rPr>
          <w:sz w:val="20"/>
          <w:szCs w:val="20"/>
          <w:color w:val="auto"/>
        </w:rPr>
      </w:pPr>
    </w:p>
    <w:p>
      <w:pPr>
        <w:ind w:left="120" w:right="820"/>
        <w:spacing w:after="0" w:line="267" w:lineRule="auto"/>
        <w:rPr>
          <w:sz w:val="20"/>
          <w:szCs w:val="20"/>
          <w:color w:val="auto"/>
        </w:rPr>
      </w:pPr>
      <w:r>
        <w:rPr>
          <w:rFonts w:ascii="Arial" w:cs="Arial" w:eastAsia="Arial" w:hAnsi="Arial"/>
          <w:sz w:val="17"/>
          <w:szCs w:val="17"/>
          <w:color w:val="auto"/>
        </w:rPr>
        <w:t>As used in this prospectus, unless the context otherwise requires, references to “Tango,” “company,” “we,” “us” and “our” refer to Tango Therapeutics, Inc. and, where appropriate, our subsidiaries.</w:t>
      </w:r>
    </w:p>
    <w:p>
      <w:pPr>
        <w:spacing w:after="0" w:line="10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2"/>
          <w:szCs w:val="12"/>
          <w:color w:val="auto"/>
        </w:rPr>
        <w:t>®</w:t>
      </w:r>
      <w:r>
        <w:rPr>
          <w:rFonts w:ascii="Arial" w:cs="Arial" w:eastAsia="Arial" w:hAnsi="Arial"/>
          <w:sz w:val="17"/>
          <w:szCs w:val="17"/>
          <w:color w:val="auto"/>
        </w:rPr>
        <w:t xml:space="preserve"> and </w:t>
      </w:r>
      <w:r>
        <w:rPr>
          <w:rFonts w:ascii="Arial" w:cs="Arial" w:eastAsia="Arial" w:hAnsi="Arial"/>
          <w:sz w:val="12"/>
          <w:szCs w:val="12"/>
          <w:color w:val="auto"/>
        </w:rPr>
        <w:t>™</w:t>
      </w:r>
      <w:r>
        <w:rPr>
          <w:rFonts w:ascii="Arial" w:cs="Arial" w:eastAsia="Arial" w:hAnsi="Arial"/>
          <w:sz w:val="17"/>
          <w:szCs w:val="17"/>
          <w:color w:val="auto"/>
        </w:rPr>
        <w:t>, but such references should not be construed as any indicator that their respective owners will not assert, to the fullest extent under applicable law, their rights thereto.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Forward-looking statements include, but are not limited to, statements about:</w:t>
      </w:r>
    </w:p>
    <w:p>
      <w:pPr>
        <w:spacing w:after="0" w:line="196" w:lineRule="exact"/>
        <w:rPr>
          <w:sz w:val="20"/>
          <w:szCs w:val="20"/>
          <w:color w:val="auto"/>
        </w:rPr>
      </w:pPr>
    </w:p>
    <w:p>
      <w:pPr>
        <w:ind w:left="980" w:hanging="432"/>
        <w:spacing w:after="0" w:line="238"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filing a registrational trial and initiating a combination clinical trial in TNG462, and related preparatory work for each, plans for the TNG456 clinical trial, and the period during which the results of the clinical trials (including initial and final trial results) will become available (such as the clinical data update from the ongoing TNG462 clinical trial and the data from the ongoing TNG260 clinical trial, both expected in the second half of 2025);</w:t>
      </w:r>
    </w:p>
    <w:p>
      <w:pPr>
        <w:spacing w:after="0" w:line="6" w:lineRule="exact"/>
        <w:rPr>
          <w:rFonts w:ascii="MS PGothic" w:cs="MS PGothic" w:eastAsia="MS PGothic" w:hAnsi="MS PGothic"/>
          <w:sz w:val="13"/>
          <w:szCs w:val="13"/>
          <w:color w:val="auto"/>
        </w:rPr>
      </w:pPr>
    </w:p>
    <w:p>
      <w:pPr>
        <w:ind w:left="980" w:right="420" w:hanging="432"/>
        <w:spacing w:after="0" w:line="246"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6" w:lineRule="exact"/>
        <w:rPr>
          <w:rFonts w:ascii="MS PGothic" w:cs="MS PGothic" w:eastAsia="MS PGothic" w:hAnsi="MS PGothic"/>
          <w:sz w:val="13"/>
          <w:szCs w:val="13"/>
          <w:color w:val="auto"/>
        </w:rPr>
      </w:pPr>
    </w:p>
    <w:p>
      <w:pPr>
        <w:ind w:left="980" w:right="900" w:hanging="432"/>
        <w:spacing w:after="0" w:line="253"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 w:lineRule="exact"/>
        <w:rPr>
          <w:rFonts w:ascii="MS PGothic" w:cs="MS PGothic" w:eastAsia="MS PGothic" w:hAnsi="MS PGothic"/>
          <w:sz w:val="13"/>
          <w:szCs w:val="13"/>
          <w:color w:val="auto"/>
        </w:rPr>
      </w:pPr>
    </w:p>
    <w:p>
      <w:pPr>
        <w:ind w:left="980" w:right="440" w:hanging="432"/>
        <w:spacing w:after="0" w:line="253"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ability and willingness of our third-party strategic collaborators to license and to continue research and development activities relating to our development candidates and product candidates;</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the first quarter of 2027);</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obtain and, if approved, maintain regulatory approval of our product candidates (as well as approval or clearance of screening tests and companion diagnostic tests for our product candidates) and the potential paths to approval for TNG462 in MTAP-deleted pancreatic and lung cancer;</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right="200" w:hanging="432"/>
        <w:spacing w:after="0" w:line="253"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 and our ability to enforce our intellectual property rights;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capital requirements, and our need for additional financing;</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 w:lineRule="exact"/>
        <w:rPr>
          <w:rFonts w:ascii="MS PGothic" w:cs="MS PGothic" w:eastAsia="MS PGothic" w:hAnsi="MS PGothic"/>
          <w:sz w:val="13"/>
          <w:szCs w:val="13"/>
          <w:color w:val="auto"/>
        </w:rPr>
      </w:pPr>
    </w:p>
    <w:p>
      <w:pPr>
        <w:ind w:left="980" w:right="580" w:hanging="432"/>
        <w:spacing w:after="0" w:line="267"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(if approved) and any other approved products;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financial performance, including the expectation that we will continue to incur operating losses and negative cash flow;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if approved;</w:t>
      </w:r>
    </w:p>
    <w:p>
      <w:pPr>
        <w:spacing w:after="0" w:line="34" w:lineRule="exact"/>
        <w:rPr>
          <w:rFonts w:ascii="MS PGothic" w:cs="MS PGothic" w:eastAsia="MS PGothic" w:hAnsi="MS PGothic"/>
          <w:sz w:val="13"/>
          <w:szCs w:val="13"/>
          <w:color w:val="auto"/>
        </w:rPr>
      </w:pPr>
    </w:p>
    <w:p>
      <w:pPr>
        <w:ind w:left="980" w:right="180" w:hanging="432"/>
        <w:spacing w:after="0" w:line="253"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(or the ability of third parties with whom we contract) to produce our products or product candidates with advantages in turnaround times or manufacturing cost;</w:t>
      </w:r>
    </w:p>
    <w:p>
      <w:pPr>
        <w:spacing w:after="0" w:line="6" w:lineRule="exact"/>
        <w:rPr>
          <w:rFonts w:ascii="MS PGothic" w:cs="MS PGothic" w:eastAsia="MS PGothic" w:hAnsi="MS PGothic"/>
          <w:sz w:val="13"/>
          <w:szCs w:val="13"/>
          <w:color w:val="auto"/>
        </w:rPr>
      </w:pPr>
    </w:p>
    <w:p>
      <w:pPr>
        <w:ind w:left="980" w:right="20" w:hanging="432"/>
        <w:spacing w:after="0" w:line="246"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industry;</w:t>
      </w:r>
    </w:p>
    <w:p>
      <w:pPr>
        <w:spacing w:after="0" w:line="34" w:lineRule="exact"/>
        <w:rPr>
          <w:rFonts w:ascii="MS PGothic" w:cs="MS PGothic" w:eastAsia="MS PGothic" w:hAnsi="MS PGothic"/>
          <w:sz w:val="13"/>
          <w:szCs w:val="13"/>
          <w:color w:val="auto"/>
        </w:rPr>
      </w:pPr>
    </w:p>
    <w:p>
      <w:pPr>
        <w:ind w:left="980" w:hanging="432"/>
        <w:spacing w:after="0" w:line="253"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 w:lineRule="exact"/>
        <w:rPr>
          <w:rFonts w:ascii="MS PGothic" w:cs="MS PGothic" w:eastAsia="MS PGothic" w:hAnsi="MS PGothic"/>
          <w:sz w:val="13"/>
          <w:szCs w:val="13"/>
          <w:color w:val="auto"/>
        </w:rPr>
      </w:pPr>
    </w:p>
    <w:p>
      <w:pPr>
        <w:ind w:left="980" w:right="260" w:hanging="432"/>
        <w:spacing w:after="0" w:line="253"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effect of public health crises on our business operations, including but not limited to our preclinical studies and clinical trials and any future studies or trials;</w:t>
      </w:r>
    </w:p>
    <w:p>
      <w:pPr>
        <w:spacing w:after="0" w:line="6" w:lineRule="exact"/>
        <w:rPr>
          <w:rFonts w:ascii="MS PGothic" w:cs="MS PGothic" w:eastAsia="MS PGothic" w:hAnsi="MS PGothic"/>
          <w:sz w:val="13"/>
          <w:szCs w:val="13"/>
          <w:color w:val="auto"/>
        </w:rPr>
      </w:pPr>
    </w:p>
    <w:p>
      <w:pPr>
        <w:ind w:left="980" w:right="200" w:hanging="432"/>
        <w:spacing w:after="0" w:line="246"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expected benefits of the use of our drugs in patients as single agents and/or in combination, including our beliefs that: TNG462 has the potential to be a best-in-class molecule; and preclinical studies demonstrate TNG456 brain exposure has the potential to be sufficient for meaningful efficacy in GBM; and</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under the caption “Risk Factors.”</w:t>
      </w:r>
    </w:p>
    <w:p>
      <w:pPr>
        <w:spacing w:after="0" w:line="156"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2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may from time-to-time provide estimates, projections and other information concerning our industry, our business and the markets for our programs, product candidates and collaborations.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30"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0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has now been established based on pharmacodynamic data from on-treatment patient biopsies.</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TNG961 is a development candidate targeting HBS1L in FOCAD-deleted solid tumors. FOCAD deletion occurs in 20-40% of all MTAP-deleted cancers. FOCAD deletion is common in NSCLC, occurring in ~7%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 and Information</w:t>
      </w:r>
    </w:p>
    <w:p>
      <w:pPr>
        <w:spacing w:after="0" w:line="6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28"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THAT MAY BE OFFERED</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Arial" w:cs="Arial" w:eastAsia="Arial" w:hAnsi="Arial"/>
          <w:sz w:val="17"/>
          <w:szCs w:val="17"/>
          <w:i w:val="1"/>
          <w:iCs w:val="1"/>
          <w:color w:val="auto"/>
        </w:rPr>
        <w:t>Plan of Distribution</w:t>
      </w:r>
      <w:r>
        <w:rPr>
          <w:rFonts w:ascii="Arial" w:cs="Arial" w:eastAsia="Arial" w:hAnsi="Arial"/>
          <w:sz w:val="17"/>
          <w:szCs w:val="17"/>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and Outstanding Stock</w:t>
      </w:r>
    </w:p>
    <w:p>
      <w:pPr>
        <w:spacing w:after="0" w:line="61"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Our certificate of incorporation authorizes the issuance of 210,000,000 shares, consisting of 200,000,000 shares of common stock, $0.001 par value per share, and 10,000,000 shares of preferred stock, $0.001 par value, all of which shares of preferred stock are undesignated.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Common Stock</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certificate of incorporation provides the following with respect to the rights, powers, preferences and privileges of the common stock.</w:t>
      </w:r>
    </w:p>
    <w:p>
      <w:pPr>
        <w:spacing w:after="0" w:line="156"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i w:val="1"/>
          <w:iCs w:val="1"/>
          <w:color w:val="auto"/>
        </w:rPr>
        <w:t xml:space="preserve">Voting Power. </w:t>
      </w:r>
      <w:r>
        <w:rPr>
          <w:rFonts w:ascii="Arial" w:cs="Arial" w:eastAsia="Arial" w:hAnsi="Arial"/>
          <w:sz w:val="17"/>
          <w:szCs w:val="17"/>
          <w:color w:val="auto"/>
        </w:rPr>
        <w:t>Except as otherwise required by law or as otherwise provided in any certificate of designation for any series of preferred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21" w:lineRule="exact"/>
        <w:rPr>
          <w:sz w:val="20"/>
          <w:szCs w:val="20"/>
          <w:color w:val="auto"/>
        </w:rPr>
      </w:pPr>
    </w:p>
    <w:p>
      <w:pPr>
        <w:ind w:left="120" w:right="380"/>
        <w:spacing w:after="0" w:line="24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will be entitled to receive such dividends, if any, as may be declared from time to time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21"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i w:val="1"/>
          <w:iCs w:val="1"/>
          <w:color w:val="auto"/>
        </w:rPr>
        <w:t xml:space="preserve">Liquidation, Dissolution and Winding Up. </w:t>
      </w:r>
      <w:r>
        <w:rPr>
          <w:rFonts w:ascii="Arial" w:cs="Arial" w:eastAsia="Arial" w:hAnsi="Arial"/>
          <w:sz w:val="17"/>
          <w:szCs w:val="17"/>
          <w:color w:val="auto"/>
        </w:rPr>
        <w:t>In the event of Tango’s voluntary or involuntary liquidation, dissolution, distribution of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i w:val="1"/>
          <w:iCs w:val="1"/>
          <w:color w:val="auto"/>
        </w:rPr>
        <w:t xml:space="preserve">Preemptive or Other Rights. </w:t>
      </w:r>
      <w:r>
        <w:rPr>
          <w:rFonts w:ascii="Arial" w:cs="Arial" w:eastAsia="Arial" w:hAnsi="Arial"/>
          <w:sz w:val="17"/>
          <w:szCs w:val="17"/>
          <w:color w:val="auto"/>
        </w:rPr>
        <w:t>Our common stock has no preemptive rights, conversion rights or other subscription rights or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 of Securities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Market under the symbol “TNGX”.</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for our common stock is Computershare Trust Company, N.A.</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75"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Certain of our stockholders (“Holders”) hold registration rights pursuant to an amended and restated registration and stockholder rights agreement (the “Amended and Restated Registration and Stockholder Rights Agreement”).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Stockholders holding a majority-in-interest of such registrable securities are entitled to make a written demand for registration under the Securities Act of 1933, as amended (the “Securities Act”), of all or part of their registrable securities.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particular, the Amended and Restated Registration and Stockholder Rights Agreement provides for the following registration rights:</w:t>
      </w:r>
    </w:p>
    <w:p>
      <w:pPr>
        <w:spacing w:after="0" w:line="196" w:lineRule="exact"/>
        <w:rPr>
          <w:sz w:val="20"/>
          <w:szCs w:val="20"/>
          <w:color w:val="auto"/>
        </w:rPr>
      </w:pPr>
    </w:p>
    <w:p>
      <w:pPr>
        <w:ind w:left="980" w:right="80" w:hanging="432"/>
        <w:spacing w:after="0" w:line="239" w:lineRule="auto"/>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i w:val="1"/>
          <w:iCs w:val="1"/>
          <w:color w:val="auto"/>
        </w:rPr>
        <w:t>Shelf registration/demand registration rights</w:t>
      </w:r>
      <w:r>
        <w:rPr>
          <w:rFonts w:ascii="Arial" w:cs="Arial" w:eastAsia="Arial" w:hAnsi="Arial"/>
          <w:sz w:val="17"/>
          <w:szCs w:val="17"/>
          <w:color w:val="auto"/>
        </w:rPr>
        <w:t>. At any time and from time to time when an effective shelf registration statement is on file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Subject to exceptions for certain offerings and registration statements, if at any time, we propose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4" w:lineRule="exact"/>
        <w:rPr>
          <w:rFonts w:ascii="MS PGothic" w:cs="MS PGothic" w:eastAsia="MS PGothic" w:hAnsi="MS PGothic"/>
          <w:sz w:val="13"/>
          <w:szCs w:val="13"/>
          <w:color w:val="auto"/>
        </w:rPr>
      </w:pPr>
    </w:p>
    <w:p>
      <w:pPr>
        <w:ind w:left="980" w:right="520" w:hanging="432"/>
        <w:spacing w:after="0" w:line="244" w:lineRule="auto"/>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The Amended and Restated Registration and Stockholder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of Registration Rights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registration rights granted under the Amended and Restated Registration and Stockholder Rights Agreement will terminate on the earlier of</w:t>
      </w:r>
    </w:p>
    <w:p>
      <w:pPr>
        <w:spacing w:after="0" w:line="10" w:lineRule="exact"/>
        <w:rPr>
          <w:sz w:val="20"/>
          <w:szCs w:val="20"/>
          <w:color w:val="auto"/>
        </w:rPr>
      </w:pPr>
    </w:p>
    <w:p>
      <w:pPr>
        <w:ind w:left="120" w:right="700" w:hanging="4"/>
        <w:spacing w:after="0" w:line="248" w:lineRule="auto"/>
        <w:tabs>
          <w:tab w:leader="none" w:pos="31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10th anniversary of the date of the agreement and (ii) with respect to any Holder, on the date that such Holder no longer holds any Registrable Securities.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39"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3" w:lineRule="exact"/>
        <w:rPr>
          <w:sz w:val="20"/>
          <w:szCs w:val="20"/>
          <w:color w:val="auto"/>
        </w:rPr>
      </w:pPr>
    </w:p>
    <w:p>
      <w:pPr>
        <w:ind w:left="980" w:right="200" w:hanging="432"/>
        <w:spacing w:after="0" w:line="253"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provide that the authorized number of directors may be changed only by resolution of our board of directors;</w:t>
      </w:r>
    </w:p>
    <w:p>
      <w:pPr>
        <w:spacing w:after="0" w:line="34" w:lineRule="exact"/>
        <w:rPr>
          <w:rFonts w:ascii="MS PGothic" w:cs="MS PGothic" w:eastAsia="MS PGothic" w:hAnsi="MS PGothic"/>
          <w:sz w:val="13"/>
          <w:szCs w:val="13"/>
          <w:color w:val="auto"/>
        </w:rPr>
      </w:pPr>
    </w:p>
    <w:p>
      <w:pPr>
        <w:jc w:val="both"/>
        <w:ind w:left="980" w:right="180" w:hanging="432"/>
        <w:spacing w:after="0" w:line="253"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two thirds (2/3) of all of our then-outstanding shares of the capital stock entitled to vote at an election of directors;</w:t>
      </w:r>
    </w:p>
    <w:p>
      <w:pPr>
        <w:spacing w:after="0" w:line="6" w:lineRule="exact"/>
        <w:rPr>
          <w:rFonts w:ascii="MS PGothic" w:cs="MS PGothic" w:eastAsia="MS PGothic" w:hAnsi="MS PGothic"/>
          <w:sz w:val="13"/>
          <w:szCs w:val="13"/>
          <w:color w:val="auto"/>
        </w:rPr>
      </w:pPr>
    </w:p>
    <w:p>
      <w:pPr>
        <w:ind w:left="980" w:right="20" w:hanging="432"/>
        <w:spacing w:after="0" w:line="24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6" w:lineRule="exact"/>
        <w:rPr>
          <w:rFonts w:ascii="MS PGothic" w:cs="MS PGothic" w:eastAsia="MS PGothic" w:hAnsi="MS PGothic"/>
          <w:sz w:val="13"/>
          <w:szCs w:val="13"/>
          <w:color w:val="auto"/>
        </w:rPr>
      </w:pPr>
    </w:p>
    <w:p>
      <w:pPr>
        <w:ind w:left="980" w:right="360" w:hanging="432"/>
        <w:spacing w:after="0" w:line="24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 w:lineRule="exact"/>
        <w:rPr>
          <w:rFonts w:ascii="MS PGothic" w:cs="MS PGothic" w:eastAsia="MS PGothic" w:hAnsi="MS PGothic"/>
          <w:sz w:val="13"/>
          <w:szCs w:val="13"/>
          <w:color w:val="auto"/>
        </w:rPr>
      </w:pPr>
    </w:p>
    <w:p>
      <w:pPr>
        <w:ind w:left="980" w:right="560" w:hanging="432"/>
        <w:spacing w:after="0" w:line="267"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provide that special meetings of our stockholders may be called by our board of directors pursuant to a resolution adopted by a majority of the total number of directors then in office;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140" w:hanging="432"/>
        <w:spacing w:after="0" w:line="253"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provide that our board of directors will be divided into three classes of directors, with the directors serving three-year terms, therefore making it more difficult for stockholders to change the composition of our board of directors;</w:t>
      </w:r>
    </w:p>
    <w:p>
      <w:pPr>
        <w:spacing w:after="0" w:line="6" w:lineRule="exact"/>
        <w:rPr>
          <w:rFonts w:ascii="MS PGothic" w:cs="MS PGothic" w:eastAsia="MS PGothic" w:hAnsi="MS PGothic"/>
          <w:sz w:val="13"/>
          <w:szCs w:val="13"/>
          <w:color w:val="auto"/>
        </w:rPr>
      </w:pPr>
    </w:p>
    <w:p>
      <w:pPr>
        <w:ind w:left="980" w:right="100" w:hanging="432"/>
        <w:spacing w:after="0" w:line="239"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w:t>
      </w:r>
    </w:p>
    <w:p>
      <w:pPr>
        <w:spacing w:after="0" w:line="6" w:lineRule="exact"/>
        <w:rPr>
          <w:rFonts w:ascii="MS PGothic" w:cs="MS PGothic" w:eastAsia="MS PGothic" w:hAnsi="MS PGothic"/>
          <w:sz w:val="13"/>
          <w:szCs w:val="13"/>
          <w:color w:val="auto"/>
        </w:rPr>
      </w:pPr>
    </w:p>
    <w:p>
      <w:pPr>
        <w:ind w:left="980" w:right="200" w:hanging="432"/>
        <w:spacing w:after="0"/>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our Bylaws may be amended by the affirmative vote of a majority of the directors then in office, subject to any limitations set forth by law or in the bylaws; and may also be amended by the affirmative vote of 75% of the outstanding shares entitled to vote on the amendment; provided, however, if our board of directors recommends such amendment to be voted on at a meeting of the stockholders, such amendment only requires the affirmative vote of the majority of the outstanding shares entitled to vote on such amendment and</w:t>
      </w:r>
    </w:p>
    <w:p>
      <w:pPr>
        <w:spacing w:after="0" w:line="8"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Delaware Anti-Takeover Law</w:t>
      </w:r>
    </w:p>
    <w:p>
      <w:pPr>
        <w:spacing w:after="0" w:line="39" w:lineRule="exact"/>
        <w:rPr>
          <w:sz w:val="20"/>
          <w:szCs w:val="20"/>
          <w:color w:val="auto"/>
        </w:rPr>
      </w:pPr>
    </w:p>
    <w:p>
      <w:pPr>
        <w:jc w:val="both"/>
        <w:ind w:left="120" w:right="400"/>
        <w:spacing w:after="0" w:line="246" w:lineRule="auto"/>
        <w:rPr>
          <w:sz w:val="20"/>
          <w:szCs w:val="20"/>
          <w:color w:val="auto"/>
        </w:rPr>
      </w:pPr>
      <w:r>
        <w:rPr>
          <w:rFonts w:ascii="Arial" w:cs="Arial" w:eastAsia="Arial" w:hAnsi="Arial"/>
          <w:sz w:val="17"/>
          <w:szCs w:val="17"/>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31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120" w:right="200"/>
        <w:spacing w:after="0" w:line="241"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196"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title of the series of debt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any limit upon the aggregate principal amount that may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maturity date or 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form of the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applicability of any guarantees;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whether or not the debt securities will be secured or unsecured, and the terms of any secured debt;</w:t>
      </w:r>
    </w:p>
    <w:p>
      <w:pPr>
        <w:spacing w:after="0" w:line="3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6"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140" w:hanging="432"/>
        <w:spacing w:after="0" w:line="246"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right, if any, to defer payment of interest and the maximum length of any such deferral period;</w:t>
      </w:r>
    </w:p>
    <w:p>
      <w:pPr>
        <w:spacing w:after="0" w:line="34" w:lineRule="exact"/>
        <w:rPr>
          <w:rFonts w:ascii="MS PGothic" w:cs="MS PGothic" w:eastAsia="MS PGothic" w:hAnsi="MS PGothic"/>
          <w:sz w:val="13"/>
          <w:szCs w:val="13"/>
          <w:color w:val="auto"/>
        </w:rPr>
      </w:pPr>
    </w:p>
    <w:p>
      <w:pPr>
        <w:jc w:val="both"/>
        <w:ind w:left="980" w:right="460" w:hanging="432"/>
        <w:spacing w:after="0" w:line="246"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 w:lineRule="exact"/>
        <w:rPr>
          <w:rFonts w:ascii="MS PGothic" w:cs="MS PGothic" w:eastAsia="MS PGothic" w:hAnsi="MS PGothic"/>
          <w:sz w:val="13"/>
          <w:szCs w:val="13"/>
          <w:color w:val="auto"/>
        </w:rPr>
      </w:pPr>
    </w:p>
    <w:p>
      <w:pPr>
        <w:ind w:left="980" w:hanging="432"/>
        <w:spacing w:after="0" w:line="246"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 w:lineRule="exact"/>
        <w:rPr>
          <w:rFonts w:ascii="MS PGothic" w:cs="MS PGothic" w:eastAsia="MS PGothic" w:hAnsi="MS PGothic"/>
          <w:sz w:val="13"/>
          <w:szCs w:val="13"/>
          <w:color w:val="auto"/>
        </w:rPr>
      </w:pPr>
    </w:p>
    <w:p>
      <w:pPr>
        <w:ind w:left="980" w:right="14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6" w:lineRule="exact"/>
        <w:rPr>
          <w:rFonts w:ascii="MS PGothic" w:cs="MS PGothic" w:eastAsia="MS PGothic" w:hAnsi="MS PGothic"/>
          <w:sz w:val="13"/>
          <w:szCs w:val="13"/>
          <w:color w:val="auto"/>
        </w:rPr>
      </w:pPr>
    </w:p>
    <w:p>
      <w:pPr>
        <w:ind w:left="980" w:right="120" w:hanging="432"/>
        <w:spacing w:after="0" w:line="246"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 w:lineRule="exact"/>
        <w:rPr>
          <w:rFonts w:ascii="MS PGothic" w:cs="MS PGothic" w:eastAsia="MS PGothic" w:hAnsi="MS PGothic"/>
          <w:sz w:val="13"/>
          <w:szCs w:val="13"/>
          <w:color w:val="auto"/>
        </w:rPr>
      </w:pPr>
    </w:p>
    <w:p>
      <w:pPr>
        <w:ind w:left="980" w:right="120" w:hanging="432"/>
        <w:spacing w:after="0" w:line="246"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4"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6" w:lineRule="exact"/>
        <w:rPr>
          <w:rFonts w:ascii="MS PGothic" w:cs="MS PGothic" w:eastAsia="MS PGothic" w:hAnsi="MS PGothic"/>
          <w:sz w:val="13"/>
          <w:szCs w:val="13"/>
          <w:color w:val="auto"/>
        </w:rPr>
      </w:pPr>
    </w:p>
    <w:p>
      <w:pPr>
        <w:ind w:left="980" w:right="64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6"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satisfaction and discharge of the indenture;</w:t>
      </w:r>
    </w:p>
    <w:p>
      <w:pPr>
        <w:spacing w:after="0" w:line="34" w:lineRule="exact"/>
        <w:rPr>
          <w:rFonts w:ascii="MS PGothic" w:cs="MS PGothic" w:eastAsia="MS PGothic" w:hAnsi="MS PGothic"/>
          <w:sz w:val="13"/>
          <w:szCs w:val="13"/>
          <w:color w:val="auto"/>
        </w:rPr>
      </w:pPr>
    </w:p>
    <w:p>
      <w:pPr>
        <w:ind w:left="980" w:right="24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6"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6" w:lineRule="exact"/>
        <w:rPr>
          <w:rFonts w:ascii="MS PGothic" w:cs="MS PGothic" w:eastAsia="MS PGothic" w:hAnsi="MS PGothic"/>
          <w:sz w:val="13"/>
          <w:szCs w:val="13"/>
          <w:color w:val="auto"/>
        </w:rPr>
      </w:pPr>
    </w:p>
    <w:p>
      <w:pPr>
        <w:ind w:left="980" w:right="24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6" w:lineRule="exact"/>
        <w:rPr>
          <w:rFonts w:ascii="MS PGothic" w:cs="MS PGothic" w:eastAsia="MS PGothic" w:hAnsi="MS PGothic"/>
          <w:sz w:val="13"/>
          <w:szCs w:val="13"/>
          <w:color w:val="auto"/>
        </w:rPr>
      </w:pPr>
    </w:p>
    <w:p>
      <w:pPr>
        <w:ind w:left="980" w:right="560" w:hanging="432"/>
        <w:spacing w:after="0" w:line="253"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any restrictions on transfer, sale or assignment of the debt securities of the series; and</w:t>
      </w:r>
    </w:p>
    <w:p>
      <w:pPr>
        <w:spacing w:after="0" w:line="34"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60"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60" w:lineRule="exact"/>
        <w:rPr>
          <w:sz w:val="20"/>
          <w:szCs w:val="20"/>
          <w:color w:val="auto"/>
        </w:rPr>
      </w:pPr>
    </w:p>
    <w:p>
      <w:pPr>
        <w:ind w:left="120" w:right="220"/>
        <w:spacing w:after="0" w:line="24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73"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46" w:lineRule="exact"/>
        <w:rPr>
          <w:sz w:val="20"/>
          <w:szCs w:val="20"/>
          <w:color w:val="auto"/>
        </w:rPr>
      </w:pPr>
    </w:p>
    <w:p>
      <w:pPr>
        <w:ind w:left="980" w:right="6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 w:lineRule="exact"/>
        <w:rPr>
          <w:rFonts w:ascii="MS PGothic" w:cs="MS PGothic" w:eastAsia="MS PGothic" w:hAnsi="MS PGothic"/>
          <w:sz w:val="13"/>
          <w:szCs w:val="13"/>
          <w:color w:val="auto"/>
        </w:rPr>
      </w:pPr>
    </w:p>
    <w:p>
      <w:pPr>
        <w:ind w:left="980" w:right="6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specified events of bankruptcy, insolvency or reorganization occur.</w:t>
      </w:r>
    </w:p>
    <w:p>
      <w:pPr>
        <w:spacing w:after="0" w:line="156"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1" w:lineRule="exact"/>
        <w:rPr>
          <w:sz w:val="20"/>
          <w:szCs w:val="20"/>
          <w:color w:val="auto"/>
        </w:rPr>
      </w:pPr>
    </w:p>
    <w:p>
      <w:pPr>
        <w:ind w:left="120" w:right="180"/>
        <w:spacing w:after="0" w:line="241"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trustee, or exercising any trust or power conferred on the trustee, with respect to the debt securities of that series, provided that:</w:t>
      </w:r>
    </w:p>
    <w:p>
      <w:pPr>
        <w:spacing w:after="0" w:line="196"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direction so given by the holder is not in conflict with any law or the applicable indenture; and</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05"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146"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34" w:lineRule="exact"/>
        <w:rPr>
          <w:rFonts w:ascii="MS PGothic" w:cs="MS PGothic" w:eastAsia="MS PGothic" w:hAnsi="MS PGothic"/>
          <w:sz w:val="13"/>
          <w:szCs w:val="13"/>
          <w:color w:val="auto"/>
        </w:rPr>
      </w:pPr>
    </w:p>
    <w:p>
      <w:pPr>
        <w:ind w:left="980" w:right="340" w:hanging="432"/>
        <w:spacing w:after="0" w:line="25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6"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5"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196"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indenture or in the debt securities of any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comply with the provisions described above under “</w:t>
      </w:r>
      <w:r>
        <w:rPr>
          <w:rFonts w:ascii="Arial" w:cs="Arial" w:eastAsia="Arial" w:hAnsi="Arial"/>
          <w:sz w:val="17"/>
          <w:szCs w:val="17"/>
          <w:i w:val="1"/>
          <w:iCs w:val="1"/>
          <w:color w:val="auto"/>
        </w:rPr>
        <w:t>Description of Debt Securities—Consolidation, Merger or Sale</w:t>
      </w:r>
      <w:r>
        <w:rPr>
          <w:rFonts w:ascii="Arial" w:cs="Arial" w:eastAsia="Arial" w:hAnsi="Arial"/>
          <w:sz w:val="17"/>
          <w:szCs w:val="17"/>
          <w:color w:val="auto"/>
        </w:rPr>
        <w: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4" w:lineRule="exact"/>
        <w:rPr>
          <w:rFonts w:ascii="MS PGothic" w:cs="MS PGothic" w:eastAsia="MS PGothic" w:hAnsi="MS PGothic"/>
          <w:sz w:val="13"/>
          <w:szCs w:val="13"/>
          <w:color w:val="auto"/>
        </w:rPr>
      </w:pPr>
    </w:p>
    <w:p>
      <w:pPr>
        <w:ind w:left="980" w:right="180" w:hanging="432"/>
        <w:spacing w:after="0" w:line="24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provide for the issuance of and establish the form and terms and conditions of the debt securities of any series as provided above under “</w:t>
      </w:r>
      <w:r>
        <w:rPr>
          <w:rFonts w:ascii="Arial" w:cs="Arial" w:eastAsia="Arial" w:hAnsi="Arial"/>
          <w:sz w:val="17"/>
          <w:szCs w:val="17"/>
          <w:i w:val="1"/>
          <w:iCs w:val="1"/>
          <w:color w:val="auto"/>
        </w:rPr>
        <w:t>Description of Debt Securities—General</w:t>
      </w:r>
      <w:r>
        <w:rPr>
          <w:rFonts w:ascii="Arial" w:cs="Arial" w:eastAsia="Arial" w:hAnsi="Arial"/>
          <w:sz w:val="17"/>
          <w:szCs w:val="17"/>
          <w:color w:val="auto"/>
        </w:rPr>
        <w:t>” to establish the form of any certifications required to be furnished pursuant to the terms of the indenture or any series of debt securities, or to add to the rights of the holders of any series of debt securities;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56"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applicable to a particular series of debt securities, we and the trustee may make the following changes only with the consent of each holder of any outstanding debt securities affected:</w:t>
      </w:r>
    </w:p>
    <w:p>
      <w:pPr>
        <w:spacing w:after="0" w:line="146"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extending the fixed maturity of any debt securities of any series;</w:t>
      </w:r>
    </w:p>
    <w:p>
      <w:pPr>
        <w:spacing w:after="0" w:line="34" w:lineRule="exact"/>
        <w:rPr>
          <w:rFonts w:ascii="MS PGothic" w:cs="MS PGothic" w:eastAsia="MS PGothic" w:hAnsi="MS PGothic"/>
          <w:sz w:val="13"/>
          <w:szCs w:val="13"/>
          <w:color w:val="auto"/>
        </w:rPr>
      </w:pPr>
    </w:p>
    <w:p>
      <w:pPr>
        <w:ind w:left="980" w:right="360" w:hanging="432"/>
        <w:spacing w:after="0" w:line="25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reducing the principal amount, reducing the rate of or extending the time of payment of interest, or reducing any premium payable upon the redemption of any series of any debt securities; or</w:t>
      </w:r>
    </w:p>
    <w:p>
      <w:pPr>
        <w:spacing w:after="0" w:line="6"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6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146"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provide for payment;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register the transfer or exchange of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replace stolen, lost or mutilated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pay principal of and premium and interest on any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maintain paying agencies;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hold monies for payment in trust;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recover excess money held by the trustee;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compensate and indemnify the trustee;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appoint any successor trustee.</w:t>
      </w:r>
    </w:p>
    <w:p>
      <w:pPr>
        <w:spacing w:after="0" w:line="156" w:lineRule="exact"/>
        <w:rPr>
          <w:sz w:val="20"/>
          <w:szCs w:val="20"/>
          <w:color w:val="auto"/>
        </w:rPr>
      </w:pPr>
    </w:p>
    <w:p>
      <w:pPr>
        <w:ind w:left="120" w:right="620"/>
        <w:spacing w:after="0" w:line="267"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28" w:lineRule="exact"/>
        <w:rPr>
          <w:sz w:val="20"/>
          <w:szCs w:val="20"/>
          <w:color w:val="auto"/>
        </w:rPr>
      </w:pPr>
    </w:p>
    <w:p>
      <w:pPr>
        <w:jc w:val="both"/>
        <w:ind w:left="120" w:right="420"/>
        <w:spacing w:after="0" w:line="249" w:lineRule="auto"/>
        <w:rPr>
          <w:sz w:val="20"/>
          <w:szCs w:val="20"/>
          <w:color w:val="auto"/>
        </w:rPr>
      </w:pPr>
      <w:r>
        <w:rPr>
          <w:rFonts w:ascii="Arial" w:cs="Arial" w:eastAsia="Arial" w:hAnsi="Arial"/>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96" w:lineRule="exact"/>
        <w:rPr>
          <w:sz w:val="20"/>
          <w:szCs w:val="20"/>
          <w:color w:val="auto"/>
        </w:rPr>
      </w:pPr>
    </w:p>
    <w:p>
      <w:pPr>
        <w:jc w:val="both"/>
        <w:ind w:left="980" w:right="120" w:hanging="432"/>
        <w:spacing w:after="0" w:line="24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0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60" w:lineRule="exact"/>
        <w:rPr>
          <w:sz w:val="20"/>
          <w:szCs w:val="20"/>
          <w:color w:val="auto"/>
        </w:rPr>
      </w:pPr>
    </w:p>
    <w:p>
      <w:pPr>
        <w:ind w:left="120" w:right="460"/>
        <w:spacing w:after="0" w:line="249"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8"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indenture and the debt securities will be governed by and construed in accordance with the laws of the state of New York, except to the extent that the Trust Indenture Act is applicable.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21" w:lineRule="exact"/>
        <w:rPr>
          <w:sz w:val="20"/>
          <w:szCs w:val="20"/>
          <w:color w:val="auto"/>
        </w:rPr>
      </w:pPr>
    </w:p>
    <w:p>
      <w:pPr>
        <w:jc w:val="both"/>
        <w:ind w:left="120" w:right="220"/>
        <w:spacing w:after="0" w:line="249" w:lineRule="auto"/>
        <w:rPr>
          <w:sz w:val="20"/>
          <w:szCs w:val="20"/>
          <w:color w:val="auto"/>
        </w:rPr>
      </w:pPr>
      <w:r>
        <w:rPr>
          <w:rFonts w:ascii="Arial" w:cs="Arial" w:eastAsia="Arial" w:hAnsi="Arial"/>
          <w:sz w:val="17"/>
          <w:szCs w:val="17"/>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warrants, including:</w:t>
      </w:r>
    </w:p>
    <w:p>
      <w:pPr>
        <w:spacing w:after="0" w:line="196"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offering price and aggregate number of warrants offered;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currency for which the warrants may be purchased;</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if applicable, the date on and after which the warrants and the related securities will be separately transferable;</w:t>
      </w:r>
    </w:p>
    <w:p>
      <w:pPr>
        <w:spacing w:after="0" w:line="34" w:lineRule="exact"/>
        <w:rPr>
          <w:rFonts w:ascii="MS PGothic" w:cs="MS PGothic" w:eastAsia="MS PGothic" w:hAnsi="MS PGothic"/>
          <w:sz w:val="13"/>
          <w:szCs w:val="13"/>
          <w:color w:val="auto"/>
        </w:rPr>
      </w:pPr>
    </w:p>
    <w:p>
      <w:pPr>
        <w:jc w:val="both"/>
        <w:ind w:left="980" w:right="160" w:hanging="432"/>
        <w:spacing w:after="0" w:line="246"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effect of any merger, consolidation, sale or other disposition of our business on the warrant agreement and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terms of any rights to redeem or call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periods during which, and places at which, the warrants are exercisable;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manner of exercise;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dates on which the right to exercise the warrants will commence and expire;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manner in which the warrant agreement and warrants may be modified;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federal income tax consequences of holding or exercising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terms of the securities issuable upon exercise of the warrants;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warrants.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64" w:lineRule="exact"/>
        <w:rPr>
          <w:sz w:val="20"/>
          <w:szCs w:val="20"/>
          <w:color w:val="auto"/>
        </w:rPr>
      </w:pPr>
    </w:p>
    <w:p>
      <w:pPr>
        <w:ind w:left="980" w:right="340" w:hanging="432"/>
        <w:spacing w:after="0" w:line="25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designation and terms of the units and of the securities comprising the units, including whether and under what circumstances those securities may be held or transferred separately;</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price or prices at which such units will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applicable United States federal income tax considerations relating to the units;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other terms of the units and of the securities comprising the units.</w:t>
      </w:r>
    </w:p>
    <w:p>
      <w:pPr>
        <w:spacing w:after="0" w:line="156"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and “</w:t>
      </w:r>
      <w:r>
        <w:rPr>
          <w:rFonts w:ascii="Arial" w:cs="Arial" w:eastAsia="Arial" w:hAnsi="Arial"/>
          <w:sz w:val="17"/>
          <w:szCs w:val="17"/>
          <w:i w:val="1"/>
          <w:iCs w:val="1"/>
          <w:color w:val="auto"/>
        </w:rPr>
        <w:t>Description of Warrants</w:t>
      </w:r>
      <w:r>
        <w:rPr>
          <w:rFonts w:ascii="Arial" w:cs="Arial" w:eastAsia="Arial" w:hAnsi="Arial"/>
          <w:sz w:val="17"/>
          <w:szCs w:val="17"/>
          <w:color w:val="auto"/>
        </w:rPr>
        <w:t>” will apply to the securities included in each unit, to the extent relevant and as may be updated in any prospectus supplements.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6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60"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provisions will generally apply to all unit agreements unless otherwise stated in the applicable prospectus supplement: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without Consent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applicable unit agent may amend any unit or unit agreement without the consent of any holder:</w:t>
      </w:r>
    </w:p>
    <w:p>
      <w:pPr>
        <w:spacing w:after="0" w:line="196"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to cure any ambiguity;</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 that differ from those described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to correct or supplement any defective or inconsistent provision; or</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to make any other change that we believe is necessary or desirable and will not adversely affect the interests of the affected holders in any material respect.</w:t>
      </w:r>
    </w:p>
    <w:p>
      <w:pPr>
        <w:spacing w:after="0" w:line="105"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 Consent</w:t>
      </w:r>
    </w:p>
    <w:p>
      <w:pPr>
        <w:spacing w:after="0" w:line="60"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We may not amend any particular unit or a unit agreement with respect to any particular unit unless we obtain the consent of the holder of that unit, if the amendment would:</w:t>
      </w:r>
    </w:p>
    <w:p>
      <w:pPr>
        <w:spacing w:after="0" w:line="146" w:lineRule="exact"/>
        <w:rPr>
          <w:sz w:val="20"/>
          <w:szCs w:val="20"/>
          <w:color w:val="auto"/>
        </w:rPr>
      </w:pPr>
    </w:p>
    <w:p>
      <w:pPr>
        <w:ind w:left="980" w:right="220" w:hanging="432"/>
        <w:spacing w:after="0" w:line="25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 w:lineRule="exact"/>
        <w:rPr>
          <w:rFonts w:ascii="MS PGothic" w:cs="MS PGothic" w:eastAsia="MS PGothic" w:hAnsi="MS PGothic"/>
          <w:sz w:val="13"/>
          <w:szCs w:val="13"/>
          <w:color w:val="auto"/>
        </w:rPr>
      </w:pPr>
    </w:p>
    <w:p>
      <w:pPr>
        <w:ind w:left="980" w:right="320" w:hanging="432"/>
        <w:spacing w:after="0" w:line="267"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other change to a particular unit agreement and the units issued under that agreement would require the following approval:</w:t>
      </w:r>
    </w:p>
    <w:p>
      <w:pPr>
        <w:spacing w:after="0" w:line="196" w:lineRule="exact"/>
        <w:rPr>
          <w:sz w:val="20"/>
          <w:szCs w:val="20"/>
          <w:color w:val="auto"/>
        </w:rPr>
      </w:pPr>
    </w:p>
    <w:p>
      <w:pPr>
        <w:ind w:left="980" w:right="80" w:hanging="432"/>
        <w:spacing w:after="0" w:line="25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If the change affects only the units of a particular series issued under that agreement, the change must be approved by the holders of a majority of the outstanding units of that series; or</w:t>
      </w:r>
    </w:p>
    <w:p>
      <w:pPr>
        <w:spacing w:after="0" w:line="6"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These provisions regarding changes with majority approval also apply to changes affecting any securities issued under a unit agreement, as the governing document.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each case, the required approval must be given by written consent.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 Will Not Be Qualified under Trust Indenture Act</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Therefore, holders of units issued under unit agreements will not have the protections of the Trust Indenture Act with respect to their units.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and Similar Transactions Permitted; No Restrictive Covenants or Events of Default</w:t>
      </w:r>
    </w:p>
    <w:p>
      <w:pPr>
        <w:spacing w:after="0" w:line="73"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unit agreements and the units will be governed by New York law.</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unit and all securities comprising the unit will be issued in the same form.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issue any units in registered, non-global form, the following will apply to them.</w:t>
      </w:r>
    </w:p>
    <w:p>
      <w:pPr>
        <w:spacing w:after="0" w:line="156"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46" w:lineRule="exact"/>
        <w:rPr>
          <w:sz w:val="20"/>
          <w:szCs w:val="20"/>
          <w:color w:val="auto"/>
        </w:rPr>
      </w:pPr>
    </w:p>
    <w:p>
      <w:pPr>
        <w:ind w:left="980" w:right="600" w:hanging="432"/>
        <w:spacing w:after="0" w:line="25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4"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Only the depositary will be entitled to transfer or exchange a unit in global form, since it will be the sole holder of the unit.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and Notices</w:t>
      </w:r>
    </w:p>
    <w:p>
      <w:pPr>
        <w:spacing w:after="0" w:line="60" w:lineRule="exact"/>
        <w:rPr>
          <w:sz w:val="20"/>
          <w:szCs w:val="20"/>
          <w:color w:val="auto"/>
        </w:rPr>
      </w:pPr>
    </w:p>
    <w:p>
      <w:pPr>
        <w:ind w:left="120" w:right="720"/>
        <w:spacing w:after="0" w:line="267" w:lineRule="auto"/>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w:t>
      </w:r>
    </w:p>
    <w:p>
      <w:pPr>
        <w:spacing w:after="0" w:line="1" w:lineRule="exact"/>
        <w:rPr>
          <w:sz w:val="20"/>
          <w:szCs w:val="20"/>
          <w:color w:val="auto"/>
        </w:rPr>
      </w:pPr>
    </w:p>
    <w:p>
      <w:pPr>
        <w:jc w:val="both"/>
        <w:ind w:left="120" w:right="320" w:hanging="4"/>
        <w:spacing w:after="0"/>
        <w:tabs>
          <w:tab w:leader="none" w:pos="3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67" w:lineRule="exact"/>
        <w:rPr>
          <w:rFonts w:ascii="Arial" w:cs="Arial" w:eastAsia="Arial" w:hAnsi="Arial"/>
          <w:sz w:val="17"/>
          <w:szCs w:val="17"/>
          <w:color w:val="auto"/>
        </w:rPr>
      </w:pPr>
    </w:p>
    <w:p>
      <w:pPr>
        <w:ind w:left="980" w:right="360" w:hanging="432"/>
        <w:spacing w:after="0" w:line="253" w:lineRule="auto"/>
        <w:tabs>
          <w:tab w:leader="none" w:pos="980" w:val="left"/>
        </w:tabs>
        <w:numPr>
          <w:ilvl w:val="1"/>
          <w:numId w:val="24"/>
        </w:numPr>
        <w:rPr>
          <w:rFonts w:ascii="MS PGothic" w:cs="MS PGothic" w:eastAsia="MS PGothic" w:hAnsi="MS PGothic"/>
          <w:sz w:val="13"/>
          <w:szCs w:val="13"/>
          <w:color w:val="auto"/>
        </w:rPr>
      </w:pPr>
      <w:r>
        <w:rPr>
          <w:rFonts w:ascii="Arial" w:cs="Arial" w:eastAsia="Arial" w:hAnsi="Arial"/>
          <w:sz w:val="17"/>
          <w:szCs w:val="17"/>
          <w:color w:val="auto"/>
        </w:rPr>
        <w:t>on or through the facilities of The Nasdaq Global Market or any other securities exchange or quotation or trading service on which such securities may be listed, quoted or traded at the time of sale; and/or</w:t>
      </w:r>
    </w:p>
    <w:p>
      <w:pPr>
        <w:spacing w:after="0" w:line="6"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1"/>
          <w:numId w:val="24"/>
        </w:numPr>
        <w:rPr>
          <w:rFonts w:ascii="MS PGothic" w:cs="MS PGothic" w:eastAsia="MS PGothic" w:hAnsi="MS PGothic"/>
          <w:sz w:val="13"/>
          <w:szCs w:val="13"/>
          <w:color w:val="auto"/>
        </w:rPr>
      </w:pPr>
      <w:r>
        <w:rPr>
          <w:rFonts w:ascii="Arial" w:cs="Arial" w:eastAsia="Arial" w:hAnsi="Arial"/>
          <w:sz w:val="17"/>
          <w:szCs w:val="17"/>
          <w:color w:val="auto"/>
        </w:rPr>
        <w:t>to or through a market maker otherwise than on The Nasdaq Global Market or such other securities exchanges or quotation or trading services.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15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distribution of the securities may be effected from time to time in one or more transactions:</w:t>
      </w:r>
    </w:p>
    <w:p>
      <w:pPr>
        <w:spacing w:after="0" w:line="196"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 from time to time;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at negotiated prices.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prospectus supplement will describe the method of distribution of the securities and any applicable restrictions.</w:t>
      </w:r>
    </w:p>
    <w:p>
      <w:pPr>
        <w:spacing w:after="0" w:line="156"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color w:val="auto"/>
        </w:rPr>
        <w:t>The prospectus supplement with respect to the securities of a particular series will describe the terms of the offering of the securities, including the following:</w:t>
      </w:r>
    </w:p>
    <w:p>
      <w:pPr>
        <w:spacing w:after="0" w:line="146"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name of the agent or any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public offering or purchase price;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the agent or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all other items constituting underwriting compensation;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dealers;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any exchanges on which the securities will be listed.</w:t>
      </w:r>
    </w:p>
    <w:p>
      <w:pPr>
        <w:spacing w:after="0" w:line="156" w:lineRule="exact"/>
        <w:rPr>
          <w:sz w:val="20"/>
          <w:szCs w:val="20"/>
          <w:color w:val="auto"/>
        </w:rPr>
      </w:pPr>
    </w:p>
    <w:p>
      <w:pPr>
        <w:ind w:left="120" w:right="700"/>
        <w:spacing w:after="0" w:line="249"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 agreement or other agreement with them at the time of sale to them, and we will set forth in the prospectus supplement relating to such offering the names of the underwriters or agents and the terms of the related agreement with them.</w:t>
      </w:r>
    </w:p>
    <w:p>
      <w:pPr>
        <w:spacing w:after="0" w:line="121"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49" w:lineRule="auto"/>
        <w:rPr>
          <w:sz w:val="20"/>
          <w:szCs w:val="20"/>
          <w:color w:val="auto"/>
        </w:rPr>
      </w:pPr>
      <w:r>
        <w:rPr>
          <w:rFonts w:ascii="Arial" w:cs="Arial" w:eastAsia="Arial" w:hAnsi="Arial"/>
          <w:sz w:val="17"/>
          <w:szCs w:val="17"/>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21"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3"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9" w:lineRule="exact"/>
        <w:rPr>
          <w:sz w:val="20"/>
          <w:szCs w:val="20"/>
          <w:color w:val="auto"/>
        </w:rPr>
      </w:pPr>
    </w:p>
    <w:p>
      <w:pPr>
        <w:ind w:left="980" w:hanging="432"/>
        <w:spacing w:after="0" w:line="25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6"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21"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26" w:lineRule="exact"/>
        <w:rPr>
          <w:sz w:val="20"/>
          <w:szCs w:val="20"/>
          <w:color w:val="auto"/>
        </w:rPr>
      </w:pPr>
    </w:p>
    <w:p>
      <w:pPr>
        <w:ind w:left="120" w:right="160"/>
        <w:spacing w:after="0" w:line="249" w:lineRule="auto"/>
        <w:rPr>
          <w:sz w:val="20"/>
          <w:szCs w:val="20"/>
          <w:color w:val="auto"/>
        </w:rPr>
      </w:pPr>
      <w:r>
        <w:rPr>
          <w:rFonts w:ascii="Arial" w:cs="Arial" w:eastAsia="Arial" w:hAnsi="Arial"/>
          <w:sz w:val="17"/>
          <w:szCs w:val="17"/>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2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3"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3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28"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156"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Any underwriters, dealers and agents may engage in transactions with us, or perform services for us, in the ordinary course of business for which they receive compensation.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anticipated date of delivery of offered securities will be set forth in the applicable prospectus supplement relating to each offer.</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jc w:val="both"/>
        <w:ind w:left="120" w:right="500"/>
        <w:spacing w:after="0" w:line="249"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explanatory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26"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70" w:lineRule="exact"/>
        <w:rPr>
          <w:sz w:val="20"/>
          <w:szCs w:val="20"/>
          <w:color w:val="auto"/>
        </w:rPr>
      </w:pPr>
    </w:p>
    <w:p>
      <w:pPr>
        <w:ind w:left="980" w:hanging="432"/>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2024, filed with the SEC on February 27, 2025;</w:t>
      </w:r>
    </w:p>
    <w:p>
      <w:pPr>
        <w:spacing w:after="0" w:line="34" w:lineRule="exact"/>
        <w:rPr>
          <w:rFonts w:ascii="Arial" w:cs="Arial" w:eastAsia="Arial" w:hAnsi="Arial"/>
          <w:sz w:val="17"/>
          <w:szCs w:val="17"/>
          <w:color w:val="auto"/>
        </w:rPr>
      </w:pPr>
    </w:p>
    <w:p>
      <w:pPr>
        <w:jc w:val="both"/>
        <w:ind w:left="980" w:right="200" w:hanging="432"/>
        <w:spacing w:after="0" w:line="24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2024 from our amended definitive proxy statement on </w:t>
      </w:r>
      <w:hyperlink r:id="rId50">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24, 2025;</w:t>
      </w:r>
    </w:p>
    <w:p>
      <w:pPr>
        <w:spacing w:after="0" w:line="6" w:lineRule="exact"/>
        <w:rPr>
          <w:rFonts w:ascii="Arial" w:cs="Arial" w:eastAsia="Arial" w:hAnsi="Arial"/>
          <w:sz w:val="17"/>
          <w:szCs w:val="17"/>
          <w:color w:val="auto"/>
        </w:rPr>
      </w:pPr>
    </w:p>
    <w:p>
      <w:pPr>
        <w:ind w:left="980" w:hanging="432"/>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Quarterly Report on </w:t>
      </w:r>
      <w:hyperlink r:id="rId51">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2025, filed with the SEC on May 12, 2025; and</w:t>
      </w:r>
    </w:p>
    <w:p>
      <w:pPr>
        <w:spacing w:after="0" w:line="34" w:lineRule="exact"/>
        <w:rPr>
          <w:rFonts w:ascii="Arial" w:cs="Arial" w:eastAsia="Arial" w:hAnsi="Arial"/>
          <w:sz w:val="17"/>
          <w:szCs w:val="17"/>
          <w:color w:val="auto"/>
        </w:rPr>
      </w:pPr>
    </w:p>
    <w:p>
      <w:pPr>
        <w:jc w:val="both"/>
        <w:ind w:left="980" w:right="60" w:hanging="432"/>
        <w:spacing w:after="0" w:line="24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2">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on September 2, 2020, including any amendments or reports filed for the purpose of updating such description, including </w:t>
      </w:r>
      <w:hyperlink r:id="rId53">
        <w:r>
          <w:rPr>
            <w:rFonts w:ascii="Arial" w:cs="Arial" w:eastAsia="Arial" w:hAnsi="Arial"/>
            <w:sz w:val="17"/>
            <w:szCs w:val="17"/>
            <w:u w:val="single" w:color="auto"/>
            <w:color w:val="0000EE"/>
          </w:rPr>
          <w:t>Exhibit 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December 31, 2024.</w:t>
      </w:r>
    </w:p>
    <w:p>
      <w:pPr>
        <w:spacing w:after="0" w:line="121" w:lineRule="exact"/>
        <w:rPr>
          <w:rFonts w:ascii="MS PGothic" w:cs="MS PGothic" w:eastAsia="MS PGothic" w:hAnsi="MS PGothic"/>
          <w:sz w:val="13"/>
          <w:szCs w:val="13"/>
          <w:color w:val="auto"/>
        </w:rPr>
      </w:pPr>
    </w:p>
    <w:p>
      <w:pPr>
        <w:ind w:left="120" w:right="500"/>
        <w:spacing w:after="0" w:line="267" w:lineRule="auto"/>
        <w:rPr>
          <w:sz w:val="20"/>
          <w:szCs w:val="20"/>
          <w:color w:val="auto"/>
        </w:rPr>
      </w:pPr>
      <w:r>
        <w:rPr>
          <w:rFonts w:ascii="Arial" w:cs="Arial" w:eastAsia="Arial" w:hAnsi="Arial"/>
          <w:sz w:val="17"/>
          <w:szCs w:val="17"/>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05" w:lineRule="exact"/>
        <w:rPr>
          <w:rFonts w:ascii="MS PGothic" w:cs="MS PGothic" w:eastAsia="MS PGothic" w:hAnsi="MS PGothic"/>
          <w:sz w:val="13"/>
          <w:szCs w:val="13"/>
          <w:color w:val="auto"/>
        </w:rPr>
      </w:pPr>
    </w:p>
    <w:p>
      <w:pPr>
        <w:ind w:left="120" w:right="40"/>
        <w:spacing w:after="0" w:line="267"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05" w:lineRule="exact"/>
        <w:rPr>
          <w:rFonts w:ascii="MS PGothic" w:cs="MS PGothic" w:eastAsia="MS PGothic" w:hAnsi="MS PGothic"/>
          <w:sz w:val="13"/>
          <w:szCs w:val="13"/>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21" w:lineRule="exact"/>
        <w:rPr>
          <w:rFonts w:ascii="MS PGothic" w:cs="MS PGothic" w:eastAsia="MS PGothic" w:hAnsi="MS PGothic"/>
          <w:sz w:val="13"/>
          <w:szCs w:val="13"/>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201 Brookline Avenue, Suite 901</w:t>
      </w:r>
    </w:p>
    <w:p>
      <w:pPr>
        <w:spacing w:after="0" w:line="3"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Boston, MA 02215</w:t>
      </w:r>
    </w:p>
    <w:p>
      <w:pPr>
        <w:jc w:val="center"/>
        <w:ind w:right="-119"/>
        <w:spacing w:after="0" w:line="232" w:lineRule="auto"/>
        <w:rPr>
          <w:sz w:val="20"/>
          <w:szCs w:val="20"/>
          <w:color w:val="auto"/>
        </w:rPr>
      </w:pPr>
      <w:r>
        <w:rPr>
          <w:rFonts w:ascii="Arial" w:cs="Arial" w:eastAsia="Arial" w:hAnsi="Arial"/>
          <w:sz w:val="17"/>
          <w:szCs w:val="17"/>
          <w:color w:val="auto"/>
        </w:rPr>
        <w:t>Attn: Corporate Secretary</w:t>
      </w:r>
    </w:p>
    <w:p>
      <w:pPr>
        <w:ind w:left="5480" w:hanging="440"/>
        <w:spacing w:after="0"/>
        <w:tabs>
          <w:tab w:leader="none" w:pos="5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320-4900</w:t>
      </w:r>
    </w:p>
    <w:p>
      <w:pPr>
        <w:spacing w:after="0" w:line="13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6"/>
          <w:szCs w:val="16"/>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$400,000,000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36"/>
          <w:szCs w:val="36"/>
          <w:b w:val="1"/>
          <w:bCs w:val="1"/>
          <w:color w:val="auto"/>
        </w:rPr>
        <w:t>Tango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Common Stock</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Preferred Stock</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Debt Securities</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Warrants</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873125</wp:posOffset>
            </wp:positionV>
            <wp:extent cx="22459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229235</wp:posOffset>
            </wp:positionV>
            <wp:extent cx="22459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2025</w:t>
      </w:r>
    </w:p>
    <w:p>
      <w:pPr>
        <w:spacing w:after="0" w:line="20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252" w:type="dxa"/>
        <w:tblCellMar>
          <w:top w:w="0" w:type="dxa"/>
          <w:left w:w="0" w:type="dxa"/>
          <w:bottom w:w="0" w:type="dxa"/>
          <w:right w:w="0" w:type="dxa"/>
        </w:tblCellMar>
      </w:tblPr>
      <w:tr>
        <w:trPr>
          <w:trHeight w:val="280"/>
        </w:trPr>
        <w:tc>
          <w:tcPr>
            <w:tcW w:w="449" w:type="dxa"/>
            <w:vAlign w:val="bottom"/>
            <w:textDirection w:val="btLr"/>
          </w:tcPr>
          <w:p>
            <w:pPr>
              <w:spacing w:after="0" w:line="1172" w:lineRule="auto"/>
              <w:rPr>
                <w:sz w:val="20"/>
                <w:szCs w:val="20"/>
                <w:color w:val="auto"/>
              </w:rPr>
            </w:pPr>
            <w:r>
              <w:rPr>
                <w:rFonts w:ascii="Arial" w:cs="Arial" w:eastAsia="Arial" w:hAnsi="Arial"/>
                <w:sz w:val="4"/>
                <w:szCs w:val="4"/>
                <w:b w:val="1"/>
                <w:bCs w:val="1"/>
                <w:color w:val="C21128"/>
              </w:rPr>
              <w:t>offers Securities</w:t>
            </w:r>
          </w:p>
        </w:tc>
      </w:tr>
    </w:tbl>
    <w:p>
      <w:pPr>
        <w:spacing w:after="0" w:line="1" w:lineRule="exact"/>
        <w:rPr>
          <w:sz w:val="20"/>
          <w:szCs w:val="20"/>
          <w:color w:val="auto"/>
        </w:rPr>
      </w:pPr>
    </w:p>
    <w:tbl>
      <w:tblPr>
        <w:tblLayout w:type="fixed"/>
        <w:tblInd w:w="101" w:type="dxa"/>
        <w:tblCellMar>
          <w:top w:w="0" w:type="dxa"/>
          <w:left w:w="0" w:type="dxa"/>
          <w:bottom w:w="0" w:type="dxa"/>
          <w:right w:w="0" w:type="dxa"/>
        </w:tblCellMar>
      </w:tblPr>
      <w:tr>
        <w:trPr>
          <w:trHeight w:val="200"/>
        </w:trPr>
        <w:tc>
          <w:tcPr>
            <w:tcW w:w="195" w:type="dxa"/>
            <w:vAlign w:val="bottom"/>
            <w:textDirection w:val="btLr"/>
          </w:tcPr>
          <w:p>
            <w:pPr>
              <w:spacing w:after="0"/>
              <w:rPr>
                <w:sz w:val="20"/>
                <w:szCs w:val="20"/>
                <w:color w:val="auto"/>
              </w:rPr>
            </w:pPr>
            <w:r>
              <w:rPr>
                <w:rFonts w:ascii="Arial" w:cs="Arial" w:eastAsia="Arial" w:hAnsi="Arial"/>
                <w:sz w:val="17"/>
                <w:szCs w:val="17"/>
                <w:b w:val="1"/>
                <w:bCs w:val="1"/>
                <w:color w:val="C21128"/>
              </w:rPr>
              <w:t>an</w:t>
            </w:r>
          </w:p>
        </w:tc>
      </w:tr>
    </w:tbl>
    <w:p>
      <w:pPr>
        <w:spacing w:after="0" w:line="60" w:lineRule="exact"/>
        <w:rPr>
          <w:sz w:val="20"/>
          <w:szCs w:val="20"/>
          <w:color w:val="auto"/>
        </w:rPr>
      </w:pPr>
    </w:p>
    <w:tbl>
      <w:tblPr>
        <w:tblLayout w:type="fixed"/>
        <w:tblInd w:w="51" w:type="dxa"/>
        <w:tblCellMar>
          <w:top w:w="0" w:type="dxa"/>
          <w:left w:w="0" w:type="dxa"/>
          <w:bottom w:w="0" w:type="dxa"/>
          <w:right w:w="0" w:type="dxa"/>
        </w:tblCellMar>
      </w:tblPr>
      <w:tr>
        <w:trPr>
          <w:trHeight w:val="10940"/>
        </w:trPr>
        <w:tc>
          <w:tcPr>
            <w:tcW w:w="852" w:type="dxa"/>
            <w:vAlign w:val="bottom"/>
            <w:textDirection w:val="btLr"/>
          </w:tcPr>
          <w:p>
            <w:pPr>
              <w:spacing w:after="0" w:line="247" w:lineRule="auto"/>
              <w:rPr>
                <w:sz w:val="20"/>
                <w:szCs w:val="20"/>
                <w:color w:val="auto"/>
              </w:rPr>
            </w:pPr>
            <w:r>
              <w:rPr>
                <w:rFonts w:ascii="Arial" w:cs="Arial" w:eastAsia="Arial" w:hAnsi="Arial"/>
                <w:sz w:val="18"/>
                <w:szCs w:val="18"/>
                <w:b w:val="1"/>
                <w:bCs w:val="1"/>
                <w:color w:val="C21128"/>
              </w:rPr>
              <w:t>to buy these securities in any jurisdiction where such offer or sale is not permitted. and Exchange Commission is effective. This prospectus supplement is not an offer to sell these securities, and it is not soliciting offer to buy these securities until the registration statement of which this prospectus supplement forms a part filed with the The information in this prospectus supplement is not complete and may be changed. We may not sell these securities or accept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C21128"/>
        </w:rPr>
        <w:t>Subject to completion, dated May 12,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469265</wp:posOffset>
            </wp:positionV>
            <wp:extent cx="2339975" cy="694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33997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Up to $100,000,000</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231" w:lineRule="exact"/>
        <w:rPr>
          <w:sz w:val="20"/>
          <w:szCs w:val="20"/>
          <w:color w:val="auto"/>
        </w:rPr>
      </w:pPr>
    </w:p>
    <w:p>
      <w:pPr>
        <w:ind w:right="219"/>
        <w:spacing w:after="0" w:line="225" w:lineRule="auto"/>
        <w:rPr>
          <w:sz w:val="20"/>
          <w:szCs w:val="20"/>
          <w:color w:val="auto"/>
        </w:rPr>
      </w:pPr>
      <w:r>
        <w:rPr>
          <w:rFonts w:ascii="Arial" w:cs="Arial" w:eastAsia="Arial" w:hAnsi="Arial"/>
          <w:sz w:val="18"/>
          <w:szCs w:val="18"/>
          <w:color w:val="auto"/>
        </w:rPr>
        <w:t>We have previously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or the sale agreement, with Jefferies LLC, or Jefferies, dated September 1, 2022, relating to the sale of shares of our common stock, offered by the prospectus supplement and the accompanying prospectus. In accordance with the terms of the sale agreement, under this prospectus supplement, we may offer and sell shares of our common stock, $ 0.001 par value per share, having an aggregate offering price of up to $100,000,000 from time to time through Jefferies, acting as our sales agent.</w:t>
      </w:r>
    </w:p>
    <w:p>
      <w:pPr>
        <w:spacing w:after="0" w:line="180" w:lineRule="exact"/>
        <w:rPr>
          <w:sz w:val="20"/>
          <w:szCs w:val="20"/>
          <w:color w:val="auto"/>
        </w:rPr>
      </w:pPr>
    </w:p>
    <w:p>
      <w:pPr>
        <w:ind w:right="499"/>
        <w:spacing w:after="0" w:line="271" w:lineRule="auto"/>
        <w:rPr>
          <w:sz w:val="20"/>
          <w:szCs w:val="20"/>
          <w:color w:val="auto"/>
        </w:rPr>
      </w:pPr>
      <w:r>
        <w:rPr>
          <w:rFonts w:ascii="Arial" w:cs="Arial" w:eastAsia="Arial" w:hAnsi="Arial"/>
          <w:sz w:val="18"/>
          <w:szCs w:val="18"/>
          <w:color w:val="auto"/>
        </w:rPr>
        <w:t>Our common stock is listed on The Nasdaq Global Market under the symbol “TNGX.” On May 8, 2025, the closing sale price of our common stock on The Nasdaq Global Market was $1.10 per share.</w:t>
      </w:r>
    </w:p>
    <w:p>
      <w:pPr>
        <w:spacing w:after="0" w:line="154" w:lineRule="exact"/>
        <w:rPr>
          <w:sz w:val="20"/>
          <w:szCs w:val="20"/>
          <w:color w:val="auto"/>
        </w:rPr>
      </w:pPr>
    </w:p>
    <w:p>
      <w:pPr>
        <w:ind w:right="219"/>
        <w:spacing w:after="0" w:line="242" w:lineRule="auto"/>
        <w:rPr>
          <w:sz w:val="20"/>
          <w:szCs w:val="20"/>
          <w:color w:val="auto"/>
        </w:rPr>
      </w:pPr>
      <w:r>
        <w:rPr>
          <w:rFonts w:ascii="Arial" w:cs="Arial" w:eastAsia="Arial" w:hAnsi="Arial"/>
          <w:sz w:val="18"/>
          <w:szCs w:val="18"/>
          <w:color w:val="auto"/>
        </w:rPr>
        <w:t>Sales of our common stock, if any, under this prospectus supplement will be made by any method permitted that is deemed to be an “at the 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79" w:lineRule="exact"/>
        <w:rPr>
          <w:sz w:val="20"/>
          <w:szCs w:val="20"/>
          <w:color w:val="auto"/>
        </w:rPr>
      </w:pPr>
    </w:p>
    <w:p>
      <w:pPr>
        <w:ind w:right="139"/>
        <w:spacing w:after="0"/>
        <w:rPr>
          <w:sz w:val="20"/>
          <w:szCs w:val="20"/>
          <w:color w:val="auto"/>
        </w:rPr>
      </w:pPr>
      <w:r>
        <w:rPr>
          <w:rFonts w:ascii="Arial" w:cs="Arial" w:eastAsia="Arial" w:hAnsi="Arial"/>
          <w:sz w:val="18"/>
          <w:szCs w:val="18"/>
          <w:color w:val="auto"/>
        </w:rPr>
        <w:t>Jefferies will be entitled to compensation under the terms of the sale agreement at a commission rate of up to 3.0% of the gross proceeds of any shares of common stock sold under the sale agreement. In connection with the sale of our common stock on our behalf, Jefferies will be deemed to be an “underwriter” within the meaning of the Securities Act and the compensation of Jefferies will be deemed to be underwriting commissions or discounts. See “Plan of Distribution” beginning on page S-14 for additional information regarding the compensation to be paid to Jefferies. We have also agreed to provide indemnification and contribution to Jefferies against certain liabilities, including liabilities under the Securities Act and the Securities Exchange Act of 1934, as amended, or the Exchange Act.</w:t>
      </w:r>
    </w:p>
    <w:p>
      <w:pPr>
        <w:spacing w:after="0" w:line="180" w:lineRule="exact"/>
        <w:rPr>
          <w:sz w:val="20"/>
          <w:szCs w:val="20"/>
          <w:color w:val="auto"/>
        </w:rPr>
      </w:pPr>
    </w:p>
    <w:p>
      <w:pPr>
        <w:ind w:right="399"/>
        <w:spacing w:after="0" w:line="250"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S-8 of this prospectus supplement and under similar headings in the other documents that are incorporated by reference into this prospectus supplement concerning factors you should consider before investing in our common stock.</w:t>
      </w:r>
    </w:p>
    <w:p>
      <w:pPr>
        <w:spacing w:after="0" w:line="164" w:lineRule="exact"/>
        <w:rPr>
          <w:sz w:val="20"/>
          <w:szCs w:val="20"/>
          <w:color w:val="auto"/>
        </w:rPr>
      </w:pPr>
    </w:p>
    <w:p>
      <w:pPr>
        <w:ind w:right="319"/>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Jefferies</w:t>
      </w:r>
    </w:p>
    <w:p>
      <w:pPr>
        <w:spacing w:after="0" w:line="357" w:lineRule="exact"/>
        <w:rPr>
          <w:sz w:val="20"/>
          <w:szCs w:val="20"/>
          <w:color w:val="auto"/>
        </w:rPr>
      </w:pPr>
    </w:p>
    <w:p>
      <w:pPr>
        <w:sectPr>
          <w:pgSz w:w="11900" w:h="16838" w:orient="portrait"/>
          <w:cols w:equalWidth="0" w:num="2">
            <w:col w:w="903" w:space="297"/>
            <w:col w:w="8939"/>
          </w:cols>
          <w:pgMar w:left="320" w:top="455" w:right="1440" w:bottom="1440" w:gutter="0" w:footer="0" w:header="0"/>
          <w:type w:val="continuous"/>
        </w:sectPr>
      </w:pPr>
    </w:p>
    <w:p>
      <w:pPr>
        <w:spacing w:after="0" w:line="31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date of this prospectus supplement is        , 2025.</w:t>
      </w:r>
    </w:p>
    <w:p>
      <w:pPr>
        <w:sectPr>
          <w:pgSz w:w="11900" w:h="16838" w:orient="portrait"/>
          <w:cols w:equalWidth="0" w:num="1">
            <w:col w:w="10139"/>
          </w:cols>
          <w:pgMar w:left="320" w:top="455"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ABOUT THIS PROSPECTUS SUPPLEMENT</w:t>
            </w:r>
          </w:p>
        </w:tc>
        <w:tc>
          <w:tcPr>
            <w:tcW w:w="4660" w:type="dxa"/>
            <w:vAlign w:val="bottom"/>
            <w:gridSpan w:val="4"/>
          </w:tcPr>
          <w:p>
            <w:pPr>
              <w:spacing w:after="0"/>
              <w:rPr>
                <w:sz w:val="16"/>
                <w:szCs w:val="16"/>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7"/>
                <w:szCs w:val="17"/>
                <w:color w:val="auto"/>
              </w:rPr>
              <w:t>S-2</w:t>
            </w:r>
          </w:p>
        </w:tc>
      </w:tr>
      <w:tr>
        <w:trPr>
          <w:trHeight w:val="385"/>
        </w:trPr>
        <w:tc>
          <w:tcPr>
            <w:tcW w:w="33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9"/>
              </w:rPr>
              <w:t>PROSPECTUS SUPPLEMENT SUMMARY</w:t>
            </w:r>
          </w:p>
        </w:tc>
        <w:tc>
          <w:tcPr>
            <w:tcW w:w="2340" w:type="dxa"/>
            <w:vAlign w:val="bottom"/>
            <w:tcBorders>
              <w:top w:val="single" w:sz="8" w:color="0000EE"/>
            </w:tcBorders>
            <w:gridSpan w:val="4"/>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S-4</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RISK FACTORS</w:t>
            </w:r>
          </w:p>
        </w:tc>
        <w:tc>
          <w:tcPr>
            <w:tcW w:w="2900" w:type="dxa"/>
            <w:vAlign w:val="bottom"/>
          </w:tcPr>
          <w:p>
            <w:pPr>
              <w:jc w:val="right"/>
              <w:spacing w:after="0"/>
              <w:rPr>
                <w:sz w:val="20"/>
                <w:szCs w:val="20"/>
                <w:color w:val="auto"/>
              </w:rPr>
            </w:pPr>
            <w:r>
              <w:rPr>
                <w:rFonts w:ascii="Arial" w:cs="Arial" w:eastAsia="Arial" w:hAnsi="Arial"/>
                <w:sz w:val="17"/>
                <w:szCs w:val="17"/>
                <w:color w:val="auto"/>
              </w:rPr>
              <w:t>S-8</w:t>
            </w: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6480" w:type="dxa"/>
            <w:vAlign w:val="bottom"/>
            <w:gridSpan w:val="7"/>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S-10</w:t>
            </w:r>
          </w:p>
        </w:tc>
      </w:tr>
      <w:tr>
        <w:trPr>
          <w:trHeight w:val="385"/>
        </w:trPr>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DILUTION</w:t>
            </w:r>
          </w:p>
        </w:tc>
        <w:tc>
          <w:tcPr>
            <w:tcW w:w="7300" w:type="dxa"/>
            <w:vAlign w:val="bottom"/>
            <w:gridSpan w:val="11"/>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S-11</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DIVIDEND POLICY</w:t>
            </w:r>
          </w:p>
        </w:tc>
        <w:tc>
          <w:tcPr>
            <w:tcW w:w="2900" w:type="dxa"/>
            <w:vAlign w:val="bottom"/>
          </w:tcPr>
          <w:p>
            <w:pPr>
              <w:jc w:val="right"/>
              <w:spacing w:after="0"/>
              <w:rPr>
                <w:sz w:val="20"/>
                <w:szCs w:val="20"/>
                <w:color w:val="auto"/>
              </w:rPr>
            </w:pPr>
            <w:r>
              <w:rPr>
                <w:rFonts w:ascii="Arial" w:cs="Arial" w:eastAsia="Arial" w:hAnsi="Arial"/>
                <w:sz w:val="17"/>
                <w:szCs w:val="17"/>
                <w:color w:val="auto"/>
              </w:rPr>
              <w:t>S-13</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85"/>
        </w:trPr>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PLAN OF DISTRIBUTION</w:t>
            </w:r>
          </w:p>
        </w:tc>
        <w:tc>
          <w:tcPr>
            <w:tcW w:w="6140" w:type="dxa"/>
            <w:vAlign w:val="bottom"/>
            <w:gridSpan w:val="6"/>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S-14</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720" w:type="dxa"/>
            <w:vAlign w:val="bottom"/>
            <w:gridSpan w:val="9"/>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S-15</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320" w:type="dxa"/>
            <w:vAlign w:val="bottom"/>
            <w:gridSpan w:val="12"/>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S-15</w:t>
            </w:r>
          </w:p>
        </w:tc>
      </w:tr>
      <w:tr>
        <w:trPr>
          <w:trHeight w:val="385"/>
        </w:trPr>
        <w:tc>
          <w:tcPr>
            <w:tcW w:w="370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9"/>
              </w:rPr>
              <w:t>WHERE YOU CAN FIND MORE INFORMATION</w:t>
            </w:r>
          </w:p>
        </w:tc>
        <w:tc>
          <w:tcPr>
            <w:tcW w:w="4420" w:type="dxa"/>
            <w:vAlign w:val="bottom"/>
            <w:gridSpan w:val="3"/>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S-15</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INCORPORATION OF CERTAIN INFORMATION BY REFERENCE</w:t>
            </w:r>
          </w:p>
        </w:tc>
        <w:tc>
          <w:tcPr>
            <w:tcW w:w="2900" w:type="dxa"/>
            <w:vAlign w:val="bottom"/>
          </w:tcPr>
          <w:p>
            <w:pPr>
              <w:jc w:val="right"/>
              <w:spacing w:after="0"/>
              <w:rPr>
                <w:sz w:val="20"/>
                <w:szCs w:val="20"/>
                <w:color w:val="auto"/>
              </w:rPr>
            </w:pPr>
            <w:r>
              <w:rPr>
                <w:rFonts w:ascii="Arial" w:cs="Arial" w:eastAsia="Arial" w:hAnsi="Arial"/>
                <w:sz w:val="17"/>
                <w:szCs w:val="17"/>
                <w:color w:val="auto"/>
              </w:rPr>
              <w:t>S-16</w:t>
            </w: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42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340" w:type="dxa"/>
            <w:vAlign w:val="bottom"/>
            <w:tcBorders>
              <w:top w:val="single" w:sz="8" w:color="0000EE"/>
              <w:bottom w:val="single" w:sz="8" w:color="auto"/>
            </w:tcBorders>
          </w:tcPr>
          <w:p>
            <w:pPr>
              <w:spacing w:after="0"/>
              <w:rPr>
                <w:sz w:val="19"/>
                <w:szCs w:val="19"/>
                <w:color w:val="auto"/>
              </w:rPr>
            </w:pPr>
          </w:p>
        </w:tc>
        <w:tc>
          <w:tcPr>
            <w:tcW w:w="132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240" w:type="dxa"/>
            <w:vAlign w:val="bottom"/>
            <w:tcBorders>
              <w:top w:val="single" w:sz="8" w:color="0000EE"/>
              <w:bottom w:val="single" w:sz="8" w:color="auto"/>
            </w:tcBorders>
          </w:tcPr>
          <w:p>
            <w:pPr>
              <w:spacing w:after="0"/>
              <w:rPr>
                <w:sz w:val="19"/>
                <w:szCs w:val="19"/>
                <w:color w:val="auto"/>
              </w:rPr>
            </w:pPr>
          </w:p>
        </w:tc>
        <w:tc>
          <w:tcPr>
            <w:tcW w:w="1400" w:type="dxa"/>
            <w:vAlign w:val="bottom"/>
            <w:tcBorders>
              <w:top w:val="single" w:sz="8" w:color="0000EE"/>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316"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Securities and Exchange Commission, or SEC, using a “shelf” registration process. Under this registration statement, we may offer shares of our common stock having an aggregate offering price of up to $400,000,000. Under this prospectus supplement, we may offer shares of our common stock having an aggregate offering price of up to $100,000,000 from time to time at prices and on terms to be determined by market conditions at the time of offering. The $100,000,000 of shares of our common stock that may be sold under this prospectus supplement are included in the $400,000,000 of shares of common stock that may be sold under the registration statement.</w:t>
      </w:r>
    </w:p>
    <w:p>
      <w:pPr>
        <w:spacing w:after="0" w:line="128"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Before buying any of the shares of common stock offered hereby, we urge you to read carefully this prospectus supplement,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have not authorized anyone to provide you with information other than the information that we have provided or incorporated by reference in this prospectus supplement or any accompanying prospectus supplement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28"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such representations, warranties and covenants may be qualified by schedules that are not publicly available). Accordingly, such representations, warranties and covenants should not be relied on as accurately representing the current state of our affairs.</w:t>
      </w:r>
    </w:p>
    <w:p>
      <w:pPr>
        <w:spacing w:after="0" w:line="128"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color w:val="auto"/>
        </w:rPr>
        <w:t>Unless otherwise stated, all references in this prospectus supplement to “we,” “us,” “our,” “Tango,” “the Company” and similar designations refer, collectively, to Tango Therapeutics, Inc., a Delaware corporation, and its consolidated subsidiaries.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This prospectus supplement, including the documents that we incorporate by reference, includes forward-looking statements within the meaning of Section 27A of the Securities Act of 1933, as amended, or the Securities Act, and Section 21E of the Securities Exchange Act of 1934, as amended, or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74" w:lineRule="exact"/>
        <w:rPr>
          <w:sz w:val="20"/>
          <w:szCs w:val="20"/>
          <w:color w:val="auto"/>
        </w:rPr>
      </w:pPr>
    </w:p>
    <w:p>
      <w:pPr>
        <w:ind w:left="980" w:hanging="432"/>
        <w:spacing w:after="0" w:line="23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filing a registrational trial and initiating a combination clinical trial in TNG462, and related preparatory work for each, plans for the TNG456 clinical trial, and the period during which the results of the clinical trials (including initial and final trial results) will become available (such as the clinical data update from the ongoing TNG462 clinical trial and the data from the ongoing TNG260 clinical trial, both expected in the second half of 2025);</w:t>
      </w:r>
    </w:p>
    <w:p>
      <w:pPr>
        <w:spacing w:after="0" w:line="6" w:lineRule="exact"/>
        <w:rPr>
          <w:rFonts w:ascii="MS PGothic" w:cs="MS PGothic" w:eastAsia="MS PGothic" w:hAnsi="MS PGothic"/>
          <w:sz w:val="13"/>
          <w:szCs w:val="13"/>
          <w:color w:val="auto"/>
        </w:rPr>
      </w:pPr>
    </w:p>
    <w:p>
      <w:pPr>
        <w:ind w:left="980" w:right="420" w:hanging="432"/>
        <w:spacing w:after="0" w:line="24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6" w:lineRule="exact"/>
        <w:rPr>
          <w:rFonts w:ascii="MS PGothic" w:cs="MS PGothic" w:eastAsia="MS PGothic" w:hAnsi="MS PGothic"/>
          <w:sz w:val="13"/>
          <w:szCs w:val="13"/>
          <w:color w:val="auto"/>
        </w:rPr>
      </w:pPr>
    </w:p>
    <w:p>
      <w:pPr>
        <w:ind w:left="980" w:right="900" w:hanging="432"/>
        <w:spacing w:after="0" w:line="25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6" w:lineRule="exact"/>
        <w:rPr>
          <w:rFonts w:ascii="MS PGothic" w:cs="MS PGothic" w:eastAsia="MS PGothic" w:hAnsi="MS PGothic"/>
          <w:sz w:val="13"/>
          <w:szCs w:val="13"/>
          <w:color w:val="auto"/>
        </w:rPr>
      </w:pPr>
    </w:p>
    <w:p>
      <w:pPr>
        <w:ind w:left="980" w:right="440" w:hanging="432"/>
        <w:spacing w:after="0" w:line="25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ability and willingness of our third-party strategic collaborators to license and to continue research and development activities relating to our development candidates and product candidates;</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the first quarter of 2027);</w:t>
      </w:r>
    </w:p>
    <w:p>
      <w:pPr>
        <w:spacing w:after="0" w:line="6" w:lineRule="exact"/>
        <w:rPr>
          <w:rFonts w:ascii="MS PGothic" w:cs="MS PGothic" w:eastAsia="MS PGothic" w:hAnsi="MS PGothic"/>
          <w:sz w:val="13"/>
          <w:szCs w:val="13"/>
          <w:color w:val="auto"/>
        </w:rPr>
      </w:pPr>
    </w:p>
    <w:p>
      <w:pPr>
        <w:ind w:left="980" w:right="100" w:hanging="432"/>
        <w:spacing w:after="0" w:line="24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ability to obtain and, if approved, maintain regulatory approval of our product candidates (as well as approval or clearance of screening tests and companion diagnostic tests for our product candidates) and the potential paths to approval for TNG462 in MTAP-deleted pancreatic and lung cancer;</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right="200" w:hanging="432"/>
        <w:spacing w:after="0" w:line="25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 and our ability to enforce our intellectual property rights;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capital requirements, and our need for additional financing;</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 w:lineRule="exact"/>
        <w:rPr>
          <w:rFonts w:ascii="MS PGothic" w:cs="MS PGothic" w:eastAsia="MS PGothic" w:hAnsi="MS PGothic"/>
          <w:sz w:val="13"/>
          <w:szCs w:val="13"/>
          <w:color w:val="auto"/>
        </w:rPr>
      </w:pPr>
    </w:p>
    <w:p>
      <w:pPr>
        <w:ind w:left="980" w:right="58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(if approved) and any other approved products;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financial performance, including the expectation that we will continue to incur operating losses and negative cash flow;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if approved;</w:t>
      </w:r>
    </w:p>
    <w:p>
      <w:pPr>
        <w:spacing w:after="0" w:line="34" w:lineRule="exact"/>
        <w:rPr>
          <w:rFonts w:ascii="MS PGothic" w:cs="MS PGothic" w:eastAsia="MS PGothic" w:hAnsi="MS PGothic"/>
          <w:sz w:val="13"/>
          <w:szCs w:val="13"/>
          <w:color w:val="auto"/>
        </w:rPr>
      </w:pPr>
    </w:p>
    <w:p>
      <w:pPr>
        <w:ind w:left="980" w:right="180" w:hanging="432"/>
        <w:spacing w:after="0" w:line="25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right="420" w:hanging="432"/>
        <w:spacing w:after="0" w:line="25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(or the ability of third parties with whom we contract) to produce our products or product candidates with advantages in turnaround times or manufacturing cost;</w:t>
      </w:r>
    </w:p>
    <w:p>
      <w:pPr>
        <w:spacing w:after="0" w:line="6" w:lineRule="exact"/>
        <w:rPr>
          <w:rFonts w:ascii="MS PGothic" w:cs="MS PGothic" w:eastAsia="MS PGothic" w:hAnsi="MS PGothic"/>
          <w:sz w:val="13"/>
          <w:szCs w:val="13"/>
          <w:color w:val="auto"/>
        </w:rPr>
      </w:pPr>
    </w:p>
    <w:p>
      <w:pPr>
        <w:ind w:left="980" w:right="20" w:hanging="432"/>
        <w:spacing w:after="0" w:line="246"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industry;</w:t>
      </w:r>
    </w:p>
    <w:p>
      <w:pPr>
        <w:spacing w:after="0" w:line="34"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6" w:lineRule="exact"/>
        <w:rPr>
          <w:rFonts w:ascii="MS PGothic" w:cs="MS PGothic" w:eastAsia="MS PGothic" w:hAnsi="MS PGothic"/>
          <w:sz w:val="13"/>
          <w:szCs w:val="13"/>
          <w:color w:val="auto"/>
        </w:rPr>
      </w:pPr>
    </w:p>
    <w:p>
      <w:pPr>
        <w:ind w:left="980" w:right="260" w:hanging="432"/>
        <w:spacing w:after="0" w:line="25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effect of public health crises on our business operations, including but not limited to our preclinical studies and clinical trials and any future studies or trials;</w:t>
      </w:r>
    </w:p>
    <w:p>
      <w:pPr>
        <w:spacing w:after="0" w:line="6" w:lineRule="exact"/>
        <w:rPr>
          <w:rFonts w:ascii="MS PGothic" w:cs="MS PGothic" w:eastAsia="MS PGothic" w:hAnsi="MS PGothic"/>
          <w:sz w:val="13"/>
          <w:szCs w:val="13"/>
          <w:color w:val="auto"/>
        </w:rPr>
      </w:pPr>
    </w:p>
    <w:p>
      <w:pPr>
        <w:ind w:left="980" w:right="200" w:hanging="432"/>
        <w:spacing w:after="0" w:line="246"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expected benefits of the use of our drugs in patients as single agents and/or in combination, including our beliefs that: TNG462 has the potential to be a best-in-class molecule; and preclinical studies demonstrate TNG456 brain exposure has the potential to be sufficient for meaningful efficacy in GBM; and</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including the documents that we incorporate by reference, particularly in our “critical accounting estimates” described in Part II, Item 7 “Management’s Discussion and Analysis of Financial Condition and Results of Operations — Critical Accounting Policies and Use of Estimates” and in Part I, Item 1A “Risk Factors” of our most recent Annual Report on Form 10-K and our Quarterly Reports on Form 10-Q filed with the SEC, which are incorporated by reference in this prospectus supplement, and in the “Risk Factors” section of this prospectus supplement, that could cause actual results or events to differ materially from the forward-looking statements that we make.</w:t>
      </w:r>
    </w:p>
    <w:p>
      <w:pPr>
        <w:spacing w:after="0" w:line="130" w:lineRule="exact"/>
        <w:rPr>
          <w:sz w:val="20"/>
          <w:szCs w:val="20"/>
          <w:color w:val="auto"/>
        </w:rPr>
      </w:pPr>
    </w:p>
    <w:p>
      <w:pPr>
        <w:jc w:val="both"/>
        <w:ind w:left="120" w:right="200"/>
        <w:spacing w:after="0" w:line="249" w:lineRule="auto"/>
        <w:rPr>
          <w:sz w:val="20"/>
          <w:szCs w:val="20"/>
          <w:color w:val="auto"/>
        </w:rPr>
      </w:pPr>
      <w:r>
        <w:rPr>
          <w:rFonts w:ascii="Arial" w:cs="Arial" w:eastAsia="Arial" w:hAnsi="Arial"/>
          <w:sz w:val="17"/>
          <w:szCs w:val="17"/>
          <w:color w:val="auto"/>
        </w:rPr>
        <w:t>You should read this prospectus supplement, including the documents that we incorporate by reference,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35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318" w:lineRule="exact"/>
        <w:rPr>
          <w:sz w:val="20"/>
          <w:szCs w:val="20"/>
          <w:color w:val="auto"/>
        </w:rPr>
      </w:pPr>
    </w:p>
    <w:p>
      <w:pPr>
        <w:ind w:left="300" w:right="40"/>
        <w:spacing w:after="0" w:line="237" w:lineRule="auto"/>
        <w:rPr>
          <w:sz w:val="20"/>
          <w:szCs w:val="20"/>
          <w:color w:val="auto"/>
        </w:rPr>
      </w:pPr>
      <w:r>
        <w:rPr>
          <w:rFonts w:ascii="Arial" w:cs="Arial" w:eastAsia="Arial" w:hAnsi="Arial"/>
          <w:sz w:val="17"/>
          <w:szCs w:val="17"/>
          <w:i w:val="1"/>
          <w:iCs w:val="1"/>
          <w:color w:val="auto"/>
        </w:rPr>
        <w:t>This summary highlights selected information about us and this offering and does not contain all of the information that you should consider before investing in our common stock. You should read this prospectus supplement carefully, especially the risks of investing in our common stock discussed under “Risk Factors” beginning on page S-8 of this prospectus supplement and in Part I, Item 1A “Risk Factors” of our most recent annual report on Form 10-K and any subsequent Quarterly Reports on Form 10-Q or Current Reports on Form 8-K we file after the date of this prospectus supplement, which is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60" w:lineRule="exact"/>
        <w:rPr>
          <w:sz w:val="20"/>
          <w:szCs w:val="20"/>
          <w:color w:val="auto"/>
        </w:rPr>
      </w:pPr>
    </w:p>
    <w:p>
      <w:pPr>
        <w:ind w:left="300"/>
        <w:spacing w:after="0" w:line="237" w:lineRule="auto"/>
        <w:rPr>
          <w:sz w:val="20"/>
          <w:szCs w:val="20"/>
          <w:color w:val="auto"/>
        </w:rPr>
      </w:pPr>
      <w:r>
        <w:rPr>
          <w:rFonts w:ascii="Arial" w:cs="Arial" w:eastAsia="Arial" w:hAnsi="Arial"/>
          <w:sz w:val="17"/>
          <w:szCs w:val="17"/>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30" w:lineRule="exact"/>
        <w:rPr>
          <w:sz w:val="20"/>
          <w:szCs w:val="20"/>
          <w:color w:val="auto"/>
        </w:rPr>
      </w:pPr>
    </w:p>
    <w:p>
      <w:pPr>
        <w:ind w:left="300" w:right="200"/>
        <w:spacing w:after="0" w:line="267" w:lineRule="auto"/>
        <w:rPr>
          <w:sz w:val="20"/>
          <w:szCs w:val="20"/>
          <w:color w:val="auto"/>
        </w:rPr>
      </w:pPr>
      <w:r>
        <w:rPr>
          <w:rFonts w:ascii="Arial" w:cs="Arial" w:eastAsia="Arial" w:hAnsi="Arial"/>
          <w:sz w:val="17"/>
          <w:szCs w:val="17"/>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05" w:lineRule="exact"/>
        <w:rPr>
          <w:sz w:val="20"/>
          <w:szCs w:val="20"/>
          <w:color w:val="auto"/>
        </w:rPr>
      </w:pPr>
    </w:p>
    <w:p>
      <w:pPr>
        <w:ind w:left="300" w:right="180"/>
        <w:spacing w:after="0" w:line="249" w:lineRule="auto"/>
        <w:rPr>
          <w:sz w:val="20"/>
          <w:szCs w:val="20"/>
          <w:color w:val="auto"/>
        </w:rPr>
      </w:pPr>
      <w:r>
        <w:rPr>
          <w:rFonts w:ascii="Arial" w:cs="Arial" w:eastAsia="Arial" w:hAnsi="Arial"/>
          <w:sz w:val="17"/>
          <w:szCs w:val="17"/>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has now been established based on pharmacodynamic data from on-treatment patient biopsies.</w:t>
      </w:r>
    </w:p>
    <w:p>
      <w:pPr>
        <w:spacing w:after="0" w:line="121" w:lineRule="exact"/>
        <w:rPr>
          <w:sz w:val="20"/>
          <w:szCs w:val="20"/>
          <w:color w:val="auto"/>
        </w:rPr>
      </w:pPr>
    </w:p>
    <w:p>
      <w:pPr>
        <w:ind w:left="300" w:right="140"/>
        <w:spacing w:after="0" w:line="241" w:lineRule="auto"/>
        <w:rPr>
          <w:sz w:val="20"/>
          <w:szCs w:val="20"/>
          <w:color w:val="auto"/>
        </w:rPr>
      </w:pPr>
      <w:r>
        <w:rPr>
          <w:rFonts w:ascii="Arial" w:cs="Arial" w:eastAsia="Arial" w:hAnsi="Arial"/>
          <w:sz w:val="17"/>
          <w:szCs w:val="17"/>
          <w:color w:val="auto"/>
        </w:rPr>
        <w:t>TNG961 is a development candidate targeting HBS1L in FOCAD-deleted solid tumors. FOCAD deletion occurs in 20-40% of all MTAP-deleted cancers. FOCAD deletion is common in NSCLC, occurring in ~7%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Information</w:t>
      </w:r>
    </w:p>
    <w:p>
      <w:pPr>
        <w:spacing w:after="0" w:line="73"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84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supplement, and you should not consider any information on, or that can be accessed through, our website as part of this prospectus supplement.</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$100,000,000.</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0" w:lineRule="exact"/>
        <w:rPr>
          <w:sz w:val="20"/>
          <w:szCs w:val="20"/>
          <w:color w:val="auto"/>
        </w:rPr>
      </w:pPr>
    </w:p>
    <w:p>
      <w:pPr>
        <w:ind w:left="380" w:hanging="78"/>
        <w:spacing w:after="0" w:line="280" w:lineRule="auto"/>
        <w:rPr>
          <w:sz w:val="20"/>
          <w:szCs w:val="20"/>
          <w:color w:val="auto"/>
        </w:rPr>
      </w:pPr>
      <w:r>
        <w:rPr>
          <w:rFonts w:ascii="Arial" w:cs="Arial" w:eastAsia="Arial" w:hAnsi="Arial"/>
          <w:sz w:val="17"/>
          <w:szCs w:val="17"/>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7"/>
          <w:szCs w:val="17"/>
          <w:color w:val="auto"/>
        </w:rPr>
        <w:t>Up to 199,016,980 shares, assuming sales of 90,909,090 shares of our common stock in this offering at an offering price of $1.10 per share, which was the last reported sale price of our common stock on The Nasdaq Global Market on May 8, 2025. The actual number of shares of common stock issued will vary depending on the sales price under this offering.</w:t>
      </w:r>
    </w:p>
    <w:p>
      <w:pPr>
        <w:spacing w:after="0" w:line="166" w:lineRule="exact"/>
        <w:rPr>
          <w:sz w:val="20"/>
          <w:szCs w:val="20"/>
          <w:color w:val="auto"/>
        </w:rPr>
      </w:pPr>
    </w:p>
    <w:p>
      <w:pPr>
        <w:sectPr>
          <w:pgSz w:w="11900" w:h="16838" w:orient="portrait"/>
          <w:cols w:equalWidth="0" w:num="2">
            <w:col w:w="3780" w:space="560"/>
            <w:col w:w="658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ind w:right="100"/>
        <w:spacing w:after="0" w:line="244" w:lineRule="auto"/>
        <w:rPr>
          <w:sz w:val="20"/>
          <w:szCs w:val="20"/>
          <w:color w:val="auto"/>
        </w:rPr>
      </w:pPr>
      <w:r>
        <w:rPr>
          <w:rFonts w:ascii="Arial" w:cs="Arial" w:eastAsia="Arial" w:hAnsi="Arial"/>
          <w:sz w:val="17"/>
          <w:szCs w:val="17"/>
          <w:color w:val="auto"/>
        </w:rPr>
        <w:t>“At the market offering” that may be made from time to time on The Nasdaq Global Market or such other national securities exchange on which our common stock is then listed, through our sales agent, Jefferies LLC. See the section entitled “Plan of Distribution” on page S-14 of this prospectus supplement.</w:t>
      </w:r>
    </w:p>
    <w:p>
      <w:pPr>
        <w:spacing w:after="0" w:line="164"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20"/>
        <w:spacing w:after="0" w:line="236" w:lineRule="auto"/>
        <w:rPr>
          <w:sz w:val="20"/>
          <w:szCs w:val="20"/>
          <w:color w:val="auto"/>
        </w:rPr>
      </w:pPr>
      <w:r>
        <w:rPr>
          <w:rFonts w:ascii="Arial" w:cs="Arial" w:eastAsia="Arial" w:hAnsi="Arial"/>
          <w:sz w:val="17"/>
          <w:szCs w:val="17"/>
          <w:color w:val="auto"/>
        </w:rPr>
        <w:t>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See “Use of Proceeds” on page S-10 of this prospectus supplement.</w:t>
      </w:r>
    </w:p>
    <w:p>
      <w:pPr>
        <w:spacing w:after="0" w:line="174"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44" w:lineRule="auto"/>
        <w:rPr>
          <w:sz w:val="20"/>
          <w:szCs w:val="20"/>
          <w:color w:val="auto"/>
        </w:rPr>
      </w:pPr>
      <w:r>
        <w:rPr>
          <w:rFonts w:ascii="Arial" w:cs="Arial" w:eastAsia="Arial" w:hAnsi="Arial"/>
          <w:sz w:val="17"/>
          <w:szCs w:val="17"/>
          <w:color w:val="auto"/>
        </w:rPr>
        <w:t>You should read the “Risk Factors” section of this prospectus supplement beginning on page S-8 and other information included in, or incorporated by reference into, this prospectus supplement for a discussion of factors to consider before deciding to purchase shares of our common stock.</w:t>
      </w:r>
    </w:p>
    <w:p>
      <w:pPr>
        <w:spacing w:after="0" w:line="164"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“TNGX”</w:t>
      </w:r>
    </w:p>
    <w:p>
      <w:pPr>
        <w:spacing w:after="0" w:line="18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520"/>
        <w:spacing w:after="0" w:line="267" w:lineRule="auto"/>
        <w:rPr>
          <w:sz w:val="20"/>
          <w:szCs w:val="20"/>
          <w:color w:val="auto"/>
        </w:rPr>
      </w:pPr>
      <w:r>
        <w:rPr>
          <w:rFonts w:ascii="Arial" w:cs="Arial" w:eastAsia="Arial" w:hAnsi="Arial"/>
          <w:sz w:val="17"/>
          <w:szCs w:val="17"/>
          <w:color w:val="auto"/>
        </w:rPr>
        <w:t>The number of shares of our common stock to be outstanding after this offering is based on 108,107,890 shares of our common stock outstanding as of March 31, 2025 and excludes:</w:t>
      </w:r>
    </w:p>
    <w:p>
      <w:pPr>
        <w:spacing w:after="0" w:line="146" w:lineRule="exact"/>
        <w:rPr>
          <w:sz w:val="20"/>
          <w:szCs w:val="20"/>
          <w:color w:val="auto"/>
        </w:rPr>
      </w:pPr>
    </w:p>
    <w:p>
      <w:pPr>
        <w:ind w:left="1120" w:right="60" w:hanging="403"/>
        <w:spacing w:after="0" w:line="253" w:lineRule="auto"/>
        <w:tabs>
          <w:tab w:leader="none" w:pos="112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23,811,257 shares of common stock issuable upon the exercise of stock options outstanding as of March 31, 2025, at a weighted average exercise price of $6.57 per share;</w:t>
      </w:r>
    </w:p>
    <w:p>
      <w:pPr>
        <w:spacing w:after="0" w:line="6" w:lineRule="exact"/>
        <w:rPr>
          <w:rFonts w:ascii="MS PGothic" w:cs="MS PGothic" w:eastAsia="MS PGothic" w:hAnsi="MS PGothic"/>
          <w:sz w:val="13"/>
          <w:szCs w:val="13"/>
          <w:color w:val="auto"/>
        </w:rPr>
      </w:pPr>
    </w:p>
    <w:p>
      <w:pPr>
        <w:ind w:left="1120" w:right="360" w:hanging="403"/>
        <w:spacing w:after="0" w:line="253" w:lineRule="auto"/>
        <w:tabs>
          <w:tab w:leader="none" w:pos="112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135,750 shares of common stock issuable upon the exercise of stock options granted subsequent to March 31, 2025 through May 8, 2025, at a weighted average exercise price of $1.31 per share;</w:t>
      </w:r>
    </w:p>
    <w:p>
      <w:pPr>
        <w:spacing w:after="0" w:line="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1,537,157 shares of common stock issuable upon the vesting of restricted stock units as of March 31, 2025;</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19,050 shares of common stock issuable upon the vesting of restricted stock units granted subsequent to March 31, 2025;</w:t>
      </w:r>
    </w:p>
    <w:p>
      <w:pPr>
        <w:spacing w:after="0" w:line="34" w:lineRule="exact"/>
        <w:rPr>
          <w:rFonts w:ascii="MS PGothic" w:cs="MS PGothic" w:eastAsia="MS PGothic" w:hAnsi="MS PGothic"/>
          <w:sz w:val="13"/>
          <w:szCs w:val="13"/>
          <w:color w:val="auto"/>
        </w:rPr>
      </w:pPr>
    </w:p>
    <w:p>
      <w:pPr>
        <w:ind w:left="1120" w:right="100" w:hanging="403"/>
        <w:spacing w:after="0" w:line="249" w:lineRule="auto"/>
        <w:tabs>
          <w:tab w:leader="none" w:pos="112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7,471,496 shares of common stock available for future issuance under our 2021 Stock Option and Incentive Plan (the “2021 Plan”) as of March 31, 2025, as well as any automatic increases in the number of shares of common stock reserved for issuance under the 2021 Plan;</w:t>
      </w: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0920"/>
          </w:cols>
          <w:pgMar w:left="320" w:top="455" w:right="6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29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998970" cy="1229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120" w:hanging="403"/>
        <w:spacing w:after="0" w:line="246" w:lineRule="auto"/>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3,981,105 shares of common stock available for future issuance under our 2021 Employee Stock Purchase Plan (the “ESPP”) as of March 31 2025, as well as any automatic increases in the number of shares of common stock reserved for issuance under the ESPP;</w:t>
      </w:r>
    </w:p>
    <w:p>
      <w:pPr>
        <w:spacing w:after="0" w:line="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2,041,015 shares of common stock available for future issuance under the 2023 Inducement Plan as of March 31, 2025; and</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2,340,579 shares of common stock subject to the exercise of pre-funded warrants as of March 31, 2025.</w:t>
      </w:r>
    </w:p>
    <w:p>
      <w:pPr>
        <w:spacing w:after="0" w:line="156" w:lineRule="exact"/>
        <w:rPr>
          <w:sz w:val="20"/>
          <w:szCs w:val="20"/>
          <w:color w:val="auto"/>
        </w:rPr>
      </w:pPr>
    </w:p>
    <w:p>
      <w:pPr>
        <w:ind w:left="300" w:right="400"/>
        <w:spacing w:after="0" w:line="267" w:lineRule="auto"/>
        <w:rPr>
          <w:sz w:val="20"/>
          <w:szCs w:val="20"/>
          <w:color w:val="auto"/>
        </w:rPr>
      </w:pPr>
      <w:r>
        <w:rPr>
          <w:rFonts w:ascii="Arial" w:cs="Arial" w:eastAsia="Arial" w:hAnsi="Arial"/>
          <w:sz w:val="17"/>
          <w:szCs w:val="17"/>
          <w:color w:val="auto"/>
        </w:rPr>
        <w:t>Except as otherwise noted, the information in this prospectus supplement assumes no exercise of outstanding stock options described above.</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0840"/>
          </w:cols>
          <w:pgMar w:left="320" w:top="455" w:right="7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and in Part I, Item 1A “Risk Factors” of our most recent annual report on Form 10-K, and any subsequent Quarterly Reports on Form 10-Q or Current Reports on Form 8-K we file after the date of this prospectus supplement, together with all other information contained in this prospectus supplement and in our filings with the SEC that we have incorporated by reference in this prospectus supplement. If any of the following risks actually occur,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Moreover, the risks described are not the only ones that we face. Additional risks not presently known to us or that we currently believe are immaterial may also significantly impair our business operations. Please also read carefully the section above titled “Cautionary Note Regarding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Our Common Stock and This Offering</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may suffer immediate and substantial dilution of your investment.</w:t>
      </w:r>
    </w:p>
    <w:p>
      <w:pPr>
        <w:spacing w:after="0" w:line="3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90,909,090 shares of our common stock are sold at a price of $1.10 per share, the last reported sale price of our common stock on The Nasdaq Global Market on May 8, 2025, for aggregate proceeds to us of approximately $96,829,760 after deducting commissions and estimated aggregate offering expenses payable by us, you will experience immediate accretion of $0.22 per share, representing the difference between our as adjusted net tangible book value per share as of March 31, 2025 after giving effect to this offering and the assumed offering price. See the section entitled “Dilution” below for a more detailed illustration of the dilution you may incur if you participate in this offering.</w:t>
      </w:r>
    </w:p>
    <w:p>
      <w:pPr>
        <w:spacing w:after="0" w:line="33"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use them in ways that you and other stockholders may not approve.</w:t>
      </w:r>
    </w:p>
    <w:p>
      <w:pPr>
        <w:ind w:left="120"/>
        <w:spacing w:after="0" w:line="236" w:lineRule="auto"/>
        <w:rPr>
          <w:sz w:val="20"/>
          <w:szCs w:val="20"/>
          <w:color w:val="auto"/>
        </w:rPr>
      </w:pPr>
      <w:r>
        <w:rPr>
          <w:rFonts w:ascii="Arial" w:cs="Arial" w:eastAsia="Arial" w:hAnsi="Arial"/>
          <w:sz w:val="17"/>
          <w:szCs w:val="17"/>
          <w:color w:val="auto"/>
        </w:rPr>
        <w:t>We currently expect to use the net proceeds of this offering for working capital, capital expenditures and other general corporate purposes, including to fund the research and development of our product candidates.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3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8" w:lineRule="auto"/>
        <w:rPr>
          <w:sz w:val="20"/>
          <w:szCs w:val="20"/>
          <w:color w:val="auto"/>
        </w:rPr>
      </w:pPr>
      <w:r>
        <w:rPr>
          <w:rFonts w:ascii="Arial" w:cs="Arial" w:eastAsia="Arial" w:hAnsi="Arial"/>
          <w:sz w:val="17"/>
          <w:szCs w:val="17"/>
          <w:b w:val="1"/>
          <w:bCs w:val="1"/>
          <w:i w:val="1"/>
          <w:iCs w:val="1"/>
          <w:color w:val="auto"/>
        </w:rPr>
        <w:t>Future sales or issuances of our common stock in the public markets, or the perception of such sales, could depress the trading price of our common stock.</w:t>
      </w:r>
    </w:p>
    <w:p>
      <w:pPr>
        <w:spacing w:after="0" w:line="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actual number of shares we will issue and gross proceeds resulting from those sales, at any one time or in total, is uncertain.</w:t>
      </w:r>
    </w:p>
    <w:p>
      <w:pPr>
        <w:spacing w:after="0" w:line="37"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Subject to certain limitations in the sale agreement and compliance with applicable law, we have the discretion to deliver a placement notice to Jefferies at any time throughout the term of the sale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46" w:lineRule="exact"/>
        <w:rPr>
          <w:sz w:val="20"/>
          <w:szCs w:val="20"/>
          <w:color w:val="auto"/>
        </w:rPr>
      </w:pPr>
    </w:p>
    <w:p>
      <w:pPr>
        <w:ind w:left="120" w:right="160"/>
        <w:spacing w:after="0" w:line="258"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may issue and sell shares of our common stock having aggregate sales proceeds of up to $100,000,000 from time to time under this prospectus supplement. The amount of the net proceeds to us from this offering will depend upon the number of shares of our common stock sold and the price at which they are sold. There can be no assurance that we will be able to sell any shares under or fully utilize the sale agreement with Jefferies.</w:t>
      </w:r>
    </w:p>
    <w:p>
      <w:pPr>
        <w:spacing w:after="0" w:line="12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Jefferies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13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We do not expect that the net proceeds from this offering, together with our existing cash, cash equivalents and investments, will be sufficient to enable us to fund the completion of development of any of our product candidates.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color w:val="auto"/>
        </w:rPr>
        <w:t>If you invest in this offering, your ownership interest will be diluted (accreted) to the extent of the difference between the public offering price per share and the as-adjusted net tangible book value per share of our common stock after giving effect to this offering.</w:t>
      </w:r>
    </w:p>
    <w:p>
      <w:pPr>
        <w:spacing w:after="0" w:line="105" w:lineRule="exact"/>
        <w:rPr>
          <w:sz w:val="20"/>
          <w:szCs w:val="20"/>
          <w:color w:val="auto"/>
        </w:rPr>
      </w:pPr>
    </w:p>
    <w:p>
      <w:pPr>
        <w:ind w:left="120" w:right="120"/>
        <w:spacing w:after="0" w:line="241" w:lineRule="auto"/>
        <w:rPr>
          <w:sz w:val="20"/>
          <w:szCs w:val="20"/>
          <w:color w:val="auto"/>
        </w:rPr>
      </w:pPr>
      <w:r>
        <w:rPr>
          <w:rFonts w:ascii="Arial" w:cs="Arial" w:eastAsia="Arial" w:hAnsi="Arial"/>
          <w:sz w:val="17"/>
          <w:szCs w:val="17"/>
          <w:color w:val="auto"/>
        </w:rPr>
        <w:t>As of March 31, 2025, we had net tangible book value of approximately 166,755,568 or $1.54 per share of our common stock, based upon 108,107,890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26"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After giving effect to the sale of our common stock pursuant to this prospectus supplement in the aggregate amount of $100.0 million at an assumed offering price of $1.10 per share, the last reported sale price of our common stock on The Nasdaq Global Market on May 8, 2025, and after deducting commissions and estimated aggregate offering expenses payable by us, our net tangible book value as of March 31, 2025 would have been $263.6 million, or $1.32 per share of common stock. This represents an immediate increase (decrease) in the net tangible book value of $(0.22) per share to our existing stockholders and an immediate dilution (accretion) in net tangible book value of $(0.22) per share to new investors. The following table illustrates this per share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Assumed offering price per share</w:t>
            </w:r>
          </w:p>
        </w:tc>
        <w:tc>
          <w:tcPr>
            <w:tcW w:w="144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$ 1.10</w:t>
            </w:r>
          </w:p>
        </w:tc>
      </w:tr>
      <w:tr>
        <w:trPr>
          <w:trHeight w:val="189"/>
        </w:trPr>
        <w:tc>
          <w:tcPr>
            <w:tcW w:w="9580" w:type="dxa"/>
            <w:vAlign w:val="bottom"/>
          </w:tcPr>
          <w:p>
            <w:pPr>
              <w:ind w:left="240"/>
              <w:spacing w:after="0" w:line="189" w:lineRule="exact"/>
              <w:rPr>
                <w:sz w:val="20"/>
                <w:szCs w:val="20"/>
                <w:color w:val="auto"/>
              </w:rPr>
            </w:pPr>
            <w:r>
              <w:rPr>
                <w:rFonts w:ascii="Arial" w:cs="Arial" w:eastAsia="Arial" w:hAnsi="Arial"/>
                <w:sz w:val="17"/>
                <w:szCs w:val="17"/>
                <w:color w:val="auto"/>
              </w:rPr>
              <w:t>Net tangible book value per share as of March 31, 2025</w:t>
            </w:r>
          </w:p>
        </w:tc>
        <w:tc>
          <w:tcPr>
            <w:tcW w:w="820" w:type="dxa"/>
            <w:vAlign w:val="bottom"/>
            <w:gridSpan w:val="2"/>
          </w:tcPr>
          <w:p>
            <w:pPr>
              <w:spacing w:after="0" w:line="189" w:lineRule="exact"/>
              <w:rPr>
                <w:sz w:val="20"/>
                <w:szCs w:val="20"/>
                <w:color w:val="auto"/>
              </w:rPr>
            </w:pPr>
            <w:r>
              <w:rPr>
                <w:rFonts w:ascii="Arial" w:cs="Arial" w:eastAsia="Arial" w:hAnsi="Arial"/>
                <w:sz w:val="17"/>
                <w:szCs w:val="17"/>
                <w:color w:val="auto"/>
              </w:rPr>
              <w:t>$ 1.54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(decrease) per share attributable to sale of shares of common stock in this offering</w:t>
            </w:r>
          </w:p>
        </w:tc>
        <w:tc>
          <w:tcPr>
            <w:tcW w:w="8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(0.22)</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9580" w:type="dxa"/>
            <w:vAlign w:val="bottom"/>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auto"/>
              </w:rPr>
              <w:t>$ 1.32</w:t>
            </w:r>
          </w:p>
        </w:tc>
      </w:tr>
      <w:tr>
        <w:trPr>
          <w:trHeight w:val="27"/>
        </w:trPr>
        <w:tc>
          <w:tcPr>
            <w:tcW w:w="9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Dilution (accretion) per share to new investors purchasing shares in this offering</w:t>
            </w:r>
          </w:p>
        </w:tc>
        <w:tc>
          <w:tcPr>
            <w:tcW w:w="82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(0.22)</w:t>
            </w:r>
          </w:p>
        </w:tc>
      </w:tr>
      <w:tr>
        <w:trPr>
          <w:trHeight w:val="20"/>
        </w:trPr>
        <w:tc>
          <w:tcPr>
            <w:tcW w:w="9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above assumes for illustrative purposes that an aggregate of 90,909,090 shares of our common stock are sold pursuant to this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prospectus supplement at a price of $1.10 per share, the last reported sale price of our common stock on The Nasdaq Global Market on May 8,</w:t>
      </w:r>
    </w:p>
    <w:p>
      <w:pPr>
        <w:ind w:left="120"/>
        <w:spacing w:after="0" w:line="232" w:lineRule="auto"/>
        <w:rPr>
          <w:sz w:val="20"/>
          <w:szCs w:val="20"/>
          <w:color w:val="auto"/>
        </w:rPr>
      </w:pPr>
      <w:r>
        <w:rPr>
          <w:rFonts w:ascii="Arial" w:cs="Arial" w:eastAsia="Arial" w:hAnsi="Arial"/>
          <w:sz w:val="17"/>
          <w:szCs w:val="17"/>
          <w:color w:val="auto"/>
        </w:rPr>
        <w:t>2025, for aggregate gross proceeds of $100.0 million. The shares sold in this offering, if any, will be sold from time to time at various prices. An</w:t>
      </w:r>
    </w:p>
    <w:p>
      <w:pPr>
        <w:ind w:left="120"/>
        <w:spacing w:after="0" w:line="232" w:lineRule="auto"/>
        <w:rPr>
          <w:sz w:val="20"/>
          <w:szCs w:val="20"/>
          <w:color w:val="auto"/>
        </w:rPr>
      </w:pPr>
      <w:r>
        <w:rPr>
          <w:rFonts w:ascii="Arial" w:cs="Arial" w:eastAsia="Arial" w:hAnsi="Arial"/>
          <w:sz w:val="17"/>
          <w:szCs w:val="17"/>
          <w:color w:val="auto"/>
        </w:rPr>
        <w:t>increase of $1.00 per share in the price at which the shares are sold from the assumed offering price to $2.10 per share, assuming all of our</w:t>
      </w:r>
    </w:p>
    <w:p>
      <w:pPr>
        <w:ind w:left="120"/>
        <w:spacing w:after="0" w:line="232" w:lineRule="auto"/>
        <w:rPr>
          <w:sz w:val="20"/>
          <w:szCs w:val="20"/>
          <w:color w:val="auto"/>
        </w:rPr>
      </w:pPr>
      <w:r>
        <w:rPr>
          <w:rFonts w:ascii="Arial" w:cs="Arial" w:eastAsia="Arial" w:hAnsi="Arial"/>
          <w:sz w:val="17"/>
          <w:szCs w:val="17"/>
          <w:color w:val="auto"/>
        </w:rPr>
        <w:t>common stock in the aggregate amount of $100.0 million is sold at that price, would result in an adjusted net tangible book value per share after</w:t>
      </w:r>
    </w:p>
    <w:p>
      <w:pPr>
        <w:ind w:left="120"/>
        <w:spacing w:after="0" w:line="232" w:lineRule="auto"/>
        <w:rPr>
          <w:sz w:val="20"/>
          <w:szCs w:val="20"/>
          <w:color w:val="auto"/>
        </w:rPr>
      </w:pPr>
      <w:r>
        <w:rPr>
          <w:rFonts w:ascii="Arial" w:cs="Arial" w:eastAsia="Arial" w:hAnsi="Arial"/>
          <w:sz w:val="17"/>
          <w:szCs w:val="17"/>
          <w:color w:val="auto"/>
        </w:rPr>
        <w:t>the offering of $1.69 per share and would increase the dilution in net tangible book value per share to new investors in this offering to $0.41 per</w:t>
      </w:r>
    </w:p>
    <w:p>
      <w:pPr>
        <w:ind w:left="120"/>
        <w:spacing w:after="0" w:line="232" w:lineRule="auto"/>
        <w:rPr>
          <w:sz w:val="20"/>
          <w:szCs w:val="20"/>
          <w:color w:val="auto"/>
        </w:rPr>
      </w:pPr>
      <w:r>
        <w:rPr>
          <w:rFonts w:ascii="Arial" w:cs="Arial" w:eastAsia="Arial" w:hAnsi="Arial"/>
          <w:sz w:val="17"/>
          <w:szCs w:val="17"/>
          <w:color w:val="auto"/>
        </w:rPr>
        <w:t>share, after deducting commissions and estimated aggregate offering expenses payable by us. A decrease of $1.00 per share in the price at</w:t>
      </w:r>
    </w:p>
    <w:p>
      <w:pPr>
        <w:ind w:left="120"/>
        <w:spacing w:after="0" w:line="232" w:lineRule="auto"/>
        <w:rPr>
          <w:sz w:val="20"/>
          <w:szCs w:val="20"/>
          <w:color w:val="auto"/>
        </w:rPr>
      </w:pPr>
      <w:r>
        <w:rPr>
          <w:rFonts w:ascii="Arial" w:cs="Arial" w:eastAsia="Arial" w:hAnsi="Arial"/>
          <w:sz w:val="17"/>
          <w:szCs w:val="17"/>
          <w:color w:val="auto"/>
        </w:rPr>
        <w:t>which the shares are sold from the assumed offering price to $0.10 per share, assuming all of our common stock in the aggregate amount of</w:t>
      </w:r>
    </w:p>
    <w:p>
      <w:pPr>
        <w:ind w:left="120"/>
        <w:spacing w:after="0" w:line="232" w:lineRule="auto"/>
        <w:rPr>
          <w:sz w:val="20"/>
          <w:szCs w:val="20"/>
          <w:color w:val="auto"/>
        </w:rPr>
      </w:pPr>
      <w:r>
        <w:rPr>
          <w:rFonts w:ascii="Arial" w:cs="Arial" w:eastAsia="Arial" w:hAnsi="Arial"/>
          <w:sz w:val="17"/>
          <w:szCs w:val="17"/>
          <w:color w:val="auto"/>
        </w:rPr>
        <w:t>$100.0 million is sold at that price, would result in no dilution to new investors in this offering. This information is supplied for illustrative purposes</w:t>
      </w:r>
    </w:p>
    <w:p>
      <w:pPr>
        <w:ind w:left="120"/>
        <w:spacing w:after="0"/>
        <w:rPr>
          <w:sz w:val="20"/>
          <w:szCs w:val="20"/>
          <w:color w:val="auto"/>
        </w:rPr>
      </w:pPr>
      <w:r>
        <w:rPr>
          <w:rFonts w:ascii="Arial" w:cs="Arial" w:eastAsia="Arial" w:hAnsi="Arial"/>
          <w:sz w:val="17"/>
          <w:szCs w:val="17"/>
          <w:color w:val="auto"/>
        </w:rPr>
        <w:t>only.</w:t>
      </w:r>
    </w:p>
    <w:p>
      <w:pPr>
        <w:spacing w:after="0" w:line="140" w:lineRule="exact"/>
        <w:rPr>
          <w:sz w:val="20"/>
          <w:szCs w:val="20"/>
          <w:color w:val="auto"/>
        </w:rPr>
      </w:pPr>
    </w:p>
    <w:p>
      <w:pPr>
        <w:ind w:left="120" w:right="940"/>
        <w:spacing w:after="0" w:line="267" w:lineRule="auto"/>
        <w:rPr>
          <w:sz w:val="20"/>
          <w:szCs w:val="20"/>
          <w:color w:val="auto"/>
        </w:rPr>
      </w:pPr>
      <w:r>
        <w:rPr>
          <w:rFonts w:ascii="Arial" w:cs="Arial" w:eastAsia="Arial" w:hAnsi="Arial"/>
          <w:sz w:val="17"/>
          <w:szCs w:val="17"/>
          <w:color w:val="auto"/>
        </w:rPr>
        <w:t>The number of shares of our common stock to be outstanding after this offering is based on 108,107,890 shares of our common stock outstanding as of March 31, 2025 and excludes:</w:t>
      </w:r>
    </w:p>
    <w:p>
      <w:pPr>
        <w:spacing w:after="0" w:line="146" w:lineRule="exact"/>
        <w:rPr>
          <w:sz w:val="20"/>
          <w:szCs w:val="20"/>
          <w:color w:val="auto"/>
        </w:rPr>
      </w:pPr>
    </w:p>
    <w:p>
      <w:pPr>
        <w:ind w:left="980" w:right="420" w:hanging="432"/>
        <w:spacing w:after="0" w:line="25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23,811,257 shares of common stock issuable upon the exercise of stock options outstanding as of March 31, 2025, at a weighted average exercise price of $6.57 per share;</w:t>
      </w:r>
    </w:p>
    <w:p>
      <w:pPr>
        <w:spacing w:after="0" w:line="6"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135,750 shares of common stock issuable upon the exercise of stock options granted subsequent to March 31, 2025 through May 8, 2025, at a weighted average exercise price of $1.31 per share;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1,537,157 shares of common stock issuable upon the vesting of restricted stock units as of March 31, 2025;</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19,050 shares of common stock issuable upon the vesting of restricted stock units granted subsequent to March 31, 2025;</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line="246"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7,471,496 shares of common stock available for future issuance under our 2021 Stock Option and Incentive Plan (the “2021 Plan”) as of March 31, 2025, as well as any automatic increases in the number of shares of common stock reserved for issuance under the 2021 Plan;</w:t>
      </w:r>
    </w:p>
    <w:p>
      <w:pPr>
        <w:spacing w:after="0" w:line="6" w:lineRule="exact"/>
        <w:rPr>
          <w:rFonts w:ascii="MS PGothic" w:cs="MS PGothic" w:eastAsia="MS PGothic" w:hAnsi="MS PGothic"/>
          <w:sz w:val="13"/>
          <w:szCs w:val="13"/>
          <w:color w:val="auto"/>
        </w:rPr>
      </w:pPr>
    </w:p>
    <w:p>
      <w:pPr>
        <w:ind w:left="980" w:right="20" w:hanging="432"/>
        <w:spacing w:after="0" w:line="25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3,981,105 shares of common stock available for future issuance under our 2021 Employee Stock Purchase Plan (the “ESPP”) as of March 31 2025, as well as any automatic increases in the number of shares of common stock reserved for issuance under the ESPP;</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2,041,015 shares of common stock available for future issuance under the 2023 Inducement Plan as of March 31, 2025;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2,340,579 shares of common stock subject to the exercise of pre-funded warrants as of March 31, 2025.</w:t>
      </w:r>
    </w:p>
    <w:p>
      <w:pPr>
        <w:spacing w:after="0" w:line="15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To the extent that options outstanding as of March 31, 2025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260"/>
        <w:spacing w:after="0" w:line="244" w:lineRule="auto"/>
        <w:rPr>
          <w:sz w:val="20"/>
          <w:szCs w:val="20"/>
          <w:color w:val="auto"/>
        </w:rPr>
      </w:pPr>
      <w:r>
        <w:rPr>
          <w:rFonts w:ascii="Arial" w:cs="Arial" w:eastAsia="Arial" w:hAnsi="Arial"/>
          <w:sz w:val="17"/>
          <w:szCs w:val="17"/>
          <w:color w:val="auto"/>
        </w:rPr>
        <w:t>We previously entered into a sale agreement with Jefferies, under which we may offer and sell our shares of common stock from time to time through Jefferies acting as agent. Pursuant to this prospectus supplement, we may offer and sell up to $100,000,000 of our shares of common stock. Sales of our shares of common stock, if any, under this prospectus supplement and the accompanying prospectus will be made by any method that is deemed to be an “at the market offering” as defined in Rule 415(a)(4) under the Securities Act.</w:t>
      </w:r>
    </w:p>
    <w:p>
      <w:pPr>
        <w:spacing w:after="0" w:line="12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Each time we wish to issue and sell our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w:t>
      </w:r>
    </w:p>
    <w:p>
      <w:pPr>
        <w:spacing w:after="0" w:line="12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2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will pay Jefferies a commission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 agreement, will be approximately $484,140. The remaining sale proceeds, after deducting any other transaction fees, will equal our net proceeds from the sale of such shares.</w:t>
      </w:r>
    </w:p>
    <w:p>
      <w:pPr>
        <w:spacing w:after="0" w:line="128"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our shares of common stock are sold under the sale agreement. Each confirmation will include the number of shares sold on that day, the aggregate gross proceeds of such sales and the proceeds to us.</w:t>
      </w:r>
    </w:p>
    <w:p>
      <w:pPr>
        <w:spacing w:after="0" w:line="121"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offering of our shares of common stock pursuant to the sale agreement will terminate as permitted therein.</w:t>
      </w:r>
    </w:p>
    <w:p>
      <w:pPr>
        <w:spacing w:after="0" w:line="156"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This summary of the material provisions of the sale agreement does not purport to be a complete statement of its terms and conditions. A copy of the sale agreement is filed as an exhibit to the registration statement of which this prospectus supplement forms a part.</w:t>
      </w:r>
    </w:p>
    <w:p>
      <w:pPr>
        <w:spacing w:after="0" w:line="105" w:lineRule="exact"/>
        <w:rPr>
          <w:sz w:val="20"/>
          <w:szCs w:val="20"/>
          <w:color w:val="auto"/>
        </w:rPr>
      </w:pPr>
    </w:p>
    <w:p>
      <w:pPr>
        <w:ind w:left="120" w:right="280"/>
        <w:spacing w:after="0" w:line="244" w:lineRule="auto"/>
        <w:rPr>
          <w:sz w:val="20"/>
          <w:szCs w:val="20"/>
          <w:color w:val="auto"/>
        </w:rPr>
      </w:pPr>
      <w:r>
        <w:rPr>
          <w:rFonts w:ascii="Arial" w:cs="Arial" w:eastAsia="Arial" w:hAnsi="Arial"/>
          <w:sz w:val="17"/>
          <w:szCs w:val="17"/>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23"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color w:val="auto"/>
        </w:rPr>
        <w:t>A prospectus and the accompanying prospectus in electronic format may be made available on a website maintained by Jefferies, and Jefferies may distribute the prospectus and the accompanying prospectus electronically.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Jefferies LLC is being represented in connection with this offering by Cooley LLP, New York, New York.</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2024 have been so incorporated in reliance on the report (which contains an explanatory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28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https://tangotx.com. Our website is not a part of this prospectus supplement and is not incorporated by reference in this prospectus supplement.</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70" w:lineRule="exact"/>
        <w:rPr>
          <w:sz w:val="20"/>
          <w:szCs w:val="20"/>
          <w:color w:val="auto"/>
        </w:rPr>
      </w:pPr>
    </w:p>
    <w:p>
      <w:pPr>
        <w:ind w:left="980" w:hanging="432"/>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2024, filed with the SEC on February 27, 2025;</w:t>
      </w:r>
    </w:p>
    <w:p>
      <w:pPr>
        <w:spacing w:after="0" w:line="34" w:lineRule="exact"/>
        <w:rPr>
          <w:rFonts w:ascii="Arial" w:cs="Arial" w:eastAsia="Arial" w:hAnsi="Arial"/>
          <w:sz w:val="17"/>
          <w:szCs w:val="17"/>
          <w:color w:val="auto"/>
        </w:rPr>
      </w:pPr>
    </w:p>
    <w:p>
      <w:pPr>
        <w:jc w:val="both"/>
        <w:ind w:left="980" w:right="200" w:hanging="432"/>
        <w:spacing w:after="0" w:line="24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2024 from our amended definitive proxy statement on </w:t>
      </w:r>
      <w:hyperlink r:id="rId50">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24, 2025;</w:t>
      </w:r>
    </w:p>
    <w:p>
      <w:pPr>
        <w:spacing w:after="0" w:line="6" w:lineRule="exact"/>
        <w:rPr>
          <w:rFonts w:ascii="Arial" w:cs="Arial" w:eastAsia="Arial" w:hAnsi="Arial"/>
          <w:sz w:val="17"/>
          <w:szCs w:val="17"/>
          <w:color w:val="auto"/>
        </w:rPr>
      </w:pPr>
    </w:p>
    <w:p>
      <w:pPr>
        <w:ind w:left="980" w:hanging="432"/>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Quarterly Report on </w:t>
      </w:r>
      <w:hyperlink r:id="rId51">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2025, filed with the SEC on May 12, 2025; and</w:t>
      </w:r>
    </w:p>
    <w:p>
      <w:pPr>
        <w:spacing w:after="0" w:line="34" w:lineRule="exact"/>
        <w:rPr>
          <w:rFonts w:ascii="Arial" w:cs="Arial" w:eastAsia="Arial" w:hAnsi="Arial"/>
          <w:sz w:val="17"/>
          <w:szCs w:val="17"/>
          <w:color w:val="auto"/>
        </w:rPr>
      </w:pPr>
    </w:p>
    <w:p>
      <w:pPr>
        <w:jc w:val="both"/>
        <w:ind w:left="980" w:right="60" w:hanging="432"/>
        <w:spacing w:after="0" w:line="24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2">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on September 2, 2020, including any amendments or reports filed for the purpose of updating such description, including </w:t>
      </w:r>
      <w:hyperlink r:id="rId53">
        <w:r>
          <w:rPr>
            <w:rFonts w:ascii="Arial" w:cs="Arial" w:eastAsia="Arial" w:hAnsi="Arial"/>
            <w:sz w:val="17"/>
            <w:szCs w:val="17"/>
            <w:u w:val="single" w:color="auto"/>
            <w:color w:val="0000EE"/>
          </w:rPr>
          <w:t>Exhibit 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December 31, 2024.</w:t>
      </w:r>
    </w:p>
    <w:p>
      <w:pPr>
        <w:spacing w:after="0" w:line="121" w:lineRule="exact"/>
        <w:rPr>
          <w:rFonts w:ascii="MS PGothic" w:cs="MS PGothic" w:eastAsia="MS PGothic" w:hAnsi="MS PGothic"/>
          <w:sz w:val="13"/>
          <w:szCs w:val="13"/>
          <w:color w:val="auto"/>
        </w:rPr>
      </w:pPr>
    </w:p>
    <w:p>
      <w:pPr>
        <w:ind w:left="120" w:right="40"/>
        <w:spacing w:after="0" w:line="267"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 supplement.</w:t>
      </w:r>
    </w:p>
    <w:p>
      <w:pPr>
        <w:spacing w:after="0" w:line="105" w:lineRule="exact"/>
        <w:rPr>
          <w:rFonts w:ascii="MS PGothic" w:cs="MS PGothic" w:eastAsia="MS PGothic" w:hAnsi="MS PGothic"/>
          <w:sz w:val="13"/>
          <w:szCs w:val="13"/>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21" w:lineRule="exact"/>
        <w:rPr>
          <w:rFonts w:ascii="MS PGothic" w:cs="MS PGothic" w:eastAsia="MS PGothic" w:hAnsi="MS PGothic"/>
          <w:sz w:val="13"/>
          <w:szCs w:val="13"/>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phone number:</w:t>
      </w:r>
    </w:p>
    <w:p>
      <w:pPr>
        <w:spacing w:after="0" w:line="156"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Tango Therapeutics, Inc.</w:t>
      </w:r>
    </w:p>
    <w:p>
      <w:pPr>
        <w:spacing w:after="0" w:line="3"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201 Brookline Ave., Suite 901</w:t>
      </w:r>
    </w:p>
    <w:p>
      <w:pPr>
        <w:jc w:val="center"/>
        <w:ind w:right="-119"/>
        <w:spacing w:after="0" w:line="232" w:lineRule="auto"/>
        <w:rPr>
          <w:sz w:val="20"/>
          <w:szCs w:val="20"/>
          <w:color w:val="auto"/>
        </w:rPr>
      </w:pPr>
      <w:r>
        <w:rPr>
          <w:rFonts w:ascii="Arial" w:cs="Arial" w:eastAsia="Arial" w:hAnsi="Arial"/>
          <w:sz w:val="17"/>
          <w:szCs w:val="17"/>
          <w:color w:val="auto"/>
        </w:rPr>
        <w:t>Boston, MA 02215</w:t>
      </w:r>
    </w:p>
    <w:p>
      <w:pPr>
        <w:jc w:val="center"/>
        <w:ind w:right="-119"/>
        <w:spacing w:after="0" w:line="232" w:lineRule="auto"/>
        <w:rPr>
          <w:sz w:val="20"/>
          <w:szCs w:val="20"/>
          <w:color w:val="auto"/>
        </w:rPr>
      </w:pPr>
      <w:r>
        <w:rPr>
          <w:rFonts w:ascii="Arial" w:cs="Arial" w:eastAsia="Arial" w:hAnsi="Arial"/>
          <w:sz w:val="17"/>
          <w:szCs w:val="17"/>
          <w:color w:val="auto"/>
        </w:rPr>
        <w:t>Attn: Corporate Secretary</w:t>
      </w:r>
    </w:p>
    <w:p>
      <w:pPr>
        <w:jc w:val="center"/>
        <w:ind w:right="-119"/>
        <w:spacing w:after="0"/>
        <w:rPr>
          <w:sz w:val="20"/>
          <w:szCs w:val="20"/>
          <w:color w:val="auto"/>
        </w:rPr>
      </w:pPr>
      <w:r>
        <w:rPr>
          <w:rFonts w:ascii="Arial" w:cs="Arial" w:eastAsia="Arial" w:hAnsi="Arial"/>
          <w:sz w:val="17"/>
          <w:szCs w:val="17"/>
          <w:color w:val="auto"/>
        </w:rPr>
        <w:t>857-320-4900</w:t>
      </w:r>
    </w:p>
    <w:p>
      <w:pPr>
        <w:spacing w:after="0" w:line="140" w:lineRule="exact"/>
        <w:rPr>
          <w:rFonts w:ascii="MS PGothic" w:cs="MS PGothic" w:eastAsia="MS PGothic" w:hAnsi="MS PGothic"/>
          <w:sz w:val="13"/>
          <w:szCs w:val="13"/>
          <w:color w:val="auto"/>
        </w:rPr>
      </w:pPr>
    </w:p>
    <w:p>
      <w:pPr>
        <w:ind w:left="120" w:right="60"/>
        <w:spacing w:after="0" w:line="249" w:lineRule="auto"/>
        <w:rPr>
          <w:sz w:val="20"/>
          <w:szCs w:val="20"/>
          <w:color w:val="auto"/>
        </w:rPr>
      </w:pPr>
      <w:r>
        <w:rPr>
          <w:rFonts w:ascii="Arial" w:cs="Arial" w:eastAsia="Arial" w:hAnsi="Arial"/>
          <w:sz w:val="17"/>
          <w:szCs w:val="17"/>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15"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1390015</wp:posOffset>
            </wp:positionV>
            <wp:extent cx="2339975" cy="694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339975" cy="6940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Up to $100,000,000</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1144905</wp:posOffset>
            </wp:positionV>
            <wp:extent cx="22459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236220</wp:posOffset>
            </wp:positionV>
            <wp:extent cx="22459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35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404495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60"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The following table sets forth the various expenses to be incurred in connection with the sale and distribution of the securities being registered. All amounts shown are estimates except the 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4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$61,240</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Printing and engraving</w:t>
            </w:r>
          </w:p>
        </w:tc>
        <w:tc>
          <w:tcPr>
            <w:tcW w:w="46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services</w:t>
            </w:r>
          </w:p>
        </w:tc>
        <w:tc>
          <w:tcPr>
            <w:tcW w:w="4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Legal fees of registrant’s counsel</w:t>
            </w:r>
          </w:p>
        </w:tc>
        <w:tc>
          <w:tcPr>
            <w:tcW w:w="46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w:t>
            </w:r>
          </w:p>
        </w:tc>
        <w:tc>
          <w:tcPr>
            <w:tcW w:w="4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225"/>
        </w:trPr>
        <w:tc>
          <w:tcPr>
            <w:tcW w:w="6400" w:type="dxa"/>
            <w:vAlign w:val="bottom"/>
          </w:tcPr>
          <w:p>
            <w:pPr>
              <w:spacing w:after="0"/>
              <w:rPr>
                <w:sz w:val="20"/>
                <w:szCs w:val="20"/>
                <w:color w:val="auto"/>
              </w:rPr>
            </w:pPr>
            <w:r>
              <w:rPr>
                <w:rFonts w:ascii="Arial" w:cs="Arial" w:eastAsia="Arial" w:hAnsi="Arial"/>
                <w:sz w:val="17"/>
                <w:szCs w:val="17"/>
                <w:color w:val="auto"/>
              </w:rPr>
              <w:t>Total</w:t>
            </w:r>
          </w:p>
        </w:tc>
        <w:tc>
          <w:tcPr>
            <w:tcW w:w="4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0"/>
        </w:trPr>
        <w:tc>
          <w:tcPr>
            <w:tcW w:w="640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Estimated expenses not presently known.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6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7"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color w:val="auto"/>
        </w:rPr>
        <w:t>We have adopted provisions in our certificate of incorporation and bylaws that limit or eliminate the personal liability of our directors and officers to the fullest extent permitted by the DGCL, as it now exists or may in the future be amended. Consequently, a director and officer will not be personally liable to us or our stockholders for monetary damages or breach of fiduciary duty as a director or officer, except for liability for:</w:t>
      </w:r>
    </w:p>
    <w:p>
      <w:pPr>
        <w:spacing w:after="0" w:line="161"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breach of the officer’s or director’s duty of loyalty to us or our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act or omission of the director or officer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980" w:right="500" w:hanging="432"/>
        <w:spacing w:after="0" w:line="25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for our director’s, any unlawful payments related to dividends or unlawful stock purchases, redemptions or other distributions, as provided in Section 174 of the DGCL;</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for our officers, any derivative action by or in the right of the corporation;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officer or director derived an improper personal benefit.</w:t>
      </w:r>
    </w:p>
    <w:p>
      <w:pPr>
        <w:spacing w:after="0" w:line="156"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our bylaws provide that:</w:t>
      </w:r>
    </w:p>
    <w:p>
      <w:pPr>
        <w:spacing w:after="0" w:line="196" w:lineRule="exact"/>
        <w:rPr>
          <w:sz w:val="20"/>
          <w:szCs w:val="20"/>
          <w:color w:val="auto"/>
        </w:rPr>
      </w:pPr>
    </w:p>
    <w:p>
      <w:pPr>
        <w:ind w:left="980" w:right="20" w:hanging="432"/>
        <w:spacing w:after="0" w:line="25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6"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30" w:lineRule="exact"/>
        <w:rPr>
          <w:sz w:val="20"/>
          <w:szCs w:val="20"/>
          <w:color w:val="auto"/>
        </w:rPr>
      </w:pPr>
    </w:p>
    <w:p>
      <w:pPr>
        <w:jc w:val="both"/>
        <w:ind w:left="120" w:right="480"/>
        <w:spacing w:after="0" w:line="267"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w:t>
      </w:r>
    </w:p>
    <w:p>
      <w:pPr>
        <w:spacing w:after="0" w:line="1" w:lineRule="exact"/>
        <w:rPr>
          <w:sz w:val="20"/>
          <w:szCs w:val="20"/>
          <w:color w:val="auto"/>
        </w:rPr>
      </w:pPr>
    </w:p>
    <w:p>
      <w:pPr>
        <w:ind w:left="120" w:right="480"/>
        <w:spacing w:after="0" w:line="248" w:lineRule="auto"/>
        <w:rPr>
          <w:sz w:val="20"/>
          <w:szCs w:val="20"/>
          <w:color w:val="auto"/>
        </w:rPr>
      </w:pPr>
      <w:r>
        <w:rPr>
          <w:rFonts w:ascii="Arial" w:cs="Arial" w:eastAsia="Arial" w:hAnsi="Arial"/>
          <w:sz w:val="17"/>
          <w:szCs w:val="17"/>
          <w:color w:val="auto"/>
        </w:rPr>
        <w:t>Further, a stockholder’s investment may be adversely affected to the extent that we pay the costs of settlement and damage awards against directors and officers as required by these indemnification provisions.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38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29"/>
        </w:trPr>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416"/>
        </w:trPr>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71"/>
        </w:trPr>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NO.</w:t>
            </w:r>
          </w:p>
        </w:tc>
        <w:tc>
          <w:tcPr>
            <w:tcW w:w="10380" w:type="dxa"/>
            <w:vAlign w:val="bottom"/>
            <w:gridSpan w:val="3"/>
          </w:tcPr>
          <w:p>
            <w:pPr>
              <w:ind w:left="48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104"/>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1.1*</w:t>
      </w:r>
      <w:r>
        <w:rPr>
          <w:rFonts w:ascii="Arial" w:cs="Arial" w:eastAsia="Arial" w:hAnsi="Arial"/>
          <w:sz w:val="17"/>
          <w:szCs w:val="17"/>
          <w:color w:val="auto"/>
        </w:rPr>
        <w:t>Form of Underwriting Agreement</w:t>
      </w:r>
    </w:p>
    <w:p>
      <w:pPr>
        <w:spacing w:after="0" w:line="103" w:lineRule="exact"/>
        <w:rPr>
          <w:rFonts w:ascii="Arial" w:cs="Arial" w:eastAsia="Arial" w:hAnsi="Arial"/>
          <w:sz w:val="18"/>
          <w:szCs w:val="18"/>
          <w:color w:val="auto"/>
        </w:rPr>
      </w:pPr>
    </w:p>
    <w:p>
      <w:pPr>
        <w:ind w:left="1120" w:right="120" w:hanging="1004"/>
        <w:spacing w:after="0" w:line="249" w:lineRule="auto"/>
        <w:tabs>
          <w:tab w:leader="none" w:pos="221" w:val="left"/>
        </w:tabs>
        <w:numPr>
          <w:ilvl w:val="0"/>
          <w:numId w:val="39"/>
        </w:numPr>
        <w:rPr>
          <w:rFonts w:ascii="Arial" w:cs="Arial" w:eastAsia="Arial" w:hAnsi="Arial"/>
          <w:sz w:val="17"/>
          <w:szCs w:val="17"/>
          <w:u w:val="single" w:color="auto"/>
          <w:color w:val="0000EE"/>
        </w:rPr>
      </w:pPr>
      <w:r>
        <w:rPr>
          <w:rFonts w:ascii="Arial" w:cs="Arial" w:eastAsia="Arial" w:hAnsi="Arial"/>
          <w:sz w:val="18"/>
          <w:szCs w:val="18"/>
          <w:color w:val="auto"/>
        </w:rPr>
        <w:t>  1.2</w:t>
      </w:r>
      <w:hyperlink r:id="rId97">
        <w:r>
          <w:rPr>
            <w:rFonts w:ascii="Arial" w:cs="Arial" w:eastAsia="Arial" w:hAnsi="Arial"/>
            <w:sz w:val="17"/>
            <w:szCs w:val="17"/>
            <w:u w:val="single" w:color="auto"/>
            <w:color w:val="0000EE"/>
          </w:rPr>
          <w:t>Open Market Sale Agreement</w:t>
        </w:r>
        <w:r>
          <w:rPr>
            <w:rFonts w:ascii="Arial" w:cs="Arial" w:eastAsia="Arial" w:hAnsi="Arial"/>
            <w:sz w:val="12"/>
            <w:szCs w:val="12"/>
            <w:u w:val="single" w:color="auto"/>
            <w:color w:val="0000EE"/>
          </w:rPr>
          <w:t>SM</w:t>
        </w:r>
        <w:r>
          <w:rPr>
            <w:rFonts w:ascii="Arial" w:cs="Arial" w:eastAsia="Arial" w:hAnsi="Arial"/>
            <w:sz w:val="17"/>
            <w:szCs w:val="17"/>
            <w:u w:val="single" w:color="auto"/>
            <w:color w:val="0000EE"/>
          </w:rPr>
          <w:t>, dated September 1, 2022, by and between Tango Therapeutics, Inc. and Jefferies LLC</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(incorporated by reference to Exhibit 1.2 to the Registrant’s registration statement on Form S-3 filed with the SEC on September 1,</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2022)</w:t>
        </w:r>
      </w:hyperlink>
    </w:p>
    <w:p>
      <w:pPr>
        <w:spacing w:after="0" w:line="66" w:lineRule="exact"/>
        <w:rPr>
          <w:rFonts w:ascii="Arial" w:cs="Arial" w:eastAsia="Arial" w:hAnsi="Arial"/>
          <w:sz w:val="17"/>
          <w:szCs w:val="17"/>
          <w:u w:val="single" w:color="auto"/>
          <w:color w:val="0000EE"/>
        </w:rPr>
      </w:pPr>
    </w:p>
    <w:p>
      <w:pPr>
        <w:ind w:left="1120" w:right="160" w:hanging="1004"/>
        <w:spacing w:after="0" w:line="267" w:lineRule="auto"/>
        <w:tabs>
          <w:tab w:leader="none" w:pos="221" w:val="left"/>
        </w:tabs>
        <w:numPr>
          <w:ilvl w:val="0"/>
          <w:numId w:val="39"/>
        </w:numPr>
        <w:rPr>
          <w:rFonts w:ascii="Arial" w:cs="Arial" w:eastAsia="Arial" w:hAnsi="Arial"/>
          <w:sz w:val="17"/>
          <w:szCs w:val="17"/>
          <w:u w:val="single" w:color="auto"/>
          <w:color w:val="0000EE"/>
        </w:rPr>
      </w:pPr>
      <w:r>
        <w:rPr>
          <w:rFonts w:ascii="Arial" w:cs="Arial" w:eastAsia="Arial" w:hAnsi="Arial"/>
          <w:sz w:val="18"/>
          <w:szCs w:val="18"/>
          <w:color w:val="auto"/>
        </w:rPr>
        <w:t>  3.1</w:t>
      </w:r>
      <w:hyperlink r:id="rId98">
        <w:r>
          <w:rPr>
            <w:rFonts w:ascii="Arial" w:cs="Arial" w:eastAsia="Arial" w:hAnsi="Arial"/>
            <w:sz w:val="17"/>
            <w:szCs w:val="17"/>
            <w:u w:val="single" w:color="auto"/>
            <w:color w:val="0000EE"/>
          </w:rPr>
          <w:t>Second Amended and Restated Certificate of Incorporation of Tango Therapeutics, Inc. (incorporated by reference to Exhibit 3.1 to</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the Registrant’s Quarterly Report on Form 10-Q filed with the SEC on August 7, 2024)</w:t>
        </w:r>
      </w:hyperlink>
    </w:p>
    <w:p>
      <w:pPr>
        <w:spacing w:after="0" w:line="51" w:lineRule="exact"/>
        <w:rPr>
          <w:rFonts w:ascii="Arial" w:cs="Arial" w:eastAsia="Arial" w:hAnsi="Arial"/>
          <w:sz w:val="17"/>
          <w:szCs w:val="17"/>
          <w:u w:val="single" w:color="auto"/>
          <w:color w:val="0000EE"/>
        </w:rPr>
      </w:pPr>
    </w:p>
    <w:p>
      <w:pPr>
        <w:ind w:left="1120" w:right="140" w:hanging="1004"/>
        <w:spacing w:after="0" w:line="267" w:lineRule="auto"/>
        <w:tabs>
          <w:tab w:leader="none" w:pos="221" w:val="left"/>
        </w:tabs>
        <w:numPr>
          <w:ilvl w:val="0"/>
          <w:numId w:val="39"/>
        </w:numPr>
        <w:rPr>
          <w:rFonts w:ascii="Arial" w:cs="Arial" w:eastAsia="Arial" w:hAnsi="Arial"/>
          <w:sz w:val="17"/>
          <w:szCs w:val="17"/>
          <w:u w:val="single" w:color="auto"/>
          <w:color w:val="0000EE"/>
        </w:rPr>
      </w:pPr>
      <w:r>
        <w:rPr>
          <w:rFonts w:ascii="Arial" w:cs="Arial" w:eastAsia="Arial" w:hAnsi="Arial"/>
          <w:sz w:val="18"/>
          <w:szCs w:val="18"/>
          <w:color w:val="auto"/>
        </w:rPr>
        <w:t>  3.2</w:t>
      </w:r>
      <w:hyperlink r:id="rId99">
        <w:r>
          <w:rPr>
            <w:rFonts w:ascii="Arial" w:cs="Arial" w:eastAsia="Arial" w:hAnsi="Arial"/>
            <w:sz w:val="17"/>
            <w:szCs w:val="17"/>
            <w:u w:val="single" w:color="auto"/>
            <w:color w:val="0000EE"/>
          </w:rPr>
          <w:t>Amended and Restated Bylaws of Tango Therapeutics, Inc. (incorporated by reference to Exhibit 4.2 to the Registrant’s registration</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statement on Form S-8 filed with the SEC on October 14, 2021)</w:t>
        </w:r>
      </w:hyperlink>
    </w:p>
    <w:p>
      <w:pPr>
        <w:spacing w:after="0" w:line="51" w:lineRule="exact"/>
        <w:rPr>
          <w:rFonts w:ascii="Arial" w:cs="Arial" w:eastAsia="Arial" w:hAnsi="Arial"/>
          <w:sz w:val="17"/>
          <w:szCs w:val="17"/>
          <w:u w:val="single" w:color="auto"/>
          <w:color w:val="0000EE"/>
        </w:rPr>
      </w:pPr>
    </w:p>
    <w:p>
      <w:pPr>
        <w:ind w:left="1120" w:right="200" w:hanging="1004"/>
        <w:spacing w:after="0" w:line="249" w:lineRule="auto"/>
        <w:tabs>
          <w:tab w:leader="none" w:pos="221" w:val="left"/>
        </w:tabs>
        <w:numPr>
          <w:ilvl w:val="0"/>
          <w:numId w:val="39"/>
        </w:numPr>
        <w:rPr>
          <w:rFonts w:ascii="Arial" w:cs="Arial" w:eastAsia="Arial" w:hAnsi="Arial"/>
          <w:sz w:val="17"/>
          <w:szCs w:val="17"/>
          <w:u w:val="single" w:color="auto"/>
          <w:color w:val="0000EE"/>
        </w:rPr>
      </w:pPr>
      <w:r>
        <w:rPr>
          <w:rFonts w:ascii="Arial" w:cs="Arial" w:eastAsia="Arial" w:hAnsi="Arial"/>
          <w:sz w:val="18"/>
          <w:szCs w:val="18"/>
          <w:color w:val="auto"/>
        </w:rPr>
        <w:t>  4.1</w:t>
      </w:r>
      <w:hyperlink r:id="rId100">
        <w:r>
          <w:rPr>
            <w:rFonts w:ascii="Arial" w:cs="Arial" w:eastAsia="Arial" w:hAnsi="Arial"/>
            <w:sz w:val="17"/>
            <w:szCs w:val="17"/>
            <w:u w:val="single" w:color="auto"/>
            <w:color w:val="0000EE"/>
          </w:rPr>
          <w:t>Amended and Restated Registration and Stockholder Rights Agreement, dated August 10, 2021, by and among Tango</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Therapeutics, Inc. and the stockholders party thereto (incorporated by reference to Exhibit 10.2 to the Current Report on Form 8-K</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filed by the Registrant on August 13, 2021)</w:t>
        </w:r>
      </w:hyperlink>
    </w:p>
    <w:p>
      <w:pPr>
        <w:spacing w:after="0" w:line="66" w:lineRule="exact"/>
        <w:rPr>
          <w:rFonts w:ascii="Arial" w:cs="Arial" w:eastAsia="Arial" w:hAnsi="Arial"/>
          <w:sz w:val="17"/>
          <w:szCs w:val="17"/>
          <w:u w:val="single" w:color="auto"/>
          <w:color w:val="0000EE"/>
        </w:rPr>
      </w:pPr>
    </w:p>
    <w:p>
      <w:pPr>
        <w:ind w:left="1120" w:right="340" w:hanging="1004"/>
        <w:spacing w:after="0" w:line="267" w:lineRule="auto"/>
        <w:tabs>
          <w:tab w:leader="none" w:pos="221" w:val="left"/>
        </w:tabs>
        <w:numPr>
          <w:ilvl w:val="0"/>
          <w:numId w:val="39"/>
        </w:numPr>
        <w:rPr>
          <w:rFonts w:ascii="Arial" w:cs="Arial" w:eastAsia="Arial" w:hAnsi="Arial"/>
          <w:sz w:val="17"/>
          <w:szCs w:val="17"/>
          <w:u w:val="single" w:color="auto"/>
          <w:color w:val="0000EE"/>
        </w:rPr>
      </w:pPr>
      <w:r>
        <w:rPr>
          <w:rFonts w:ascii="Arial" w:cs="Arial" w:eastAsia="Arial" w:hAnsi="Arial"/>
          <w:sz w:val="18"/>
          <w:szCs w:val="18"/>
          <w:color w:val="auto"/>
        </w:rPr>
        <w:t>  4.2</w:t>
      </w:r>
      <w:hyperlink r:id="rId101">
        <w:r>
          <w:rPr>
            <w:rFonts w:ascii="Arial" w:cs="Arial" w:eastAsia="Arial" w:hAnsi="Arial"/>
            <w:sz w:val="17"/>
            <w:szCs w:val="17"/>
            <w:u w:val="single" w:color="auto"/>
            <w:color w:val="0000EE"/>
          </w:rPr>
          <w:t>Specimen Common Stock Certificate of the Registrant (incorporated by reference to Exhibit 4.5 to the Registration Statement on</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Form S-4/A filed by the Registrant on July 15, 2021)</w:t>
        </w:r>
      </w:hyperlink>
    </w:p>
    <w:p>
      <w:pPr>
        <w:spacing w:after="0" w:line="51" w:lineRule="exact"/>
        <w:rPr>
          <w:rFonts w:ascii="Arial" w:cs="Arial" w:eastAsia="Arial" w:hAnsi="Arial"/>
          <w:sz w:val="17"/>
          <w:szCs w:val="17"/>
          <w:u w:val="single" w:color="auto"/>
          <w:color w:val="0000EE"/>
        </w:rPr>
      </w:pPr>
    </w:p>
    <w:p>
      <w:pPr>
        <w:ind w:left="220" w:hanging="104"/>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4.3*</w:t>
      </w:r>
      <w:r>
        <w:rPr>
          <w:rFonts w:ascii="Arial" w:cs="Arial" w:eastAsia="Arial" w:hAnsi="Arial"/>
          <w:sz w:val="17"/>
          <w:szCs w:val="17"/>
          <w:color w:val="auto"/>
        </w:rPr>
        <w:t>Form of Certificate of Designations</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4.4*</w:t>
      </w:r>
      <w:r>
        <w:rPr>
          <w:rFonts w:ascii="Arial" w:cs="Arial" w:eastAsia="Arial" w:hAnsi="Arial"/>
          <w:sz w:val="17"/>
          <w:szCs w:val="17"/>
          <w:color w:val="auto"/>
        </w:rPr>
        <w:t>Form of Preferred Stock Certificate</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4.5</w:t>
      </w:r>
      <w:r>
        <w:rPr>
          <w:rFonts w:ascii="Arial" w:cs="Arial" w:eastAsia="Arial" w:hAnsi="Arial"/>
          <w:sz w:val="17"/>
          <w:szCs w:val="17"/>
          <w:u w:val="single" w:color="auto"/>
          <w:color w:val="0000EE"/>
        </w:rPr>
        <w:t>Form of Senior Indenture between Registrant and one or more trustees to be named</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4.6</w:t>
      </w:r>
      <w:r>
        <w:rPr>
          <w:rFonts w:ascii="Arial" w:cs="Arial" w:eastAsia="Arial" w:hAnsi="Arial"/>
          <w:sz w:val="17"/>
          <w:szCs w:val="17"/>
          <w:u w:val="single" w:color="auto"/>
          <w:color w:val="0000EE"/>
        </w:rPr>
        <w:t>Form of Subordinated Indenture between Registrant and one or more trustees to be named</w:t>
      </w:r>
    </w:p>
    <w:p>
      <w:pPr>
        <w:spacing w:after="0" w:line="152"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44"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-1905</wp:posOffset>
            </wp:positionV>
            <wp:extent cx="368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4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0" w:lineRule="exact"/>
        <w:rPr>
          <w:sz w:val="20"/>
          <w:szCs w:val="20"/>
          <w:color w:val="auto"/>
        </w:rPr>
      </w:pPr>
    </w:p>
    <w:p>
      <w:pPr>
        <w:sectPr>
          <w:pgSz w:w="11900" w:h="16838" w:orient="portrait"/>
          <w:cols w:equalWidth="0" w:num="2">
            <w:col w:w="4920" w:space="720"/>
            <w:col w:w="5440"/>
          </w:cols>
          <w:pgMar w:left="320" w:top="455" w:right="499" w:bottom="1440" w:gutter="0" w:footer="0" w:header="0"/>
          <w:type w:val="continuous"/>
        </w:sect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4.7*</w:t>
      </w:r>
      <w:r>
        <w:rPr>
          <w:rFonts w:ascii="Arial" w:cs="Arial" w:eastAsia="Arial" w:hAnsi="Arial"/>
          <w:sz w:val="17"/>
          <w:szCs w:val="17"/>
          <w:color w:val="auto"/>
        </w:rPr>
        <w:t>Form of Warrant Agreement and Warrant Certificate</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4.8*</w:t>
      </w:r>
      <w:r>
        <w:rPr>
          <w:rFonts w:ascii="Arial" w:cs="Arial" w:eastAsia="Arial" w:hAnsi="Arial"/>
          <w:sz w:val="17"/>
          <w:szCs w:val="17"/>
          <w:color w:val="auto"/>
        </w:rPr>
        <w:t>Form of Unit Agreement</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5.1</w:t>
      </w:r>
      <w:r>
        <w:rPr>
          <w:rFonts w:ascii="Arial" w:cs="Arial" w:eastAsia="Arial" w:hAnsi="Arial"/>
          <w:sz w:val="17"/>
          <w:szCs w:val="17"/>
          <w:u w:val="single" w:color="auto"/>
          <w:color w:val="0000EE"/>
        </w:rPr>
        <w:t>Opinion of Goodwin Procter LLP</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5.2</w:t>
      </w:r>
      <w:r>
        <w:rPr>
          <w:rFonts w:ascii="Arial" w:cs="Arial" w:eastAsia="Arial" w:hAnsi="Arial"/>
          <w:sz w:val="17"/>
          <w:szCs w:val="17"/>
          <w:u w:val="single" w:color="auto"/>
          <w:color w:val="0000EE"/>
        </w:rPr>
        <w:t>Opinion of Goodwin Procter LLP relating to the sale agreement prospectus</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7"/>
          <w:szCs w:val="17"/>
          <w:u w:val="single" w:color="auto"/>
          <w:color w:val="0000EE"/>
        </w:rPr>
        <w:t>Consent of PricewaterhouseCoopers LLP, independent registered public accounting firm</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7"/>
          <w:szCs w:val="17"/>
          <w:u w:val="single" w:color="auto"/>
          <w:color w:val="0000EE"/>
        </w:rPr>
        <w:t>Consent of Goodwin Procter LLP (included in Exhibit 5.1)</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7"/>
          <w:szCs w:val="17"/>
          <w:u w:val="single" w:color="auto"/>
          <w:color w:val="0000EE"/>
        </w:rPr>
        <w:t>Consent of Goodwin Procter LLP (included in Exhibit 5.2)</w:t>
      </w:r>
    </w:p>
    <w:p>
      <w:pPr>
        <w:spacing w:after="0" w:line="104"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  24</w:t>
      </w:r>
      <w:r>
        <w:rPr>
          <w:sz w:val="20"/>
          <w:szCs w:val="20"/>
          <w:color w:val="auto"/>
        </w:rPr>
        <w:tab/>
      </w:r>
      <w:r>
        <w:rPr>
          <w:rFonts w:ascii="Arial" w:cs="Arial" w:eastAsia="Arial" w:hAnsi="Arial"/>
          <w:sz w:val="17"/>
          <w:szCs w:val="17"/>
          <w:u w:val="single" w:color="auto"/>
          <w:color w:val="0000EE"/>
        </w:rPr>
        <w:t>Power of Attorney (included in the signature pages to the Registration Statement)</w:t>
      </w:r>
    </w:p>
    <w:p>
      <w:pPr>
        <w:spacing w:after="0" w:line="104" w:lineRule="exact"/>
        <w:rPr>
          <w:sz w:val="20"/>
          <w:szCs w:val="20"/>
          <w:color w:val="auto"/>
        </w:rPr>
      </w:pPr>
    </w:p>
    <w:p>
      <w:pPr>
        <w:ind w:left="220" w:hanging="104"/>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25.1**    </w:t>
      </w:r>
      <w:r>
        <w:rPr>
          <w:rFonts w:ascii="Arial" w:cs="Arial" w:eastAsia="Arial" w:hAnsi="Arial"/>
          <w:sz w:val="17"/>
          <w:szCs w:val="17"/>
          <w:color w:val="auto"/>
        </w:rPr>
        <w:t>Form T-1 Statement of Eligibility of Trustee for Senior Indenture under the Trust Indenture Act of 1939, as amended</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25.2**    </w:t>
      </w:r>
      <w:r>
        <w:rPr>
          <w:rFonts w:ascii="Arial" w:cs="Arial" w:eastAsia="Arial" w:hAnsi="Arial"/>
          <w:sz w:val="17"/>
          <w:szCs w:val="17"/>
          <w:color w:val="auto"/>
        </w:rPr>
        <w:t>Form T-1 Statement of Eligibility of Trustee for Subordinated Indenture under the Trust Indenture Act of 1939, as amended</w:t>
      </w:r>
    </w:p>
    <w:p>
      <w:pPr>
        <w:spacing w:after="0" w:line="103" w:lineRule="exact"/>
        <w:rPr>
          <w:rFonts w:ascii="Arial" w:cs="Arial" w:eastAsia="Arial" w:hAnsi="Arial"/>
          <w:sz w:val="18"/>
          <w:szCs w:val="18"/>
          <w:color w:val="auto"/>
        </w:rPr>
      </w:pPr>
    </w:p>
    <w:p>
      <w:pPr>
        <w:ind w:left="220" w:hanging="104"/>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107</w:t>
      </w:r>
      <w:r>
        <w:rPr>
          <w:rFonts w:ascii="Arial" w:cs="Arial" w:eastAsia="Arial" w:hAnsi="Arial"/>
          <w:sz w:val="17"/>
          <w:szCs w:val="17"/>
          <w:u w:val="single" w:color="auto"/>
          <w:color w:val="0000EE"/>
        </w:rPr>
        <w:t>Filing Fee Table</w:t>
      </w:r>
    </w:p>
    <w:p>
      <w:pPr>
        <w:spacing w:after="0" w:line="278"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4"/>
          <w:szCs w:val="14"/>
          <w:color w:val="auto"/>
        </w:rPr>
        <w:t>* To be filed by amendment or by a Current Report on Form 8-K.</w:t>
      </w:r>
    </w:p>
    <w:p>
      <w:pPr>
        <w:spacing w:after="0" w:line="15" w:lineRule="exact"/>
        <w:rPr>
          <w:rFonts w:ascii="Arial" w:cs="Arial" w:eastAsia="Arial" w:hAnsi="Arial"/>
          <w:sz w:val="18"/>
          <w:szCs w:val="18"/>
          <w:color w:val="auto"/>
        </w:rPr>
      </w:pPr>
    </w:p>
    <w:p>
      <w:pPr>
        <w:ind w:left="540" w:hanging="212"/>
        <w:spacing w:after="0"/>
        <w:tabs>
          <w:tab w:leader="none" w:pos="5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To be filed pursuant to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Registrant hereby undertakes: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w:t>
      </w:r>
    </w:p>
    <w:p>
      <w:pPr>
        <w:spacing w:after="0" w:line="156" w:lineRule="exact"/>
        <w:rPr>
          <w:sz w:val="20"/>
          <w:szCs w:val="20"/>
          <w:color w:val="auto"/>
        </w:rPr>
      </w:pPr>
    </w:p>
    <w:p>
      <w:pPr>
        <w:ind w:left="380" w:hanging="264"/>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55"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 to include any prospectus required by Section 10(a)(3) of the Securities Act of 1933, as amended (the “Securities Act”);</w:t>
      </w:r>
    </w:p>
    <w:p>
      <w:pPr>
        <w:spacing w:after="0" w:line="156" w:lineRule="exact"/>
        <w:rPr>
          <w:sz w:val="20"/>
          <w:szCs w:val="20"/>
          <w:color w:val="auto"/>
        </w:rPr>
      </w:pPr>
    </w:p>
    <w:p>
      <w:pPr>
        <w:ind w:left="120" w:right="220" w:hanging="4"/>
        <w:spacing w:after="0" w:line="238" w:lineRule="auto"/>
        <w:tabs>
          <w:tab w:leader="none" w:pos="35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8" w:lineRule="exact"/>
        <w:rPr>
          <w:rFonts w:ascii="Arial" w:cs="Arial" w:eastAsia="Arial" w:hAnsi="Arial"/>
          <w:sz w:val="17"/>
          <w:szCs w:val="17"/>
          <w:color w:val="auto"/>
        </w:rPr>
      </w:pPr>
    </w:p>
    <w:p>
      <w:pPr>
        <w:ind w:left="120" w:hanging="4"/>
        <w:spacing w:after="0" w:line="267" w:lineRule="auto"/>
        <w:tabs>
          <w:tab w:leader="none" w:pos="3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05" w:lineRule="exact"/>
        <w:rPr>
          <w:sz w:val="20"/>
          <w:szCs w:val="20"/>
          <w:color w:val="auto"/>
        </w:rPr>
      </w:pPr>
    </w:p>
    <w:p>
      <w:pPr>
        <w:ind w:left="120" w:right="260"/>
        <w:spacing w:after="0" w:line="244"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23" w:lineRule="exact"/>
        <w:rPr>
          <w:sz w:val="20"/>
          <w:szCs w:val="20"/>
          <w:color w:val="auto"/>
        </w:rPr>
      </w:pPr>
    </w:p>
    <w:p>
      <w:pPr>
        <w:ind w:left="120" w:right="140" w:hanging="4"/>
        <w:spacing w:after="0" w:line="249" w:lineRule="auto"/>
        <w:tabs>
          <w:tab w:leader="none" w:pos="3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080"/>
          </w:cols>
          <w:pgMar w:left="320" w:top="455" w:right="4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0" w:hanging="4"/>
        <w:spacing w:after="0" w:line="267" w:lineRule="auto"/>
        <w:tabs>
          <w:tab w:leader="none" w:pos="3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5" w:lineRule="exact"/>
        <w:rPr>
          <w:rFonts w:ascii="Arial" w:cs="Arial" w:eastAsia="Arial" w:hAnsi="Arial"/>
          <w:sz w:val="17"/>
          <w:szCs w:val="17"/>
          <w:color w:val="auto"/>
        </w:rPr>
      </w:pPr>
    </w:p>
    <w:p>
      <w:pPr>
        <w:ind w:left="380" w:hanging="264"/>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56" w:lineRule="exact"/>
        <w:rPr>
          <w:sz w:val="20"/>
          <w:szCs w:val="20"/>
          <w:color w:val="auto"/>
        </w:rPr>
      </w:pPr>
    </w:p>
    <w:p>
      <w:pPr>
        <w:ind w:left="120" w:right="180" w:hanging="4"/>
        <w:spacing w:after="0" w:line="267" w:lineRule="auto"/>
        <w:tabs>
          <w:tab w:leader="none" w:pos="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5" w:lineRule="exact"/>
        <w:rPr>
          <w:rFonts w:ascii="Arial" w:cs="Arial" w:eastAsia="Arial" w:hAnsi="Arial"/>
          <w:sz w:val="17"/>
          <w:szCs w:val="17"/>
          <w:color w:val="auto"/>
        </w:rPr>
      </w:pPr>
    </w:p>
    <w:p>
      <w:pPr>
        <w:ind w:left="120" w:right="260" w:hanging="4"/>
        <w:spacing w:after="0" w:line="267" w:lineRule="auto"/>
        <w:tabs>
          <w:tab w:leader="none" w:pos="3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w:t>
      </w:r>
    </w:p>
    <w:p>
      <w:pPr>
        <w:spacing w:after="0" w:line="105"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 xml:space="preserve">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0" w:lineRule="exact"/>
        <w:rPr>
          <w:sz w:val="20"/>
          <w:szCs w:val="20"/>
          <w:color w:val="auto"/>
        </w:rPr>
      </w:pPr>
    </w:p>
    <w:p>
      <w:pPr>
        <w:ind w:left="120" w:right="280" w:hanging="4"/>
        <w:spacing w:after="0" w:line="241" w:lineRule="auto"/>
        <w:tabs>
          <w:tab w:leader="none" w:pos="37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26" w:lineRule="exact"/>
        <w:rPr>
          <w:sz w:val="20"/>
          <w:szCs w:val="20"/>
          <w:color w:val="auto"/>
        </w:rPr>
      </w:pPr>
    </w:p>
    <w:p>
      <w:pPr>
        <w:ind w:left="320" w:hanging="204"/>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preliminary prospectus or prospectus of such undersigned Registrant relating to the offering required to be filed pursuant to Rule 424;</w:t>
      </w:r>
    </w:p>
    <w:p>
      <w:pPr>
        <w:spacing w:after="0" w:line="155" w:lineRule="exact"/>
        <w:rPr>
          <w:rFonts w:ascii="Arial" w:cs="Arial" w:eastAsia="Arial" w:hAnsi="Arial"/>
          <w:sz w:val="17"/>
          <w:szCs w:val="17"/>
          <w:color w:val="auto"/>
        </w:rPr>
      </w:pPr>
    </w:p>
    <w:p>
      <w:pPr>
        <w:ind w:left="120" w:right="400" w:hanging="4"/>
        <w:spacing w:after="0" w:line="267" w:lineRule="auto"/>
        <w:tabs>
          <w:tab w:leader="none" w:pos="357"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such undersigned Registrant or used or referred to by such undersigned Registrant;</w:t>
      </w:r>
    </w:p>
    <w:p>
      <w:pPr>
        <w:spacing w:after="0" w:line="105" w:lineRule="exact"/>
        <w:rPr>
          <w:rFonts w:ascii="Arial" w:cs="Arial" w:eastAsia="Arial" w:hAnsi="Arial"/>
          <w:sz w:val="17"/>
          <w:szCs w:val="17"/>
          <w:color w:val="auto"/>
        </w:rPr>
      </w:pPr>
    </w:p>
    <w:p>
      <w:pPr>
        <w:ind w:left="120" w:hanging="4"/>
        <w:spacing w:after="0" w:line="267" w:lineRule="auto"/>
        <w:tabs>
          <w:tab w:leader="none" w:pos="3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05" w:lineRule="exact"/>
        <w:rPr>
          <w:rFonts w:ascii="Arial" w:cs="Arial" w:eastAsia="Arial" w:hAnsi="Arial"/>
          <w:sz w:val="17"/>
          <w:szCs w:val="17"/>
          <w:color w:val="auto"/>
        </w:rPr>
      </w:pPr>
    </w:p>
    <w:p>
      <w:pPr>
        <w:ind w:left="400" w:hanging="284"/>
        <w:spacing w:after="0"/>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such undersigned Registrant to the purchaser.</w:t>
      </w:r>
    </w:p>
    <w:p>
      <w:pPr>
        <w:spacing w:after="0" w:line="156" w:lineRule="exact"/>
        <w:rPr>
          <w:sz w:val="20"/>
          <w:szCs w:val="20"/>
          <w:color w:val="auto"/>
        </w:rPr>
      </w:pPr>
    </w:p>
    <w:p>
      <w:pPr>
        <w:ind w:left="120" w:right="160" w:hanging="4"/>
        <w:spacing w:after="0" w:line="244" w:lineRule="auto"/>
        <w:tabs>
          <w:tab w:leader="none" w:pos="3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23" w:lineRule="exact"/>
        <w:rPr>
          <w:rFonts w:ascii="Arial" w:cs="Arial" w:eastAsia="Arial" w:hAnsi="Arial"/>
          <w:sz w:val="17"/>
          <w:szCs w:val="17"/>
          <w:color w:val="auto"/>
        </w:rPr>
      </w:pPr>
    </w:p>
    <w:p>
      <w:pPr>
        <w:ind w:left="120" w:right="140" w:hanging="4"/>
        <w:spacing w:after="0" w:line="238" w:lineRule="auto"/>
        <w:tabs>
          <w:tab w:leader="none" w:pos="3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color w:val="auto"/>
        </w:rPr>
        <w:t>appropriate jurisdiction the question whether such indemnification by it is against public policy as expressed in the Securities Act and will be governed by the final adjudication of such issue; and</w:t>
      </w:r>
    </w:p>
    <w:p>
      <w:pPr>
        <w:spacing w:after="0" w:line="105" w:lineRule="exact"/>
        <w:rPr>
          <w:sz w:val="20"/>
          <w:szCs w:val="20"/>
          <w:color w:val="auto"/>
        </w:rPr>
      </w:pPr>
    </w:p>
    <w:p>
      <w:pPr>
        <w:ind w:left="120" w:hanging="4"/>
        <w:spacing w:after="0" w:line="249" w:lineRule="auto"/>
        <w:tabs>
          <w:tab w:leader="none" w:pos="37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000"/>
          </w:cols>
          <w:pgMar w:left="320" w:top="455"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316"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12</w:t>
      </w:r>
      <w:r>
        <w:rPr>
          <w:rFonts w:ascii="Arial" w:cs="Arial" w:eastAsia="Arial" w:hAnsi="Arial"/>
          <w:sz w:val="12"/>
          <w:szCs w:val="12"/>
          <w:color w:val="auto"/>
        </w:rPr>
        <w:t>th</w:t>
      </w:r>
      <w:r>
        <w:rPr>
          <w:rFonts w:ascii="Arial" w:cs="Arial" w:eastAsia="Arial" w:hAnsi="Arial"/>
          <w:sz w:val="17"/>
          <w:szCs w:val="17"/>
          <w:color w:val="auto"/>
        </w:rPr>
        <w:t xml:space="preserve"> day of May, 2025.</w:t>
      </w:r>
    </w:p>
    <w:p>
      <w:pPr>
        <w:spacing w:after="0" w:line="2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TANGO THERAPEUTICS, INC.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10160</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Barbara Weber, MD</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KNOW ALL BY THESE PRESENT, that each individual whose signature appears below hereby constitutes and appoints Barbara Weber, Daniella Beckman and Douglas Barry, and each of them, with full power of substitution and resubstitution and full power to act without the other, as such person’s true and lawful attorney-in-fact and agent with full power of substitution and resubstitution, for such person in such person’s name, place and stead, in any and all capacities, to sign any and all amendments (including, without limitation,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SIGNATURE NAME</w:t>
            </w:r>
          </w:p>
        </w:tc>
        <w:tc>
          <w:tcPr>
            <w:tcW w:w="1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spacing w:after="0"/>
              <w:rPr>
                <w:sz w:val="14"/>
                <w:szCs w:val="14"/>
                <w:color w:val="auto"/>
              </w:rPr>
            </w:pPr>
          </w:p>
        </w:tc>
        <w:tc>
          <w:tcPr>
            <w:tcW w:w="130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20" w:type="dxa"/>
            <w:vAlign w:val="bottom"/>
            <w:gridSpan w:val="3"/>
          </w:tcPr>
          <w:p>
            <w:pPr>
              <w:jc w:val="center"/>
              <w:spacing w:after="0"/>
              <w:rPr>
                <w:sz w:val="20"/>
                <w:szCs w:val="20"/>
                <w:color w:val="auto"/>
              </w:rPr>
            </w:pPr>
            <w:r>
              <w:rPr>
                <w:rFonts w:ascii="Arial" w:cs="Arial" w:eastAsia="Arial" w:hAnsi="Arial"/>
                <w:sz w:val="17"/>
                <w:szCs w:val="17"/>
                <w:color w:val="auto"/>
              </w:rPr>
              <w:t>/s/ Barbara Weber</w:t>
            </w:r>
          </w:p>
        </w:tc>
        <w:tc>
          <w:tcPr>
            <w:tcW w:w="4680" w:type="dxa"/>
            <w:vAlign w:val="bottom"/>
            <w:gridSpan w:val="3"/>
          </w:tcPr>
          <w:p>
            <w:pPr>
              <w:jc w:val="center"/>
              <w:ind w:right="140"/>
              <w:spacing w:after="0"/>
              <w:rPr>
                <w:sz w:val="20"/>
                <w:szCs w:val="20"/>
                <w:color w:val="auto"/>
              </w:rPr>
            </w:pPr>
            <w:r>
              <w:rPr>
                <w:rFonts w:ascii="Arial" w:cs="Arial" w:eastAsia="Arial" w:hAnsi="Arial"/>
                <w:sz w:val="17"/>
                <w:szCs w:val="17"/>
                <w:color w:val="auto"/>
              </w:rPr>
              <w:t>President, Chief Executive Officer and Director (Principal</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22"/>
        </w:trPr>
        <w:tc>
          <w:tcPr>
            <w:tcW w:w="16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2"/>
          </w:tcPr>
          <w:p>
            <w:pPr>
              <w:spacing w:after="0" w:line="20" w:lineRule="exact"/>
              <w:rPr>
                <w:sz w:val="1"/>
                <w:szCs w:val="1"/>
                <w:color w:val="auto"/>
              </w:rPr>
            </w:pPr>
          </w:p>
        </w:tc>
        <w:tc>
          <w:tcPr>
            <w:tcW w:w="4680" w:type="dxa"/>
            <w:vAlign w:val="bottom"/>
            <w:gridSpan w:val="3"/>
            <w:vMerge w:val="restart"/>
          </w:tcPr>
          <w:p>
            <w:pPr>
              <w:jc w:val="center"/>
              <w:spacing w:after="0"/>
              <w:rPr>
                <w:sz w:val="20"/>
                <w:szCs w:val="20"/>
                <w:color w:val="auto"/>
              </w:rPr>
            </w:pPr>
            <w:r>
              <w:rPr>
                <w:rFonts w:ascii="Arial" w:cs="Arial" w:eastAsia="Arial" w:hAnsi="Arial"/>
                <w:sz w:val="17"/>
                <w:szCs w:val="17"/>
                <w:color w:val="auto"/>
              </w:rPr>
              <w:t>Executive Officer)</w:t>
            </w: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2960" w:type="dxa"/>
            <w:vAlign w:val="bottom"/>
            <w:gridSpan w:val="2"/>
          </w:tcPr>
          <w:p>
            <w:pPr>
              <w:jc w:val="center"/>
              <w:ind w:right="1660"/>
              <w:spacing w:after="0"/>
              <w:rPr>
                <w:sz w:val="20"/>
                <w:szCs w:val="20"/>
                <w:color w:val="auto"/>
              </w:rPr>
            </w:pPr>
            <w:r>
              <w:rPr>
                <w:rFonts w:ascii="Arial" w:cs="Arial" w:eastAsia="Arial" w:hAnsi="Arial"/>
                <w:sz w:val="14"/>
                <w:szCs w:val="14"/>
                <w:color w:val="auto"/>
              </w:rPr>
              <w:t>Barbara Weber, MD</w:t>
            </w:r>
          </w:p>
        </w:tc>
        <w:tc>
          <w:tcPr>
            <w:tcW w:w="46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4620" w:type="dxa"/>
            <w:vAlign w:val="bottom"/>
            <w:gridSpan w:val="3"/>
          </w:tcPr>
          <w:p>
            <w:pPr>
              <w:jc w:val="center"/>
              <w:ind w:right="20"/>
              <w:spacing w:after="0"/>
              <w:rPr>
                <w:sz w:val="20"/>
                <w:szCs w:val="20"/>
                <w:color w:val="auto"/>
              </w:rPr>
            </w:pPr>
            <w:r>
              <w:rPr>
                <w:rFonts w:ascii="Arial" w:cs="Arial" w:eastAsia="Arial" w:hAnsi="Arial"/>
                <w:sz w:val="17"/>
                <w:szCs w:val="17"/>
                <w:color w:val="auto"/>
              </w:rPr>
              <w:t>/s/ Daniella Beckman</w:t>
            </w:r>
          </w:p>
        </w:tc>
        <w:tc>
          <w:tcPr>
            <w:tcW w:w="4680" w:type="dxa"/>
            <w:vAlign w:val="bottom"/>
            <w:gridSpan w:val="3"/>
          </w:tcPr>
          <w:p>
            <w:pPr>
              <w:jc w:val="center"/>
              <w:ind w:right="140"/>
              <w:spacing w:after="0"/>
              <w:rPr>
                <w:sz w:val="20"/>
                <w:szCs w:val="20"/>
                <w:color w:val="auto"/>
              </w:rPr>
            </w:pPr>
            <w:r>
              <w:rPr>
                <w:rFonts w:ascii="Arial" w:cs="Arial" w:eastAsia="Arial" w:hAnsi="Arial"/>
                <w:sz w:val="17"/>
                <w:szCs w:val="17"/>
                <w:color w:val="auto"/>
              </w:rPr>
              <w:t>Chief Financial Officer (Principal Financial and</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22"/>
        </w:trPr>
        <w:tc>
          <w:tcPr>
            <w:tcW w:w="16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2"/>
          </w:tcPr>
          <w:p>
            <w:pPr>
              <w:spacing w:after="0" w:line="20" w:lineRule="exact"/>
              <w:rPr>
                <w:sz w:val="1"/>
                <w:szCs w:val="1"/>
                <w:color w:val="auto"/>
              </w:rPr>
            </w:pPr>
          </w:p>
        </w:tc>
        <w:tc>
          <w:tcPr>
            <w:tcW w:w="46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9"/>
              </w:rPr>
              <w:t>Accounting Officer)</w:t>
            </w: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4"/>
                <w:szCs w:val="14"/>
                <w:color w:val="auto"/>
              </w:rPr>
              <w:t>Daniella Beckman</w:t>
            </w:r>
          </w:p>
        </w:tc>
        <w:tc>
          <w:tcPr>
            <w:tcW w:w="46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6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center"/>
              <w:ind w:right="1680"/>
              <w:spacing w:after="0"/>
              <w:rPr>
                <w:sz w:val="20"/>
                <w:szCs w:val="20"/>
                <w:color w:val="auto"/>
              </w:rPr>
            </w:pPr>
            <w:r>
              <w:rPr>
                <w:rFonts w:ascii="Arial" w:cs="Arial" w:eastAsia="Arial" w:hAnsi="Arial"/>
                <w:sz w:val="17"/>
                <w:szCs w:val="17"/>
                <w:color w:val="auto"/>
                <w:w w:val="99"/>
              </w:rPr>
              <w:t>/s/ Alexis Borisy</w:t>
            </w:r>
          </w:p>
        </w:tc>
        <w:tc>
          <w:tcPr>
            <w:tcW w:w="4680" w:type="dxa"/>
            <w:vAlign w:val="bottom"/>
            <w:gridSpan w:val="3"/>
          </w:tcPr>
          <w:p>
            <w:pPr>
              <w:jc w:val="center"/>
              <w:ind w:right="1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2960" w:type="dxa"/>
            <w:vAlign w:val="bottom"/>
            <w:gridSpan w:val="2"/>
          </w:tcPr>
          <w:p>
            <w:pPr>
              <w:jc w:val="center"/>
              <w:ind w:right="1660"/>
              <w:spacing w:after="0"/>
              <w:rPr>
                <w:sz w:val="20"/>
                <w:szCs w:val="20"/>
                <w:color w:val="auto"/>
              </w:rPr>
            </w:pPr>
            <w:r>
              <w:rPr>
                <w:rFonts w:ascii="Arial" w:cs="Arial" w:eastAsia="Arial" w:hAnsi="Arial"/>
                <w:sz w:val="14"/>
                <w:szCs w:val="14"/>
                <w:color w:val="auto"/>
              </w:rPr>
              <w:t>Alexis Borisy</w:t>
            </w:r>
          </w:p>
        </w:tc>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rPr>
              <w:t>/s/ Lesley Ann Calhoun</w:t>
            </w:r>
          </w:p>
        </w:tc>
        <w:tc>
          <w:tcPr>
            <w:tcW w:w="4680" w:type="dxa"/>
            <w:vAlign w:val="bottom"/>
            <w:gridSpan w:val="3"/>
          </w:tcPr>
          <w:p>
            <w:pPr>
              <w:jc w:val="center"/>
              <w:ind w:right="1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4"/>
                <w:szCs w:val="14"/>
                <w:color w:val="auto"/>
              </w:rPr>
              <w:t>Lesley Ann Calhoun</w:t>
            </w:r>
          </w:p>
        </w:tc>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rPr>
              <w:t>/s/ Kanishka Pothula</w:t>
            </w:r>
          </w:p>
        </w:tc>
        <w:tc>
          <w:tcPr>
            <w:tcW w:w="4680" w:type="dxa"/>
            <w:vAlign w:val="bottom"/>
            <w:gridSpan w:val="3"/>
          </w:tcPr>
          <w:p>
            <w:pPr>
              <w:jc w:val="center"/>
              <w:ind w:right="1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218"/>
        </w:trPr>
        <w:tc>
          <w:tcPr>
            <w:tcW w:w="4620" w:type="dxa"/>
            <w:vAlign w:val="bottom"/>
            <w:gridSpan w:val="3"/>
          </w:tcPr>
          <w:p>
            <w:pPr>
              <w:jc w:val="center"/>
              <w:ind w:right="20"/>
              <w:spacing w:after="0"/>
              <w:rPr>
                <w:sz w:val="20"/>
                <w:szCs w:val="20"/>
                <w:color w:val="auto"/>
              </w:rPr>
            </w:pPr>
            <w:r>
              <w:rPr>
                <w:rFonts w:ascii="Arial" w:cs="Arial" w:eastAsia="Arial" w:hAnsi="Arial"/>
                <w:sz w:val="17"/>
                <w:szCs w:val="17"/>
                <w:color w:val="auto"/>
                <w:w w:val="99"/>
              </w:rPr>
              <w:t>Kanishka Pothula</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rPr>
              <w:t>/s/ John Ketchum</w:t>
            </w:r>
          </w:p>
        </w:tc>
        <w:tc>
          <w:tcPr>
            <w:tcW w:w="4680" w:type="dxa"/>
            <w:vAlign w:val="bottom"/>
            <w:gridSpan w:val="3"/>
          </w:tcPr>
          <w:p>
            <w:pPr>
              <w:jc w:val="center"/>
              <w:ind w:right="120"/>
              <w:spacing w:after="0"/>
              <w:rPr>
                <w:sz w:val="20"/>
                <w:szCs w:val="20"/>
                <w:color w:val="auto"/>
              </w:rPr>
            </w:pPr>
            <w:r>
              <w:rPr>
                <w:rFonts w:ascii="Arial" w:cs="Arial" w:eastAsia="Arial" w:hAnsi="Arial"/>
                <w:sz w:val="17"/>
                <w:szCs w:val="17"/>
                <w:color w:val="auto"/>
              </w:rPr>
              <w:t>Director</w:t>
            </w:r>
          </w:p>
        </w:tc>
        <w:tc>
          <w:tcPr>
            <w:tcW w:w="1300" w:type="dxa"/>
            <w:vAlign w:val="bottom"/>
            <w:gridSpan w:val="3"/>
          </w:tcPr>
          <w:p>
            <w:pPr>
              <w:jc w:val="center"/>
              <w:ind w:left="176"/>
              <w:spacing w:after="0"/>
              <w:rPr>
                <w:sz w:val="20"/>
                <w:szCs w:val="20"/>
                <w:color w:val="auto"/>
              </w:rPr>
            </w:pPr>
            <w:r>
              <w:rPr>
                <w:rFonts w:ascii="Arial" w:cs="Arial" w:eastAsia="Arial" w:hAnsi="Arial"/>
                <w:sz w:val="17"/>
                <w:szCs w:val="17"/>
                <w:color w:val="auto"/>
              </w:rPr>
              <w:t>May 12, 2025</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960" w:type="dxa"/>
            <w:vAlign w:val="bottom"/>
            <w:gridSpan w:val="2"/>
          </w:tcPr>
          <w:p>
            <w:pPr>
              <w:jc w:val="center"/>
              <w:ind w:right="1660"/>
              <w:spacing w:after="0"/>
              <w:rPr>
                <w:sz w:val="20"/>
                <w:szCs w:val="20"/>
                <w:color w:val="auto"/>
              </w:rPr>
            </w:pPr>
            <w:r>
              <w:rPr>
                <w:rFonts w:ascii="Arial" w:cs="Arial" w:eastAsia="Arial" w:hAnsi="Arial"/>
                <w:sz w:val="17"/>
                <w:szCs w:val="17"/>
                <w:color w:val="auto"/>
              </w:rPr>
              <w:t>John Ketchum</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SIGNATURE NAME</w:t>
            </w:r>
          </w:p>
        </w:tc>
        <w:tc>
          <w:tcPr>
            <w:tcW w:w="2080" w:type="dxa"/>
            <w:vAlign w:val="bottom"/>
          </w:tcPr>
          <w:p>
            <w:pPr>
              <w:spacing w:after="0"/>
              <w:rPr>
                <w:sz w:val="14"/>
                <w:szCs w:val="14"/>
                <w:color w:val="auto"/>
              </w:rPr>
            </w:pPr>
          </w:p>
        </w:tc>
        <w:tc>
          <w:tcPr>
            <w:tcW w:w="168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rPr>
              <w:t>TITLE</w:t>
            </w:r>
          </w:p>
        </w:tc>
        <w:tc>
          <w:tcPr>
            <w:tcW w:w="264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98"/>
        </w:trPr>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Malte Peters</w:t>
            </w:r>
          </w:p>
        </w:tc>
        <w:tc>
          <w:tcPr>
            <w:tcW w:w="1660" w:type="dxa"/>
            <w:vAlign w:val="bottom"/>
            <w:tcBorders>
              <w:bottom w:val="single" w:sz="8" w:color="auto"/>
            </w:tcBorders>
          </w:tcPr>
          <w:p>
            <w:pPr>
              <w:spacing w:after="0"/>
              <w:rPr>
                <w:sz w:val="24"/>
                <w:szCs w:val="24"/>
                <w:color w:val="auto"/>
              </w:rPr>
            </w:pPr>
          </w:p>
        </w:tc>
        <w:tc>
          <w:tcPr>
            <w:tcW w:w="3760" w:type="dxa"/>
            <w:vAlign w:val="bottom"/>
            <w:gridSpan w:val="3"/>
          </w:tcPr>
          <w:p>
            <w:pPr>
              <w:jc w:val="center"/>
              <w:ind w:left="715"/>
              <w:spacing w:after="0"/>
              <w:rPr>
                <w:sz w:val="20"/>
                <w:szCs w:val="20"/>
                <w:color w:val="auto"/>
              </w:rPr>
            </w:pPr>
            <w:r>
              <w:rPr>
                <w:rFonts w:ascii="Arial" w:cs="Arial" w:eastAsia="Arial" w:hAnsi="Arial"/>
                <w:sz w:val="17"/>
                <w:szCs w:val="17"/>
                <w:color w:val="auto"/>
              </w:rPr>
              <w:t>Director</w:t>
            </w:r>
          </w:p>
        </w:tc>
        <w:tc>
          <w:tcPr>
            <w:tcW w:w="2640" w:type="dxa"/>
            <w:vAlign w:val="bottom"/>
            <w:gridSpan w:val="3"/>
          </w:tcPr>
          <w:p>
            <w:pPr>
              <w:jc w:val="center"/>
              <w:ind w:left="679"/>
              <w:spacing w:after="0"/>
              <w:rPr>
                <w:sz w:val="20"/>
                <w:szCs w:val="20"/>
                <w:color w:val="auto"/>
              </w:rPr>
            </w:pPr>
            <w:r>
              <w:rPr>
                <w:rFonts w:ascii="Arial" w:cs="Arial" w:eastAsia="Arial" w:hAnsi="Arial"/>
                <w:sz w:val="17"/>
                <w:szCs w:val="17"/>
                <w:color w:val="auto"/>
              </w:rPr>
              <w:t>May 12, 2025</w:t>
            </w:r>
          </w:p>
        </w:tc>
      </w:tr>
      <w:tr>
        <w:trPr>
          <w:trHeight w:val="218"/>
        </w:trPr>
        <w:tc>
          <w:tcPr>
            <w:tcW w:w="4620" w:type="dxa"/>
            <w:vAlign w:val="bottom"/>
            <w:gridSpan w:val="3"/>
          </w:tcPr>
          <w:p>
            <w:pPr>
              <w:jc w:val="center"/>
              <w:ind w:right="20"/>
              <w:spacing w:after="0"/>
              <w:rPr>
                <w:sz w:val="20"/>
                <w:szCs w:val="20"/>
                <w:color w:val="auto"/>
              </w:rPr>
            </w:pPr>
            <w:r>
              <w:rPr>
                <w:rFonts w:ascii="Arial" w:cs="Arial" w:eastAsia="Arial" w:hAnsi="Arial"/>
                <w:sz w:val="17"/>
                <w:szCs w:val="17"/>
                <w:color w:val="auto"/>
              </w:rPr>
              <w:t>Malte Peters, MD</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83"/>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Mace Rothenberg</w:t>
            </w:r>
          </w:p>
        </w:tc>
        <w:tc>
          <w:tcPr>
            <w:tcW w:w="3760" w:type="dxa"/>
            <w:vAlign w:val="bottom"/>
            <w:gridSpan w:val="3"/>
          </w:tcPr>
          <w:p>
            <w:pPr>
              <w:jc w:val="center"/>
              <w:ind w:left="715"/>
              <w:spacing w:after="0"/>
              <w:rPr>
                <w:sz w:val="20"/>
                <w:szCs w:val="20"/>
                <w:color w:val="auto"/>
              </w:rPr>
            </w:pPr>
            <w:r>
              <w:rPr>
                <w:rFonts w:ascii="Arial" w:cs="Arial" w:eastAsia="Arial" w:hAnsi="Arial"/>
                <w:sz w:val="17"/>
                <w:szCs w:val="17"/>
                <w:color w:val="auto"/>
              </w:rPr>
              <w:t>Director</w:t>
            </w:r>
          </w:p>
        </w:tc>
        <w:tc>
          <w:tcPr>
            <w:tcW w:w="2640" w:type="dxa"/>
            <w:vAlign w:val="bottom"/>
            <w:gridSpan w:val="3"/>
          </w:tcPr>
          <w:p>
            <w:pPr>
              <w:jc w:val="center"/>
              <w:ind w:left="679"/>
              <w:spacing w:after="0"/>
              <w:rPr>
                <w:sz w:val="20"/>
                <w:szCs w:val="20"/>
                <w:color w:val="auto"/>
              </w:rPr>
            </w:pPr>
            <w:r>
              <w:rPr>
                <w:rFonts w:ascii="Arial" w:cs="Arial" w:eastAsia="Arial" w:hAnsi="Arial"/>
                <w:sz w:val="17"/>
                <w:szCs w:val="17"/>
                <w:color w:val="auto"/>
              </w:rPr>
              <w:t>May 12, 2025</w:t>
            </w:r>
          </w:p>
        </w:tc>
      </w:tr>
      <w:tr>
        <w:trPr>
          <w:trHeight w:val="218"/>
        </w:trPr>
        <w:tc>
          <w:tcPr>
            <w:tcW w:w="4620" w:type="dxa"/>
            <w:vAlign w:val="bottom"/>
            <w:gridSpan w:val="3"/>
          </w:tcPr>
          <w:p>
            <w:pPr>
              <w:jc w:val="center"/>
              <w:ind w:right="20"/>
              <w:spacing w:after="0"/>
              <w:rPr>
                <w:sz w:val="20"/>
                <w:szCs w:val="20"/>
                <w:color w:val="auto"/>
              </w:rPr>
            </w:pPr>
            <w:r>
              <w:rPr>
                <w:rFonts w:ascii="Arial" w:cs="Arial" w:eastAsia="Arial" w:hAnsi="Arial"/>
                <w:sz w:val="17"/>
                <w:szCs w:val="17"/>
                <w:color w:val="auto"/>
              </w:rPr>
              <w:t>Mace Rothenberg, MD</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4"/>
        </w:trPr>
        <w:tc>
          <w:tcPr>
            <w:tcW w:w="1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1140"/>
          </w:cols>
          <w:pgMar w:left="320" w:top="455"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ectPr>
          <w:pgSz w:w="11900" w:h="16838" w:orient="portrait"/>
          <w:cols w:equalWidth="0" w:num="1">
            <w:col w:w="10020"/>
          </w:cols>
          <w:pgMar w:left="1440" w:top="117" w:right="439" w:bottom="1440" w:gutter="0" w:footer="0" w:header="0"/>
        </w:sectPr>
      </w:pPr>
    </w:p>
    <w:bookmarkStart w:id="58" w:name="page59"/>
    <w:bookmarkEnd w:id="58"/>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r>
        <w:rPr>
          <w:rFonts w:ascii="Times New Roman" w:cs="Times New Roman" w:eastAsia="Times New Roman" w:hAnsi="Times New Roman"/>
          <w:sz w:val="26"/>
          <w:szCs w:val="26"/>
          <w:b w:val="1"/>
          <w:bCs w:val="1"/>
          <w:u w:val="single" w:color="auto"/>
          <w:color w:val="auto"/>
          <w:vertAlign w:val="superscript"/>
        </w:rPr>
        <w:t>1</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Definitions of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Authenticating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Sinking 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Paying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6"/>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0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Certain Rights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680" w:hanging="424"/>
        <w:spacing w:after="0" w:line="208" w:lineRule="auto"/>
        <w:tabs>
          <w:tab w:leader="none" w:pos="424"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6" w:right="4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3"/>
        </w:trPr>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9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400" w:type="dxa"/>
            <w:vAlign w:val="bottom"/>
            <w:vMerge w:val="continue"/>
          </w:tcPr>
          <w:p>
            <w:pPr>
              <w:spacing w:after="0"/>
              <w:rPr>
                <w:sz w:val="16"/>
                <w:szCs w:val="16"/>
                <w:color w:val="auto"/>
              </w:rPr>
            </w:pPr>
          </w:p>
        </w:tc>
        <w:tc>
          <w:tcPr>
            <w:tcW w:w="92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Hold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Moneys Held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May be Deemed Owners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Discharge of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to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by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13.07</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TANGO THERAPEUTICS, INC.</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for the equal and ratable benefit of the holders of Securities: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61" w:name="page62"/>
    <w:bookmarkEnd w:id="61"/>
    <w:p>
      <w:pPr>
        <w:ind w:right="3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Tango Therapeutics,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62" w:name="page63"/>
    <w:bookmarkEnd w:id="62"/>
    <w:p>
      <w:pPr>
        <w:jc w:val="both"/>
        <w:ind w:left="4"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left="4" w:right="3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left="4" w:right="2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jc w:val="both"/>
        <w:ind w:left="4" w:right="240" w:hanging="4"/>
        <w:spacing w:after="0" w:line="266"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63" w:name="page64"/>
    <w:bookmarkEnd w:id="63"/>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117" w:lineRule="exact"/>
        <w:rPr>
          <w:rFonts w:ascii="Times New Roman" w:cs="Times New Roman" w:eastAsia="Times New Roman" w:hAnsi="Times New Roman"/>
          <w:sz w:val="18"/>
          <w:szCs w:val="18"/>
          <w:color w:val="auto"/>
        </w:rPr>
      </w:pPr>
    </w:p>
    <w:p>
      <w:pPr>
        <w:ind w:left="4" w:right="40" w:hanging="4"/>
        <w:spacing w:after="0" w:line="261"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4" w:right="1380" w:firstLine="1410"/>
        <w:spacing w:after="0" w:line="440"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spacing w:after="0" w:line="1" w:lineRule="exact"/>
        <w:rPr>
          <w:sz w:val="20"/>
          <w:szCs w:val="20"/>
          <w:color w:val="auto"/>
        </w:rPr>
      </w:pPr>
    </w:p>
    <w:p>
      <w:pPr>
        <w:jc w:val="both"/>
        <w:ind w:left="4" w:hanging="4"/>
        <w:spacing w:after="0" w:line="261"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2" w:lineRule="exact"/>
        <w:rPr>
          <w:sz w:val="20"/>
          <w:szCs w:val="20"/>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5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4" w:right="200" w:hanging="4"/>
        <w:spacing w:after="0" w:line="261"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17" w:lineRule="exact"/>
        <w:rPr>
          <w:rFonts w:ascii="Times New Roman" w:cs="Times New Roman" w:eastAsia="Times New Roman" w:hAnsi="Times New Roman"/>
          <w:sz w:val="18"/>
          <w:szCs w:val="18"/>
          <w:color w:val="auto"/>
        </w:rPr>
      </w:pPr>
    </w:p>
    <w:p>
      <w:pPr>
        <w:ind w:left="4" w:right="100" w:hanging="4"/>
        <w:spacing w:after="0" w:line="266" w:lineRule="auto"/>
        <w:tabs>
          <w:tab w:leader="none" w:pos="2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64" w:name="page65"/>
    <w:bookmarkEnd w:id="64"/>
    <w:p>
      <w:pPr>
        <w:ind w:left="4" w:right="18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53" w:lineRule="exact"/>
        <w:rPr>
          <w:rFonts w:ascii="Times New Roman" w:cs="Times New Roman" w:eastAsia="Times New Roman" w:hAnsi="Times New Roman"/>
          <w:sz w:val="18"/>
          <w:szCs w:val="18"/>
          <w:color w:val="auto"/>
        </w:rPr>
      </w:pPr>
    </w:p>
    <w:p>
      <w:pPr>
        <w:ind w:left="4" w:right="300" w:hanging="4"/>
        <w:spacing w:after="0" w:line="261"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color w:val="auto"/>
        </w:rPr>
      </w:pPr>
    </w:p>
    <w:p>
      <w:pPr>
        <w:ind w:left="4" w:right="14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53" w:lineRule="exact"/>
        <w:rPr>
          <w:rFonts w:ascii="Times New Roman" w:cs="Times New Roman" w:eastAsia="Times New Roman" w:hAnsi="Times New Roman"/>
          <w:sz w:val="18"/>
          <w:szCs w:val="18"/>
          <w:color w:val="auto"/>
        </w:rPr>
      </w:pPr>
    </w:p>
    <w:p>
      <w:pPr>
        <w:ind w:left="4" w:right="220" w:hanging="4"/>
        <w:spacing w:after="0" w:line="261"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1"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4" w:right="240" w:hanging="4"/>
        <w:spacing w:after="0" w:line="261"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1" w:lineRule="exact"/>
        <w:rPr>
          <w:rFonts w:ascii="Times New Roman" w:cs="Times New Roman" w:eastAsia="Times New Roman" w:hAnsi="Times New Roman"/>
          <w:sz w:val="18"/>
          <w:szCs w:val="18"/>
          <w:color w:val="auto"/>
        </w:rPr>
      </w:pPr>
    </w:p>
    <w:p>
      <w:pPr>
        <w:ind w:left="4" w:right="6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17" w:lineRule="exact"/>
        <w:rPr>
          <w:rFonts w:ascii="Times New Roman" w:cs="Times New Roman" w:eastAsia="Times New Roman" w:hAnsi="Times New Roman"/>
          <w:sz w:val="18"/>
          <w:szCs w:val="18"/>
          <w:color w:val="auto"/>
        </w:rPr>
      </w:pPr>
    </w:p>
    <w:p>
      <w:pPr>
        <w:ind w:left="4" w:right="40" w:hanging="4"/>
        <w:spacing w:after="0" w:line="254"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Times New Roman" w:cs="Times New Roman" w:eastAsia="Times New Roman" w:hAnsi="Times New Roman"/>
          <w:sz w:val="18"/>
          <w:szCs w:val="18"/>
          <w:color w:val="auto"/>
        </w:rPr>
      </w:pPr>
    </w:p>
    <w:p>
      <w:pPr>
        <w:ind w:left="4" w:right="180" w:hanging="4"/>
        <w:spacing w:after="0" w:line="266" w:lineRule="auto"/>
        <w:tabs>
          <w:tab w:leader="none" w:pos="2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65" w:name="page66"/>
    <w:bookmarkEnd w:id="65"/>
    <w:p>
      <w:pPr>
        <w:ind w:left="4" w:right="120" w:hanging="4"/>
        <w:spacing w:after="0" w:line="266" w:lineRule="auto"/>
        <w:tabs>
          <w:tab w:leader="none" w:pos="2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4" w:right="200" w:hanging="4"/>
        <w:spacing w:after="0" w:line="282"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6" w:name="page67"/>
    <w:bookmarkEnd w:id="6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left="4" w:right="3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left="4" w:hanging="4"/>
        <w:spacing w:after="0" w:line="253"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79"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2.04 Execution and Authentications.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121" w:lineRule="exact"/>
        <w:rPr>
          <w:sz w:val="20"/>
          <w:szCs w:val="20"/>
          <w:color w:val="auto"/>
        </w:rPr>
      </w:pPr>
    </w:p>
    <w:p>
      <w:pPr>
        <w:ind w:left="4" w:right="40" w:hanging="4"/>
        <w:spacing w:after="0" w:line="258"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w:t>
      </w:r>
    </w:p>
    <w:p>
      <w:pPr>
        <w:spacing w:after="0" w:line="27" w:lineRule="exact"/>
        <w:rPr>
          <w:rFonts w:ascii="Times New Roman" w:cs="Times New Roman" w:eastAsia="Times New Roman" w:hAnsi="Times New Roman"/>
          <w:sz w:val="18"/>
          <w:szCs w:val="18"/>
          <w:color w:val="auto"/>
        </w:rPr>
      </w:pPr>
    </w:p>
    <w:p>
      <w:pPr>
        <w:ind w:left="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68" w:name="page69"/>
    <w:bookmarkEnd w:id="68"/>
    <w:p>
      <w:pPr>
        <w:ind w:left="4" w:right="100" w:hanging="4"/>
        <w:spacing w:after="0" w:line="261"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71"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p>
    <w:p>
      <w:pPr>
        <w:spacing w:after="0" w:line="121"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p>
    <w:p>
      <w:pPr>
        <w:spacing w:after="0" w:line="121"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69" w:name="page70"/>
    <w:bookmarkEnd w:id="6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Cancellation.</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2.11 Global Securities.</w:t>
      </w:r>
    </w:p>
    <w:p>
      <w:pPr>
        <w:spacing w:after="0" w:line="121" w:lineRule="exact"/>
        <w:rPr>
          <w:sz w:val="20"/>
          <w:szCs w:val="20"/>
          <w:color w:val="auto"/>
        </w:rPr>
      </w:pPr>
    </w:p>
    <w:p>
      <w:pPr>
        <w:ind w:left="4" w:right="120" w:hanging="4"/>
        <w:spacing w:after="0" w:line="255"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2" w:lineRule="exact"/>
        <w:rPr>
          <w:rFonts w:ascii="Times New Roman" w:cs="Times New Roman" w:eastAsia="Times New Roman" w:hAnsi="Times New Roman"/>
          <w:sz w:val="18"/>
          <w:szCs w:val="18"/>
          <w:color w:val="auto"/>
        </w:rPr>
      </w:pPr>
    </w:p>
    <w:p>
      <w:pPr>
        <w:ind w:left="4" w:righ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77"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3.01 Redemption.</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p>
    <w:p>
      <w:pPr>
        <w:spacing w:after="0" w:line="121" w:lineRule="exact"/>
        <w:rPr>
          <w:sz w:val="20"/>
          <w:szCs w:val="20"/>
          <w:color w:val="auto"/>
        </w:rPr>
      </w:pPr>
    </w:p>
    <w:p>
      <w:pPr>
        <w:ind w:left="4" w:right="140" w:hanging="4"/>
        <w:spacing w:after="0" w:line="258"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71" w:name="page72"/>
    <w:bookmarkEnd w:id="71"/>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7"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68" w:lineRule="exact"/>
        <w:rPr>
          <w:sz w:val="20"/>
          <w:szCs w:val="20"/>
          <w:color w:val="auto"/>
        </w:rPr>
      </w:pPr>
    </w:p>
    <w:p>
      <w:pPr>
        <w:ind w:left="4" w:hanging="4"/>
        <w:spacing w:after="0" w:line="253"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p>
    <w:p>
      <w:pPr>
        <w:spacing w:after="0" w:line="121" w:lineRule="exact"/>
        <w:rPr>
          <w:sz w:val="20"/>
          <w:szCs w:val="20"/>
          <w:color w:val="auto"/>
        </w:rPr>
      </w:pPr>
    </w:p>
    <w:p>
      <w:pPr>
        <w:ind w:left="4" w:right="100" w:hanging="4"/>
        <w:spacing w:after="0" w:line="254"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83" w:lineRule="exact"/>
        <w:rPr>
          <w:rFonts w:ascii="Times New Roman" w:cs="Times New Roman" w:eastAsia="Times New Roman" w:hAnsi="Times New Roman"/>
          <w:sz w:val="18"/>
          <w:szCs w:val="18"/>
          <w:color w:val="auto"/>
        </w:rPr>
      </w:pPr>
    </w:p>
    <w:p>
      <w:pPr>
        <w:ind w:left="4" w:right="200" w:hanging="4"/>
        <w:spacing w:after="0" w:line="266"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3.04 Sinking Fund.</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73" w:name="page74"/>
    <w:bookmarkEnd w:id="7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4.02 Maintenance of Office or Agency.</w:t>
      </w:r>
    </w:p>
    <w:p>
      <w:pPr>
        <w:spacing w:after="0" w:line="121" w:lineRule="exact"/>
        <w:rPr>
          <w:sz w:val="20"/>
          <w:szCs w:val="20"/>
          <w:color w:val="auto"/>
        </w:rPr>
      </w:pPr>
    </w:p>
    <w:p>
      <w:pPr>
        <w:jc w:val="both"/>
        <w:ind w:left="4" w:right="120"/>
        <w:spacing w:after="0" w:line="276" w:lineRule="auto"/>
        <w:rPr>
          <w:sz w:val="20"/>
          <w:szCs w:val="20"/>
          <w:color w:val="auto"/>
        </w:rPr>
      </w:pPr>
      <w:r>
        <w:rPr>
          <w:rFonts w:ascii="Times New Roman" w:cs="Times New Roman" w:eastAsia="Times New Roman" w:hAnsi="Times New Roman"/>
          <w:sz w:val="17"/>
          <w:szCs w:val="17"/>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spacing w:after="0" w:line="1" w:lineRule="exact"/>
        <w:rPr>
          <w:sz w:val="20"/>
          <w:szCs w:val="20"/>
          <w:color w:val="auto"/>
        </w:rPr>
      </w:pPr>
    </w:p>
    <w:p>
      <w:pPr>
        <w:ind w:left="4" w:right="20" w:hanging="4"/>
        <w:spacing w:after="0" w:line="252"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4.03 Paying Agents.</w:t>
      </w:r>
    </w:p>
    <w:p>
      <w:pPr>
        <w:spacing w:after="0" w:line="121" w:lineRule="exact"/>
        <w:rPr>
          <w:sz w:val="20"/>
          <w:szCs w:val="20"/>
          <w:color w:val="auto"/>
        </w:rPr>
      </w:pPr>
    </w:p>
    <w:p>
      <w:pPr>
        <w:jc w:val="both"/>
        <w:ind w:left="4" w:right="180" w:hanging="4"/>
        <w:spacing w:after="0" w:line="266"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8" w:lineRule="exact"/>
        <w:rPr>
          <w:sz w:val="20"/>
          <w:szCs w:val="20"/>
          <w:color w:val="auto"/>
        </w:rPr>
      </w:pPr>
    </w:p>
    <w:p>
      <w:pPr>
        <w:ind w:left="4" w:right="160" w:hanging="4"/>
        <w:spacing w:after="0" w:line="266"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3" w:lineRule="exact"/>
        <w:rPr>
          <w:rFonts w:ascii="Times New Roman" w:cs="Times New Roman" w:eastAsia="Times New Roman" w:hAnsi="Times New Roman"/>
          <w:sz w:val="18"/>
          <w:szCs w:val="18"/>
          <w:color w:val="auto"/>
        </w:rPr>
      </w:pPr>
    </w:p>
    <w:p>
      <w:pPr>
        <w:ind w:left="4" w:right="440" w:hanging="4"/>
        <w:spacing w:after="0" w:line="282"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117" w:lineRule="exact"/>
        <w:rPr>
          <w:sz w:val="20"/>
          <w:szCs w:val="20"/>
          <w:color w:val="auto"/>
        </w:rPr>
      </w:pPr>
    </w:p>
    <w:p>
      <w:pPr>
        <w:ind w:left="4" w:hanging="4"/>
        <w:spacing w:after="0" w:line="254"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3"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4.04 Appointment to Fill Vacancy in Office of Trustee.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4.05 Compliance with Consolidation Provisions.</w:t>
      </w:r>
    </w:p>
    <w:p>
      <w:pPr>
        <w:spacing w:after="0" w:line="121"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p>
    <w:p>
      <w:pPr>
        <w:spacing w:after="0" w:line="121" w:lineRule="exact"/>
        <w:rPr>
          <w:sz w:val="20"/>
          <w:szCs w:val="20"/>
          <w:color w:val="auto"/>
        </w:rPr>
      </w:pPr>
    </w:p>
    <w:p>
      <w:pPr>
        <w:ind w:left="4" w:hanging="4"/>
        <w:spacing w:after="0" w:line="266"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117"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p>
    <w:p>
      <w:pPr>
        <w:spacing w:after="0" w:line="121" w:lineRule="exact"/>
        <w:rPr>
          <w:sz w:val="20"/>
          <w:szCs w:val="20"/>
          <w:color w:val="auto"/>
        </w:rPr>
      </w:pPr>
    </w:p>
    <w:p>
      <w:pPr>
        <w:ind w:left="4" w:hanging="4"/>
        <w:spacing w:after="0" w:line="253"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75" w:name="page76"/>
    <w:bookmarkEnd w:id="75"/>
    <w:p>
      <w:pPr>
        <w:ind w:left="4" w:right="100" w:hanging="4"/>
        <w:spacing w:after="0" w:line="261"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p>
    <w:p>
      <w:pPr>
        <w:spacing w:after="0" w:line="121" w:lineRule="exact"/>
        <w:rPr>
          <w:sz w:val="20"/>
          <w:szCs w:val="20"/>
          <w:color w:val="auto"/>
        </w:rPr>
      </w:pPr>
    </w:p>
    <w:p>
      <w:pPr>
        <w:ind w:left="4" w:right="300" w:hanging="4"/>
        <w:spacing w:after="0" w:line="266"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17" w:lineRule="exact"/>
        <w:rPr>
          <w:rFonts w:ascii="Times New Roman" w:cs="Times New Roman" w:eastAsia="Times New Roman" w:hAnsi="Times New Roman"/>
          <w:sz w:val="18"/>
          <w:szCs w:val="18"/>
          <w:color w:val="auto"/>
        </w:rPr>
      </w:pPr>
    </w:p>
    <w:p>
      <w:pPr>
        <w:ind w:left="4" w:right="120" w:hanging="4"/>
        <w:spacing w:after="0" w:line="266"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121" w:lineRule="exact"/>
        <w:rPr>
          <w:sz w:val="20"/>
          <w:szCs w:val="20"/>
          <w:color w:val="auto"/>
        </w:rPr>
      </w:pPr>
    </w:p>
    <w:p>
      <w:pPr>
        <w:ind w:left="4" w:right="300" w:hanging="4"/>
        <w:spacing w:after="0" w:line="282"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4" w:lineRule="exact"/>
        <w:rPr>
          <w:sz w:val="20"/>
          <w:szCs w:val="20"/>
          <w:color w:val="auto"/>
        </w:rPr>
      </w:pPr>
    </w:p>
    <w:p>
      <w:pPr>
        <w:ind w:left="4" w:hanging="4"/>
        <w:spacing w:after="0" w:line="266"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67" w:lineRule="exact"/>
        <w:rPr>
          <w:rFonts w:ascii="Times New Roman" w:cs="Times New Roman" w:eastAsia="Times New Roman" w:hAnsi="Times New Roman"/>
          <w:sz w:val="18"/>
          <w:szCs w:val="18"/>
          <w:color w:val="auto"/>
        </w:rPr>
      </w:pPr>
    </w:p>
    <w:p>
      <w:pPr>
        <w:ind w:left="4" w:right="140" w:hanging="4"/>
        <w:spacing w:after="0" w:line="261"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1" w:lineRule="exact"/>
        <w:rPr>
          <w:rFonts w:ascii="Times New Roman" w:cs="Times New Roman" w:eastAsia="Times New Roman" w:hAnsi="Times New Roman"/>
          <w:sz w:val="18"/>
          <w:szCs w:val="18"/>
          <w:color w:val="auto"/>
        </w:rPr>
      </w:pPr>
    </w:p>
    <w:p>
      <w:pPr>
        <w:ind w:left="4" w:right="80" w:hanging="4"/>
        <w:spacing w:after="0" w:line="256"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76" w:name="page77"/>
    <w:bookmarkEnd w:id="76"/>
    <w:p>
      <w:pPr>
        <w:ind w:left="4" w:right="200" w:hanging="4"/>
        <w:spacing w:after="0" w:line="266"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w:t>
      </w:r>
    </w:p>
    <w:p>
      <w:pPr>
        <w:spacing w:after="0" w:line="27" w:lineRule="exact"/>
        <w:rPr>
          <w:sz w:val="20"/>
          <w:szCs w:val="20"/>
          <w:color w:val="auto"/>
        </w:rPr>
      </w:pPr>
    </w:p>
    <w:p>
      <w:pPr>
        <w:ind w:left="4" w:right="80" w:hanging="4"/>
        <w:spacing w:after="0" w:line="260"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for all or substantially all of its property or (iii) orders the liquidation of the Company, and the order or decree remains unstayed and in effect for 90 days.</w:t>
      </w:r>
    </w:p>
    <w:p>
      <w:pPr>
        <w:spacing w:after="0" w:line="73" w:lineRule="exact"/>
        <w:rPr>
          <w:sz w:val="20"/>
          <w:szCs w:val="20"/>
          <w:color w:val="auto"/>
        </w:rPr>
      </w:pPr>
    </w:p>
    <w:p>
      <w:pPr>
        <w:ind w:left="4" w:right="100" w:hanging="4"/>
        <w:spacing w:after="0" w:line="269" w:lineRule="auto"/>
        <w:tabs>
          <w:tab w:leader="none" w:pos="25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w:t>
      </w:r>
    </w:p>
    <w:p>
      <w:pPr>
        <w:spacing w:after="0" w:line="2" w:lineRule="exact"/>
        <w:rPr>
          <w:rFonts w:ascii="Times New Roman" w:cs="Times New Roman" w:eastAsia="Times New Roman" w:hAnsi="Times New Roman"/>
          <w:sz w:val="17"/>
          <w:szCs w:val="17"/>
          <w:color w:val="auto"/>
        </w:rPr>
      </w:pPr>
    </w:p>
    <w:p>
      <w:pPr>
        <w:ind w:left="4" w:right="80" w:hanging="4"/>
        <w:spacing w:after="0" w:line="260"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100" w:hanging="4"/>
        <w:spacing w:after="0" w:line="258"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p>
    <w:p>
      <w:pPr>
        <w:spacing w:after="0" w:line="121" w:lineRule="exact"/>
        <w:rPr>
          <w:sz w:val="20"/>
          <w:szCs w:val="20"/>
          <w:color w:val="auto"/>
        </w:rPr>
      </w:pPr>
    </w:p>
    <w:p>
      <w:pPr>
        <w:ind w:left="4" w:right="20" w:hanging="4"/>
        <w:spacing w:after="0" w:line="271" w:lineRule="auto"/>
        <w:tabs>
          <w:tab w:leader="none" w:pos="25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77" w:name="page78"/>
    <w:bookmarkEnd w:id="77"/>
    <w:p>
      <w:pPr>
        <w:ind w:left="4" w:right="140" w:hanging="4"/>
        <w:spacing w:after="0" w:line="258"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75" w:lineRule="exact"/>
        <w:rPr>
          <w:rFonts w:ascii="Times New Roman" w:cs="Times New Roman" w:eastAsia="Times New Roman" w:hAnsi="Times New Roman"/>
          <w:sz w:val="18"/>
          <w:szCs w:val="18"/>
          <w:color w:val="auto"/>
        </w:rPr>
      </w:pPr>
    </w:p>
    <w:p>
      <w:pPr>
        <w:ind w:left="4" w:right="20" w:hanging="4"/>
        <w:spacing w:after="0" w:line="271" w:lineRule="auto"/>
        <w:tabs>
          <w:tab w:leader="none" w:pos="25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5" w:lineRule="exact"/>
        <w:rPr>
          <w:rFonts w:ascii="Times New Roman" w:cs="Times New Roman" w:eastAsia="Times New Roman" w:hAnsi="Times New Roman"/>
          <w:sz w:val="17"/>
          <w:szCs w:val="17"/>
          <w:color w:val="auto"/>
        </w:rPr>
      </w:pPr>
    </w:p>
    <w:p>
      <w:pPr>
        <w:ind w:left="4" w:right="20" w:hanging="4"/>
        <w:spacing w:after="0" w:line="258"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78" w:name="page79"/>
    <w:bookmarkEnd w:id="78"/>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p>
    <w:p>
      <w:pPr>
        <w:spacing w:after="0" w:line="121" w:lineRule="exact"/>
        <w:rPr>
          <w:sz w:val="20"/>
          <w:szCs w:val="20"/>
          <w:color w:val="auto"/>
        </w:rPr>
      </w:pPr>
    </w:p>
    <w:p>
      <w:pPr>
        <w:ind w:left="4" w:right="100" w:hanging="4"/>
        <w:spacing w:after="0" w:line="261"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w:t>
      </w:r>
    </w:p>
    <w:p>
      <w:pPr>
        <w:spacing w:after="0" w:line="27"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6.06 Control by Securityholders.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4"/>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p>
    <w:p>
      <w:pPr>
        <w:spacing w:after="0" w:line="121" w:lineRule="exact"/>
        <w:rPr>
          <w:sz w:val="20"/>
          <w:szCs w:val="20"/>
          <w:color w:val="auto"/>
        </w:rPr>
      </w:pPr>
    </w:p>
    <w:p>
      <w:pPr>
        <w:ind w:left="4" w:right="60" w:hanging="4"/>
        <w:spacing w:after="0" w:line="256" w:lineRule="auto"/>
        <w:tabs>
          <w:tab w:leader="none" w:pos="2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79"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80" w:name="page81"/>
    <w:bookmarkEnd w:id="80"/>
    <w:p>
      <w:pPr>
        <w:ind w:left="4" w:right="200" w:hanging="4"/>
        <w:spacing w:after="0" w:line="282"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54" w:lineRule="exact"/>
        <w:rPr>
          <w:sz w:val="20"/>
          <w:szCs w:val="20"/>
          <w:color w:val="auto"/>
        </w:rPr>
      </w:pPr>
    </w:p>
    <w:p>
      <w:pPr>
        <w:ind w:left="4" w:right="20" w:hanging="4"/>
        <w:spacing w:after="0" w:line="266" w:lineRule="auto"/>
        <w:tabs>
          <w:tab w:leader="none" w:pos="2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 w:right="40" w:hanging="4"/>
        <w:spacing w:after="0" w:line="261" w:lineRule="auto"/>
        <w:tabs>
          <w:tab w:leader="none" w:pos="28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72" w:lineRule="exact"/>
        <w:rPr>
          <w:sz w:val="20"/>
          <w:szCs w:val="20"/>
          <w:color w:val="auto"/>
        </w:rPr>
      </w:pPr>
    </w:p>
    <w:p>
      <w:pPr>
        <w:ind w:left="4" w:right="60" w:hanging="4"/>
        <w:spacing w:after="0" w:line="282"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 w:right="240" w:hanging="4"/>
        <w:spacing w:after="0" w:line="261"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ind w:left="4" w:right="440" w:hanging="4"/>
        <w:spacing w:after="0" w:line="261"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jc w:val="both"/>
        <w:ind w:left="4" w:right="500" w:hanging="4"/>
        <w:spacing w:after="0" w:line="266"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signed in the name of the Company by any authorized officer of the Company (unless other evidence in respect thereof is specifically prescribed herein);</w:t>
      </w:r>
    </w:p>
    <w:p>
      <w:pPr>
        <w:spacing w:after="0" w:line="110"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53" w:lineRule="exact"/>
        <w:rPr>
          <w:rFonts w:ascii="Times New Roman" w:cs="Times New Roman" w:eastAsia="Times New Roman" w:hAnsi="Times New Roman"/>
          <w:sz w:val="18"/>
          <w:szCs w:val="18"/>
          <w:color w:val="auto"/>
        </w:rPr>
      </w:pPr>
    </w:p>
    <w:p>
      <w:pPr>
        <w:ind w:left="4" w:right="40" w:hanging="4"/>
        <w:spacing w:after="0" w:line="256"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81" w:name="page82"/>
    <w:bookmarkEnd w:id="81"/>
    <w:p>
      <w:pPr>
        <w:ind w:left="4" w:right="620" w:hanging="4"/>
        <w:spacing w:after="0" w:line="28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80" w:lineRule="exact"/>
        <w:rPr>
          <w:rFonts w:ascii="Times New Roman" w:cs="Times New Roman" w:eastAsia="Times New Roman" w:hAnsi="Times New Roman"/>
          <w:sz w:val="18"/>
          <w:szCs w:val="18"/>
          <w:color w:val="auto"/>
        </w:rPr>
      </w:pPr>
    </w:p>
    <w:p>
      <w:pPr>
        <w:jc w:val="both"/>
        <w:ind w:left="4" w:right="160" w:hanging="4"/>
        <w:spacing w:after="0" w:line="312" w:lineRule="auto"/>
        <w:tabs>
          <w:tab w:leader="none" w:pos="25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1" w:lineRule="exact"/>
        <w:rPr>
          <w:rFonts w:ascii="Times New Roman" w:cs="Times New Roman" w:eastAsia="Times New Roman" w:hAnsi="Times New Roman"/>
          <w:sz w:val="17"/>
          <w:szCs w:val="17"/>
          <w:color w:val="auto"/>
        </w:rPr>
      </w:pPr>
    </w:p>
    <w:p>
      <w:pPr>
        <w:ind w:left="4" w:right="120" w:hanging="4"/>
        <w:spacing w:after="0" w:line="258"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67" w:lineRule="exact"/>
        <w:rPr>
          <w:rFonts w:ascii="Times New Roman" w:cs="Times New Roman" w:eastAsia="Times New Roman" w:hAnsi="Times New Roman"/>
          <w:sz w:val="18"/>
          <w:szCs w:val="18"/>
          <w:color w:val="auto"/>
        </w:rPr>
      </w:pPr>
    </w:p>
    <w:p>
      <w:pPr>
        <w:ind w:left="4" w:hanging="4"/>
        <w:spacing w:after="0" w:line="253" w:lineRule="auto"/>
        <w:tabs>
          <w:tab w:leader="none" w:pos="3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82" w:name="page83"/>
    <w:bookmarkEnd w:id="8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7.03 Trustee Not Responsible for Recitals or Issuance or Securities.</w:t>
      </w:r>
    </w:p>
    <w:p>
      <w:pPr>
        <w:spacing w:after="0" w:line="121" w:lineRule="exact"/>
        <w:rPr>
          <w:sz w:val="20"/>
          <w:szCs w:val="20"/>
          <w:color w:val="auto"/>
        </w:rPr>
      </w:pPr>
    </w:p>
    <w:p>
      <w:pPr>
        <w:ind w:left="4" w:right="60" w:hanging="4"/>
        <w:spacing w:after="0" w:line="282"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p>
    <w:p>
      <w:pPr>
        <w:spacing w:after="0" w:line="121" w:lineRule="exact"/>
        <w:rPr>
          <w:sz w:val="20"/>
          <w:szCs w:val="20"/>
          <w:color w:val="auto"/>
        </w:rPr>
      </w:pPr>
    </w:p>
    <w:p>
      <w:pPr>
        <w:ind w:left="4" w:hanging="4"/>
        <w:spacing w:after="0" w:line="253" w:lineRule="auto"/>
        <w:tabs>
          <w:tab w:leader="none" w:pos="2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86" w:lineRule="exact"/>
        <w:rPr>
          <w:rFonts w:ascii="Times New Roman" w:cs="Times New Roman" w:eastAsia="Times New Roman" w:hAnsi="Times New Roman"/>
          <w:sz w:val="18"/>
          <w:szCs w:val="18"/>
          <w:color w:val="auto"/>
        </w:rPr>
      </w:pPr>
    </w:p>
    <w:p>
      <w:pPr>
        <w:ind w:left="4" w:right="160" w:hanging="4"/>
        <w:spacing w:after="0" w:line="261"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1"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7.07 Reliance on Officer’s Certificate.</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p>
    <w:p>
      <w:pPr>
        <w:spacing w:after="0" w:line="121"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p>
    <w:p>
      <w:pPr>
        <w:spacing w:after="0" w:line="121"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121" w:lineRule="exact"/>
        <w:rPr>
          <w:sz w:val="20"/>
          <w:szCs w:val="20"/>
          <w:color w:val="auto"/>
        </w:rPr>
      </w:pPr>
    </w:p>
    <w:p>
      <w:pPr>
        <w:ind w:left="4" w:right="60" w:hanging="4"/>
        <w:spacing w:after="0" w:line="271" w:lineRule="auto"/>
        <w:tabs>
          <w:tab w:leader="none" w:pos="25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84" w:name="page85"/>
    <w:bookmarkEnd w:id="84"/>
    <w:p>
      <w:pPr>
        <w:ind w:left="4" w:right="160" w:hanging="4"/>
        <w:spacing w:after="0" w:line="282"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fail to comply with the provisions of Section 7.08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 w:right="40" w:hanging="4"/>
        <w:spacing w:after="0" w:line="254"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84" w:lineRule="exact"/>
        <w:rPr>
          <w:sz w:val="20"/>
          <w:szCs w:val="20"/>
          <w:color w:val="auto"/>
        </w:rPr>
      </w:pPr>
    </w:p>
    <w:p>
      <w:pPr>
        <w:ind w:left="4" w:right="220" w:hanging="4"/>
        <w:spacing w:after="0" w:line="266"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67" w:lineRule="exact"/>
        <w:rPr>
          <w:rFonts w:ascii="Times New Roman" w:cs="Times New Roman" w:eastAsia="Times New Roman" w:hAnsi="Times New Roman"/>
          <w:sz w:val="18"/>
          <w:szCs w:val="18"/>
          <w:color w:val="auto"/>
        </w:rPr>
      </w:pPr>
    </w:p>
    <w:p>
      <w:pPr>
        <w:ind w:left="4" w:right="400" w:hanging="4"/>
        <w:spacing w:after="0" w:line="282"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3"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121" w:lineRule="exact"/>
        <w:rPr>
          <w:sz w:val="20"/>
          <w:szCs w:val="20"/>
          <w:color w:val="auto"/>
        </w:rPr>
      </w:pPr>
    </w:p>
    <w:p>
      <w:pPr>
        <w:ind w:left="4" w:right="60" w:hanging="4"/>
        <w:spacing w:after="0" w:line="256"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9"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85" w:name="page86"/>
    <w:bookmarkEnd w:id="85"/>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0" w:lineRule="exact"/>
        <w:rPr>
          <w:sz w:val="20"/>
          <w:szCs w:val="20"/>
          <w:color w:val="auto"/>
        </w:rPr>
      </w:pPr>
    </w:p>
    <w:p>
      <w:pPr>
        <w:ind w:left="4" w:right="820" w:hanging="4"/>
        <w:spacing w:after="0" w:line="312" w:lineRule="auto"/>
        <w:tabs>
          <w:tab w:leader="none" w:pos="25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9" w:lineRule="exact"/>
        <w:rPr>
          <w:rFonts w:ascii="Times New Roman" w:cs="Times New Roman" w:eastAsia="Times New Roman" w:hAnsi="Times New Roman"/>
          <w:sz w:val="17"/>
          <w:szCs w:val="17"/>
          <w:color w:val="auto"/>
        </w:rPr>
      </w:pPr>
    </w:p>
    <w:p>
      <w:pPr>
        <w:ind w:left="4" w:right="260" w:hanging="4"/>
        <w:spacing w:after="0" w:line="282"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jc w:val="both"/>
        <w:ind w:left="4" w:right="260" w:hanging="4"/>
        <w:spacing w:after="0" w:line="261"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121" w:lineRule="exact"/>
        <w:rPr>
          <w:sz w:val="20"/>
          <w:szCs w:val="20"/>
          <w:color w:val="auto"/>
        </w:rPr>
      </w:pPr>
    </w:p>
    <w:p>
      <w:pPr>
        <w:ind w:left="4" w:right="120"/>
        <w:spacing w:after="0" w:line="312"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86" w:name="page87"/>
    <w:bookmarkEnd w:id="86"/>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25"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264" w:hanging="264"/>
        <w:spacing w:after="0"/>
        <w:tabs>
          <w:tab w:leader="none" w:pos="2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left="4" w:right="720" w:hanging="4"/>
        <w:spacing w:after="0" w:line="532"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66" w:right="49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8.04 Certain Securities Owned by Company Disregarded.</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88" w:name="page89"/>
    <w:bookmarkEnd w:id="88"/>
    <w:p>
      <w:pPr>
        <w:ind w:left="4" w:right="20" w:hanging="4"/>
        <w:spacing w:after="0" w:line="282"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left="4" w:right="80" w:hanging="4"/>
        <w:spacing w:after="0" w:line="266"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9.04 Securities Affected by Supplemental Indentures.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90" w:name="page91"/>
    <w:bookmarkEnd w:id="90"/>
    <w:p>
      <w:pPr>
        <w:ind w:left="4"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p>
    <w:p>
      <w:pPr>
        <w:spacing w:after="0" w:line="121" w:lineRule="exact"/>
        <w:rPr>
          <w:sz w:val="20"/>
          <w:szCs w:val="20"/>
          <w:color w:val="auto"/>
        </w:rPr>
      </w:pPr>
    </w:p>
    <w:p>
      <w:pPr>
        <w:ind w:left="4" w:right="40" w:hanging="4"/>
        <w:spacing w:after="0" w:line="258"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left="4" w:right="700" w:hanging="4"/>
        <w:spacing w:after="0" w:line="282"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p>
    <w:p>
      <w:pPr>
        <w:spacing w:after="0" w:line="12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2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11.02 Discharge of Obligations.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No Recourse.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92" w:name="page93"/>
    <w:bookmarkEnd w:id="92"/>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p>
    <w:p>
      <w:pPr>
        <w:spacing w:after="0" w:line="121"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13.04 Notices.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13.05 Governing Law.</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13.07 Certificates and Opinions as to Conditions Precedent.</w:t>
      </w:r>
    </w:p>
    <w:p>
      <w:pPr>
        <w:spacing w:after="0" w:line="121" w:lineRule="exact"/>
        <w:rPr>
          <w:sz w:val="20"/>
          <w:szCs w:val="20"/>
          <w:color w:val="auto"/>
        </w:rPr>
      </w:pPr>
    </w:p>
    <w:p>
      <w:pPr>
        <w:ind w:left="4" w:right="20" w:hanging="4"/>
        <w:spacing w:after="0" w:line="256"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13.10 Counterparts.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13.11 Separability.</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[TRUSTEE], as 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40"/>
          </w:cols>
          <w:pgMar w:left="440" w:top="266" w:right="1419" w:bottom="1440" w:gutter="0" w:footer="0" w:header="0"/>
        </w:sectPr>
      </w:pPr>
    </w:p>
    <w:bookmarkStart w:id="95" w:name="page96"/>
    <w:bookmarkEnd w:id="95"/>
    <w:tbl>
      <w:tblPr>
        <w:tblLayout w:type="fixed"/>
        <w:tblInd w:w="4" w:type="dxa"/>
        <w:tblCellMar>
          <w:top w:w="0" w:type="dxa"/>
          <w:left w:w="0" w:type="dxa"/>
          <w:bottom w:w="0" w:type="dxa"/>
          <w:right w:w="0" w:type="dxa"/>
        </w:tblCellMar>
      </w:tblPr>
      <w:tr>
        <w:trPr>
          <w:trHeight w:val="364"/>
        </w:trPr>
        <w:tc>
          <w:tcPr>
            <w:tcW w:w="3700" w:type="dxa"/>
            <w:vAlign w:val="bottom"/>
          </w:tcPr>
          <w:p>
            <w:pPr>
              <w:spacing w:after="0"/>
              <w:rPr>
                <w:sz w:val="24"/>
                <w:szCs w:val="24"/>
                <w:color w:val="auto"/>
              </w:rPr>
            </w:pPr>
          </w:p>
        </w:tc>
        <w:tc>
          <w:tcPr>
            <w:tcW w:w="7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4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4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 of</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CCEEFF"/>
            </w:tcBorders>
            <w:vMerge w:val="continue"/>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6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64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6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6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13.07(1)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6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13.07(2)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6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7320" w:type="dxa"/>
            <w:vAlign w:val="bottom"/>
            <w:gridSpan w:val="2"/>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32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80" w:hanging="424"/>
        <w:spacing w:after="0" w:line="208" w:lineRule="auto"/>
        <w:tabs>
          <w:tab w:leader="none" w:pos="424" w:val="left"/>
        </w:tabs>
        <w:numPr>
          <w:ilvl w:val="0"/>
          <w:numId w:val="1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66" w:right="4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 202[•]</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ectPr>
          <w:pgSz w:w="11900" w:h="16838" w:orient="portrait"/>
          <w:cols w:equalWidth="0" w:num="1">
            <w:col w:w="10020"/>
          </w:cols>
          <w:pgMar w:left="1440" w:top="117" w:right="439" w:bottom="1440" w:gutter="0" w:footer="0" w:header="0"/>
        </w:sectPr>
      </w:pPr>
    </w:p>
    <w:bookmarkStart w:id="97" w:name="page98"/>
    <w:bookmarkEnd w:id="97"/>
    <w:tbl>
      <w:tblPr>
        <w:tblLayout w:type="fixed"/>
        <w:tblInd w:w="4" w:type="dxa"/>
        <w:tblCellMar>
          <w:top w:w="0" w:type="dxa"/>
          <w:left w:w="0" w:type="dxa"/>
          <w:bottom w:w="0" w:type="dxa"/>
          <w:right w:w="0" w:type="dxa"/>
        </w:tblCellMar>
      </w:tblPr>
      <w:tr>
        <w:trPr>
          <w:trHeight w:val="299"/>
        </w:trPr>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6"/>
                <w:szCs w:val="26"/>
                <w:b w:val="1"/>
                <w:bCs w:val="1"/>
                <w:color w:val="auto"/>
                <w:vertAlign w:val="superscript"/>
              </w:rPr>
              <w:t>(1)</w:t>
            </w:r>
          </w:p>
        </w:tc>
        <w:tc>
          <w:tcPr>
            <w:tcW w:w="1360" w:type="dxa"/>
            <w:vAlign w:val="bottom"/>
          </w:tcPr>
          <w:p>
            <w:pPr>
              <w:spacing w:after="0"/>
              <w:rPr>
                <w:sz w:val="24"/>
                <w:szCs w:val="24"/>
                <w:color w:val="auto"/>
              </w:rPr>
            </w:pPr>
          </w:p>
        </w:tc>
      </w:tr>
      <w:tr>
        <w:trPr>
          <w:trHeight w:val="47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92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1.01 Definitions of Terms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Temporary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Authenticating Agent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Global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Sinking Fund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Paying Agents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680" w:hanging="424"/>
        <w:spacing w:after="0" w:line="208" w:lineRule="auto"/>
        <w:tabs>
          <w:tab w:leader="none" w:pos="424"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165" w:right="4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Hold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Moneys Held in Trust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to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by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SUBORDINATION OF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Subordination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1400" w:type="dxa"/>
            <w:vAlign w:val="bottom"/>
          </w:tcPr>
          <w:p>
            <w:pPr>
              <w:spacing w:after="0"/>
              <w:rPr>
                <w:sz w:val="24"/>
                <w:szCs w:val="24"/>
                <w:color w:val="auto"/>
              </w:rPr>
            </w:pPr>
          </w:p>
        </w:tc>
        <w:tc>
          <w:tcPr>
            <w:tcW w:w="770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TANGO THERAPEUTICS, INC.</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for the equal and ratable benefit of the holders of Securities: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100" w:name="page101"/>
    <w:bookmarkEnd w:id="100"/>
    <w:p>
      <w:pPr>
        <w:ind w:right="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Tango Therapeutics,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101" w:name="page102"/>
    <w:bookmarkEnd w:id="101"/>
    <w:p>
      <w:pPr>
        <w:jc w:val="both"/>
        <w:ind w:left="4" w:right="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ind w:left="4" w:right="120"/>
        <w:spacing w:after="0" w:line="317"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unincorporated organization, any other entity or organization, including a government or political subdivision or an agency or instrumentality thereof.</w:t>
      </w:r>
    </w:p>
    <w:p>
      <w:pPr>
        <w:spacing w:after="0" w:line="132"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9" w:lineRule="exact"/>
        <w:rPr>
          <w:sz w:val="20"/>
          <w:szCs w:val="20"/>
          <w:color w:val="auto"/>
        </w:rPr>
      </w:pPr>
    </w:p>
    <w:p>
      <w:pPr>
        <w:jc w:val="both"/>
        <w:ind w:left="4" w:right="120" w:hanging="4"/>
        <w:spacing w:after="0" w:line="266"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66" w:right="559" w:bottom="1440" w:gutter="0" w:footer="0" w:header="0"/>
        </w:sectPr>
      </w:pPr>
    </w:p>
    <w:bookmarkStart w:id="102" w:name="page103"/>
    <w:bookmarkEnd w:id="102"/>
    <w:p>
      <w:pPr>
        <w:ind w:left="264" w:hanging="264"/>
        <w:spacing w:after="0"/>
        <w:tabs>
          <w:tab w:leader="none" w:pos="2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225" w:lineRule="exact"/>
        <w:rPr>
          <w:rFonts w:ascii="Times New Roman" w:cs="Times New Roman" w:eastAsia="Times New Roman" w:hAnsi="Times New Roman"/>
          <w:sz w:val="18"/>
          <w:szCs w:val="18"/>
          <w:color w:val="auto"/>
        </w:rPr>
      </w:pPr>
    </w:p>
    <w:p>
      <w:pPr>
        <w:ind w:left="4" w:right="40" w:hanging="4"/>
        <w:spacing w:after="0" w:line="261"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4" w:right="1380" w:firstLine="1410"/>
        <w:spacing w:after="0" w:line="440"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spacing w:after="0" w:line="1" w:lineRule="exact"/>
        <w:rPr>
          <w:sz w:val="20"/>
          <w:szCs w:val="20"/>
          <w:color w:val="auto"/>
        </w:rPr>
      </w:pPr>
    </w:p>
    <w:p>
      <w:pPr>
        <w:jc w:val="both"/>
        <w:ind w:left="4" w:hanging="4"/>
        <w:spacing w:after="0" w:line="261" w:lineRule="auto"/>
        <w:tabs>
          <w:tab w:leader="none" w:pos="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0" w:lineRule="exact"/>
        <w:rPr>
          <w:sz w:val="20"/>
          <w:szCs w:val="20"/>
          <w:color w:val="auto"/>
        </w:rPr>
      </w:pPr>
    </w:p>
    <w:p>
      <w:pPr>
        <w:ind w:left="244" w:hanging="244"/>
        <w:spacing w:after="0"/>
        <w:tabs>
          <w:tab w:leader="none" w:pos="2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left="4" w:right="200" w:hanging="4"/>
        <w:spacing w:after="0" w:line="261"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ind w:left="4" w:right="100" w:hanging="4"/>
        <w:spacing w:after="0" w:line="266" w:lineRule="auto"/>
        <w:tabs>
          <w:tab w:leader="none" w:pos="2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03" w:name="page104"/>
    <w:bookmarkEnd w:id="103"/>
    <w:p>
      <w:pPr>
        <w:ind w:left="4" w:right="180" w:hanging="4"/>
        <w:spacing w:after="0" w:line="282"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161" w:lineRule="exact"/>
        <w:rPr>
          <w:rFonts w:ascii="Times New Roman" w:cs="Times New Roman" w:eastAsia="Times New Roman" w:hAnsi="Times New Roman"/>
          <w:sz w:val="18"/>
          <w:szCs w:val="18"/>
          <w:color w:val="auto"/>
        </w:rPr>
      </w:pPr>
    </w:p>
    <w:p>
      <w:pPr>
        <w:ind w:left="4" w:right="300" w:hanging="4"/>
        <w:spacing w:after="0" w:line="261" w:lineRule="auto"/>
        <w:tabs>
          <w:tab w:leader="none" w:pos="2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left="4" w:right="220" w:hanging="4"/>
        <w:spacing w:after="0" w:line="261" w:lineRule="auto"/>
        <w:tabs>
          <w:tab w:leader="none" w:pos="2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4" w:right="240" w:hanging="4"/>
        <w:spacing w:after="0" w:line="261"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4" w:right="60" w:hanging="4"/>
        <w:spacing w:after="0" w:line="282"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225" w:lineRule="exact"/>
        <w:rPr>
          <w:rFonts w:ascii="Times New Roman" w:cs="Times New Roman" w:eastAsia="Times New Roman" w:hAnsi="Times New Roman"/>
          <w:sz w:val="18"/>
          <w:szCs w:val="18"/>
          <w:color w:val="auto"/>
        </w:rPr>
      </w:pPr>
    </w:p>
    <w:p>
      <w:pPr>
        <w:ind w:left="4" w:right="40" w:hanging="4"/>
        <w:spacing w:after="0" w:line="254"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Times New Roman" w:cs="Times New Roman" w:eastAsia="Times New Roman" w:hAnsi="Times New Roman"/>
          <w:sz w:val="18"/>
          <w:szCs w:val="18"/>
          <w:color w:val="auto"/>
        </w:rPr>
      </w:pPr>
    </w:p>
    <w:p>
      <w:pPr>
        <w:ind w:left="4" w:right="180" w:hanging="4"/>
        <w:spacing w:after="0" w:line="266" w:lineRule="auto"/>
        <w:tabs>
          <w:tab w:leader="none" w:pos="2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04" w:name="page105"/>
    <w:bookmarkEnd w:id="104"/>
    <w:p>
      <w:pPr>
        <w:ind w:left="4" w:right="120" w:hanging="4"/>
        <w:spacing w:after="0" w:line="266" w:lineRule="auto"/>
        <w:tabs>
          <w:tab w:leader="none" w:pos="2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4" w:right="200" w:hanging="4"/>
        <w:spacing w:after="0" w:line="282" w:lineRule="auto"/>
        <w:tabs>
          <w:tab w:leader="none" w:pos="2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and</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2.03 Denominations: Provisions for Payment.</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left="4" w:right="3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58" w:lineRule="exact"/>
        <w:rPr>
          <w:sz w:val="20"/>
          <w:szCs w:val="20"/>
          <w:color w:val="auto"/>
        </w:rPr>
      </w:pPr>
    </w:p>
    <w:p>
      <w:pPr>
        <w:ind w:left="4" w:hanging="4"/>
        <w:spacing w:after="0" w:line="253"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06" w:name="page107"/>
    <w:bookmarkEnd w:id="10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 Execution and Authentications.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121" w:lineRule="exact"/>
        <w:rPr>
          <w:sz w:val="20"/>
          <w:szCs w:val="20"/>
          <w:color w:val="auto"/>
        </w:rPr>
      </w:pPr>
    </w:p>
    <w:p>
      <w:pPr>
        <w:ind w:left="4" w:right="40" w:hanging="4"/>
        <w:spacing w:after="0" w:line="258"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w:t>
      </w:r>
    </w:p>
    <w:p>
      <w:pPr>
        <w:spacing w:after="0" w:line="27" w:lineRule="exact"/>
        <w:rPr>
          <w:rFonts w:ascii="Times New Roman" w:cs="Times New Roman" w:eastAsia="Times New Roman" w:hAnsi="Times New Roman"/>
          <w:sz w:val="18"/>
          <w:szCs w:val="18"/>
          <w:color w:val="auto"/>
        </w:rPr>
      </w:pPr>
    </w:p>
    <w:p>
      <w:pPr>
        <w:ind w:left="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07" w:name="page108"/>
    <w:bookmarkEnd w:id="107"/>
    <w:p>
      <w:pPr>
        <w:ind w:left="4" w:right="100" w:hanging="4"/>
        <w:spacing w:after="0" w:line="261"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9"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p>
    <w:p>
      <w:pPr>
        <w:spacing w:after="0" w:line="121"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p>
    <w:p>
      <w:pPr>
        <w:spacing w:after="0" w:line="121"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08" w:name="page109"/>
    <w:bookmarkEnd w:id="10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Cancellation.</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 Global Securities.</w:t>
      </w:r>
    </w:p>
    <w:p>
      <w:pPr>
        <w:spacing w:after="0" w:line="121" w:lineRule="exact"/>
        <w:rPr>
          <w:sz w:val="20"/>
          <w:szCs w:val="20"/>
          <w:color w:val="auto"/>
        </w:rPr>
      </w:pPr>
    </w:p>
    <w:p>
      <w:pPr>
        <w:ind w:left="4" w:right="120" w:hanging="4"/>
        <w:spacing w:after="0" w:line="255"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w:t>
      </w:r>
    </w:p>
    <w:p>
      <w:pPr>
        <w:spacing w:after="0" w:line="2" w:lineRule="exact"/>
        <w:rPr>
          <w:rFonts w:ascii="Times New Roman" w:cs="Times New Roman" w:eastAsia="Times New Roman" w:hAnsi="Times New Roman"/>
          <w:sz w:val="18"/>
          <w:szCs w:val="18"/>
          <w:color w:val="auto"/>
        </w:rPr>
      </w:pPr>
    </w:p>
    <w:p>
      <w:pPr>
        <w:ind w:left="4" w:righ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5"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3.01 Redemption.</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10" w:name="page111"/>
    <w:bookmarkEnd w:id="1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3.02 Notice of Redemption.</w:t>
      </w:r>
    </w:p>
    <w:p>
      <w:pPr>
        <w:spacing w:after="0" w:line="121" w:lineRule="exact"/>
        <w:rPr>
          <w:sz w:val="20"/>
          <w:szCs w:val="20"/>
          <w:color w:val="auto"/>
        </w:rPr>
      </w:pPr>
    </w:p>
    <w:p>
      <w:pPr>
        <w:ind w:left="4" w:right="20" w:hanging="4"/>
        <w:spacing w:after="0" w:line="253" w:lineRule="auto"/>
        <w:tabs>
          <w:tab w:leader="none" w:pos="2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left="4" w:hanging="4"/>
        <w:spacing w:after="0" w:line="253"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p>
    <w:p>
      <w:pPr>
        <w:spacing w:after="0" w:line="121" w:lineRule="exact"/>
        <w:rPr>
          <w:sz w:val="20"/>
          <w:szCs w:val="20"/>
          <w:color w:val="auto"/>
        </w:rPr>
      </w:pPr>
    </w:p>
    <w:p>
      <w:pPr>
        <w:ind w:left="4" w:right="100" w:hanging="4"/>
        <w:spacing w:after="0" w:line="254"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11" w:name="page112"/>
    <w:bookmarkEnd w:id="111"/>
    <w:p>
      <w:pPr>
        <w:ind w:left="4" w:right="220" w:hanging="4"/>
        <w:spacing w:after="0" w:line="266"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3.04 Sinking Fund.</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p>
    <w:p>
      <w:pPr>
        <w:spacing w:after="0" w:line="121"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p>
    <w:p>
      <w:pPr>
        <w:spacing w:after="0" w:line="121"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12" w:name="page113"/>
    <w:bookmarkEnd w:id="1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4.02 Maintenance of Office or Agency.</w:t>
      </w:r>
    </w:p>
    <w:p>
      <w:pPr>
        <w:spacing w:after="0" w:line="121" w:lineRule="exact"/>
        <w:rPr>
          <w:sz w:val="20"/>
          <w:szCs w:val="20"/>
          <w:color w:val="auto"/>
        </w:rPr>
      </w:pPr>
    </w:p>
    <w:p>
      <w:pPr>
        <w:jc w:val="both"/>
        <w:ind w:left="4" w:right="120"/>
        <w:spacing w:after="0" w:line="276" w:lineRule="auto"/>
        <w:rPr>
          <w:sz w:val="20"/>
          <w:szCs w:val="20"/>
          <w:color w:val="auto"/>
        </w:rPr>
      </w:pPr>
      <w:r>
        <w:rPr>
          <w:rFonts w:ascii="Times New Roman" w:cs="Times New Roman" w:eastAsia="Times New Roman" w:hAnsi="Times New Roman"/>
          <w:sz w:val="17"/>
          <w:szCs w:val="17"/>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spacing w:after="0" w:line="1" w:lineRule="exact"/>
        <w:rPr>
          <w:sz w:val="20"/>
          <w:szCs w:val="20"/>
          <w:color w:val="auto"/>
        </w:rPr>
      </w:pPr>
    </w:p>
    <w:p>
      <w:pPr>
        <w:ind w:left="4" w:right="20" w:hanging="4"/>
        <w:spacing w:after="0" w:line="252" w:lineRule="auto"/>
        <w:tabs>
          <w:tab w:leader="none" w:pos="2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4.03 Paying Agents.</w:t>
      </w:r>
    </w:p>
    <w:p>
      <w:pPr>
        <w:spacing w:after="0" w:line="121" w:lineRule="exact"/>
        <w:rPr>
          <w:sz w:val="20"/>
          <w:szCs w:val="20"/>
          <w:color w:val="auto"/>
        </w:rPr>
      </w:pPr>
    </w:p>
    <w:p>
      <w:pPr>
        <w:jc w:val="both"/>
        <w:ind w:left="4" w:right="180" w:hanging="4"/>
        <w:spacing w:after="0" w:line="266"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6" w:lineRule="exact"/>
        <w:rPr>
          <w:sz w:val="20"/>
          <w:szCs w:val="20"/>
          <w:color w:val="auto"/>
        </w:rPr>
      </w:pPr>
    </w:p>
    <w:p>
      <w:pPr>
        <w:ind w:left="4" w:right="160" w:hanging="4"/>
        <w:spacing w:after="0" w:line="266" w:lineRule="auto"/>
        <w:tabs>
          <w:tab w:leader="none" w:pos="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4" w:right="440" w:hanging="4"/>
        <w:spacing w:after="0" w:line="282" w:lineRule="auto"/>
        <w:tabs>
          <w:tab w:leader="none" w:pos="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sz w:val="20"/>
          <w:szCs w:val="20"/>
          <w:color w:val="auto"/>
        </w:rPr>
      </w:pPr>
    </w:p>
    <w:p>
      <w:pPr>
        <w:ind w:left="4" w:hanging="4"/>
        <w:spacing w:after="0" w:line="254"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13" w:name="page114"/>
    <w:bookmarkEnd w:id="113"/>
    <w:p>
      <w:pPr>
        <w:ind w:left="4" w:hanging="4"/>
        <w:spacing w:after="0" w:line="256"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4.05 Compliance with Consolidation Provisions.</w:t>
      </w:r>
    </w:p>
    <w:p>
      <w:pPr>
        <w:spacing w:after="0" w:line="121"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p>
    <w:p>
      <w:pPr>
        <w:spacing w:after="0" w:line="121" w:lineRule="exact"/>
        <w:rPr>
          <w:sz w:val="20"/>
          <w:szCs w:val="20"/>
          <w:color w:val="auto"/>
        </w:rPr>
      </w:pPr>
    </w:p>
    <w:p>
      <w:pPr>
        <w:ind w:left="4" w:hanging="4"/>
        <w:spacing w:after="0" w:line="266"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p>
    <w:p>
      <w:pPr>
        <w:spacing w:after="0" w:line="121" w:lineRule="exact"/>
        <w:rPr>
          <w:sz w:val="20"/>
          <w:szCs w:val="20"/>
          <w:color w:val="auto"/>
        </w:rPr>
      </w:pPr>
    </w:p>
    <w:p>
      <w:pPr>
        <w:ind w:left="4" w:hanging="4"/>
        <w:spacing w:after="0" w:line="256"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14" w:name="page115"/>
    <w:bookmarkEnd w:id="114"/>
    <w:p>
      <w:pPr>
        <w:ind w:left="4" w:right="5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83" w:lineRule="exact"/>
        <w:rPr>
          <w:sz w:val="20"/>
          <w:szCs w:val="20"/>
          <w:color w:val="auto"/>
        </w:rPr>
      </w:pPr>
    </w:p>
    <w:p>
      <w:pPr>
        <w:ind w:left="4" w:right="100" w:hanging="4"/>
        <w:spacing w:after="0" w:line="261"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p>
    <w:p>
      <w:pPr>
        <w:spacing w:after="0" w:line="121" w:lineRule="exact"/>
        <w:rPr>
          <w:sz w:val="20"/>
          <w:szCs w:val="20"/>
          <w:color w:val="auto"/>
        </w:rPr>
      </w:pPr>
    </w:p>
    <w:p>
      <w:pPr>
        <w:ind w:left="4" w:right="300" w:hanging="4"/>
        <w:spacing w:after="0" w:line="266" w:lineRule="auto"/>
        <w:tabs>
          <w:tab w:leader="none" w:pos="25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4" w:right="120" w:hanging="4"/>
        <w:spacing w:after="0" w:line="266" w:lineRule="auto"/>
        <w:tabs>
          <w:tab w:leader="none" w:pos="25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121" w:lineRule="exact"/>
        <w:rPr>
          <w:sz w:val="20"/>
          <w:szCs w:val="20"/>
          <w:color w:val="auto"/>
        </w:rPr>
      </w:pPr>
    </w:p>
    <w:p>
      <w:pPr>
        <w:ind w:left="4" w:right="300" w:hanging="4"/>
        <w:spacing w:after="0" w:line="282"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2" w:lineRule="exact"/>
        <w:rPr>
          <w:sz w:val="20"/>
          <w:szCs w:val="20"/>
          <w:color w:val="auto"/>
        </w:rPr>
      </w:pPr>
    </w:p>
    <w:p>
      <w:pPr>
        <w:ind w:left="4" w:hanging="4"/>
        <w:spacing w:after="0" w:line="266" w:lineRule="auto"/>
        <w:tabs>
          <w:tab w:leader="none" w:pos="2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ind w:left="4" w:right="140" w:hanging="4"/>
        <w:spacing w:after="0" w:line="261" w:lineRule="auto"/>
        <w:tabs>
          <w:tab w:leader="none" w:pos="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ind w:left="4" w:right="80" w:hanging="4"/>
        <w:spacing w:after="0" w:line="256" w:lineRule="auto"/>
        <w:tabs>
          <w:tab w:leader="none" w:pos="2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15" w:name="page116"/>
    <w:bookmarkEnd w:id="115"/>
    <w:p>
      <w:pPr>
        <w:ind w:left="4" w:right="200" w:hanging="4"/>
        <w:spacing w:after="0" w:line="266"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w:t>
      </w:r>
    </w:p>
    <w:p>
      <w:pPr>
        <w:spacing w:after="0" w:line="27" w:lineRule="exact"/>
        <w:rPr>
          <w:sz w:val="20"/>
          <w:szCs w:val="20"/>
          <w:color w:val="auto"/>
        </w:rPr>
      </w:pPr>
    </w:p>
    <w:p>
      <w:pPr>
        <w:ind w:left="4" w:right="80" w:hanging="4"/>
        <w:spacing w:after="0" w:line="260" w:lineRule="auto"/>
        <w:tabs>
          <w:tab w:leader="none" w:pos="26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for all or substantially all of its property or (iii) orders the liquidation of the Company, and the order or decree remains unstayed and in effect for 90 days.</w:t>
      </w:r>
    </w:p>
    <w:p>
      <w:pPr>
        <w:spacing w:after="0" w:line="181" w:lineRule="exact"/>
        <w:rPr>
          <w:sz w:val="20"/>
          <w:szCs w:val="20"/>
          <w:color w:val="auto"/>
        </w:rPr>
      </w:pPr>
    </w:p>
    <w:p>
      <w:pPr>
        <w:ind w:left="4" w:right="100" w:hanging="4"/>
        <w:spacing w:after="0" w:line="269" w:lineRule="auto"/>
        <w:tabs>
          <w:tab w:leader="none" w:pos="259"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w:t>
      </w:r>
    </w:p>
    <w:p>
      <w:pPr>
        <w:spacing w:after="0" w:line="2" w:lineRule="exact"/>
        <w:rPr>
          <w:rFonts w:ascii="Times New Roman" w:cs="Times New Roman" w:eastAsia="Times New Roman" w:hAnsi="Times New Roman"/>
          <w:sz w:val="17"/>
          <w:szCs w:val="17"/>
          <w:color w:val="auto"/>
        </w:rPr>
      </w:pPr>
    </w:p>
    <w:p>
      <w:pPr>
        <w:ind w:left="4" w:right="80" w:hanging="4"/>
        <w:spacing w:after="0" w:line="260" w:lineRule="auto"/>
        <w:tabs>
          <w:tab w:leader="none" w:pos="2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1"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right="100" w:hanging="4"/>
        <w:spacing w:after="0" w:line="258"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p>
    <w:p>
      <w:pPr>
        <w:spacing w:after="0" w:line="121" w:lineRule="exact"/>
        <w:rPr>
          <w:sz w:val="20"/>
          <w:szCs w:val="20"/>
          <w:color w:val="auto"/>
        </w:rPr>
      </w:pPr>
    </w:p>
    <w:p>
      <w:pPr>
        <w:ind w:left="4" w:right="20" w:hanging="4"/>
        <w:spacing w:after="0" w:line="261"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16" w:name="page117"/>
    <w:bookmarkEnd w:id="116"/>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7" w:lineRule="exact"/>
        <w:rPr>
          <w:sz w:val="20"/>
          <w:szCs w:val="20"/>
          <w:color w:val="auto"/>
        </w:rPr>
      </w:pPr>
    </w:p>
    <w:p>
      <w:pPr>
        <w:ind w:left="4" w:right="140" w:hanging="4"/>
        <w:spacing w:after="0" w:line="258"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left="4" w:right="20" w:hanging="4"/>
        <w:spacing w:after="0" w:line="271" w:lineRule="auto"/>
        <w:tabs>
          <w:tab w:leader="none" w:pos="25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3" w:lineRule="exact"/>
        <w:rPr>
          <w:rFonts w:ascii="Times New Roman" w:cs="Times New Roman" w:eastAsia="Times New Roman" w:hAnsi="Times New Roman"/>
          <w:sz w:val="17"/>
          <w:szCs w:val="17"/>
          <w:color w:val="auto"/>
        </w:rPr>
      </w:pPr>
    </w:p>
    <w:p>
      <w:pPr>
        <w:ind w:left="4" w:right="20" w:hanging="4"/>
        <w:spacing w:after="0" w:line="258"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17" w:name="page118"/>
    <w:bookmarkEnd w:id="117"/>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To the payment of all indebtedness of the Company to which such series of Securities is subordinated to the extent required by Section 7.06 and any subordination terms of the series specified as contemplated by Article Fourteen;</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p>
    <w:p>
      <w:pPr>
        <w:spacing w:after="0" w:line="121" w:lineRule="exact"/>
        <w:rPr>
          <w:sz w:val="20"/>
          <w:szCs w:val="20"/>
          <w:color w:val="auto"/>
        </w:rPr>
      </w:pPr>
    </w:p>
    <w:p>
      <w:pPr>
        <w:ind w:left="4" w:right="100" w:hanging="4"/>
        <w:spacing w:after="0" w:line="261" w:lineRule="auto"/>
        <w:tabs>
          <w:tab w:leader="none" w:pos="25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w:t>
      </w:r>
    </w:p>
    <w:p>
      <w:pPr>
        <w:spacing w:after="0" w:line="27"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118" w:name="page119"/>
    <w:bookmarkEnd w:id="11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6.06 Control by Securityholders.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4"/>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p>
    <w:p>
      <w:pPr>
        <w:spacing w:after="0" w:line="121" w:lineRule="exact"/>
        <w:rPr>
          <w:sz w:val="20"/>
          <w:szCs w:val="20"/>
          <w:color w:val="auto"/>
        </w:rPr>
      </w:pPr>
    </w:p>
    <w:p>
      <w:pPr>
        <w:ind w:left="4" w:right="60" w:hanging="4"/>
        <w:spacing w:after="0" w:line="256" w:lineRule="auto"/>
        <w:tabs>
          <w:tab w:leader="none" w:pos="2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119" w:name="page120"/>
    <w:bookmarkEnd w:id="119"/>
    <w:p>
      <w:pPr>
        <w:ind w:left="4" w:right="200" w:hanging="4"/>
        <w:spacing w:after="0" w:line="282" w:lineRule="auto"/>
        <w:tabs>
          <w:tab w:leader="none" w:pos="24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54" w:lineRule="exact"/>
        <w:rPr>
          <w:sz w:val="20"/>
          <w:szCs w:val="20"/>
          <w:color w:val="auto"/>
        </w:rPr>
      </w:pPr>
    </w:p>
    <w:p>
      <w:pPr>
        <w:ind w:left="4" w:right="20" w:hanging="4"/>
        <w:spacing w:after="0" w:line="266" w:lineRule="auto"/>
        <w:tabs>
          <w:tab w:leader="none" w:pos="29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 w:right="40" w:hanging="4"/>
        <w:spacing w:after="0" w:line="261" w:lineRule="auto"/>
        <w:tabs>
          <w:tab w:leader="none" w:pos="2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72" w:lineRule="exact"/>
        <w:rPr>
          <w:sz w:val="20"/>
          <w:szCs w:val="20"/>
          <w:color w:val="auto"/>
        </w:rPr>
      </w:pPr>
    </w:p>
    <w:p>
      <w:pPr>
        <w:ind w:left="4" w:right="60" w:hanging="4"/>
        <w:spacing w:after="0" w:line="282"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 w:right="240" w:hanging="4"/>
        <w:spacing w:after="0" w:line="261" w:lineRule="auto"/>
        <w:tabs>
          <w:tab w:leader="none" w:pos="2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ind w:left="4" w:right="440" w:hanging="4"/>
        <w:spacing w:after="0" w:line="261"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jc w:val="both"/>
        <w:ind w:left="4" w:right="500" w:hanging="4"/>
        <w:spacing w:after="0" w:line="266"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signed in the name of the Company by any authorized officer of the Company (unless other evidence in respect thereof is specifically prescribed herein);</w:t>
      </w:r>
    </w:p>
    <w:p>
      <w:pPr>
        <w:spacing w:after="0" w:line="110"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53" w:lineRule="exact"/>
        <w:rPr>
          <w:rFonts w:ascii="Times New Roman" w:cs="Times New Roman" w:eastAsia="Times New Roman" w:hAnsi="Times New Roman"/>
          <w:sz w:val="18"/>
          <w:szCs w:val="18"/>
          <w:color w:val="auto"/>
        </w:rPr>
      </w:pPr>
    </w:p>
    <w:p>
      <w:pPr>
        <w:ind w:left="4" w:right="40" w:hanging="4"/>
        <w:spacing w:after="0" w:line="261"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120" w:name="page121"/>
    <w:bookmarkEnd w:id="120"/>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68" w:lineRule="exact"/>
        <w:rPr>
          <w:sz w:val="20"/>
          <w:szCs w:val="20"/>
          <w:color w:val="auto"/>
        </w:rPr>
      </w:pPr>
    </w:p>
    <w:p>
      <w:pPr>
        <w:ind w:left="4" w:right="620" w:hanging="4"/>
        <w:spacing w:after="0" w:line="282"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80" w:lineRule="exact"/>
        <w:rPr>
          <w:rFonts w:ascii="Times New Roman" w:cs="Times New Roman" w:eastAsia="Times New Roman" w:hAnsi="Times New Roman"/>
          <w:sz w:val="18"/>
          <w:szCs w:val="18"/>
          <w:color w:val="auto"/>
        </w:rPr>
      </w:pPr>
    </w:p>
    <w:p>
      <w:pPr>
        <w:jc w:val="both"/>
        <w:ind w:left="4" w:right="160" w:hanging="4"/>
        <w:spacing w:after="0" w:line="312" w:lineRule="auto"/>
        <w:tabs>
          <w:tab w:leader="none" w:pos="25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1" w:lineRule="exact"/>
        <w:rPr>
          <w:rFonts w:ascii="Times New Roman" w:cs="Times New Roman" w:eastAsia="Times New Roman" w:hAnsi="Times New Roman"/>
          <w:sz w:val="17"/>
          <w:szCs w:val="17"/>
          <w:color w:val="auto"/>
        </w:rPr>
      </w:pPr>
    </w:p>
    <w:p>
      <w:pPr>
        <w:ind w:left="4" w:right="120" w:hanging="4"/>
        <w:spacing w:after="0" w:line="258"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67" w:lineRule="exact"/>
        <w:rPr>
          <w:rFonts w:ascii="Times New Roman" w:cs="Times New Roman" w:eastAsia="Times New Roman" w:hAnsi="Times New Roman"/>
          <w:sz w:val="18"/>
          <w:szCs w:val="18"/>
          <w:color w:val="auto"/>
        </w:rPr>
      </w:pPr>
    </w:p>
    <w:p>
      <w:pPr>
        <w:ind w:left="4" w:hanging="4"/>
        <w:spacing w:after="0" w:line="253" w:lineRule="auto"/>
        <w:tabs>
          <w:tab w:leader="none" w:pos="34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121" w:name="page122"/>
    <w:bookmarkEnd w:id="12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 Trustee Not Responsible for Recitals or Issuance or Securities.</w:t>
      </w:r>
    </w:p>
    <w:p>
      <w:pPr>
        <w:spacing w:after="0" w:line="121" w:lineRule="exact"/>
        <w:rPr>
          <w:sz w:val="20"/>
          <w:szCs w:val="20"/>
          <w:color w:val="auto"/>
        </w:rPr>
      </w:pPr>
    </w:p>
    <w:p>
      <w:pPr>
        <w:ind w:left="4" w:right="60" w:hanging="4"/>
        <w:spacing w:after="0" w:line="282" w:lineRule="auto"/>
        <w:tabs>
          <w:tab w:leader="none" w:pos="2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117"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p>
    <w:p>
      <w:pPr>
        <w:spacing w:after="0" w:line="121" w:lineRule="exact"/>
        <w:rPr>
          <w:sz w:val="20"/>
          <w:szCs w:val="20"/>
          <w:color w:val="auto"/>
        </w:rPr>
      </w:pPr>
    </w:p>
    <w:p>
      <w:pPr>
        <w:ind w:left="4" w:hanging="4"/>
        <w:spacing w:after="0" w:line="253" w:lineRule="auto"/>
        <w:tabs>
          <w:tab w:leader="none" w:pos="2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86" w:lineRule="exact"/>
        <w:rPr>
          <w:rFonts w:ascii="Times New Roman" w:cs="Times New Roman" w:eastAsia="Times New Roman" w:hAnsi="Times New Roman"/>
          <w:sz w:val="18"/>
          <w:szCs w:val="18"/>
          <w:color w:val="auto"/>
        </w:rPr>
      </w:pPr>
    </w:p>
    <w:p>
      <w:pPr>
        <w:ind w:left="4" w:right="180" w:hanging="4"/>
        <w:spacing w:after="0" w:line="261"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1"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122" w:name="page123"/>
    <w:bookmarkEnd w:id="12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7.07 Reliance on Officer’s Certificate.</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p>
    <w:p>
      <w:pPr>
        <w:spacing w:after="0" w:line="121"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p>
    <w:p>
      <w:pPr>
        <w:spacing w:after="0" w:line="121"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121" w:lineRule="exact"/>
        <w:rPr>
          <w:sz w:val="20"/>
          <w:szCs w:val="20"/>
          <w:color w:val="auto"/>
        </w:rPr>
      </w:pPr>
    </w:p>
    <w:p>
      <w:pPr>
        <w:ind w:left="4" w:right="60" w:hanging="4"/>
        <w:spacing w:after="0" w:line="271" w:lineRule="auto"/>
        <w:tabs>
          <w:tab w:leader="none" w:pos="259"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sz w:val="20"/>
          <w:szCs w:val="20"/>
          <w:color w:val="auto"/>
        </w:rPr>
      </w:pPr>
    </w:p>
    <w:p>
      <w:pPr>
        <w:ind w:left="4" w:right="140" w:hanging="4"/>
        <w:spacing w:after="0" w:line="282" w:lineRule="auto"/>
        <w:tabs>
          <w:tab w:leader="none" w:pos="2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123" w:name="page124"/>
    <w:bookmarkEnd w:id="123"/>
    <w:p>
      <w:pPr>
        <w:ind w:left="4" w:right="320" w:hanging="4"/>
        <w:spacing w:after="0" w:line="282"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 w:right="340" w:hanging="4"/>
        <w:spacing w:after="0" w:line="266" w:lineRule="auto"/>
        <w:tabs>
          <w:tab w:leader="none" w:pos="2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5" w:lineRule="exact"/>
        <w:rPr>
          <w:sz w:val="20"/>
          <w:szCs w:val="20"/>
          <w:color w:val="auto"/>
        </w:rPr>
      </w:pPr>
    </w:p>
    <w:p>
      <w:pPr>
        <w:ind w:left="4" w:right="220" w:hanging="4"/>
        <w:spacing w:after="0" w:line="266" w:lineRule="auto"/>
        <w:tabs>
          <w:tab w:leader="none" w:pos="2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67" w:lineRule="exact"/>
        <w:rPr>
          <w:rFonts w:ascii="Times New Roman" w:cs="Times New Roman" w:eastAsia="Times New Roman" w:hAnsi="Times New Roman"/>
          <w:sz w:val="18"/>
          <w:szCs w:val="18"/>
          <w:color w:val="auto"/>
        </w:rPr>
      </w:pPr>
    </w:p>
    <w:p>
      <w:pPr>
        <w:ind w:left="4" w:right="400" w:hanging="4"/>
        <w:spacing w:after="0" w:line="282" w:lineRule="auto"/>
        <w:tabs>
          <w:tab w:leader="none" w:pos="2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3"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121" w:lineRule="exact"/>
        <w:rPr>
          <w:sz w:val="20"/>
          <w:szCs w:val="20"/>
          <w:color w:val="auto"/>
        </w:rPr>
      </w:pPr>
    </w:p>
    <w:p>
      <w:pPr>
        <w:ind w:left="4" w:right="60" w:hanging="4"/>
        <w:spacing w:after="0" w:line="256" w:lineRule="auto"/>
        <w:tabs>
          <w:tab w:leader="none" w:pos="2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9"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124" w:name="page125"/>
    <w:bookmarkEnd w:id="124"/>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79" w:lineRule="exact"/>
        <w:rPr>
          <w:sz w:val="20"/>
          <w:szCs w:val="20"/>
          <w:color w:val="auto"/>
        </w:rPr>
      </w:pPr>
    </w:p>
    <w:p>
      <w:pPr>
        <w:ind w:left="4" w:right="820" w:hanging="4"/>
        <w:spacing w:after="0" w:line="312" w:lineRule="auto"/>
        <w:tabs>
          <w:tab w:leader="none" w:pos="25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31" w:lineRule="exact"/>
        <w:rPr>
          <w:rFonts w:ascii="Times New Roman" w:cs="Times New Roman" w:eastAsia="Times New Roman" w:hAnsi="Times New Roman"/>
          <w:sz w:val="17"/>
          <w:szCs w:val="17"/>
          <w:color w:val="auto"/>
        </w:rPr>
      </w:pPr>
    </w:p>
    <w:p>
      <w:pPr>
        <w:ind w:left="4" w:right="260" w:hanging="4"/>
        <w:spacing w:after="0" w:line="282"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53" w:lineRule="exact"/>
        <w:rPr>
          <w:rFonts w:ascii="Times New Roman" w:cs="Times New Roman" w:eastAsia="Times New Roman" w:hAnsi="Times New Roman"/>
          <w:sz w:val="18"/>
          <w:szCs w:val="18"/>
          <w:color w:val="auto"/>
        </w:rPr>
      </w:pPr>
    </w:p>
    <w:p>
      <w:pPr>
        <w:jc w:val="both"/>
        <w:ind w:left="4" w:right="260" w:hanging="4"/>
        <w:spacing w:after="0" w:line="261"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121" w:lineRule="exact"/>
        <w:rPr>
          <w:sz w:val="20"/>
          <w:szCs w:val="20"/>
          <w:color w:val="auto"/>
        </w:rPr>
      </w:pPr>
    </w:p>
    <w:p>
      <w:pPr>
        <w:ind w:left="4" w:right="120"/>
        <w:spacing w:after="0" w:line="312"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125" w:name="page126"/>
    <w:bookmarkEnd w:id="12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4" w:lineRule="exact"/>
        <w:rPr>
          <w:sz w:val="20"/>
          <w:szCs w:val="20"/>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66" w:right="499" w:bottom="1440" w:gutter="0" w:footer="0" w:header="0"/>
        </w:sectPr>
      </w:pPr>
    </w:p>
    <w:bookmarkStart w:id="126" w:name="page127"/>
    <w:bookmarkEnd w:id="12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8.04 Certain Securities Owned by Company Disregarded.</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127" w:name="page128"/>
    <w:bookmarkEnd w:id="127"/>
    <w:p>
      <w:pPr>
        <w:ind w:left="4" w:right="80" w:hanging="4"/>
        <w:spacing w:after="0" w:line="266" w:lineRule="auto"/>
        <w:tabs>
          <w:tab w:leader="none" w:pos="25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117"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p>
    <w:p>
      <w:pPr>
        <w:spacing w:after="0" w:line="12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128" w:name="page129"/>
    <w:bookmarkEnd w:id="128"/>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129" w:name="page130"/>
    <w:bookmarkEnd w:id="12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10.02 Successor Entity Substituted.</w:t>
      </w:r>
    </w:p>
    <w:p>
      <w:pPr>
        <w:spacing w:after="0" w:line="121" w:lineRule="exact"/>
        <w:rPr>
          <w:sz w:val="20"/>
          <w:szCs w:val="20"/>
          <w:color w:val="auto"/>
        </w:rPr>
      </w:pPr>
    </w:p>
    <w:p>
      <w:pPr>
        <w:ind w:left="4" w:right="40" w:hanging="4"/>
        <w:spacing w:after="0" w:line="258" w:lineRule="auto"/>
        <w:tabs>
          <w:tab w:leader="none" w:pos="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5" w:lineRule="exact"/>
        <w:rPr>
          <w:rFonts w:ascii="Times New Roman" w:cs="Times New Roman" w:eastAsia="Times New Roman" w:hAnsi="Times New Roman"/>
          <w:sz w:val="18"/>
          <w:szCs w:val="18"/>
          <w:color w:val="auto"/>
        </w:rPr>
      </w:pPr>
    </w:p>
    <w:p>
      <w:pPr>
        <w:ind w:left="4" w:right="700" w:hanging="4"/>
        <w:spacing w:after="0" w:line="282" w:lineRule="auto"/>
        <w:tabs>
          <w:tab w:leader="none" w:pos="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3"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p>
    <w:p>
      <w:pPr>
        <w:spacing w:after="0" w:line="12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6"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Thereafter, Sections 7.06 and 11.05 shall survive.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No Recourse.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31" w:name="page132"/>
    <w:bookmarkEnd w:id="13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13</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p>
    <w:p>
      <w:pPr>
        <w:spacing w:after="0" w:line="121" w:lineRule="exact"/>
        <w:rPr>
          <w:sz w:val="20"/>
          <w:szCs w:val="20"/>
          <w:color w:val="auto"/>
        </w:rPr>
      </w:pPr>
    </w:p>
    <w:p>
      <w:pPr>
        <w:ind w:left="4" w:right="30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13.04 Notices.</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13.05 Governing Law.</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p>
    <w:p>
      <w:pPr>
        <w:spacing w:after="0" w:line="121" w:lineRule="exact"/>
        <w:rPr>
          <w:sz w:val="20"/>
          <w:szCs w:val="20"/>
          <w:color w:val="auto"/>
        </w:rPr>
      </w:pPr>
    </w:p>
    <w:p>
      <w:pPr>
        <w:ind w:left="4" w:hanging="4"/>
        <w:spacing w:after="0" w:line="256" w:lineRule="auto"/>
        <w:tabs>
          <w:tab w:leader="none" w:pos="25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66" w:right="479" w:bottom="1440" w:gutter="0" w:footer="0" w:header="0"/>
        </w:sectPr>
      </w:pPr>
    </w:p>
    <w:bookmarkStart w:id="132" w:name="page133"/>
    <w:bookmarkEnd w:id="132"/>
    <w:p>
      <w:pPr>
        <w:ind w:left="4" w:right="60" w:hanging="4"/>
        <w:spacing w:after="0" w:line="256" w:lineRule="auto"/>
        <w:tabs>
          <w:tab w:leader="none" w:pos="2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13.10 Counterparts.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13.11 Separability.</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133" w:name="page134"/>
    <w:bookmarkEnd w:id="13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14</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14.01 Subordination Terms.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440" w:top="266" w:right="5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[TRUSTEE], as 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40"/>
          </w:cols>
          <w:pgMar w:left="440" w:top="266" w:right="1419" w:bottom="1440" w:gutter="0" w:footer="0" w:header="0"/>
        </w:sectPr>
      </w:pPr>
    </w:p>
    <w:bookmarkStart w:id="135" w:name="page136"/>
    <w:bookmarkEnd w:id="135"/>
    <w:tbl>
      <w:tblPr>
        <w:tblLayout w:type="fixed"/>
        <w:tblInd w:w="4" w:type="dxa"/>
        <w:tblCellMar>
          <w:top w:w="0" w:type="dxa"/>
          <w:left w:w="0" w:type="dxa"/>
          <w:bottom w:w="0" w:type="dxa"/>
          <w:right w:w="0" w:type="dxa"/>
        </w:tblCellMar>
      </w:tblPr>
      <w:tr>
        <w:trPr>
          <w:trHeight w:val="364"/>
        </w:trPr>
        <w:tc>
          <w:tcPr>
            <w:tcW w:w="3180" w:type="dxa"/>
            <w:vAlign w:val="bottom"/>
          </w:tcPr>
          <w:p>
            <w:pPr>
              <w:spacing w:after="0"/>
              <w:rPr>
                <w:sz w:val="24"/>
                <w:szCs w:val="24"/>
                <w:color w:val="auto"/>
              </w:rPr>
            </w:pPr>
          </w:p>
        </w:tc>
        <w:tc>
          <w:tcPr>
            <w:tcW w:w="78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41"/>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9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 of</w:t>
            </w:r>
          </w:p>
        </w:tc>
        <w:tc>
          <w:tcPr>
            <w:tcW w:w="0" w:type="dxa"/>
            <w:vAlign w:val="bottom"/>
          </w:tcPr>
          <w:p>
            <w:pPr>
              <w:spacing w:after="0"/>
              <w:rPr>
                <w:sz w:val="1"/>
                <w:szCs w:val="1"/>
                <w:color w:val="auto"/>
              </w:rPr>
            </w:pPr>
          </w:p>
        </w:tc>
      </w:tr>
      <w:tr>
        <w:trPr>
          <w:trHeight w:val="180"/>
        </w:trPr>
        <w:tc>
          <w:tcPr>
            <w:tcW w:w="3180" w:type="dxa"/>
            <w:vAlign w:val="bottom"/>
            <w:tcBorders>
              <w:bottom w:val="single" w:sz="8" w:color="auto"/>
            </w:tcBorders>
            <w:vMerge w:val="continue"/>
          </w:tcPr>
          <w:p>
            <w:pPr>
              <w:spacing w:after="0"/>
              <w:rPr>
                <w:sz w:val="15"/>
                <w:szCs w:val="15"/>
                <w:color w:val="auto"/>
              </w:rPr>
            </w:pPr>
          </w:p>
        </w:tc>
        <w:tc>
          <w:tcPr>
            <w:tcW w:w="69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310(a)</w:t>
            </w:r>
          </w:p>
        </w:tc>
        <w:tc>
          <w:tcPr>
            <w:tcW w:w="69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69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69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69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13.07(1)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69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13.07(2)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69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7840" w:type="dxa"/>
            <w:vAlign w:val="bottom"/>
            <w:gridSpan w:val="2"/>
            <w:shd w:val="clear" w:color="auto" w:fill="CCEEFF"/>
          </w:tcPr>
          <w:p>
            <w:pPr>
              <w:ind w:left="69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840" w:type="dxa"/>
            <w:vAlign w:val="bottom"/>
            <w:gridSpan w:val="2"/>
          </w:tcPr>
          <w:p>
            <w:pPr>
              <w:ind w:left="694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380" w:hanging="424"/>
        <w:spacing w:after="0" w:line="208" w:lineRule="auto"/>
        <w:tabs>
          <w:tab w:leader="none" w:pos="424" w:val="left"/>
        </w:tabs>
        <w:numPr>
          <w:ilvl w:val="0"/>
          <w:numId w:val="1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66" w:right="4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14500"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Procter LLP</w:t>
      </w:r>
    </w:p>
    <w:p>
      <w:pPr>
        <w:spacing w:after="0" w:line="9"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100 Northern</w:t>
      </w:r>
    </w:p>
    <w:p>
      <w:pPr>
        <w:spacing w:after="0" w:line="9"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Avenue</w:t>
      </w:r>
    </w:p>
    <w:p>
      <w:pPr>
        <w:spacing w:after="0" w:line="9"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944"/>
        <w:spacing w:after="0"/>
        <w:rPr>
          <w:sz w:val="20"/>
          <w:szCs w:val="20"/>
          <w:color w:val="auto"/>
        </w:rPr>
      </w:pPr>
      <w:r>
        <w:rPr>
          <w:rFonts w:ascii="Times New Roman" w:cs="Times New Roman" w:eastAsia="Times New Roman" w:hAnsi="Times New Roman"/>
          <w:sz w:val="18"/>
          <w:szCs w:val="18"/>
          <w:color w:val="auto"/>
        </w:rPr>
        <w:t>+1 617 570 1000</w:t>
      </w:r>
    </w:p>
    <w:p>
      <w:pPr>
        <w:spacing w:after="0" w:line="247" w:lineRule="exact"/>
        <w:rPr>
          <w:sz w:val="20"/>
          <w:szCs w:val="20"/>
          <w:color w:val="auto"/>
        </w:rPr>
      </w:pPr>
    </w:p>
    <w:p>
      <w:pPr>
        <w:ind w:left="8304"/>
        <w:spacing w:after="0"/>
        <w:rPr>
          <w:sz w:val="20"/>
          <w:szCs w:val="20"/>
          <w:color w:val="auto"/>
        </w:rPr>
      </w:pPr>
      <w:r>
        <w:rPr>
          <w:rFonts w:ascii="Times New Roman" w:cs="Times New Roman" w:eastAsia="Times New Roman" w:hAnsi="Times New Roman"/>
          <w:sz w:val="18"/>
          <w:szCs w:val="18"/>
          <w:color w:val="auto"/>
        </w:rPr>
        <w:t>May 12,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02215</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S-3</w:t>
      </w:r>
    </w:p>
    <w:p>
      <w:pPr>
        <w:spacing w:after="0" w:line="11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Tango Therapeutics, Inc., a Delaware corporation (the “Company”), of up to $400,000,000 of any combination of (i) the Company’s common stock, par value $0.001 per share (“Common Stock”), (ii) the Company’s preferred stock, par value $0.001 per share (“Preferred Stock”), (iii) the Company’s debt securities (“Debt Securities”),</w:t>
      </w:r>
    </w:p>
    <w:p>
      <w:pPr>
        <w:spacing w:after="0" w:line="3" w:lineRule="exact"/>
        <w:rPr>
          <w:sz w:val="20"/>
          <w:szCs w:val="20"/>
          <w:color w:val="auto"/>
        </w:rPr>
      </w:pPr>
    </w:p>
    <w:p>
      <w:pPr>
        <w:ind w:left="4" w:right="160" w:hanging="4"/>
        <w:spacing w:after="0" w:line="252" w:lineRule="auto"/>
        <w:tabs>
          <w:tab w:leader="none" w:pos="30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Debt Securities (“Warrants”), and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90"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w:t>
      </w:r>
    </w:p>
    <w:p>
      <w:pPr>
        <w:sectPr>
          <w:pgSz w:w="11900" w:h="16838" w:orient="portrait"/>
          <w:cols w:equalWidth="0" w:num="1">
            <w:col w:w="11024"/>
          </w:cols>
          <w:pgMar w:left="436" w:top="117"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Approval and Issuance” of Securities:</w:t>
      </w:r>
    </w:p>
    <w:p>
      <w:pPr>
        <w:spacing w:after="0" w:line="131" w:lineRule="exact"/>
        <w:rPr>
          <w:sz w:val="20"/>
          <w:szCs w:val="20"/>
          <w:color w:val="auto"/>
        </w:rPr>
      </w:pPr>
    </w:p>
    <w:p>
      <w:pPr>
        <w:ind w:left="1420" w:right="160" w:hanging="331"/>
        <w:spacing w:after="0" w:line="261" w:lineRule="auto"/>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85" w:lineRule="exact"/>
        <w:rPr>
          <w:rFonts w:ascii="Times New Roman" w:cs="Times New Roman" w:eastAsia="Times New Roman" w:hAnsi="Times New Roman"/>
          <w:sz w:val="18"/>
          <w:szCs w:val="18"/>
          <w:color w:val="auto"/>
        </w:rPr>
      </w:pPr>
    </w:p>
    <w:p>
      <w:pPr>
        <w:ind w:left="1420" w:right="240" w:hanging="331"/>
        <w:spacing w:after="0" w:line="261" w:lineRule="auto"/>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85" w:lineRule="exact"/>
        <w:rPr>
          <w:rFonts w:ascii="Times New Roman" w:cs="Times New Roman" w:eastAsia="Times New Roman" w:hAnsi="Times New Roman"/>
          <w:sz w:val="18"/>
          <w:szCs w:val="18"/>
          <w:color w:val="auto"/>
        </w:rPr>
      </w:pPr>
    </w:p>
    <w:p>
      <w:pPr>
        <w:ind w:left="1420" w:hanging="331"/>
        <w:spacing w:after="0" w:line="261" w:lineRule="auto"/>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85"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right="500" w:firstLine="436"/>
        <w:spacing w:after="0" w:line="282" w:lineRule="auto"/>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Common Stock, such shares of Common Stock will be validly issued, fully paid and nonassessable.</w:t>
      </w:r>
    </w:p>
    <w:p>
      <w:pPr>
        <w:sectPr>
          <w:pgSz w:w="11900" w:h="16838" w:orient="portrait"/>
          <w:cols w:equalWidth="0" w:num="1">
            <w:col w:w="11000"/>
          </w:cols>
          <w:pgMar w:left="440" w:top="270"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480" w:firstLine="436"/>
        <w:spacing w:after="0" w:line="282" w:lineRule="auto"/>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Preferred Stock, such shares of Preferred Stock will be validly issued, fully paid and nonassessable.</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Debt Securities, such Debt Securities will be valid and binding obligations of the Company.</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Warrants, such Warrants will be valid and binding obligations of the Company.</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Units, such Units will be valid and binding obligations of the Company.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80"/>
          </w:cols>
          <w:pgMar w:left="440" w:top="270" w:right="4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Procter LLP</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100 Northern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Avenue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May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filed on May 12, 2025 with the Securities and Exchange Commission (the “Commission”) pursuant to the Securities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“Securities Act”), relating to the registration of the offering by Tango Therapeutics,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of up to $400,000,000 of any combination of securities of the types specified therein. Reference is made to our opinion letter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 and included as Exhibit 5.1 to the Registration Statement. We are delivering this supplemental opinion letter in connection with the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prospectus supplement (the “Prospectus Supplement”) included in the Registration Statement. The Prospectus Supplement relates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by the Company of up to $100,000,000 in shares (the “Shares”) of the Company’s common stock, par value $0.001 per share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covered by the Registration Statement. The Shares are being offered and sold by the sales agent named in, and pursuant to, a sales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Company and such sales agent.</w:t>
      </w:r>
    </w:p>
    <w:p>
      <w:pPr>
        <w:spacing w:after="0" w:line="20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ectPr>
          <w:pgSz w:w="11900" w:h="16838" w:orient="portrait"/>
          <w:cols w:equalWidth="0" w:num="1">
            <w:col w:w="11020"/>
          </w:cols>
          <w:pgMar w:left="440" w:top="117"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0"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6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Exhibit 5.2 to the Registration Statement. We hereby consent to the filing of this opinion letter as an exhibit to the Registration Statement and its incorporation by reference and the reference to our firm therein.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00"/>
          </w:cols>
          <w:pgMar w:left="440" w:top="270" w:right="55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Tango Therapeutics, Inc. of our report dated February 27, 2025 relating to the financial statements and the effectiveness of internal control over financial reporting, which appears in Tango Therapeutics, Inc.’s Annual Report on Form 10-K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w:t>
      </w:r>
    </w:p>
    <w:p>
      <w:pPr>
        <w:sectPr>
          <w:pgSz w:w="11900" w:h="16838" w:orient="portrait"/>
          <w:cols w:equalWidth="0" w:num="1">
            <w:col w:w="11020"/>
          </w:cols>
          <w:pgMar w:left="440" w:top="117"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Tango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Proposed</w:t>
            </w:r>
          </w:p>
        </w:tc>
        <w:tc>
          <w:tcPr>
            <w:tcW w:w="12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6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5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6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80" w:type="dxa"/>
            <w:vAlign w:val="bottom"/>
            <w:tcBorders>
              <w:right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Effective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Registered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9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center"/>
              <w:ind w:right="324"/>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Fees to</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Borders>
              <w:left w:val="single" w:sz="8" w:color="auto"/>
              <w:right w:val="single" w:sz="8" w:color="auto"/>
            </w:tcBorders>
            <w:vMerge w:val="continue"/>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2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be Paid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457(o) </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457(o) </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68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95"/>
              </w:rPr>
              <w:t xml:space="preserve">   (1) </w:t>
            </w:r>
          </w:p>
        </w:tc>
        <w:tc>
          <w:tcPr>
            <w:tcW w:w="620" w:type="dxa"/>
            <w:vAlign w:val="bottom"/>
            <w:tcBorders>
              <w:bottom w:val="single" w:sz="8" w:color="auto"/>
              <w:right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(2) </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$400,000,000</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$0.0001531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$61,240.00(3)</w:t>
            </w:r>
          </w:p>
        </w:tc>
        <w:tc>
          <w:tcPr>
            <w:tcW w:w="6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center"/>
              <w:ind w:right="324"/>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Carry</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Forward</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Securities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 </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$400,000,000(4)</w:t>
            </w: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$61,240.00</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Fees Previously Paid </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 </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$33,093.90 (5)  </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$28,146.10.00</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4" w:lineRule="auto"/>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indeterminate number of securities at indeterminate prices that may be issued from time to time in primary offerings or upon exercise, conversion or exchange of any securities registered hereunder that provide for exercise, conversion or exchange. In addition, pursuant to Rule 416 under the Securities Act of 1933, as amended, or the Securities Act, the securities registered hereunder include such indeterminate number of securities as may be issuable with respect to the securities being registered hereunder as a result of share splits, share dividends or similar transactions.</w:t>
      </w:r>
    </w:p>
    <w:p>
      <w:pPr>
        <w:spacing w:after="0" w:line="3"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Instruction 2.A.ii.b. of the Instructions to the Calculation of Filing Fee Tables and Related Disclosure of Form S-3 The aggregate maximum offering price of all securities issued pursuant to this registration statement will not exceed $400,000,000.</w:t>
      </w:r>
    </w:p>
    <w:p>
      <w:pPr>
        <w:sectPr>
          <w:pgSz w:w="11900" w:h="16838" w:orient="portrait"/>
          <w:cols w:equalWidth="0" w:num="1">
            <w:col w:w="11024"/>
          </w:cols>
          <w:pgMar w:left="436" w:top="117" w:right="439" w:bottom="1440" w:gutter="0" w:footer="0" w:header="0"/>
        </w:sectPr>
      </w:pPr>
    </w:p>
    <w:bookmarkStart w:id="143" w:name="page144"/>
    <w:bookmarkEnd w:id="143"/>
    <w:p>
      <w:pPr>
        <w:ind w:left="424" w:hanging="424"/>
        <w:spacing w:after="0"/>
        <w:tabs>
          <w:tab w:leader="none" w:pos="4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registration fee has been calculated pursuant to Rule 457(o) under the Securities Act..</w:t>
      </w:r>
    </w:p>
    <w:p>
      <w:pPr>
        <w:spacing w:after="0" w:line="27" w:lineRule="exact"/>
        <w:rPr>
          <w:rFonts w:ascii="Times New Roman" w:cs="Times New Roman" w:eastAsia="Times New Roman" w:hAnsi="Times New Roman"/>
          <w:sz w:val="18"/>
          <w:szCs w:val="18"/>
          <w:color w:val="auto"/>
        </w:rPr>
      </w:pPr>
    </w:p>
    <w:p>
      <w:pPr>
        <w:ind w:left="424" w:right="20" w:hanging="424"/>
        <w:spacing w:after="0" w:line="243" w:lineRule="auto"/>
        <w:tabs>
          <w:tab w:leader="none" w:pos="4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previously registered the offer and sale of up to $400,000,000 of securities pursuant to the Registration Statement on Form S-3 (File No. 333-267224), as filed by the Company with the Securities and Exchange Commission on September 1, 2022 (the “Prior Registration Statement”), which included a prospectus supplement to register the offer and sale of up to $100,000,000 of shares of the registrant’s common stock (the “Previous ATM Prospectus”) under the terms of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with Jefferies LLC, of which $357,000,000 of securities under the Prior Registration Statement remain unsold (the “Unsold Securities”). We paid a registration fee of $37,080 with respect to the $100,000,000 of securities that may be issued or sold pursuant to the Prior Registration Statement. As of the date of this registration statement, we have sold $$43,000,000 pursuant to the Previous ATM Prospectus. We are registering the offer and sale of the Unsold Securities pursuant to the Prior Registration Statement.</w:t>
      </w:r>
    </w:p>
    <w:p>
      <w:pPr>
        <w:spacing w:after="0" w:line="4"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registrant hereby applies $33,093.90 of the registration fee previously paid in connection with the Prior Registration Statement in connection with the Unsold Securities to offset the registration fees that are payable in connection with the registration of securities on this registration statement. Pursuant to Rule 457(p) under the Securities Act, the offering of the Unsold Securities under the Prior Registration Statement will be deemed terminated as of the date of effectiveness of this registration statement.</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ind w:left="360"/>
              <w:spacing w:after="0" w:line="144" w:lineRule="exact"/>
              <w:rPr>
                <w:sz w:val="20"/>
                <w:szCs w:val="20"/>
                <w:color w:val="auto"/>
              </w:rPr>
            </w:pPr>
            <w:r>
              <w:rPr>
                <w:rFonts w:ascii="Times New Roman" w:cs="Times New Roman" w:eastAsia="Times New Roman" w:hAnsi="Times New Roman"/>
                <w:sz w:val="13"/>
                <w:szCs w:val="13"/>
                <w:color w:val="auto"/>
              </w:rPr>
              <w:t>Unsold</w:t>
            </w:r>
          </w:p>
        </w:tc>
        <w:tc>
          <w:tcPr>
            <w:tcW w:w="800" w:type="dxa"/>
            <w:vAlign w:val="bottom"/>
            <w:tcBorders>
              <w:top w:val="single" w:sz="8" w:color="auto"/>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0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0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Type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80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11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Paid with</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or Filer</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Fee Offset</w:t>
            </w:r>
          </w:p>
        </w:tc>
      </w:tr>
      <w:tr>
        <w:trPr>
          <w:trHeight w:val="174"/>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Source</w:t>
            </w:r>
          </w:p>
        </w:tc>
      </w:tr>
      <w:tr>
        <w:trPr>
          <w:trHeight w:val="239"/>
        </w:trPr>
        <w:tc>
          <w:tcPr>
            <w:tcW w:w="880" w:type="dxa"/>
            <w:vAlign w:val="bottom"/>
            <w:tcBorders>
              <w:left w:val="single" w:sz="8" w:color="auto"/>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Rule 457(p)</w:t>
            </w: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09"/>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Tango</w:t>
            </w:r>
          </w:p>
        </w:tc>
        <w:tc>
          <w:tcPr>
            <w:tcW w:w="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Offset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Therapeutics,</w:t>
            </w:r>
          </w:p>
        </w:tc>
        <w:tc>
          <w:tcPr>
            <w:tcW w:w="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w:t>
            </w:r>
          </w:p>
        </w:tc>
        <w:tc>
          <w:tcPr>
            <w:tcW w:w="8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auto"/>
            </w:tcBorders>
          </w:tcPr>
          <w:p>
            <w:pPr>
              <w:spacing w:after="0"/>
              <w:rPr>
                <w:sz w:val="18"/>
                <w:szCs w:val="18"/>
                <w:color w:val="auto"/>
              </w:rPr>
            </w:pPr>
          </w:p>
        </w:tc>
      </w:tr>
      <w:tr>
        <w:trPr>
          <w:trHeight w:val="255"/>
        </w:trPr>
        <w:tc>
          <w:tcPr>
            <w:tcW w:w="8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Claims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333-267224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1, 2022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  </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$33,093.90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6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$357,000,000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1"/>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Tango</w:t>
            </w:r>
          </w:p>
        </w:tc>
        <w:tc>
          <w:tcPr>
            <w:tcW w:w="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Offset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Therapeutics,</w:t>
            </w:r>
          </w:p>
        </w:tc>
        <w:tc>
          <w:tcPr>
            <w:tcW w:w="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55"/>
        </w:trPr>
        <w:tc>
          <w:tcPr>
            <w:tcW w:w="8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Sources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S-3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333-267224  </w:t>
            </w:r>
          </w:p>
        </w:tc>
        <w:tc>
          <w:tcPr>
            <w:tcW w:w="88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1, 2022</w:t>
            </w:r>
          </w:p>
        </w:tc>
        <w:tc>
          <w:tcPr>
            <w:tcW w:w="98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$37,080  </w:t>
            </w:r>
          </w:p>
        </w:tc>
      </w:tr>
    </w:tbl>
    <w:p>
      <w:pPr>
        <w:spacing w:after="0" w:line="225" w:lineRule="exact"/>
        <w:rPr>
          <w:sz w:val="20"/>
          <w:szCs w:val="20"/>
          <w:color w:val="auto"/>
        </w:rPr>
      </w:pPr>
    </w:p>
    <w:p>
      <w:pPr>
        <w:ind w:left="424" w:hanging="424"/>
        <w:spacing w:after="0"/>
        <w:tabs>
          <w:tab w:leader="none" w:pos="4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(4) and (5) under Table 1 above.</w:t>
      </w:r>
    </w:p>
    <w:sectPr>
      <w:pgSz w:w="11900" w:h="16838" w:orient="portrait"/>
      <w:cols w:equalWidth="0" w:num="1">
        <w:col w:w="11004"/>
      </w:cols>
      <w:pgMar w:left="436"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1)"/>
      <w:numFmt w:val="lowerRoman"/>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1)"/>
      <w:numFmt w:val="lowerRoman"/>
      <w:start w:val="5"/>
    </w:lvl>
    <w:lvl w:ilvl="1">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1)"/>
      <w:numFmt w:val="decimal"/>
      <w:start w:val="857"/>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
      <w:numFmt w:val="bullet"/>
      <w:start w:val="1"/>
    </w:lvl>
  </w:abstractNum>
  <w:abstractNum w:abstractNumId="39">
    <w:nsid w:val="3FA62ACA"/>
    <w:multiLevelType w:val="hybridMultilevel"/>
    <w:lvl w:ilvl="0">
      <w:lvlJc w:val="left"/>
      <w:lvlText w:val=" "/>
      <w:numFmt w:val="bullet"/>
      <w:start w:val="1"/>
    </w:lvl>
  </w:abstractNum>
  <w:abstractNum w:abstractNumId="40">
    <w:nsid w:val="14FCE74E"/>
    <w:multiLevelType w:val="hybridMultilevel"/>
    <w:lvl w:ilvl="0">
      <w:lvlJc w:val="left"/>
      <w:lvlText w:val=" "/>
      <w:numFmt w:val="bullet"/>
      <w:start w:val="1"/>
    </w:lvl>
    <w:lvl w:ilvl="1">
      <w:lvlJc w:val="left"/>
      <w:lvlText w:val="*"/>
      <w:numFmt w:val="bullet"/>
      <w:start w:val="1"/>
    </w:lvl>
  </w:abstractNum>
  <w:abstractNum w:abstractNumId="41">
    <w:nsid w:val="6A3DD3E8"/>
    <w:multiLevelType w:val="hybridMultilevel"/>
    <w:lvl w:ilvl="0">
      <w:lvlJc w:val="left"/>
      <w:lvlText w:val=" "/>
      <w:numFmt w:val="bullet"/>
      <w:start w:val="1"/>
    </w:lvl>
    <w:lvl w:ilvl="1">
      <w:lvlJc w:val="left"/>
      <w:lvlText w:val="**"/>
      <w:numFmt w:val="bullet"/>
      <w:start w:val="1"/>
    </w:lvl>
  </w:abstractNum>
  <w:abstractNum w:abstractNumId="42">
    <w:nsid w:val="71C91298"/>
    <w:multiLevelType w:val="hybridMultilevel"/>
    <w:lvl w:ilvl="0">
      <w:lvlJc w:val="left"/>
      <w:lvlText w:val="(%1)"/>
      <w:numFmt w:val="decimal"/>
      <w:start w:val="1"/>
    </w:lvl>
  </w:abstractNum>
  <w:abstractNum w:abstractNumId="43">
    <w:nsid w:val="9DAF632"/>
    <w:multiLevelType w:val="hybridMultilevel"/>
    <w:lvl w:ilvl="0">
      <w:lvlJc w:val="left"/>
      <w:lvlText w:val="(%1)"/>
      <w:numFmt w:val="lowerRoman"/>
      <w:start w:val="2"/>
    </w:lvl>
  </w:abstractNum>
  <w:abstractNum w:abstractNumId="44">
    <w:nsid w:val="53299938"/>
    <w:multiLevelType w:val="hybridMultilevel"/>
    <w:lvl w:ilvl="0">
      <w:lvlJc w:val="left"/>
      <w:lvlText w:val="(%1)"/>
      <w:numFmt w:val="decimal"/>
      <w:start w:val="2"/>
    </w:lvl>
  </w:abstractNum>
  <w:abstractNum w:abstractNumId="45">
    <w:nsid w:val="1FBFE8E0"/>
    <w:multiLevelType w:val="hybridMultilevel"/>
    <w:lvl w:ilvl="0">
      <w:lvlJc w:val="left"/>
      <w:lvlText w:val="(%1)"/>
      <w:numFmt w:val="decimal"/>
      <w:start w:val="3"/>
    </w:lvl>
  </w:abstractNum>
  <w:abstractNum w:abstractNumId="46">
    <w:nsid w:val="5092CA79"/>
    <w:multiLevelType w:val="hybridMultilevel"/>
    <w:lvl w:ilvl="0">
      <w:lvlJc w:val="left"/>
      <w:lvlText w:val="(%1)"/>
      <w:numFmt w:val="lowerRoman"/>
      <w:start w:val="1"/>
    </w:lvl>
  </w:abstractNum>
  <w:abstractNum w:abstractNumId="47">
    <w:nsid w:val="1D545C4D"/>
    <w:multiLevelType w:val="hybridMultilevel"/>
    <w:lvl w:ilvl="0">
      <w:lvlJc w:val="left"/>
      <w:lvlText w:val="(%1)"/>
      <w:numFmt w:val="decimal"/>
      <w:start w:val="5"/>
    </w:lvl>
  </w:abstractNum>
  <w:abstractNum w:abstractNumId="48">
    <w:nsid w:val="59ADEA3D"/>
    <w:multiLevelType w:val="hybridMultilevel"/>
    <w:lvl w:ilvl="0">
      <w:lvlJc w:val="left"/>
      <w:lvlText w:val="(%1)"/>
      <w:numFmt w:val="lowerRoman"/>
      <w:start w:val="1"/>
    </w:lvl>
  </w:abstractNum>
  <w:abstractNum w:abstractNumId="49">
    <w:nsid w:val="288F1A34"/>
    <w:multiLevelType w:val="hybridMultilevel"/>
    <w:lvl w:ilvl="0">
      <w:lvlJc w:val="left"/>
      <w:lvlText w:val="(%1)"/>
      <w:numFmt w:val="decimal"/>
      <w:start w:val="6"/>
    </w:lvl>
  </w:abstractNum>
  <w:abstractNum w:abstractNumId="50">
    <w:nsid w:val="2A155DBC"/>
    <w:multiLevelType w:val="hybridMultilevel"/>
    <w:lvl w:ilvl="0">
      <w:lvlJc w:val="left"/>
      <w:lvlText w:val="(%1)"/>
      <w:numFmt w:val="decimal"/>
      <w:start w:val="8"/>
    </w:lvl>
  </w:abstractNum>
  <w:abstractNum w:abstractNumId="51">
    <w:nsid w:val="1D9F6E5F"/>
    <w:multiLevelType w:val="hybridMultilevel"/>
    <w:lvl w:ilvl="0">
      <w:lvlJc w:val="left"/>
      <w:lvlText w:val="1"/>
      <w:numFmt w:val="bullet"/>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1)"/>
      <w:numFmt w:val="decimal"/>
      <w:start w:val="2"/>
    </w:lvl>
  </w:abstractNum>
  <w:abstractNum w:abstractNumId="54">
    <w:nsid w:val="1CA0C5FA"/>
    <w:multiLevelType w:val="hybridMultilevel"/>
    <w:lvl w:ilvl="0">
      <w:lvlJc w:val="left"/>
      <w:lvlText w:val="(%1)"/>
      <w:numFmt w:val="decimal"/>
      <w:start w:val="1"/>
    </w:lvl>
  </w:abstractNum>
  <w:abstractNum w:abstractNumId="55">
    <w:nsid w:val="53584BCB"/>
    <w:multiLevelType w:val="hybridMultilevel"/>
    <w:lvl w:ilvl="0">
      <w:lvlJc w:val="left"/>
      <w:lvlText w:val="(%1)"/>
      <w:numFmt w:val="lowerLetter"/>
      <w:start w:val="1"/>
    </w:lvl>
  </w:abstractNum>
  <w:abstractNum w:abstractNumId="56">
    <w:nsid w:val="415E286C"/>
    <w:multiLevelType w:val="hybridMultilevel"/>
    <w:lvl w:ilvl="0">
      <w:lvlJc w:val="left"/>
      <w:lvlText w:val="(%1)"/>
      <w:numFmt w:val="lowerLetter"/>
      <w:start w:val="8"/>
    </w:lvl>
  </w:abstractNum>
  <w:abstractNum w:abstractNumId="57">
    <w:nsid w:val="7C58FD05"/>
    <w:multiLevelType w:val="hybridMultilevel"/>
    <w:lvl w:ilvl="0">
      <w:lvlJc w:val="left"/>
      <w:lvlText w:val="(%1)"/>
      <w:numFmt w:val="lowerLetter"/>
      <w:start w:val="19"/>
    </w:lvl>
  </w:abstractNum>
  <w:abstractNum w:abstractNumId="58">
    <w:nsid w:val="23D86AAC"/>
    <w:multiLevelType w:val="hybridMultilevel"/>
    <w:lvl w:ilvl="0">
      <w:lvlJc w:val="left"/>
      <w:lvlText w:val="(%1)"/>
      <w:numFmt w:val="decimal"/>
      <w:start w:val="1"/>
    </w:lvl>
  </w:abstractNum>
  <w:abstractNum w:abstractNumId="59">
    <w:nsid w:val="45E6D486"/>
    <w:multiLevelType w:val="hybridMultilevel"/>
    <w:lvl w:ilvl="0">
      <w:lvlJc w:val="left"/>
      <w:lvlText w:val="(%1)"/>
      <w:numFmt w:val="decimal"/>
      <w:start w:val="1"/>
    </w:lvl>
  </w:abstractNum>
  <w:abstractNum w:abstractNumId="60">
    <w:nsid w:val="5C10FE21"/>
    <w:multiLevelType w:val="hybridMultilevel"/>
    <w:lvl w:ilvl="0">
      <w:lvlJc w:val="left"/>
      <w:lvlText w:val="(%1)"/>
      <w:numFmt w:val="decimal"/>
      <w:start w:val="3"/>
    </w:lvl>
  </w:abstractNum>
  <w:abstractNum w:abstractNumId="61">
    <w:nsid w:val="E7FFA2B"/>
    <w:multiLevelType w:val="hybridMultilevel"/>
    <w:lvl w:ilvl="0">
      <w:lvlJc w:val="left"/>
      <w:lvlText w:val="(%1)"/>
      <w:numFmt w:val="decimal"/>
      <w:start w:val="1"/>
    </w:lvl>
  </w:abstractNum>
  <w:abstractNum w:abstractNumId="62">
    <w:nsid w:val="3C5991AA"/>
    <w:multiLevelType w:val="hybridMultilevel"/>
    <w:lvl w:ilvl="0">
      <w:lvlJc w:val="left"/>
      <w:lvlText w:val="(%1)"/>
      <w:numFmt w:val="decimal"/>
      <w:start w:val="1"/>
    </w:lvl>
  </w:abstractNum>
  <w:abstractNum w:abstractNumId="63">
    <w:nsid w:val="4BD8591A"/>
    <w:multiLevelType w:val="hybridMultilevel"/>
    <w:lvl w:ilvl="0">
      <w:lvlJc w:val="left"/>
      <w:lvlText w:val="(%1)"/>
      <w:numFmt w:val="decimal"/>
      <w:start w:val="2"/>
    </w:lvl>
  </w:abstractNum>
  <w:abstractNum w:abstractNumId="64">
    <w:nsid w:val="78DF6A55"/>
    <w:multiLevelType w:val="hybridMultilevel"/>
    <w:lvl w:ilvl="0">
      <w:lvlJc w:val="left"/>
      <w:lvlText w:val="(%1)"/>
      <w:numFmt w:val="decimal"/>
      <w:start w:val="1"/>
    </w:lvl>
  </w:abstractNum>
  <w:abstractNum w:abstractNumId="65">
    <w:nsid w:val="39B7AAA2"/>
    <w:multiLevelType w:val="hybridMultilevel"/>
    <w:lvl w:ilvl="0">
      <w:lvlJc w:val="left"/>
      <w:lvlText w:val="(%1)"/>
      <w:numFmt w:val="lowerRoman"/>
      <w:start w:val="2"/>
    </w:lvl>
  </w:abstractNum>
  <w:abstractNum w:abstractNumId="66">
    <w:nsid w:val="2B0D8DBE"/>
    <w:multiLevelType w:val="hybridMultilevel"/>
    <w:lvl w:ilvl="0">
      <w:lvlJc w:val="left"/>
      <w:lvlText w:val="(%1)"/>
      <w:numFmt w:val="decimal"/>
      <w:start w:val="1"/>
    </w:lvl>
  </w:abstractNum>
  <w:abstractNum w:abstractNumId="67">
    <w:nsid w:val="6C80EC70"/>
    <w:multiLevelType w:val="hybridMultilevel"/>
    <w:lvl w:ilvl="0">
      <w:lvlJc w:val="left"/>
      <w:lvlText w:val="(%1)"/>
      <w:numFmt w:val="lowerLetter"/>
      <w:start w:val="1"/>
    </w:lvl>
  </w:abstractNum>
  <w:abstractNum w:abstractNumId="68">
    <w:nsid w:val="379E21B5"/>
    <w:multiLevelType w:val="hybridMultilevel"/>
    <w:lvl w:ilvl="0">
      <w:lvlJc w:val="left"/>
      <w:lvlText w:val="(%1)"/>
      <w:numFmt w:val="decimal"/>
      <w:start w:val="2"/>
    </w:lvl>
  </w:abstractNum>
  <w:abstractNum w:abstractNumId="69">
    <w:nsid w:val="69E373"/>
    <w:multiLevelType w:val="hybridMultilevel"/>
    <w:lvl w:ilvl="0">
      <w:lvlJc w:val="left"/>
      <w:lvlText w:val="(%1)"/>
      <w:numFmt w:val="decimal"/>
      <w:start w:val="1"/>
    </w:lvl>
  </w:abstractNum>
  <w:abstractNum w:abstractNumId="70">
    <w:nsid w:val="2C27173B"/>
    <w:multiLevelType w:val="hybridMultilevel"/>
    <w:lvl w:ilvl="0">
      <w:lvlJc w:val="left"/>
      <w:lvlText w:val="(%1)"/>
      <w:numFmt w:val="decimal"/>
      <w:start w:val="1"/>
    </w:lvl>
  </w:abstractNum>
  <w:abstractNum w:abstractNumId="71">
    <w:nsid w:val="4C9B0904"/>
    <w:multiLevelType w:val="hybridMultilevel"/>
    <w:lvl w:ilvl="0">
      <w:lvlJc w:val="left"/>
      <w:lvlText w:val="(%1)"/>
      <w:numFmt w:val="decimal"/>
      <w:start w:val="2"/>
    </w:lvl>
  </w:abstractNum>
  <w:abstractNum w:abstractNumId="72">
    <w:nsid w:val="6AA7B75C"/>
    <w:multiLevelType w:val="hybridMultilevel"/>
    <w:lvl w:ilvl="0">
      <w:lvlJc w:val="left"/>
      <w:lvlText w:val="(%1)"/>
      <w:numFmt w:val="decimal"/>
      <w:start w:val="1"/>
    </w:lvl>
  </w:abstractNum>
  <w:abstractNum w:abstractNumId="73">
    <w:nsid w:val="1DF029D3"/>
    <w:multiLevelType w:val="hybridMultilevel"/>
    <w:lvl w:ilvl="0">
      <w:lvlJc w:val="left"/>
      <w:lvlText w:val="(%1)"/>
      <w:numFmt w:val="decimal"/>
      <w:start w:val="1"/>
    </w:lvl>
  </w:abstractNum>
  <w:abstractNum w:abstractNumId="74">
    <w:nsid w:val="5675FF36"/>
    <w:multiLevelType w:val="hybridMultilevel"/>
    <w:lvl w:ilvl="0">
      <w:lvlJc w:val="left"/>
      <w:lvlText w:val="(%1)"/>
      <w:numFmt w:val="lowerLetter"/>
      <w:start w:val="1"/>
    </w:lvl>
  </w:abstractNum>
  <w:abstractNum w:abstractNumId="75">
    <w:nsid w:val="3DD15094"/>
    <w:multiLevelType w:val="hybridMultilevel"/>
    <w:lvl w:ilvl="0">
      <w:lvlJc w:val="left"/>
      <w:lvlText w:val="(%1)"/>
      <w:numFmt w:val="lowerLetter"/>
      <w:start w:val="4"/>
    </w:lvl>
  </w:abstractNum>
  <w:abstractNum w:abstractNumId="76">
    <w:nsid w:val="3DB012B3"/>
    <w:multiLevelType w:val="hybridMultilevel"/>
    <w:lvl w:ilvl="0">
      <w:lvlJc w:val="left"/>
      <w:lvlText w:val="(%1)"/>
      <w:numFmt w:val="lowerRoman"/>
      <w:start w:val="2"/>
    </w:lvl>
  </w:abstractNum>
  <w:abstractNum w:abstractNumId="77">
    <w:nsid w:val="2708C9AF"/>
    <w:multiLevelType w:val="hybridMultilevel"/>
    <w:lvl w:ilvl="0">
      <w:lvlJc w:val="left"/>
      <w:lvlText w:val="(%1)"/>
      <w:numFmt w:val="decimal"/>
      <w:start w:val="2"/>
    </w:lvl>
  </w:abstractNum>
  <w:abstractNum w:abstractNumId="78">
    <w:nsid w:val="5B25ACE2"/>
    <w:multiLevelType w:val="hybridMultilevel"/>
    <w:lvl w:ilvl="0">
      <w:lvlJc w:val="left"/>
      <w:lvlText w:val="(%1)"/>
      <w:numFmt w:val="decimal"/>
      <w:start w:val="5"/>
    </w:lvl>
  </w:abstractNum>
  <w:abstractNum w:abstractNumId="79">
    <w:nsid w:val="175DFCF0"/>
    <w:multiLevelType w:val="hybridMultilevel"/>
    <w:lvl w:ilvl="0">
      <w:lvlJc w:val="left"/>
      <w:lvlText w:val="(%1)"/>
      <w:numFmt w:val="decimal"/>
      <w:start w:val="3"/>
    </w:lvl>
  </w:abstractNum>
  <w:abstractNum w:abstractNumId="80">
    <w:nsid w:val="4F97E3E4"/>
    <w:multiLevelType w:val="hybridMultilevel"/>
    <w:lvl w:ilvl="0">
      <w:lvlJc w:val="left"/>
      <w:lvlText w:val="(%1)"/>
      <w:numFmt w:val="decimal"/>
      <w:start w:val="4"/>
    </w:lvl>
  </w:abstractNum>
  <w:abstractNum w:abstractNumId="81">
    <w:nsid w:val="53B0A9E"/>
    <w:multiLevelType w:val="hybridMultilevel"/>
    <w:lvl w:ilvl="0">
      <w:lvlJc w:val="left"/>
      <w:lvlText w:val="(%1)"/>
      <w:numFmt w:val="decimal"/>
      <w:start w:val="1"/>
    </w:lvl>
  </w:abstractNum>
  <w:abstractNum w:abstractNumId="82">
    <w:nsid w:val="34FD6B4F"/>
    <w:multiLevelType w:val="hybridMultilevel"/>
    <w:lvl w:ilvl="0">
      <w:lvlJc w:val="left"/>
      <w:lvlText w:val="(%1)"/>
      <w:numFmt w:val="decimal"/>
      <w:start w:val="2"/>
    </w:lvl>
  </w:abstractNum>
  <w:abstractNum w:abstractNumId="83">
    <w:nsid w:val="5915FF32"/>
    <w:multiLevelType w:val="hybridMultilevel"/>
    <w:lvl w:ilvl="0">
      <w:lvlJc w:val="left"/>
      <w:lvlText w:val="(%1)"/>
      <w:numFmt w:val="decimal"/>
      <w:start w:val="1"/>
    </w:lvl>
  </w:abstractNum>
  <w:abstractNum w:abstractNumId="84">
    <w:nsid w:val="56438D15"/>
    <w:multiLevelType w:val="hybridMultilevel"/>
    <w:lvl w:ilvl="0">
      <w:lvlJc w:val="left"/>
      <w:lvlText w:val="(%1)"/>
      <w:numFmt w:val="decimal"/>
      <w:start w:val="1"/>
    </w:lvl>
  </w:abstractNum>
  <w:abstractNum w:abstractNumId="85">
    <w:nsid w:val="519E3149"/>
    <w:multiLevelType w:val="hybridMultilevel"/>
    <w:lvl w:ilvl="0">
      <w:lvlJc w:val="left"/>
      <w:lvlText w:val="(%1)"/>
      <w:numFmt w:val="lowerLetter"/>
      <w:start w:val="1"/>
    </w:lvl>
  </w:abstractNum>
  <w:abstractNum w:abstractNumId="86">
    <w:nsid w:val="2C6E4AFD"/>
    <w:multiLevelType w:val="hybridMultilevel"/>
    <w:lvl w:ilvl="0">
      <w:lvlJc w:val="left"/>
      <w:lvlText w:val="(%1)"/>
      <w:numFmt w:val="upperLetter"/>
      <w:start w:val="1"/>
    </w:lvl>
  </w:abstractNum>
  <w:abstractNum w:abstractNumId="87">
    <w:nsid w:val="17A1B582"/>
    <w:multiLevelType w:val="hybridMultilevel"/>
    <w:lvl w:ilvl="0">
      <w:lvlJc w:val="left"/>
      <w:lvlText w:val="(%1)"/>
      <w:numFmt w:val="lowerLetter"/>
      <w:start w:val="2"/>
    </w:lvl>
  </w:abstractNum>
  <w:abstractNum w:abstractNumId="88">
    <w:nsid w:val="4DF72E4E"/>
    <w:multiLevelType w:val="hybridMultilevel"/>
    <w:lvl w:ilvl="0">
      <w:lvlJc w:val="left"/>
      <w:lvlText w:val="(%1)"/>
      <w:numFmt w:val="decimal"/>
      <w:start w:val="1"/>
    </w:lvl>
  </w:abstractNum>
  <w:abstractNum w:abstractNumId="89">
    <w:nsid w:val="5046B5A9"/>
    <w:multiLevelType w:val="hybridMultilevel"/>
    <w:lvl w:ilvl="0">
      <w:lvlJc w:val="left"/>
      <w:lvlText w:val="(%1)"/>
      <w:numFmt w:val="decimal"/>
      <w:start w:val="5"/>
    </w:lvl>
  </w:abstractNum>
  <w:abstractNum w:abstractNumId="90">
    <w:nsid w:val="5D888A08"/>
    <w:multiLevelType w:val="hybridMultilevel"/>
    <w:lvl w:ilvl="0">
      <w:lvlJc w:val="left"/>
      <w:lvlText w:val="(%1)"/>
      <w:numFmt w:val="decimal"/>
      <w:start w:val="1"/>
    </w:lvl>
  </w:abstractNum>
  <w:abstractNum w:abstractNumId="91">
    <w:nsid w:val="2A082C70"/>
    <w:multiLevelType w:val="hybridMultilevel"/>
    <w:lvl w:ilvl="0">
      <w:lvlJc w:val="left"/>
      <w:lvlText w:val="(%1)"/>
      <w:numFmt w:val="decimal"/>
      <w:start w:val="1"/>
    </w:lvl>
  </w:abstractNum>
  <w:abstractNum w:abstractNumId="92">
    <w:nsid w:val="5EC6AFD4"/>
    <w:multiLevelType w:val="hybridMultilevel"/>
    <w:lvl w:ilvl="0">
      <w:lvlJc w:val="left"/>
      <w:lvlText w:val="(%1)"/>
      <w:numFmt w:val="decimal"/>
      <w:start w:val="1"/>
    </w:lvl>
  </w:abstractNum>
  <w:abstractNum w:abstractNumId="93">
    <w:nsid w:val="19E21BB2"/>
    <w:multiLevelType w:val="hybridMultilevel"/>
    <w:lvl w:ilvl="0">
      <w:lvlJc w:val="left"/>
      <w:lvlText w:val="(%1)"/>
      <w:numFmt w:val="lowerLetter"/>
      <w:start w:val="1"/>
    </w:lvl>
  </w:abstractNum>
  <w:abstractNum w:abstractNumId="94">
    <w:nsid w:val="75E0858A"/>
    <w:multiLevelType w:val="hybridMultilevel"/>
    <w:lvl w:ilvl="0">
      <w:lvlJc w:val="left"/>
      <w:lvlText w:val="(%1)"/>
      <w:numFmt w:val="decimal"/>
      <w:start w:val="3"/>
    </w:lvl>
  </w:abstractNum>
  <w:abstractNum w:abstractNumId="95">
    <w:nsid w:val="57A61A29"/>
    <w:multiLevelType w:val="hybridMultilevel"/>
    <w:lvl w:ilvl="0">
      <w:lvlJc w:val="left"/>
      <w:lvlText w:val="(%1)"/>
      <w:numFmt w:val="decimal"/>
      <w:start w:val="1"/>
    </w:lvl>
  </w:abstractNum>
  <w:abstractNum w:abstractNumId="96">
    <w:nsid w:val="5399C654"/>
    <w:multiLevelType w:val="hybridMultilevel"/>
    <w:lvl w:ilvl="0">
      <w:lvlJc w:val="left"/>
      <w:lvlText w:val="(%1)"/>
      <w:numFmt w:val="decimal"/>
      <w:start w:val="3"/>
    </w:lvl>
  </w:abstractNum>
  <w:abstractNum w:abstractNumId="97">
    <w:nsid w:val="20EE1348"/>
    <w:multiLevelType w:val="hybridMultilevel"/>
    <w:lvl w:ilvl="0">
      <w:lvlJc w:val="left"/>
      <w:lvlText w:val="(%1)"/>
      <w:numFmt w:val="decimal"/>
      <w:start w:val="1"/>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1)"/>
      <w:numFmt w:val="decimal"/>
      <w:start w:val="5"/>
    </w:lvl>
  </w:abstractNum>
  <w:abstractNum w:abstractNumId="100">
    <w:nsid w:val="2157F6BC"/>
    <w:multiLevelType w:val="hybridMultilevel"/>
    <w:lvl w:ilvl="0">
      <w:lvlJc w:val="left"/>
      <w:lvlText w:val="(%1)"/>
      <w:numFmt w:val="decimal"/>
      <w:start w:val="1"/>
    </w:lvl>
  </w:abstractNum>
  <w:abstractNum w:abstractNumId="101">
    <w:nsid w:val="704E1DD5"/>
    <w:multiLevelType w:val="hybridMultilevel"/>
    <w:lvl w:ilvl="0">
      <w:lvlJc w:val="left"/>
      <w:lvlText w:val="(%1)"/>
      <w:numFmt w:val="decimal"/>
      <w:start w:val="1"/>
    </w:lvl>
  </w:abstractNum>
  <w:abstractNum w:abstractNumId="102">
    <w:nsid w:val="57D2F10E"/>
    <w:multiLevelType w:val="hybridMultilevel"/>
    <w:lvl w:ilvl="0">
      <w:lvlJc w:val="left"/>
      <w:lvlText w:val="2"/>
      <w:numFmt w:val="bullet"/>
      <w:start w:val="1"/>
    </w:lvl>
  </w:abstractNum>
  <w:abstractNum w:abstractNumId="103">
    <w:nsid w:val="BFFAE18"/>
    <w:multiLevelType w:val="hybridMultilevel"/>
    <w:lvl w:ilvl="0">
      <w:lvlJc w:val="left"/>
      <w:lvlText w:val="1"/>
      <w:numFmt w:val="bullet"/>
      <w:start w:val="1"/>
    </w:lvl>
  </w:abstractNum>
  <w:abstractNum w:abstractNumId="104">
    <w:nsid w:val="E3E47A8"/>
    <w:multiLevelType w:val="hybridMultilevel"/>
    <w:lvl w:ilvl="0">
      <w:lvlJc w:val="left"/>
      <w:lvlText w:val="(%1)"/>
      <w:numFmt w:val="decimal"/>
      <w:start w:val="1"/>
    </w:lvl>
  </w:abstractNum>
  <w:abstractNum w:abstractNumId="105">
    <w:nsid w:val="2E48F044"/>
    <w:multiLevelType w:val="hybridMultilevel"/>
    <w:lvl w:ilvl="0">
      <w:lvlJc w:val="left"/>
      <w:lvlText w:val="(%1)"/>
      <w:numFmt w:val="decimal"/>
      <w:start w:val="2"/>
    </w:lvl>
  </w:abstractNum>
  <w:abstractNum w:abstractNumId="106">
    <w:nsid w:val="49D0FEAC"/>
    <w:multiLevelType w:val="hybridMultilevel"/>
    <w:lvl w:ilvl="0">
      <w:lvlJc w:val="left"/>
      <w:lvlText w:val="(%1)"/>
      <w:numFmt w:val="decimal"/>
      <w:start w:val="1"/>
    </w:lvl>
  </w:abstractNum>
  <w:abstractNum w:abstractNumId="107">
    <w:nsid w:val="4BEE5A5B"/>
    <w:multiLevelType w:val="hybridMultilevel"/>
    <w:lvl w:ilvl="0">
      <w:lvlJc w:val="left"/>
      <w:lvlText w:val="(%1)"/>
      <w:numFmt w:val="lowerLetter"/>
      <w:start w:val="1"/>
    </w:lvl>
  </w:abstractNum>
  <w:abstractNum w:abstractNumId="108">
    <w:nsid w:val="5551B9F3"/>
    <w:multiLevelType w:val="hybridMultilevel"/>
    <w:lvl w:ilvl="0">
      <w:lvlJc w:val="left"/>
      <w:lvlText w:val="(%1)"/>
      <w:numFmt w:val="lowerLetter"/>
      <w:start w:val="8"/>
    </w:lvl>
  </w:abstractNum>
  <w:abstractNum w:abstractNumId="109">
    <w:nsid w:val="24F6AB8E"/>
    <w:multiLevelType w:val="hybridMultilevel"/>
    <w:lvl w:ilvl="0">
      <w:lvlJc w:val="left"/>
      <w:lvlText w:val="(%1)"/>
      <w:numFmt w:val="lowerLetter"/>
      <w:start w:val="19"/>
    </w:lvl>
  </w:abstractNum>
  <w:abstractNum w:abstractNumId="110">
    <w:nsid w:val="634C574C"/>
    <w:multiLevelType w:val="hybridMultilevel"/>
    <w:lvl w:ilvl="0">
      <w:lvlJc w:val="left"/>
      <w:lvlText w:val="(%1)"/>
      <w:numFmt w:val="decimal"/>
      <w:start w:val="1"/>
    </w:lvl>
  </w:abstractNum>
  <w:abstractNum w:abstractNumId="111">
    <w:nsid w:val="24E99DD7"/>
    <w:multiLevelType w:val="hybridMultilevel"/>
    <w:lvl w:ilvl="0">
      <w:lvlJc w:val="left"/>
      <w:lvlText w:val="(%1)"/>
      <w:numFmt w:val="decimal"/>
      <w:start w:val="1"/>
    </w:lvl>
  </w:abstractNum>
  <w:abstractNum w:abstractNumId="112">
    <w:nsid w:val="2A31B62D"/>
    <w:multiLevelType w:val="hybridMultilevel"/>
    <w:lvl w:ilvl="0">
      <w:lvlJc w:val="left"/>
      <w:lvlText w:val="(%1)"/>
      <w:numFmt w:val="decimal"/>
      <w:start w:val="3"/>
    </w:lvl>
  </w:abstractNum>
  <w:abstractNum w:abstractNumId="113">
    <w:nsid w:val="1849C29B"/>
    <w:multiLevelType w:val="hybridMultilevel"/>
    <w:lvl w:ilvl="0">
      <w:lvlJc w:val="left"/>
      <w:lvlText w:val="(%1)"/>
      <w:numFmt w:val="decimal"/>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1)"/>
      <w:numFmt w:val="decimal"/>
      <w:start w:val="2"/>
    </w:lvl>
  </w:abstractNum>
  <w:abstractNum w:abstractNumId="116">
    <w:nsid w:val="69E7F3E5"/>
    <w:multiLevelType w:val="hybridMultilevel"/>
    <w:lvl w:ilvl="0">
      <w:lvlJc w:val="left"/>
      <w:lvlText w:val="(%1)"/>
      <w:numFmt w:val="decimal"/>
      <w:start w:val="1"/>
    </w:lvl>
  </w:abstractNum>
  <w:abstractNum w:abstractNumId="117">
    <w:nsid w:val="2A6DE806"/>
    <w:multiLevelType w:val="hybridMultilevel"/>
    <w:lvl w:ilvl="0">
      <w:lvlJc w:val="left"/>
      <w:lvlText w:val="(%1)"/>
      <w:numFmt w:val="decimal"/>
      <w:start w:val="2"/>
    </w:lvl>
  </w:abstractNum>
  <w:abstractNum w:abstractNumId="118">
    <w:nsid w:val="1816F8C4"/>
    <w:multiLevelType w:val="hybridMultilevel"/>
    <w:lvl w:ilvl="0">
      <w:lvlJc w:val="left"/>
      <w:lvlText w:val="(%1)"/>
      <w:numFmt w:val="lowerRoman"/>
      <w:start w:val="2"/>
    </w:lvl>
  </w:abstractNum>
  <w:abstractNum w:abstractNumId="119">
    <w:nsid w:val="37DF2233"/>
    <w:multiLevelType w:val="hybridMultilevel"/>
    <w:lvl w:ilvl="0">
      <w:lvlJc w:val="left"/>
      <w:lvlText w:val="(%1)"/>
      <w:numFmt w:val="decimal"/>
      <w:start w:val="1"/>
    </w:lvl>
  </w:abstractNum>
  <w:abstractNum w:abstractNumId="120">
    <w:nsid w:val="7AB49DAF"/>
    <w:multiLevelType w:val="hybridMultilevel"/>
    <w:lvl w:ilvl="0">
      <w:lvlJc w:val="left"/>
      <w:lvlText w:val="(%1)"/>
      <w:numFmt w:val="lowerLetter"/>
      <w:start w:val="1"/>
    </w:lvl>
  </w:abstractNum>
  <w:abstractNum w:abstractNumId="121">
    <w:nsid w:val="759F82CD"/>
    <w:multiLevelType w:val="hybridMultilevel"/>
    <w:lvl w:ilvl="0">
      <w:lvlJc w:val="left"/>
      <w:lvlText w:val="(%1)"/>
      <w:numFmt w:val="decimal"/>
      <w:start w:val="2"/>
    </w:lvl>
  </w:abstractNum>
  <w:abstractNum w:abstractNumId="122">
    <w:nsid w:val="61E74EA3"/>
    <w:multiLevelType w:val="hybridMultilevel"/>
    <w:lvl w:ilvl="0">
      <w:lvlJc w:val="left"/>
      <w:lvlText w:val="(%1)"/>
      <w:numFmt w:val="decimal"/>
      <w:start w:val="3"/>
    </w:lvl>
  </w:abstractNum>
  <w:abstractNum w:abstractNumId="123">
    <w:nsid w:val="597B4D84"/>
    <w:multiLevelType w:val="hybridMultilevel"/>
    <w:lvl w:ilvl="0">
      <w:lvlJc w:val="left"/>
      <w:lvlText w:val="(%1)"/>
      <w:numFmt w:val="decimal"/>
      <w:start w:val="1"/>
    </w:lvl>
  </w:abstractNum>
  <w:abstractNum w:abstractNumId="124">
    <w:nsid w:val="F819E7F"/>
    <w:multiLevelType w:val="hybridMultilevel"/>
    <w:lvl w:ilvl="0">
      <w:lvlJc w:val="left"/>
      <w:lvlText w:val="(%1)"/>
      <w:numFmt w:val="decimal"/>
      <w:start w:val="1"/>
    </w:lvl>
  </w:abstractNum>
  <w:abstractNum w:abstractNumId="125">
    <w:nsid w:val="57C7D42D"/>
    <w:multiLevelType w:val="hybridMultilevel"/>
    <w:lvl w:ilvl="0">
      <w:lvlJc w:val="left"/>
      <w:lvlText w:val="(%1)"/>
      <w:numFmt w:val="decimal"/>
      <w:start w:val="2"/>
    </w:lvl>
  </w:abstractNum>
  <w:abstractNum w:abstractNumId="126">
    <w:nsid w:val="312167AD"/>
    <w:multiLevelType w:val="hybridMultilevel"/>
    <w:lvl w:ilvl="0">
      <w:lvlJc w:val="left"/>
      <w:lvlText w:val="(%1)"/>
      <w:numFmt w:val="decimal"/>
      <w:start w:val="1"/>
    </w:lvl>
  </w:abstractNum>
  <w:abstractNum w:abstractNumId="127">
    <w:nsid w:val="631B64D4"/>
    <w:multiLevelType w:val="hybridMultilevel"/>
    <w:lvl w:ilvl="0">
      <w:lvlJc w:val="left"/>
      <w:lvlText w:val="(%1)"/>
      <w:numFmt w:val="decimal"/>
      <w:start w:val="1"/>
    </w:lvl>
  </w:abstractNum>
  <w:abstractNum w:abstractNumId="128">
    <w:nsid w:val="78B5E776"/>
    <w:multiLevelType w:val="hybridMultilevel"/>
    <w:lvl w:ilvl="0">
      <w:lvlJc w:val="left"/>
      <w:lvlText w:val="(%1)"/>
      <w:numFmt w:val="lowerLetter"/>
      <w:start w:val="1"/>
    </w:lvl>
  </w:abstractNum>
  <w:abstractNum w:abstractNumId="129">
    <w:nsid w:val="75486E47"/>
    <w:multiLevelType w:val="hybridMultilevel"/>
    <w:lvl w:ilvl="0">
      <w:lvlJc w:val="left"/>
      <w:lvlText w:val="(%1)"/>
      <w:numFmt w:val="lowerLetter"/>
      <w:start w:val="4"/>
    </w:lvl>
  </w:abstractNum>
  <w:abstractNum w:abstractNumId="130">
    <w:nsid w:val="6E534CDE"/>
    <w:multiLevelType w:val="hybridMultilevel"/>
    <w:lvl w:ilvl="0">
      <w:lvlJc w:val="left"/>
      <w:lvlText w:val="(%1)"/>
      <w:numFmt w:val="lowerRoman"/>
      <w:start w:val="2"/>
    </w:lvl>
  </w:abstractNum>
  <w:abstractNum w:abstractNumId="131">
    <w:nsid w:val="1A0DDE32"/>
    <w:multiLevelType w:val="hybridMultilevel"/>
    <w:lvl w:ilvl="0">
      <w:lvlJc w:val="left"/>
      <w:lvlText w:val="(%1)"/>
      <w:numFmt w:val="decimal"/>
      <w:start w:val="2"/>
    </w:lvl>
  </w:abstractNum>
  <w:abstractNum w:abstractNumId="132">
    <w:nsid w:val="65968C1C"/>
    <w:multiLevelType w:val="hybridMultilevel"/>
    <w:lvl w:ilvl="0">
      <w:lvlJc w:val="left"/>
      <w:lvlText w:val="(%1)"/>
      <w:numFmt w:val="decimal"/>
      <w:start w:val="5"/>
    </w:lvl>
  </w:abstractNum>
  <w:abstractNum w:abstractNumId="133">
    <w:nsid w:val="46263DEC"/>
    <w:multiLevelType w:val="hybridMultilevel"/>
    <w:lvl w:ilvl="0">
      <w:lvlJc w:val="left"/>
      <w:lvlText w:val="(%1)"/>
      <w:numFmt w:val="decimal"/>
      <w:start w:val="3"/>
    </w:lvl>
  </w:abstractNum>
  <w:abstractNum w:abstractNumId="134">
    <w:nsid w:val="260D8C4A"/>
    <w:multiLevelType w:val="hybridMultilevel"/>
    <w:lvl w:ilvl="0">
      <w:lvlJc w:val="left"/>
      <w:lvlText w:val="(%1)"/>
      <w:numFmt w:val="decimal"/>
      <w:start w:val="4"/>
    </w:lvl>
  </w:abstractNum>
  <w:abstractNum w:abstractNumId="135">
    <w:nsid w:val="73D4D3C4"/>
    <w:multiLevelType w:val="hybridMultilevel"/>
    <w:lvl w:ilvl="0">
      <w:lvlJc w:val="left"/>
      <w:lvlText w:val="(%1)"/>
      <w:numFmt w:val="decimal"/>
      <w:start w:val="1"/>
    </w:lvl>
  </w:abstractNum>
  <w:abstractNum w:abstractNumId="136">
    <w:nsid w:val="746F2E30"/>
    <w:multiLevelType w:val="hybridMultilevel"/>
    <w:lvl w:ilvl="0">
      <w:lvlJc w:val="left"/>
      <w:lvlText w:val="(%1)"/>
      <w:numFmt w:val="decimal"/>
      <w:start w:val="2"/>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decimal"/>
      <w:start w:val="1"/>
    </w:lvl>
  </w:abstractNum>
  <w:abstractNum w:abstractNumId="139">
    <w:nsid w:val="49C0E823"/>
    <w:multiLevelType w:val="hybridMultilevel"/>
    <w:lvl w:ilvl="0">
      <w:lvlJc w:val="left"/>
      <w:lvlText w:val="(%1)"/>
      <w:numFmt w:val="lowerLetter"/>
      <w:start w:val="1"/>
    </w:lvl>
  </w:abstractNum>
  <w:abstractNum w:abstractNumId="140">
    <w:nsid w:val="14D53685"/>
    <w:multiLevelType w:val="hybridMultilevel"/>
    <w:lvl w:ilvl="0">
      <w:lvlJc w:val="left"/>
      <w:lvlText w:val="(%1)"/>
      <w:numFmt w:val="upperLetter"/>
      <w:start w:val="1"/>
    </w:lvl>
  </w:abstractNum>
  <w:abstractNum w:abstractNumId="141">
    <w:nsid w:val="230F856C"/>
    <w:multiLevelType w:val="hybridMultilevel"/>
    <w:lvl w:ilvl="0">
      <w:lvlJc w:val="left"/>
      <w:lvlText w:val="(%1)"/>
      <w:numFmt w:val="lowerLetter"/>
      <w:start w:val="2"/>
    </w:lvl>
  </w:abstractNum>
  <w:abstractNum w:abstractNumId="142">
    <w:nsid w:val="6EAA85FB"/>
    <w:multiLevelType w:val="hybridMultilevel"/>
    <w:lvl w:ilvl="0">
      <w:lvlJc w:val="left"/>
      <w:lvlText w:val="(%1)"/>
      <w:numFmt w:val="decimal"/>
      <w:start w:val="1"/>
    </w:lvl>
  </w:abstractNum>
  <w:abstractNum w:abstractNumId="143">
    <w:nsid w:val="3F06ECB2"/>
    <w:multiLevelType w:val="hybridMultilevel"/>
    <w:lvl w:ilvl="0">
      <w:lvlJc w:val="left"/>
      <w:lvlText w:val="(%1)"/>
      <w:numFmt w:val="decimal"/>
      <w:start w:val="5"/>
    </w:lvl>
  </w:abstractNum>
  <w:abstractNum w:abstractNumId="144">
    <w:nsid w:val="3B594807"/>
    <w:multiLevelType w:val="hybridMultilevel"/>
    <w:lvl w:ilvl="0">
      <w:lvlJc w:val="left"/>
      <w:lvlText w:val="(%1)"/>
      <w:numFmt w:val="decimal"/>
      <w:start w:val="1"/>
    </w:lvl>
  </w:abstractNum>
  <w:abstractNum w:abstractNumId="145">
    <w:nsid w:val="6CAA2304"/>
    <w:multiLevelType w:val="hybridMultilevel"/>
    <w:lvl w:ilvl="0">
      <w:lvlJc w:val="left"/>
      <w:lvlText w:val="(%1)"/>
      <w:numFmt w:val="decimal"/>
      <w:start w:val="1"/>
    </w:lvl>
  </w:abstractNum>
  <w:abstractNum w:abstractNumId="146">
    <w:nsid w:val="3F7C2FF4"/>
    <w:multiLevelType w:val="hybridMultilevel"/>
    <w:lvl w:ilvl="0">
      <w:lvlJc w:val="left"/>
      <w:lvlText w:val="(%1)"/>
      <w:numFmt w:val="decimal"/>
      <w:start w:val="1"/>
    </w:lvl>
  </w:abstractNum>
  <w:abstractNum w:abstractNumId="147">
    <w:nsid w:val="25413BEC"/>
    <w:multiLevelType w:val="hybridMultilevel"/>
    <w:lvl w:ilvl="0">
      <w:lvlJc w:val="left"/>
      <w:lvlText w:val="(%1)"/>
      <w:numFmt w:val="lowerLetter"/>
      <w:start w:val="1"/>
    </w:lvl>
  </w:abstractNum>
  <w:abstractNum w:abstractNumId="148">
    <w:nsid w:val="17180B0B"/>
    <w:multiLevelType w:val="hybridMultilevel"/>
    <w:lvl w:ilvl="0">
      <w:lvlJc w:val="left"/>
      <w:lvlText w:val="(%1)"/>
      <w:numFmt w:val="lowerLetter"/>
      <w:start w:val="2"/>
    </w:lvl>
  </w:abstractNum>
  <w:abstractNum w:abstractNumId="149">
    <w:nsid w:val="579328B9"/>
    <w:multiLevelType w:val="hybridMultilevel"/>
    <w:lvl w:ilvl="0">
      <w:lvlJc w:val="left"/>
      <w:lvlText w:val="(%1)"/>
      <w:numFmt w:val="decimal"/>
      <w:start w:val="3"/>
    </w:lvl>
  </w:abstractNum>
  <w:abstractNum w:abstractNumId="150">
    <w:nsid w:val="5D205E20"/>
    <w:multiLevelType w:val="hybridMultilevel"/>
    <w:lvl w:ilvl="0">
      <w:lvlJc w:val="left"/>
      <w:lvlText w:val="(%1)"/>
      <w:numFmt w:val="decimal"/>
      <w:start w:val="1"/>
    </w:lvl>
  </w:abstractNum>
  <w:abstractNum w:abstractNumId="151">
    <w:nsid w:val="11CCA8BA"/>
    <w:multiLevelType w:val="hybridMultilevel"/>
    <w:lvl w:ilvl="0">
      <w:lvlJc w:val="left"/>
      <w:lvlText w:val="(%1)"/>
      <w:numFmt w:val="decimal"/>
      <w:start w:val="3"/>
    </w:lvl>
  </w:abstractNum>
  <w:abstractNum w:abstractNumId="152">
    <w:nsid w:val="4D32AB86"/>
    <w:multiLevelType w:val="hybridMultilevel"/>
    <w:lvl w:ilvl="0">
      <w:lvlJc w:val="left"/>
      <w:lvlText w:val="(%1)"/>
      <w:numFmt w:val="decimal"/>
      <w:start w:val="1"/>
    </w:lvl>
  </w:abstractNum>
  <w:abstractNum w:abstractNumId="153">
    <w:nsid w:val="3F07ACC3"/>
    <w:multiLevelType w:val="hybridMultilevel"/>
    <w:lvl w:ilvl="0">
      <w:lvlJc w:val="left"/>
      <w:lvlText w:val="(%1)"/>
      <w:numFmt w:val="decimal"/>
      <w:start w:val="1"/>
    </w:lvl>
  </w:abstractNum>
  <w:abstractNum w:abstractNumId="154">
    <w:nsid w:val="6B47F63E"/>
    <w:multiLevelType w:val="hybridMultilevel"/>
    <w:lvl w:ilvl="0">
      <w:lvlJc w:val="left"/>
      <w:lvlText w:val="(%1)"/>
      <w:numFmt w:val="decimal"/>
      <w:start w:val="7"/>
    </w:lvl>
  </w:abstractNum>
  <w:abstractNum w:abstractNumId="155">
    <w:nsid w:val="5CB44A05"/>
    <w:multiLevelType w:val="hybridMultilevel"/>
    <w:lvl w:ilvl="0">
      <w:lvlJc w:val="left"/>
      <w:lvlText w:val="(%1)"/>
      <w:numFmt w:val="decimal"/>
      <w:start w:val="1"/>
    </w:lvl>
  </w:abstractNum>
  <w:abstractNum w:abstractNumId="156">
    <w:nsid w:val="16CF80F1"/>
    <w:multiLevelType w:val="hybridMultilevel"/>
    <w:lvl w:ilvl="0">
      <w:lvlJc w:val="left"/>
      <w:lvlText w:val="(%1)"/>
      <w:numFmt w:val="decimal"/>
      <w:start w:val="1"/>
    </w:lvl>
  </w:abstractNum>
  <w:abstractNum w:abstractNumId="157">
    <w:nsid w:val="1C695DEC"/>
    <w:multiLevelType w:val="hybridMultilevel"/>
    <w:lvl w:ilvl="0">
      <w:lvlJc w:val="left"/>
      <w:lvlText w:val="(%1)"/>
      <w:numFmt w:val="decimal"/>
      <w:start w:val="2"/>
    </w:lvl>
  </w:abstractNum>
  <w:abstractNum w:abstractNumId="158">
    <w:nsid w:val="3FCFAED9"/>
    <w:multiLevelType w:val="hybridMultilevel"/>
    <w:lvl w:ilvl="0">
      <w:lvlJc w:val="left"/>
      <w:lvlText w:val="2"/>
      <w:numFmt w:val="bullet"/>
      <w:start w:val="1"/>
    </w:lvl>
  </w:abstractNum>
  <w:abstractNum w:abstractNumId="159">
    <w:nsid w:val="F856867"/>
    <w:multiLevelType w:val="hybridMultilevel"/>
    <w:lvl w:ilvl="0">
      <w:lvlJc w:val="left"/>
      <w:lvlText w:val="(%1)"/>
      <w:numFmt w:val="lowerRoman"/>
      <w:start w:val="4"/>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1."/>
      <w:numFmt w:val="decimal"/>
      <w:start w:val="1"/>
    </w:lvl>
  </w:abstractNum>
  <w:abstractNum w:abstractNumId="162">
    <w:nsid w:val="29934699"/>
    <w:multiLevelType w:val="hybridMultilevel"/>
    <w:lvl w:ilvl="0">
      <w:lvlJc w:val="left"/>
      <w:lvlText w:val="%1."/>
      <w:numFmt w:val="decimal"/>
      <w:start w:val="2"/>
    </w:lvl>
  </w:abstractNum>
  <w:abstractNum w:abstractNumId="163">
    <w:nsid w:val="77485850"/>
    <w:multiLevelType w:val="hybridMultilevel"/>
    <w:lvl w:ilvl="0">
      <w:lvlJc w:val="left"/>
      <w:lvlText w:val="(%1)"/>
      <w:numFmt w:val="decimal"/>
      <w:start w:val="1"/>
    </w:lvl>
  </w:abstractNum>
  <w:abstractNum w:abstractNumId="164">
    <w:nsid w:val="744939A3"/>
    <w:multiLevelType w:val="hybridMultilevel"/>
    <w:lvl w:ilvl="0">
      <w:lvlJc w:val="left"/>
      <w:lvlText w:val="(%1)"/>
      <w:numFmt w:val="decimal"/>
      <w:start w:val="3"/>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jpe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jpe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jpe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jpeg"/><Relationship Id="rId205" Type="http://schemas.openxmlformats.org/officeDocument/2006/relationships/image" Target="media/image188.png"/><Relationship Id="rId206" Type="http://schemas.openxmlformats.org/officeDocument/2006/relationships/image" Target="media/image189.png"/><Relationship Id="rId49" Type="http://schemas.openxmlformats.org/officeDocument/2006/relationships/hyperlink" Target="http://www.sec.gov/ix?doc=/Archives/edgar/data/1819133/000095017025028353/tngx-20241231.htm" TargetMode="External"/><Relationship Id="rId50" Type="http://schemas.openxmlformats.org/officeDocument/2006/relationships/hyperlink" Target="http://www.sec.gov/ix?doc=/Archives/edgar/data/1819133/000095017025057632/tngx-20250424.htm" TargetMode="External"/><Relationship Id="rId51" Type="http://schemas.openxmlformats.org/officeDocument/2006/relationships/hyperlink" Target="http://www.sec.gov/ix?doc=/Archives/edgar/data/0001819133/000095017025068549/tngx-20250331.htm" TargetMode="External"/><Relationship Id="rId52" Type="http://schemas.openxmlformats.org/officeDocument/2006/relationships/hyperlink" Target="http://www.sec.gov/Archives/edgar/data/1819133/000121390020024994/ea126358-8a12b_bctgacquis.htm" TargetMode="External"/><Relationship Id="rId53" Type="http://schemas.openxmlformats.org/officeDocument/2006/relationships/hyperlink" Target="http://www.sec.gov/Archives/edgar/data/1819133/000095017023009854/tngx-ex4_2.htm" TargetMode="External"/><Relationship Id="rId97" Type="http://schemas.openxmlformats.org/officeDocument/2006/relationships/hyperlink" Target="http://www.sec.gov/Archives/edgar/data/1819133/000119312522236521/d394681dex12.htm" TargetMode="External"/><Relationship Id="rId98" Type="http://schemas.openxmlformats.org/officeDocument/2006/relationships/hyperlink" Target="http://www.sec.gov/Archives/edgar/data/1819133/000095017024092274/tngx-ex3_1.htm" TargetMode="External"/><Relationship Id="rId99" Type="http://schemas.openxmlformats.org/officeDocument/2006/relationships/hyperlink" Target="http://www.sec.gov/Archives/edgar/data/1819133/000119312521298942/d211731dex42.htm" TargetMode="External"/><Relationship Id="rId100" Type="http://schemas.openxmlformats.org/officeDocument/2006/relationships/hyperlink" Target="http://www.sec.gov/Archives/edgar/data/1819133/000119312521246234/d203347dex102.htm" TargetMode="External"/><Relationship Id="rId101" Type="http://schemas.openxmlformats.org/officeDocument/2006/relationships/hyperlink" Target="http://www.sec.gov/Archives/edgar/data/1819133/000121390021037131/ea144230ex4-5_bctg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2025-05-12T16:39:41Z</dcterms:created>
  <dcterms:modified xsi:type="dcterms:W3CDTF">2025-05-12T16:39:41Z</dcterms:modified>
</cp:coreProperties>
</file>