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Tango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Woodline Partners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4,000,567.00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4,000,567.00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4,000,567.00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7"/>
        <w:gridCol w:w="8913"/>
        <w:gridCol w:w="155"/>
      </w:tblGrid>
      <w:tr>
        <w:trPr/>
        <w:tc>
          <w:tcPr>
            <w:tcW w:w="1137" w:type="dxa"/>
            <w:tcBorders/>
            <w:vAlign w:val="center"/>
          </w:tcPr>
          <w:p>
            <w:pPr>
              <w:pStyle w:val="TableContents"/>
              <w:bidi w:val="0"/>
              <w:spacing w:before="0" w:after="283"/>
              <w:jc w:val="left"/>
              <w:rPr/>
            </w:pPr>
            <w:r>
              <w:rPr/>
              <w:t>Item 1.</w:t>
            </w:r>
          </w:p>
        </w:tc>
        <w:tc>
          <w:tcPr>
            <w:tcW w:w="891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Name of issuer: </w:t>
            </w:r>
          </w:p>
          <w:p>
            <w:pPr>
              <w:pStyle w:val="TableContents"/>
              <w:bidi w:val="0"/>
              <w:spacing w:before="0" w:after="0"/>
              <w:jc w:val="left"/>
              <w:rPr/>
            </w:pPr>
            <w:r>
              <w:rPr/>
              <w:t>Tango Therapeutics, Inc.</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201 Brookline Ave., Suite 901, Boston, MA 02215</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2.</w:t>
            </w:r>
          </w:p>
        </w:tc>
        <w:tc>
          <w:tcPr>
            <w:tcW w:w="891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Woodline Partners LP ("Woodline Partners" or the "Reporting Person"), a Delaware limited partnership, and the investment adviser to Woodline Master Fund LP and Woodline Spire Master Fund LP (together, the "Woodline Funds"), with respect to the shares of common stock, par value $0.001 per share ("Common Stock"), of Tango Therapeutics, Inc. (the "Company") directly held by the Woodline Funds. The filing of this statement should not be construed as an admission that any of the foregoing persons or the Reporting Person is, for the purposes of Section 13 of the Securities Exchange Act of 1934, the beneficial owner of the shares of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Woodline Partners is 4 Embarcadero Center, Suite 3450, San Francisco, CA 94111.</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jc w:val="left"/>
              <w:rPr/>
            </w:pPr>
            <w:r>
              <w:rPr/>
              <w:t xml:space="preserve">Citizenship: </w:t>
            </w:r>
          </w:p>
          <w:p>
            <w:pPr>
              <w:pStyle w:val="TableContents"/>
              <w:bidi w:val="0"/>
              <w:spacing w:before="0" w:after="0"/>
              <w:jc w:val="left"/>
              <w:rPr/>
            </w:pPr>
            <w:r>
              <w:rPr/>
              <w:t>Woodline Partners is a 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(d)</w:t>
            </w:r>
          </w:p>
        </w:tc>
        <w:tc>
          <w:tcPr>
            <w:tcW w:w="891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(e)</w:t>
            </w:r>
          </w:p>
        </w:tc>
        <w:tc>
          <w:tcPr>
            <w:tcW w:w="891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3.</w:t>
            </w:r>
          </w:p>
        </w:tc>
        <w:tc>
          <w:tcPr>
            <w:tcW w:w="891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(d)</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(e)</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(f)</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(g)</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(h)</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(j)</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(k)</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9068" w:type="dxa"/>
            <w:gridSpan w:val="2"/>
            <w:tcBorders/>
            <w:vAlign w:val="center"/>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4.</w:t>
            </w:r>
          </w:p>
        </w:tc>
        <w:tc>
          <w:tcPr>
            <w:tcW w:w="891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the Reporting Person and is incorporated herein by reference. The percentage set forth in this Schedule 13G is calculated based upon an aggregate of 162,814,649 shares of Common Stock outstanding, which is the sum of (i) the 18,166,667 shares of Common Stock offered pursuant to the Company's Prospectus filed pursuant to Rule 424(b)(5) with the Securities and Exchange Commission (the "SEC") on June 10, 2026 and (ii) the 144,647,982 shares of Common Stock outstanding as of May 6, 2026, as reported in the Company's Quarterly Report on Form 10-Q for the quarterly period ended March 31, 2026 filed with the SEC on May 13, 2026.</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2.5%  %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5.</w:t>
            </w:r>
          </w:p>
        </w:tc>
        <w:tc>
          <w:tcPr>
            <w:tcW w:w="891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6.</w:t>
            </w:r>
          </w:p>
        </w:tc>
        <w:tc>
          <w:tcPr>
            <w:tcW w:w="891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7.</w:t>
            </w:r>
          </w:p>
        </w:tc>
        <w:tc>
          <w:tcPr>
            <w:tcW w:w="891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8.</w:t>
            </w:r>
          </w:p>
        </w:tc>
        <w:tc>
          <w:tcPr>
            <w:tcW w:w="891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9.</w:t>
            </w:r>
          </w:p>
        </w:tc>
        <w:tc>
          <w:tcPr>
            <w:tcW w:w="891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56" w:type="dxa"/>
        <w:jc w:val="left"/>
        <w:tblInd w:w="0" w:type="dxa"/>
        <w:tblLayout w:type="fixed"/>
        <w:tblCellMar>
          <w:top w:w="28" w:type="dxa"/>
          <w:left w:w="28" w:type="dxa"/>
          <w:bottom w:w="28" w:type="dxa"/>
          <w:right w:w="28" w:type="dxa"/>
        </w:tblCellMar>
      </w:tblPr>
      <w:tblGrid>
        <w:gridCol w:w="2378"/>
        <w:gridCol w:w="2378"/>
      </w:tblGrid>
      <w:tr>
        <w:trPr/>
        <w:tc>
          <w:tcPr>
            <w:tcW w:w="2378" w:type="dxa"/>
            <w:tcBorders/>
            <w:vAlign w:val="center"/>
          </w:tcPr>
          <w:p>
            <w:pPr>
              <w:pStyle w:val="TableContents"/>
              <w:bidi w:val="0"/>
              <w:spacing w:before="0" w:after="0"/>
              <w:jc w:val="left"/>
              <w:rPr/>
            </w:pPr>
            <w:r>
              <w:rPr/>
              <w:t> </w:t>
            </w:r>
          </w:p>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0"/>
                    <w:jc w:val="left"/>
                    <w:rPr/>
                  </w:pPr>
                  <w:r>
                    <w:rPr/>
                    <w:t>Woodline Partners LP</w:t>
                  </w:r>
                </w:p>
              </w:tc>
            </w:tr>
          </w:tbl>
          <w:p>
            <w:pPr>
              <w:pStyle w:val="TableContents"/>
              <w:bidi w:val="0"/>
              <w:spacing w:before="0" w:after="283"/>
              <w:jc w:val="left"/>
              <w:rPr/>
            </w:pPr>
            <w:r>
              <w:rPr/>
            </w:r>
          </w:p>
        </w:tc>
        <w:tc>
          <w:tcPr>
            <w:tcW w:w="23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Erin Mullen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Erin Mullen, General Counsel &amp; Chief Compliance Officer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1186</Words>
  <Characters>5976</Characters>
  <CharactersWithSpaces>7156</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