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Crystal Adam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360"/>
        <w:spacing w:after="0" w:line="320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TANGO THERAPEUTICS, INC., 201 BROOKLINE AVE., SUITE 901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9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Tango Therapeutics,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TNGX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03/05/2026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102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President, R&amp;D</w:t>
      </w:r>
    </w:p>
    <w:p>
      <w:pPr>
        <w:spacing w:after="0" w:line="46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800" w:type="dxa"/>
            <w:vAlign w:val="bottom"/>
            <w:gridSpan w:val="8"/>
          </w:tcPr>
          <w:p>
            <w:pPr>
              <w:ind w:left="14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500" w:type="dxa"/>
            <w:vAlign w:val="bottom"/>
            <w:gridSpan w:val="11"/>
          </w:tcPr>
          <w:p>
            <w:pPr>
              <w:ind w:left="16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BOSTON</w:t>
            </w: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MA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02215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6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340" w:type="dxa"/>
            <w:vAlign w:val="bottom"/>
            <w:vMerge w:val="restart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340" w:type="dxa"/>
            <w:vAlign w:val="bottom"/>
            <w:vMerge w:val="continue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0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4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7"/>
          </w:tcPr>
          <w:p>
            <w:pPr>
              <w:ind w:left="6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 - Non-Derivative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20" w:type="dxa"/>
            <w:vAlign w:val="bottom"/>
            <w:gridSpan w:val="3"/>
          </w:tcPr>
          <w:p>
            <w:pPr>
              <w:ind w:left="8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440" w:type="dxa"/>
            <w:vAlign w:val="bottom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40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60" w:type="dxa"/>
            <w:vAlign w:val="bottom"/>
            <w:gridSpan w:val="2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54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5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03/05/2026</w:t>
            </w: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S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20,251</w:t>
            </w: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right"/>
              <w:ind w:righ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15</w:t>
            </w: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112,622</w:t>
            </w: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00" w:type="dxa"/>
            <w:vAlign w:val="bottom"/>
            <w:tcBorders>
              <w:top w:val="single" w:sz="8" w:color="2C2C2C"/>
            </w:tcBorders>
            <w:gridSpan w:val="16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2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700" w:type="dxa"/>
            <w:vAlign w:val="bottom"/>
            <w:gridSpan w:val="12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3. Transaction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7. Title and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8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22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if any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Underlying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60" w:type="dxa"/>
            <w:vAlign w:val="bottom"/>
            <w:gridSpan w:val="3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  <w:gridSpan w:val="3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2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Shares</w:t>
            </w: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0" w:type="dxa"/>
            <w:vAlign w:val="bottom"/>
            <w:gridSpan w:val="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Explanation of Responses:</w:t>
            </w: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560" w:type="dxa"/>
            <w:vAlign w:val="bottom"/>
            <w:gridSpan w:val="15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8000"/>
              </w:rPr>
              <w:t>1. These transactions were effected by the Reporting Person pursuant to a Rule 10b5-1 trading plan adopted on October 27, 2025.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Julie Fogarty, as attorney-</w:t>
            </w:r>
          </w:p>
        </w:tc>
        <w:tc>
          <w:tcPr>
            <w:tcW w:w="1640" w:type="dxa"/>
            <w:vAlign w:val="bottom"/>
            <w:gridSpan w:val="4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03/09/2026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  <w:vMerge w:val="restart"/>
          </w:tcPr>
          <w:p>
            <w:pPr>
              <w:spacing w:after="0" w:line="194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in-fact</w:t>
            </w:r>
          </w:p>
        </w:tc>
        <w:tc>
          <w:tcPr>
            <w:tcW w:w="2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40" w:type="dxa"/>
            <w:vAlign w:val="bottom"/>
            <w:gridSpan w:val="4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top w:val="single" w:sz="8" w:color="auto"/>
            </w:tcBorders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60" w:type="dxa"/>
            <w:vAlign w:val="bottom"/>
            <w:gridSpan w:val="2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580" w:type="dxa"/>
            <w:vAlign w:val="bottom"/>
            <w:gridSpan w:val="5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3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40" w:type="dxa"/>
            <w:vAlign w:val="bottom"/>
            <w:gridSpan w:val="7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160" w:type="dxa"/>
            <w:vAlign w:val="bottom"/>
            <w:gridSpan w:val="11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Reminder: Report on a separate line for each class of securities beneficially owned directly or indirectly.</w:t>
            </w: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660" w:type="dxa"/>
            <w:vAlign w:val="bottom"/>
            <w:gridSpan w:val="9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* If the form is filed by more than one reporting person, </w:t>
            </w:r>
            <w:r>
              <w:rPr>
                <w:rFonts w:ascii="Arial" w:cs="Arial" w:eastAsia="Arial" w:hAnsi="Arial"/>
                <w:sz w:val="13"/>
                <w:szCs w:val="13"/>
                <w:i w:val="1"/>
                <w:iCs w:val="1"/>
                <w:color w:val="auto"/>
              </w:rPr>
              <w:t>see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Instruction 4 (b)(v).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-2754630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2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825445" TargetMode="External"/><Relationship Id="rId14" Type="http://schemas.openxmlformats.org/officeDocument/2006/relationships/hyperlink" Target="http://www.sec.gov/cgi-bin/browse-edgar?action=getcompany&amp;CIK=0001819133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2026-03-09T15:10:14Z</dcterms:created>
  <dcterms:modified xsi:type="dcterms:W3CDTF">2026-03-09T15:10:14Z</dcterms:modified>
</cp:coreProperties>
</file>