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88265</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121285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240665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103505</wp:posOffset>
            </wp:positionV>
            <wp:extent cx="151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70" w:lineRule="exact"/>
        <w:rPr>
          <w:sz w:val="24"/>
          <w:szCs w:val="24"/>
          <w:color w:val="auto"/>
        </w:rPr>
      </w:pPr>
    </w:p>
    <w:tbl>
      <w:tblPr>
        <w:tblLayout w:type="fixed"/>
        <w:tblInd w:w="1160" w:type="dxa"/>
        <w:tblCellMar>
          <w:top w:w="0" w:type="dxa"/>
          <w:left w:w="0" w:type="dxa"/>
          <w:bottom w:w="0" w:type="dxa"/>
          <w:right w:w="0" w:type="dxa"/>
        </w:tblCellMar>
      </w:tblPr>
      <w:tr>
        <w:trPr>
          <w:trHeight w:val="185"/>
        </w:trPr>
        <w:tc>
          <w:tcPr>
            <w:tcW w:w="2760" w:type="dxa"/>
            <w:vAlign w:val="bottom"/>
          </w:tcPr>
          <w:p>
            <w:pPr>
              <w:jc w:val="center"/>
              <w:ind w:right="12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42"/>
        </w:trPr>
        <w:tc>
          <w:tcPr>
            <w:tcW w:w="2760" w:type="dxa"/>
            <w:vAlign w:val="bottom"/>
          </w:tcPr>
          <w:p>
            <w:pPr>
              <w:jc w:val="center"/>
              <w:ind w:right="12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520" w:type="dxa"/>
            <w:vAlign w:val="bottom"/>
          </w:tcPr>
          <w:p>
            <w:pPr>
              <w:ind w:left="1360"/>
              <w:spacing w:after="0" w:line="142"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20" w:type="dxa"/>
            <w:vAlign w:val="bottom"/>
          </w:tcPr>
          <w:p>
            <w:pPr>
              <w:jc w:val="center"/>
              <w:ind w:left="1371"/>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2760" w:type="dxa"/>
            <w:vAlign w:val="bottom"/>
          </w:tcPr>
          <w:p>
            <w:pPr>
              <w:jc w:val="center"/>
              <w:ind w:right="125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70" w:lineRule="exact"/>
        <w:rPr>
          <w:sz w:val="24"/>
          <w:szCs w:val="24"/>
          <w:color w:val="auto"/>
        </w:rPr>
      </w:pPr>
    </w:p>
    <w:tbl>
      <w:tblPr>
        <w:tblLayout w:type="fixed"/>
        <w:tblInd w:w="2700" w:type="dxa"/>
        <w:tblCellMar>
          <w:top w:w="0" w:type="dxa"/>
          <w:left w:w="0" w:type="dxa"/>
          <w:bottom w:w="0" w:type="dxa"/>
          <w:right w:w="0" w:type="dxa"/>
        </w:tblCellMar>
      </w:tblPr>
      <w:tr>
        <w:trPr>
          <w:trHeight w:val="184"/>
        </w:trPr>
        <w:tc>
          <w:tcPr>
            <w:tcW w:w="3320" w:type="dxa"/>
            <w:vAlign w:val="bottom"/>
          </w:tcPr>
          <w:p>
            <w:pPr>
              <w:jc w:val="center"/>
              <w:ind w:right="1145"/>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02215</w:t>
            </w:r>
          </w:p>
        </w:tc>
        <w:tc>
          <w:tcPr>
            <w:tcW w:w="0" w:type="dxa"/>
            <w:vAlign w:val="bottom"/>
          </w:tcPr>
          <w:p>
            <w:pPr>
              <w:spacing w:after="0"/>
              <w:rPr>
                <w:sz w:val="1"/>
                <w:szCs w:val="1"/>
                <w:color w:val="auto"/>
              </w:rPr>
            </w:pPr>
          </w:p>
        </w:tc>
      </w:tr>
      <w:tr>
        <w:trPr>
          <w:trHeight w:val="182"/>
        </w:trPr>
        <w:tc>
          <w:tcPr>
            <w:tcW w:w="3320" w:type="dxa"/>
            <w:vAlign w:val="bottom"/>
          </w:tcPr>
          <w:p>
            <w:pPr>
              <w:jc w:val="center"/>
              <w:ind w:right="1145"/>
              <w:spacing w:after="0" w:line="182" w:lineRule="exact"/>
              <w:rPr>
                <w:sz w:val="20"/>
                <w:szCs w:val="20"/>
                <w:color w:val="auto"/>
              </w:rPr>
            </w:pPr>
            <w:r>
              <w:rPr>
                <w:rFonts w:ascii="Times New Roman" w:cs="Times New Roman" w:eastAsia="Times New Roman" w:hAnsi="Times New Roman"/>
                <w:sz w:val="16"/>
                <w:szCs w:val="16"/>
                <w:b w:val="1"/>
                <w:bCs w:val="1"/>
                <w:color w:val="auto"/>
              </w:rPr>
              <w:t>Boston, MA</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jc w:val="center"/>
              <w:ind w:right="116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60" w:type="dxa"/>
            <w:vAlign w:val="bottom"/>
          </w:tcPr>
          <w:p>
            <w:pPr>
              <w:jc w:val="center"/>
              <w:ind w:left="1148"/>
              <w:spacing w:after="0"/>
              <w:rPr>
                <w:sz w:val="20"/>
                <w:szCs w:val="20"/>
                <w:color w:val="auto"/>
              </w:rPr>
            </w:pPr>
            <w:r>
              <w:rPr>
                <w:rFonts w:ascii="Times New Roman" w:cs="Times New Roman" w:eastAsia="Times New Roman" w:hAnsi="Times New Roman"/>
                <w:sz w:val="13"/>
                <w:szCs w:val="13"/>
                <w:b w:val="1"/>
                <w:bCs w:val="1"/>
                <w:color w:val="auto"/>
                <w:w w:val="95"/>
              </w:rPr>
              <w:t>(Zip code)</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Binney St., Suite 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Cambridge, MA 02142</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103505</wp:posOffset>
            </wp:positionV>
            <wp:extent cx="151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380" w:hanging="372"/>
        <w:spacing w:after="0" w:line="228" w:lineRule="auto"/>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1"/>
                <w:szCs w:val="11"/>
                <w:color w:val="auto"/>
              </w:rPr>
            </w:pPr>
          </w:p>
        </w:tc>
        <w:tc>
          <w:tcPr>
            <w:tcW w:w="36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92" w:lineRule="exact"/>
        <w:rPr>
          <w:sz w:val="24"/>
          <w:szCs w:val="24"/>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151"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34"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0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20"/>
          <w:szCs w:val="20"/>
          <w:color w:val="auto"/>
        </w:rPr>
        <w:t>On August 10, 2022, Tango Therapeutics, Inc. issued a press release relating to its results of operations and financial condition for the quarter ended June 30, 2022. A copy of the press release is furnished as Exhibit 99.1 to this Current Report on Form 8-K.</w:t>
      </w:r>
    </w:p>
    <w:p>
      <w:pPr>
        <w:spacing w:after="0" w:line="14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6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8"/>
              </w:rPr>
              <w:t>Press Release issued by Tango Therapeutics, Inc. on August 10, 2022 relating to its results of operations and financial condition</w:t>
            </w:r>
          </w:p>
        </w:tc>
      </w:tr>
      <w:tr>
        <w:trPr>
          <w:trHeight w:val="183"/>
        </w:trPr>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84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20"/>
                <w:szCs w:val="20"/>
                <w:color w:val="0000FF"/>
                <w:w w:val="97"/>
              </w:rPr>
              <w:t>for the quarter ended June 30, 2022.</w:t>
            </w:r>
          </w:p>
        </w:tc>
        <w:tc>
          <w:tcPr>
            <w:tcW w:w="20" w:type="dxa"/>
            <w:vAlign w:val="bottom"/>
            <w:tcBorders>
              <w:top w:val="single" w:sz="8" w:color="0000FF"/>
              <w:bottom w:val="single" w:sz="8" w:color="0000EE"/>
            </w:tcBorders>
          </w:tcPr>
          <w:p>
            <w:pPr>
              <w:spacing w:after="0"/>
              <w:rPr>
                <w:sz w:val="15"/>
                <w:szCs w:val="15"/>
                <w:color w:val="auto"/>
              </w:rPr>
            </w:pPr>
          </w:p>
        </w:tc>
        <w:tc>
          <w:tcPr>
            <w:tcW w:w="72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499"/>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352"/>
        </w:trPr>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500" w:firstLine="50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020" w:type="dxa"/>
            <w:vAlign w:val="bottom"/>
          </w:tcPr>
          <w:p>
            <w:pPr>
              <w:spacing w:after="0"/>
              <w:rPr>
                <w:sz w:val="24"/>
                <w:szCs w:val="24"/>
                <w:color w:val="auto"/>
              </w:rPr>
            </w:pPr>
          </w:p>
        </w:tc>
        <w:tc>
          <w:tcPr>
            <w:tcW w:w="82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0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Dated: August 10, 2022</w:t>
            </w:r>
          </w:p>
        </w:tc>
        <w:tc>
          <w:tcPr>
            <w:tcW w:w="82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By: /s/ Douglas Barry__________</w:t>
            </w:r>
          </w:p>
        </w:tc>
      </w:tr>
      <w:tr>
        <w:trPr>
          <w:trHeight w:val="20"/>
        </w:trPr>
        <w:tc>
          <w:tcPr>
            <w:tcW w:w="3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3020" w:type="dxa"/>
            <w:vAlign w:val="bottom"/>
          </w:tcPr>
          <w:p>
            <w:pPr>
              <w:spacing w:after="0"/>
              <w:rPr>
                <w:sz w:val="21"/>
                <w:szCs w:val="21"/>
                <w:color w:val="auto"/>
              </w:rPr>
            </w:pPr>
          </w:p>
        </w:tc>
        <w:tc>
          <w:tcPr>
            <w:tcW w:w="3900" w:type="dxa"/>
            <w:vAlign w:val="bottom"/>
            <w:gridSpan w:val="2"/>
          </w:tcPr>
          <w:p>
            <w:pPr>
              <w:ind w:left="960"/>
              <w:spacing w:after="0" w:line="249" w:lineRule="exact"/>
              <w:rPr>
                <w:sz w:val="20"/>
                <w:szCs w:val="20"/>
                <w:color w:val="auto"/>
              </w:rPr>
            </w:pPr>
            <w:r>
              <w:rPr>
                <w:rFonts w:ascii="Times New Roman" w:cs="Times New Roman" w:eastAsia="Times New Roman" w:hAnsi="Times New Roman"/>
                <w:sz w:val="22"/>
                <w:szCs w:val="22"/>
                <w:color w:val="auto"/>
              </w:rPr>
              <w:t>Name: Douglas Barry</w:t>
            </w:r>
          </w:p>
        </w:tc>
        <w:tc>
          <w:tcPr>
            <w:tcW w:w="4320" w:type="dxa"/>
            <w:vAlign w:val="bottom"/>
          </w:tcPr>
          <w:p>
            <w:pPr>
              <w:spacing w:after="0"/>
              <w:rPr>
                <w:sz w:val="21"/>
                <w:szCs w:val="21"/>
                <w:color w:val="auto"/>
              </w:rPr>
            </w:pPr>
          </w:p>
        </w:tc>
      </w:tr>
      <w:tr>
        <w:trPr>
          <w:trHeight w:val="282"/>
        </w:trPr>
        <w:tc>
          <w:tcPr>
            <w:tcW w:w="3020" w:type="dxa"/>
            <w:vAlign w:val="bottom"/>
          </w:tcPr>
          <w:p>
            <w:pPr>
              <w:spacing w:after="0"/>
              <w:rPr>
                <w:sz w:val="24"/>
                <w:szCs w:val="24"/>
                <w:color w:val="auto"/>
              </w:rPr>
            </w:pPr>
          </w:p>
        </w:tc>
        <w:tc>
          <w:tcPr>
            <w:tcW w:w="822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103"/>
        </w:trPr>
        <w:tc>
          <w:tcPr>
            <w:tcW w:w="30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ind w:right="40"/>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Tango Therapeutcs Reports Second Quarter 2022 Financial Results</w:t>
      </w:r>
    </w:p>
    <w:p>
      <w:pPr>
        <w:jc w:val="center"/>
        <w:spacing w:after="0" w:line="229" w:lineRule="auto"/>
        <w:rPr>
          <w:sz w:val="20"/>
          <w:szCs w:val="20"/>
          <w:color w:val="auto"/>
        </w:rPr>
      </w:pPr>
      <w:r>
        <w:rPr>
          <w:rFonts w:ascii="Calibri" w:cs="Calibri" w:eastAsia="Calibri" w:hAnsi="Calibri"/>
          <w:sz w:val="22"/>
          <w:szCs w:val="22"/>
          <w:b w:val="1"/>
          <w:bCs w:val="1"/>
          <w:color w:val="auto"/>
        </w:rPr>
        <w:t>and Provides Business Highlights</w:t>
      </w:r>
    </w:p>
    <w:p>
      <w:pPr>
        <w:spacing w:after="0" w:line="200" w:lineRule="exact"/>
        <w:rPr>
          <w:sz w:val="20"/>
          <w:szCs w:val="20"/>
          <w:color w:val="auto"/>
        </w:rPr>
      </w:pPr>
    </w:p>
    <w:p>
      <w:pPr>
        <w:spacing w:after="0" w:line="217" w:lineRule="exact"/>
        <w:rPr>
          <w:sz w:val="20"/>
          <w:szCs w:val="20"/>
          <w:color w:val="auto"/>
        </w:rPr>
      </w:pPr>
    </w:p>
    <w:p>
      <w:pPr>
        <w:ind w:left="4300" w:right="380" w:hanging="3314"/>
        <w:spacing w:after="0" w:line="222" w:lineRule="auto"/>
        <w:rPr>
          <w:sz w:val="20"/>
          <w:szCs w:val="20"/>
          <w:color w:val="auto"/>
        </w:rPr>
      </w:pPr>
      <w:r>
        <w:rPr>
          <w:rFonts w:ascii="Calibri" w:cs="Calibri" w:eastAsia="Calibri" w:hAnsi="Calibri"/>
          <w:sz w:val="22"/>
          <w:szCs w:val="22"/>
          <w:i w:val="1"/>
          <w:iCs w:val="1"/>
          <w:color w:val="auto"/>
        </w:rPr>
        <w:t>– Patents with MTAP-deleted solid tumors being actvely enrolled in ongoing Phase 1/2 trial of TNG908, an MTA-cooperatve PRMT5 inhibitor –</w:t>
      </w:r>
    </w:p>
    <w:p>
      <w:pPr>
        <w:spacing w:after="0" w:line="235"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 Received Orphan Drug Designaton in US for the treatment of malignant peripheral nerve sheath tumors with TNG908 –</w:t>
      </w:r>
    </w:p>
    <w:p>
      <w:pPr>
        <w:spacing w:after="0" w:line="201" w:lineRule="exact"/>
        <w:rPr>
          <w:sz w:val="20"/>
          <w:szCs w:val="20"/>
          <w:color w:val="auto"/>
        </w:rPr>
      </w:pPr>
    </w:p>
    <w:p>
      <w:pPr>
        <w:ind w:right="400"/>
        <w:spacing w:after="0" w:line="221" w:lineRule="auto"/>
        <w:rPr>
          <w:sz w:val="20"/>
          <w:szCs w:val="20"/>
          <w:color w:val="auto"/>
        </w:rPr>
      </w:pPr>
      <w:r>
        <w:rPr>
          <w:rFonts w:ascii="Calibri" w:cs="Calibri" w:eastAsia="Calibri" w:hAnsi="Calibri"/>
          <w:sz w:val="22"/>
          <w:szCs w:val="22"/>
          <w:b w:val="1"/>
          <w:bCs w:val="1"/>
          <w:color w:val="auto"/>
        </w:rPr>
        <w:t xml:space="preserve">CAMBRIDGE, Mass. – August 10, 2022 </w:t>
      </w:r>
      <w:r>
        <w:rPr>
          <w:rFonts w:ascii="Calibri" w:cs="Calibri" w:eastAsia="Calibri" w:hAnsi="Calibri"/>
          <w:sz w:val="22"/>
          <w:szCs w:val="22"/>
          <w:color w:val="auto"/>
        </w:rPr>
        <w:t>– Tango Therapeutcs, Inc. (NASDAQ: TNGX), a biotechnology company commited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discovering and delivering the next generaton of precision cancer medicines, reported its fnancial results for the second quarter ended June 30, 2022 and provided business highlights.</w:t>
      </w:r>
    </w:p>
    <w:p>
      <w:pPr>
        <w:spacing w:after="0" w:line="203" w:lineRule="exact"/>
        <w:rPr>
          <w:sz w:val="20"/>
          <w:szCs w:val="20"/>
          <w:color w:val="auto"/>
        </w:rPr>
      </w:pPr>
    </w:p>
    <w:p>
      <w:pPr>
        <w:ind w:right="60"/>
        <w:spacing w:after="0" w:line="223" w:lineRule="auto"/>
        <w:rPr>
          <w:sz w:val="20"/>
          <w:szCs w:val="20"/>
          <w:color w:val="auto"/>
        </w:rPr>
      </w:pPr>
      <w:r>
        <w:rPr>
          <w:rFonts w:ascii="Calibri" w:cs="Calibri" w:eastAsia="Calibri" w:hAnsi="Calibri"/>
          <w:sz w:val="22"/>
          <w:szCs w:val="22"/>
          <w:color w:val="auto"/>
        </w:rPr>
        <w:t>“We are contnuing to advance our lead MTA-cooperatve PRMT5 inhibitor program, TNG908, as we actvely enroll patents with MTAP-deleted solid tumors in an ongoing Phase 1/2 trial,” said Barbara Weber, M.D., President and Chief Executve Ofcer of Tango Therapeutcs. “Receiving Orphan Drug Designaton for TNG908 highlights the unmet need for novel therapies that may improve outcomes for patents with MPNST. We contnue to progress IND-enabling studies of TNG462, our next-generaton PRMT5 inhibitor, and TNG260, a small molecule inhibitor that reverses the immune evasion efect of STK11 mutatons, as we advance both programs towards IND submission in the frst half of 2023.”</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365" w:lineRule="exact"/>
        <w:rPr>
          <w:sz w:val="20"/>
          <w:szCs w:val="20"/>
          <w:color w:val="auto"/>
        </w:rPr>
      </w:pPr>
    </w:p>
    <w:p>
      <w:pPr>
        <w:ind w:left="1020" w:right="420" w:hanging="503"/>
        <w:spacing w:after="0" w:line="221"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TNG908 Phase 1/2 clinical trial ongoing in patents with MTAP-deleted solid tumors; TNG908 received Orphan Drug Designaton (ODD): </w:t>
      </w:r>
      <w:r>
        <w:rPr>
          <w:rFonts w:ascii="Calibri" w:cs="Calibri" w:eastAsia="Calibri" w:hAnsi="Calibri"/>
          <w:sz w:val="22"/>
          <w:szCs w:val="22"/>
          <w:color w:val="auto"/>
        </w:rPr>
        <w:t>Patents are actvely being enrolled in the ongoing Phase 1/2 trial of TNG908.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 expects to have inital safety and efcacy data in the 1H 2023.</w:t>
      </w:r>
    </w:p>
    <w:p>
      <w:pPr>
        <w:spacing w:after="0" w:line="108" w:lineRule="exact"/>
        <w:rPr>
          <w:rFonts w:ascii="Times New Roman" w:cs="Times New Roman" w:eastAsia="Times New Roman" w:hAnsi="Times New Roman"/>
          <w:sz w:val="22"/>
          <w:szCs w:val="22"/>
          <w:color w:val="auto"/>
        </w:rPr>
      </w:pPr>
    </w:p>
    <w:p>
      <w:pPr>
        <w:ind w:left="1020" w:right="20"/>
        <w:spacing w:after="0" w:line="221"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The U.S. Food and Drug Administraton (FDA) granted ODD to TNG908 for the treatment of malignant peripheral nerve sheath tumors (MPNST). The FDA's Orphan Drug Designaton is granted to investgatonal therapies addressing rare medical diseases or conditons that afect fewer than 200,000 people in the United States. This designaton provides for a seven-year marketng exclusivity period upon regulatory approval, as well as certain incentves, including federal grants and tax credits.</w:t>
      </w:r>
    </w:p>
    <w:p>
      <w:pPr>
        <w:spacing w:after="0" w:line="113" w:lineRule="exact"/>
        <w:rPr>
          <w:rFonts w:ascii="Times New Roman" w:cs="Times New Roman" w:eastAsia="Times New Roman" w:hAnsi="Times New Roman"/>
          <w:sz w:val="22"/>
          <w:szCs w:val="22"/>
          <w:color w:val="auto"/>
        </w:rPr>
      </w:pPr>
    </w:p>
    <w:p>
      <w:pPr>
        <w:ind w:left="1020"/>
        <w:spacing w:after="0" w:line="223"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TNG908 is an MTA-cooperatve small molecule inhibitor of protein arginine methyltransferase 5 (PRMT5) designed to selectvely kill cancer cells with methylthioadenosine phosphorylase (MTAP) deletons. MTAP deletons occur in approximately 10% - 15% of all human cancers, including non-small cell lung cancer, mesothelioma, cholangiocarcinoma and glioblastoma.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4" w:name="page5"/>
    <w:bookmarkEnd w:id="4"/>
    <w:p>
      <w:pPr>
        <w:ind w:left="1020" w:hanging="503"/>
        <w:spacing w:after="0" w:line="222"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TNG462, a next-generaton MTA-cooperatve PRMT5 inhibitor, declared as a development candidate in 2Q 2022: </w:t>
      </w:r>
      <w:r>
        <w:rPr>
          <w:rFonts w:ascii="Calibri" w:cs="Calibri" w:eastAsia="Calibri" w:hAnsi="Calibri"/>
          <w:sz w:val="22"/>
          <w:szCs w:val="22"/>
          <w:color w:val="auto"/>
        </w:rPr>
        <w:t>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May 2022, the Company disclosed TNG462, a next-generaton PRMT5 inhibitor, is 45-fold more potent in cells with MTAP deletons than those without and induces deep tumor regressions in preclinical models of multple cancer types. The Company plans to fle an IND for TNG462 in the frst half of 2023. The clinical development path for TNG462 is expected to be similar to TNG908, evaluatng safety and efcacy in multple tumor types in a Phase 1/2 clinical trial. Unlike TNG908, glioblastoma will be excluded from the clinical trial as TNG462 does not cross the blood-brain barrier in preclinical non-human primate models.</w:t>
      </w:r>
    </w:p>
    <w:p>
      <w:pPr>
        <w:spacing w:after="0" w:line="367" w:lineRule="exact"/>
        <w:rPr>
          <w:rFonts w:ascii="Times New Roman" w:cs="Times New Roman" w:eastAsia="Times New Roman" w:hAnsi="Times New Roman"/>
          <w:sz w:val="22"/>
          <w:szCs w:val="22"/>
          <w:color w:val="auto"/>
        </w:rPr>
      </w:pPr>
    </w:p>
    <w:p>
      <w:pPr>
        <w:ind w:left="1020" w:right="120" w:hanging="503"/>
        <w:spacing w:after="0" w:line="222"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TNG260, a small molecule inhibitor that reverses the immune evasion efect of STK11 mutatons, declared as a development candidate in 2Q 2022: </w:t>
      </w:r>
      <w:r>
        <w:rPr>
          <w:rFonts w:ascii="Calibri" w:cs="Calibri" w:eastAsia="Calibri" w:hAnsi="Calibri"/>
          <w:sz w:val="22"/>
          <w:szCs w:val="22"/>
          <w:color w:val="auto"/>
        </w:rPr>
        <w:t>Also previously disclosed by the Company, TNG260 was declared a</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development candidate in the second quarter of 2022. TNG260 inhibits Target 3, an undisclosed synthetc lethal target that reverses the immune evasion efect of serine-threonine kinase 11 (STK11) loss-of-functon mutatons in cancer models. The Company expects to fle an IND for this program in the frst half of 2023. STK11 mutatons occur in approximately 15% of non-small cell lung cancers, 15% of cervical cancers, 10% carcinoma of unknown primary, 5% of breast cancers and 3% of pancreatc cancers.</w:t>
      </w:r>
    </w:p>
    <w:p>
      <w:pPr>
        <w:spacing w:after="0" w:line="367" w:lineRule="exact"/>
        <w:rPr>
          <w:rFonts w:ascii="Times New Roman" w:cs="Times New Roman" w:eastAsia="Times New Roman" w:hAnsi="Times New Roman"/>
          <w:sz w:val="22"/>
          <w:szCs w:val="22"/>
          <w:color w:val="auto"/>
        </w:rPr>
      </w:pPr>
    </w:p>
    <w:p>
      <w:pPr>
        <w:ind w:left="1020" w:right="20" w:hanging="503"/>
        <w:spacing w:after="0" w:line="234" w:lineRule="auto"/>
        <w:tabs>
          <w:tab w:leader="none" w:pos="1020" w:val="left"/>
        </w:tabs>
        <w:numPr>
          <w:ilvl w:val="0"/>
          <w:numId w:val="4"/>
        </w:numPr>
        <w:rPr>
          <w:rFonts w:ascii="Times New Roman" w:cs="Times New Roman" w:eastAsia="Times New Roman" w:hAnsi="Times New Roman"/>
          <w:sz w:val="21"/>
          <w:szCs w:val="21"/>
          <w:color w:val="auto"/>
        </w:rPr>
      </w:pPr>
      <w:r>
        <w:rPr>
          <w:rFonts w:ascii="Calibri" w:cs="Calibri" w:eastAsia="Calibri" w:hAnsi="Calibri"/>
          <w:sz w:val="21"/>
          <w:szCs w:val="21"/>
          <w:b w:val="1"/>
          <w:bCs w:val="1"/>
          <w:color w:val="auto"/>
        </w:rPr>
        <w:t>Preclinical data on the Tango discovery platorm, a USP1 inhibitor program and TNG908 presented at 2022 American Associaton for Cancer Research (AACR) Annual Meetng</w:t>
      </w:r>
      <w:r>
        <w:rPr>
          <w:rFonts w:ascii="Calibri" w:cs="Calibri" w:eastAsia="Calibri" w:hAnsi="Calibri"/>
          <w:sz w:val="21"/>
          <w:szCs w:val="21"/>
          <w:color w:val="auto"/>
        </w:rPr>
        <w:t>. In April, the Company presented three posters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at the 2022 AACR Annual Meetng. The posters highlight the potental applicability of synthetc lethal drugs targetng across a range of cancer types, including with TNG908 and the USP1 (ubiquitn-specifc protease 1) program.</w:t>
      </w:r>
    </w:p>
    <w:p>
      <w:pPr>
        <w:spacing w:after="0" w:line="323" w:lineRule="exact"/>
        <w:rPr>
          <w:rFonts w:ascii="Times New Roman" w:cs="Times New Roman" w:eastAsia="Times New Roman" w:hAnsi="Times New Roman"/>
          <w:sz w:val="21"/>
          <w:szCs w:val="21"/>
          <w:color w:val="auto"/>
        </w:rPr>
      </w:pPr>
    </w:p>
    <w:p>
      <w:pPr>
        <w:ind w:left="1020" w:right="620" w:hanging="503"/>
        <w:spacing w:after="0" w:line="223"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TNGX added to the Russell 2000®, 3000® and Microcap® Indexes. </w:t>
      </w:r>
      <w:r>
        <w:rPr>
          <w:rFonts w:ascii="Calibri" w:cs="Calibri" w:eastAsia="Calibri" w:hAnsi="Calibri"/>
          <w:sz w:val="22"/>
          <w:szCs w:val="22"/>
          <w:color w:val="auto"/>
        </w:rPr>
        <w:t>In June 2022, as part of the Russell indexes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annual reconsttuton, Tango was added to the Russell 2000®, 3000® and Microcap® Indexes.</w:t>
      </w:r>
    </w:p>
    <w:p>
      <w:pPr>
        <w:spacing w:after="0" w:line="3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192" w:lineRule="exact"/>
        <w:rPr>
          <w:sz w:val="20"/>
          <w:szCs w:val="20"/>
          <w:color w:val="auto"/>
        </w:rPr>
      </w:pPr>
    </w:p>
    <w:p>
      <w:pPr>
        <w:spacing w:after="0"/>
        <w:rPr>
          <w:sz w:val="20"/>
          <w:szCs w:val="20"/>
          <w:color w:val="auto"/>
        </w:rPr>
      </w:pPr>
      <w:r>
        <w:rPr>
          <w:rFonts w:ascii="Calibri" w:cs="Calibri" w:eastAsia="Calibri" w:hAnsi="Calibri"/>
          <w:sz w:val="22"/>
          <w:szCs w:val="22"/>
          <w:color w:val="auto"/>
        </w:rPr>
        <w:t>As of June 30, 2022, the Company held $416.4 million in cash, cash equivalents and marketable securites.</w:t>
      </w:r>
    </w:p>
    <w:p>
      <w:pPr>
        <w:spacing w:after="0" w:line="201" w:lineRule="exact"/>
        <w:rPr>
          <w:sz w:val="20"/>
          <w:szCs w:val="20"/>
          <w:color w:val="auto"/>
        </w:rPr>
      </w:pPr>
    </w:p>
    <w:p>
      <w:pPr>
        <w:ind w:right="180"/>
        <w:spacing w:after="0" w:line="221" w:lineRule="auto"/>
        <w:rPr>
          <w:sz w:val="20"/>
          <w:szCs w:val="20"/>
          <w:color w:val="auto"/>
        </w:rPr>
      </w:pPr>
      <w:r>
        <w:rPr>
          <w:rFonts w:ascii="Calibri" w:cs="Calibri" w:eastAsia="Calibri" w:hAnsi="Calibri"/>
          <w:sz w:val="22"/>
          <w:szCs w:val="22"/>
          <w:color w:val="auto"/>
        </w:rPr>
        <w:t>Collaboraton revenue was $5.8 million for the three months ended June 30, 2022, compared to $7.2 million for the same period in 2021, and $11.5 million for the six months ending on June 30, 2022 compared to $13.5 million for the same period in 2021. The decrease was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5" w:name="page6"/>
    <w:bookmarkEnd w:id="5"/>
    <w:p>
      <w:pPr>
        <w:ind w:right="100" w:firstLine="49"/>
        <w:spacing w:after="0" w:line="229" w:lineRule="auto"/>
        <w:rPr>
          <w:sz w:val="20"/>
          <w:szCs w:val="20"/>
          <w:color w:val="auto"/>
        </w:rPr>
      </w:pPr>
      <w:r>
        <w:rPr>
          <w:rFonts w:ascii="Calibri" w:cs="Calibri" w:eastAsia="Calibri" w:hAnsi="Calibri"/>
          <w:sz w:val="22"/>
          <w:szCs w:val="22"/>
          <w:color w:val="auto"/>
        </w:rPr>
        <w:t>lower research costs incurred under the Gilead collaboraton during the three and six months ended June 30, 2022 resultng in lower collaboraton revenue recognized.</w:t>
      </w:r>
    </w:p>
    <w:p>
      <w:pPr>
        <w:spacing w:after="0" w:line="190" w:lineRule="exact"/>
        <w:rPr>
          <w:sz w:val="20"/>
          <w:szCs w:val="20"/>
          <w:color w:val="auto"/>
        </w:rPr>
      </w:pPr>
    </w:p>
    <w:p>
      <w:pPr>
        <w:ind w:right="220"/>
        <w:spacing w:after="0" w:line="225" w:lineRule="auto"/>
        <w:rPr>
          <w:sz w:val="20"/>
          <w:szCs w:val="20"/>
          <w:color w:val="auto"/>
        </w:rPr>
      </w:pPr>
      <w:r>
        <w:rPr>
          <w:rFonts w:ascii="Calibri" w:cs="Calibri" w:eastAsia="Calibri" w:hAnsi="Calibri"/>
          <w:sz w:val="22"/>
          <w:szCs w:val="22"/>
          <w:color w:val="auto"/>
        </w:rPr>
        <w:t>License revenue was $0 for both the three and six months ended June 30, 2022, compared to $11.0 million for both the three and six months ended June 30, 2021. The decrease of $11.0 million is primarily due to Gilead licensing a program for $11.0 million during the second quarter of 2021.</w:t>
      </w:r>
    </w:p>
    <w:p>
      <w:pPr>
        <w:spacing w:after="0" w:line="203" w:lineRule="exact"/>
        <w:rPr>
          <w:sz w:val="20"/>
          <w:szCs w:val="20"/>
          <w:color w:val="auto"/>
        </w:rPr>
      </w:pPr>
    </w:p>
    <w:p>
      <w:pPr>
        <w:ind w:right="120"/>
        <w:spacing w:after="0" w:line="223" w:lineRule="auto"/>
        <w:rPr>
          <w:sz w:val="20"/>
          <w:szCs w:val="20"/>
          <w:color w:val="auto"/>
        </w:rPr>
      </w:pPr>
      <w:r>
        <w:rPr>
          <w:rFonts w:ascii="Calibri" w:cs="Calibri" w:eastAsia="Calibri" w:hAnsi="Calibri"/>
          <w:sz w:val="22"/>
          <w:szCs w:val="22"/>
          <w:color w:val="auto"/>
        </w:rPr>
        <w:t>Research and development expenses were $23.7 million for the three months ended June 30, 2022, compared to $19.1 million for the same period in 2021, and $48.1 million for the six months ending on June 30, 2022 compared to $34.1 million for the same period in 2021. The change is primarily due to increased spend relatng to the advancement of the TNG462 and TNG260 programs and personnel-related costs.</w:t>
      </w:r>
    </w:p>
    <w:p>
      <w:pPr>
        <w:spacing w:after="0" w:line="203" w:lineRule="exact"/>
        <w:rPr>
          <w:sz w:val="20"/>
          <w:szCs w:val="20"/>
          <w:color w:val="auto"/>
        </w:rPr>
      </w:pPr>
    </w:p>
    <w:p>
      <w:pPr>
        <w:ind w:right="60"/>
        <w:spacing w:after="0" w:line="225" w:lineRule="auto"/>
        <w:rPr>
          <w:sz w:val="20"/>
          <w:szCs w:val="20"/>
          <w:color w:val="auto"/>
        </w:rPr>
      </w:pPr>
      <w:r>
        <w:rPr>
          <w:rFonts w:ascii="Calibri" w:cs="Calibri" w:eastAsia="Calibri" w:hAnsi="Calibri"/>
          <w:sz w:val="22"/>
          <w:szCs w:val="22"/>
          <w:color w:val="auto"/>
        </w:rPr>
        <w:t>General and administratve expenses were $7.2 million for the three months ended June 30, 2022, compared to $3.6 million for the same period in 2021, and $14.0 million for the six months ending on June 30, 2022 compared to $7.1 million for the same period in 2021. The change was primarily due to increases in personnel-related costs.</w:t>
      </w:r>
    </w:p>
    <w:p>
      <w:pPr>
        <w:spacing w:after="0" w:line="190" w:lineRule="exact"/>
        <w:rPr>
          <w:sz w:val="20"/>
          <w:szCs w:val="20"/>
          <w:color w:val="auto"/>
        </w:rPr>
      </w:pPr>
    </w:p>
    <w:p>
      <w:pPr>
        <w:ind w:right="260"/>
        <w:spacing w:after="0" w:line="225" w:lineRule="auto"/>
        <w:rPr>
          <w:sz w:val="20"/>
          <w:szCs w:val="20"/>
          <w:color w:val="auto"/>
        </w:rPr>
      </w:pPr>
      <w:r>
        <w:rPr>
          <w:rFonts w:ascii="Calibri" w:cs="Calibri" w:eastAsia="Calibri" w:hAnsi="Calibri"/>
          <w:sz w:val="22"/>
          <w:szCs w:val="22"/>
          <w:color w:val="auto"/>
        </w:rPr>
        <w:t>Net loss for the three months ended June 30, 2022 was $24.9 million, or $ 0.28 per share, compared to a net loss of $4.5 million, or $0.09 per share, in the same period in 2021. Net loss for the six months ended June 30, 2022 was $50.1 million, or $0.57 per share, compared to a net loss of $16.6 million, or $0.37 per share, in the same period in 2021.</w:t>
      </w:r>
    </w:p>
    <w:p>
      <w:pPr>
        <w:spacing w:after="0" w:line="39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01" w:lineRule="exact"/>
        <w:rPr>
          <w:sz w:val="20"/>
          <w:szCs w:val="20"/>
          <w:color w:val="auto"/>
        </w:rPr>
      </w:pPr>
    </w:p>
    <w:p>
      <w:pPr>
        <w:spacing w:after="0" w:line="232" w:lineRule="auto"/>
        <w:rPr>
          <w:sz w:val="20"/>
          <w:szCs w:val="20"/>
          <w:color w:val="auto"/>
        </w:rPr>
      </w:pPr>
      <w:r>
        <w:rPr>
          <w:rFonts w:ascii="Calibri" w:cs="Calibri" w:eastAsia="Calibri" w:hAnsi="Calibri"/>
          <w:sz w:val="21"/>
          <w:szCs w:val="21"/>
          <w:color w:val="auto"/>
        </w:rPr>
        <w:t>Tango Therapeutcs is a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19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01" w:lineRule="exact"/>
        <w:rPr>
          <w:sz w:val="20"/>
          <w:szCs w:val="20"/>
          <w:color w:val="auto"/>
        </w:rPr>
      </w:pPr>
    </w:p>
    <w:p>
      <w:pPr>
        <w:spacing w:after="0" w:line="232" w:lineRule="auto"/>
        <w:rPr>
          <w:sz w:val="20"/>
          <w:szCs w:val="20"/>
          <w:color w:val="auto"/>
        </w:rPr>
      </w:pPr>
      <w:r>
        <w:rPr>
          <w:rFonts w:ascii="Calibri" w:cs="Calibri" w:eastAsia="Calibri" w:hAnsi="Calibri"/>
          <w:sz w:val="21"/>
          <w:szCs w:val="21"/>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expectatons, beliefs and development objectves for Tango’s product pipeline and clinical trials. In some cases, you can identfy forward-looking statements by terminology such as “may”, “should”, “expect”, “intend”, “will”, “goal”, “estmate”, “antcipate”, “believe”, “predict”, “potental” or “contnue”, or the negatves of these terms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6" w:name="page7"/>
    <w:bookmarkEnd w:id="6"/>
    <w:p>
      <w:pPr>
        <w:spacing w:after="0"/>
        <w:rPr>
          <w:sz w:val="20"/>
          <w:szCs w:val="20"/>
          <w:color w:val="auto"/>
        </w:rPr>
      </w:pPr>
      <w:r>
        <w:rPr>
          <w:rFonts w:ascii="Calibri" w:cs="Calibri" w:eastAsia="Calibri" w:hAnsi="Calibri"/>
          <w:sz w:val="21"/>
          <w:szCs w:val="21"/>
          <w:color w:val="auto"/>
        </w:rPr>
        <w:t>variatons of them or similar terminology. For example, statements concerning the following include or consttute forward-looking statements: patents being actvely enrolled in the TNG908 Phase 1/2 clinical trial; the Company remains confdent in its ability to advance its programs through the clinic; the Company is contnuing to successfully advance the lead PRMT5 inhibitor program; the Company expects to have inital safety and efcacy data in connecton with the TNG908 Phase 1/2 clinical trial in the 1H 2023; Tango expects to advance TNG462 and TNG260 towards IND submission in the frst half of 2023; the Company plans to fle an INDs for TNG462 and TNG260 in the frst half of 2023; the clinical development path for TNG462 is expected to be similar to TNG908; the indicatons expected to be included in Company clinical trials; the potental applicability of synthetc lethal drugs targetng across a range of cancer types, including TNG908 and the USP1 program; expectatons regarding progressing Company development candidates in 2022 and beyond; the expected benefts of TNG908 and the Company's other development candidates and other product candidates; and the expected tming of: (i) development candidate declaraton for certain targets, (ii) initatng IND-enabling studies; (iii) fling INDs; (iv) clinical trial initaton and (v) disclosing inital and fnal clinical trial results. Such forward-looking statements are subject to risks, uncertaintes, and other factors which could cause actual results to difer materially from those expressed or implied by such forward 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Tango has limited experience conductng clinical trials (and will rely on a third party to operate the clinical trial for TNG908) and may not be able to commence the clinical trial (including opening clinical trial sites and enrolling and dosing an adequate number of clinical trial partcipants) when expected and may not generate results (including fnal or inital safety and efcacy data) in the antcipated tmeframe (or at all); benefts of product candidates seen in preclinical analyses may not be evident when tested in clinical trials or when used in broader patent populatons (if approved for commercial sale); the benefts of Tango pipeline products, development candidates and potental combinaton therapies that are seen in pre-clinical experiments may not be present in clinical trials or in use commercially or may not be safe and/or efectve in humans; Tango has a limited operatng history and has not generated any revenue to date from drug sales, and may never become proftable;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we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fast track designaton (and such designaton may not advance any antcipated approval tmelines); Tango’s approach to the discovery and development of product candidates is novel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7" w:name="page8"/>
    <w:bookmarkEnd w:id="7"/>
    <w:p>
      <w:pPr>
        <w:spacing w:after="0" w:line="222" w:lineRule="auto"/>
        <w:rPr>
          <w:sz w:val="20"/>
          <w:szCs w:val="20"/>
          <w:color w:val="auto"/>
        </w:rPr>
      </w:pPr>
      <w:r>
        <w:rPr>
          <w:rFonts w:ascii="Calibri" w:cs="Calibri" w:eastAsia="Calibri" w:hAnsi="Calibri"/>
          <w:sz w:val="22"/>
          <w:szCs w:val="22"/>
          <w:color w:val="auto"/>
        </w:rPr>
        <w:t>and unproven, which makes it difcult to predict the tme, cost of development, and likelihood of successfully developing any products;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our products candidates may cause adverse or other undesirable side efects (or may not show requisite efcacy) that could, among other things, delay or prevent regulatory approval; our dependence on third partes for conductng clinical trials and producing drug product; our ability to obtain and maintain patent and other intellectual property protecton for our technology and product candidates or the scope of intellectual property protecton obtained is not sufciently broad; and delays and other impacts on product development and clinical trials from the COVID-19 pandemic. Additonal informaton concerning risks, uncertaintes and assumptons can be found in Tango’s flings with the SEC, including the risk factors referenced in Tango’s Annual Report on Form 10-K for the fscal year ended December 31, 2021, as supplemented and/or modifed by its most recent Quarterly Report on Form 10-Q. You should not place undue reliance on forward-looking statements in this presentaton, which speak only as of the date they are made and are qualifed in their entrety by reference to the cautonary statements herein. Tango specifcally disclaims any duty to update these forward-looking statements.</w:t>
      </w:r>
    </w:p>
    <w:p>
      <w:pPr>
        <w:spacing w:after="0" w:line="19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217" w:lineRule="auto"/>
        <w:rPr>
          <w:sz w:val="20"/>
          <w:szCs w:val="20"/>
          <w:color w:val="auto"/>
        </w:rPr>
      </w:pPr>
      <w:r>
        <w:rPr>
          <w:rFonts w:ascii="Calibri" w:cs="Calibri" w:eastAsia="Calibri" w:hAnsi="Calibri"/>
          <w:sz w:val="22"/>
          <w:szCs w:val="22"/>
          <w:color w:val="auto"/>
        </w:rPr>
        <w:t>Sam Martn/Andrew Vulis</w:t>
      </w:r>
    </w:p>
    <w:p>
      <w:pPr>
        <w:spacing w:after="0" w:line="227" w:lineRule="auto"/>
        <w:rPr>
          <w:sz w:val="20"/>
          <w:szCs w:val="20"/>
          <w:color w:val="auto"/>
        </w:rPr>
      </w:pPr>
      <w:r>
        <w:rPr>
          <w:rFonts w:ascii="Calibri" w:cs="Calibri" w:eastAsia="Calibri" w:hAnsi="Calibri"/>
          <w:sz w:val="22"/>
          <w:szCs w:val="22"/>
          <w:color w:val="auto"/>
        </w:rPr>
        <w:t>Argot Partners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tango@argotpartners.com</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215" w:lineRule="auto"/>
        <w:rPr>
          <w:sz w:val="20"/>
          <w:szCs w:val="20"/>
          <w:color w:val="auto"/>
        </w:rPr>
      </w:pPr>
      <w:r>
        <w:rPr>
          <w:rFonts w:ascii="Calibri" w:cs="Calibri" w:eastAsia="Calibri" w:hAnsi="Calibri"/>
          <w:sz w:val="22"/>
          <w:szCs w:val="22"/>
          <w:color w:val="auto"/>
        </w:rPr>
        <w:t>Joshua R. Mansbach</w:t>
      </w:r>
    </w:p>
    <w:p>
      <w:pPr>
        <w:spacing w:after="0" w:line="231" w:lineRule="auto"/>
        <w:rPr>
          <w:sz w:val="20"/>
          <w:szCs w:val="20"/>
          <w:color w:val="auto"/>
        </w:rPr>
      </w:pPr>
      <w:r>
        <w:rPr>
          <w:rFonts w:ascii="Calibri" w:cs="Calibri" w:eastAsia="Calibri" w:hAnsi="Calibri"/>
          <w:sz w:val="22"/>
          <w:szCs w:val="22"/>
          <w:color w:val="auto"/>
        </w:rPr>
        <w:t>Argot Partners</w:t>
      </w:r>
    </w:p>
    <w:p>
      <w:pPr>
        <w:spacing w:after="0"/>
        <w:rPr>
          <w:sz w:val="20"/>
          <w:szCs w:val="20"/>
          <w:color w:val="auto"/>
        </w:rPr>
      </w:pPr>
      <w:r>
        <w:rPr>
          <w:rFonts w:ascii="Times New Roman" w:cs="Times New Roman" w:eastAsia="Times New Roman" w:hAnsi="Times New Roman"/>
          <w:sz w:val="20"/>
          <w:szCs w:val="20"/>
          <w:color w:val="auto"/>
        </w:rPr>
        <w:t>tango@argotpartners.com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jc w:val="center"/>
        <w:spacing w:after="0" w:line="217" w:lineRule="auto"/>
        <w:rPr>
          <w:sz w:val="20"/>
          <w:szCs w:val="20"/>
          <w:color w:val="auto"/>
        </w:rPr>
      </w:pPr>
      <w:r>
        <w:rPr>
          <w:rFonts w:ascii="Calibri" w:cs="Calibri" w:eastAsia="Calibri" w:hAnsi="Calibri"/>
          <w:sz w:val="22"/>
          <w:szCs w:val="22"/>
          <w:b w:val="1"/>
          <w:bCs w:val="1"/>
          <w:color w:val="auto"/>
        </w:rPr>
        <w:t>(In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5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10"/>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8"/>
                <w:szCs w:val="18"/>
                <w:color w:val="auto"/>
              </w:rPr>
            </w:pPr>
          </w:p>
        </w:tc>
      </w:tr>
      <w:tr>
        <w:trPr>
          <w:trHeight w:val="210"/>
        </w:trPr>
        <w:tc>
          <w:tcPr>
            <w:tcW w:w="5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(25,202 )</w:t>
            </w:r>
          </w:p>
        </w:tc>
        <w:tc>
          <w:tcPr>
            <w:tcW w:w="24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(4,556 )</w:t>
            </w:r>
          </w:p>
        </w:tc>
        <w:tc>
          <w:tcPr>
            <w:tcW w:w="2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(50,581 )</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(16,637 )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(62 )</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09"/>
        </w:trPr>
        <w:tc>
          <w:tcPr>
            <w:tcW w:w="5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FF0FC"/>
            </w:tcBorders>
          </w:tcPr>
          <w:p>
            <w:pPr>
              <w:spacing w:after="0"/>
              <w:rPr>
                <w:sz w:val="18"/>
                <w:szCs w:val="18"/>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09"/>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(0.09 )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(0.37 )</w:t>
            </w:r>
          </w:p>
        </w:tc>
      </w:tr>
      <w:tr>
        <w:trPr>
          <w:trHeight w:val="171"/>
        </w:trPr>
        <w:tc>
          <w:tcPr>
            <w:tcW w:w="56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basic and diluted</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87,839,804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48,524,511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87,775,440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45,088,434</w:t>
            </w:r>
          </w:p>
        </w:tc>
        <w:tc>
          <w:tcPr>
            <w:tcW w:w="100" w:type="dxa"/>
            <w:vAlign w:val="bottom"/>
          </w:tcPr>
          <w:p>
            <w:pPr>
              <w:spacing w:after="0"/>
              <w:rPr>
                <w:sz w:val="20"/>
                <w:szCs w:val="20"/>
                <w:color w:val="auto"/>
              </w:rPr>
            </w:pPr>
          </w:p>
        </w:tc>
      </w:tr>
      <w:tr>
        <w:trPr>
          <w:trHeight w:val="2801"/>
        </w:trPr>
        <w:tc>
          <w:tcPr>
            <w:tcW w:w="5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-4028440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-4028440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-4028440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-3462655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-3462655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-3462655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-2905125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-2905125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-2905125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-2331085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-2331085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-2331085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jc w:val="center"/>
        <w:spacing w:after="0" w:line="217" w:lineRule="auto"/>
        <w:rPr>
          <w:sz w:val="20"/>
          <w:szCs w:val="20"/>
          <w:color w:val="auto"/>
        </w:rPr>
      </w:pPr>
      <w:r>
        <w:rPr>
          <w:rFonts w:ascii="Calibri" w:cs="Calibri" w:eastAsia="Calibri" w:hAnsi="Calibri"/>
          <w:sz w:val="22"/>
          <w:szCs w:val="22"/>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104,582</w:t>
            </w:r>
          </w:p>
        </w:tc>
        <w:tc>
          <w:tcPr>
            <w:tcW w:w="5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311,774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436,085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06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448,399</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44,684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105,011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149,695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298,704</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6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448,399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00"/>
        </w:trPr>
        <w:tc>
          <w:tcPr>
            <w:tcW w:w="7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-2733675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-1945640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-367665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endash "/>
      <w:numFmt w:val="bullet"/>
      <w:start w:val="1"/>
    </w:lvl>
    <w:lvl w:ilvl="1">
      <w:lvlJc w:val="left"/>
      <w:lvlText w:val="\endash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2022-08-10T06:11:49Z</dcterms:created>
  <dcterms:modified xsi:type="dcterms:W3CDTF">2022-08-10T06:11:49Z</dcterms:modified>
</cp:coreProperties>
</file>