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88265</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112395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June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231775</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231775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1160" w:type="dxa"/>
        <w:tblCellMar>
          <w:top w:w="0" w:type="dxa"/>
          <w:left w:w="0" w:type="dxa"/>
          <w:bottom w:w="0" w:type="dxa"/>
          <w:right w:w="0" w:type="dxa"/>
        </w:tblCellMar>
      </w:tblPr>
      <w:tr>
        <w:trPr>
          <w:trHeight w:val="185"/>
        </w:trPr>
        <w:tc>
          <w:tcPr>
            <w:tcW w:w="1800" w:type="dxa"/>
            <w:vAlign w:val="bottom"/>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44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1460" w:type="dxa"/>
            <w:vAlign w:val="bottom"/>
          </w:tcPr>
          <w:p>
            <w:pPr>
              <w:jc w:val="center"/>
              <w:ind w:left="41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42"/>
        </w:trPr>
        <w:tc>
          <w:tcPr>
            <w:tcW w:w="1800" w:type="dxa"/>
            <w:vAlign w:val="bottom"/>
          </w:tcPr>
          <w:p>
            <w:pPr>
              <w:jc w:val="center"/>
              <w:ind w:right="311"/>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5440" w:type="dxa"/>
            <w:vAlign w:val="bottom"/>
          </w:tcPr>
          <w:p>
            <w:pPr>
              <w:jc w:val="center"/>
              <w:ind w:right="27"/>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(Commission</w:t>
            </w:r>
          </w:p>
        </w:tc>
        <w:tc>
          <w:tcPr>
            <w:tcW w:w="1460" w:type="dxa"/>
            <w:vAlign w:val="bottom"/>
          </w:tcPr>
          <w:p>
            <w:pPr>
              <w:jc w:val="center"/>
              <w:ind w:left="411"/>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3"/>
        </w:trPr>
        <w:tc>
          <w:tcPr>
            <w:tcW w:w="1800" w:type="dxa"/>
            <w:vAlign w:val="bottom"/>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544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1460" w:type="dxa"/>
            <w:vAlign w:val="bottom"/>
          </w:tcPr>
          <w:p>
            <w:pPr>
              <w:jc w:val="center"/>
              <w:ind w:left="41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65"/>
        </w:trPr>
        <w:tc>
          <w:tcPr>
            <w:tcW w:w="1800" w:type="dxa"/>
            <w:vAlign w:val="bottom"/>
          </w:tcPr>
          <w:p>
            <w:pPr>
              <w:spacing w:after="0"/>
              <w:rPr>
                <w:sz w:val="24"/>
                <w:szCs w:val="24"/>
                <w:color w:val="auto"/>
              </w:rPr>
            </w:pPr>
          </w:p>
        </w:tc>
        <w:tc>
          <w:tcPr>
            <w:tcW w:w="54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100 Binney St, Suite700</w:t>
            </w:r>
          </w:p>
        </w:tc>
        <w:tc>
          <w:tcPr>
            <w:tcW w:w="1460" w:type="dxa"/>
            <w:vAlign w:val="bottom"/>
          </w:tcPr>
          <w:p>
            <w:pPr>
              <w:spacing w:after="0"/>
              <w:rPr>
                <w:sz w:val="24"/>
                <w:szCs w:val="24"/>
                <w:color w:val="auto"/>
              </w:rPr>
            </w:pPr>
          </w:p>
        </w:tc>
      </w:tr>
      <w:tr>
        <w:trPr>
          <w:trHeight w:val="185"/>
        </w:trPr>
        <w:tc>
          <w:tcPr>
            <w:tcW w:w="1800" w:type="dxa"/>
            <w:vAlign w:val="bottom"/>
          </w:tcPr>
          <w:p>
            <w:pPr>
              <w:spacing w:after="0"/>
              <w:rPr>
                <w:sz w:val="16"/>
                <w:szCs w:val="16"/>
                <w:color w:val="auto"/>
              </w:rPr>
            </w:pPr>
          </w:p>
        </w:tc>
        <w:tc>
          <w:tcPr>
            <w:tcW w:w="544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Cambridge, MA 02142</w:t>
            </w:r>
          </w:p>
        </w:tc>
        <w:tc>
          <w:tcPr>
            <w:tcW w:w="1460" w:type="dxa"/>
            <w:vAlign w:val="bottom"/>
          </w:tcPr>
          <w:p>
            <w:pPr>
              <w:spacing w:after="0"/>
              <w:rPr>
                <w:sz w:val="16"/>
                <w:szCs w:val="16"/>
                <w:color w:val="auto"/>
              </w:rPr>
            </w:pPr>
          </w:p>
        </w:tc>
      </w:tr>
      <w:tr>
        <w:trPr>
          <w:trHeight w:val="166"/>
        </w:trPr>
        <w:tc>
          <w:tcPr>
            <w:tcW w:w="1800" w:type="dxa"/>
            <w:vAlign w:val="bottom"/>
          </w:tcPr>
          <w:p>
            <w:pPr>
              <w:spacing w:after="0"/>
              <w:rPr>
                <w:sz w:val="14"/>
                <w:szCs w:val="14"/>
                <w:color w:val="auto"/>
              </w:rPr>
            </w:pPr>
          </w:p>
        </w:tc>
        <w:tc>
          <w:tcPr>
            <w:tcW w:w="544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1460" w:type="dxa"/>
            <w:vAlign w:val="bottom"/>
          </w:tcPr>
          <w:p>
            <w:pPr>
              <w:spacing w:after="0"/>
              <w:rPr>
                <w:sz w:val="14"/>
                <w:szCs w:val="14"/>
                <w:color w:val="auto"/>
              </w:rPr>
            </w:pPr>
          </w:p>
        </w:tc>
      </w:tr>
      <w:tr>
        <w:trPr>
          <w:trHeight w:val="401"/>
        </w:trPr>
        <w:tc>
          <w:tcPr>
            <w:tcW w:w="1800" w:type="dxa"/>
            <w:vAlign w:val="bottom"/>
          </w:tcPr>
          <w:p>
            <w:pPr>
              <w:spacing w:after="0"/>
              <w:rPr>
                <w:sz w:val="24"/>
                <w:szCs w:val="24"/>
                <w:color w:val="auto"/>
              </w:rPr>
            </w:pPr>
          </w:p>
        </w:tc>
        <w:tc>
          <w:tcPr>
            <w:tcW w:w="54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89535</wp:posOffset>
            </wp:positionV>
            <wp:extent cx="1517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 w:lineRule="exact"/>
        <w:rPr>
          <w:rFonts w:ascii="MS PGothic" w:cs="MS PGothic" w:eastAsia="MS PGothic" w:hAnsi="MS PGothic"/>
          <w:sz w:val="16"/>
          <w:szCs w:val="16"/>
          <w:color w:val="auto"/>
        </w:rPr>
      </w:pPr>
    </w:p>
    <w:p>
      <w:pPr>
        <w:ind w:left="200" w:hanging="192"/>
        <w:spacing w:after="0" w:line="228" w:lineRule="auto"/>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34"/>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100" w:type="dxa"/>
            <w:vAlign w:val="bottom"/>
          </w:tcPr>
          <w:p>
            <w:pPr>
              <w:spacing w:after="0"/>
              <w:rPr>
                <w:sz w:val="11"/>
                <w:szCs w:val="11"/>
                <w:color w:val="auto"/>
              </w:rPr>
            </w:pPr>
          </w:p>
        </w:tc>
        <w:tc>
          <w:tcPr>
            <w:tcW w:w="360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7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192" w:lineRule="exact"/>
        <w:rPr>
          <w:sz w:val="24"/>
          <w:szCs w:val="24"/>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125" w:lineRule="exact"/>
        <w:rPr>
          <w:sz w:val="24"/>
          <w:szCs w:val="24"/>
          <w:color w:val="auto"/>
        </w:rPr>
      </w:pPr>
    </w:p>
    <w:p>
      <w:pPr>
        <w:ind w:left="9320"/>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234" w:lineRule="exact"/>
        <w:rPr>
          <w:sz w:val="24"/>
          <w:szCs w:val="24"/>
          <w:color w:val="auto"/>
        </w:r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The 2022 annual meeting of stockholders (the “Annual Meeting”) of Tango Therapeutics, Inc. (the “Company”) was held in a virtual-only format on June 8, 2022 at 10:00 a.m., Eastern Time via live webcast. Proxies were solicited pursuant to the Company’s proxy statement filed on April 26, 2022 with the Securities and Exchange Commission under Section 14(a) of the Securities Exchange Act of 1934, as amended (the “Proxy Statement”). As of April 11, 2022, the record date for the Annual Meeting, the number of shares of the Company’s common stock, $0.001 par value per share (“Common Stock”), outstanding and entitled to vote at the Annual Meeting was 87,712,630. The number of shares of Common Stock present or represented by valid proxy at the Annual Meeting was 81,740,796, representing 93.19% of the total number of shares of Common Stock entitled to vote at the Annual Meeting, thus establishing a quorum for the Annual Meeting. Shares present virtually during the Annual Meeting were considered shares of Common Stock represented in person at the Annual Meeting. Each share of Common Stock was entitled to one vote with respect to matters submitted to the Company’s stockholders at the Annual Meeting.</w:t>
      </w:r>
    </w:p>
    <w:p>
      <w:pPr>
        <w:spacing w:after="0" w:line="17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At the Annual Meeting, the Company’s stockholders were asked to vote on the following matters, which are described in detail in the Proxy Statement: (i) to elect two Class I director nominees to the Company’s Board of Directors (the “Board”), each to hold office until the 2025 annual meeting of stockholders and until his or her successor is duly elected and qualified, or until his or her earlier resignation or removal (“Proposal 1”), and (ii) to ratify the selection of PricewaterhouseCoopers, LLP as the Company’s independent registered public accounting firm for the fiscal year ending December 31, 2022 (“Proposal 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voting results reported below are final.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 xml:space="preserve">Proposal 1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u w:val="single" w:color="auto"/>
          <w:color w:val="auto"/>
        </w:rPr>
        <w:t xml:space="preserve"> Election of Directors</w:t>
      </w:r>
    </w:p>
    <w:p>
      <w:pPr>
        <w:spacing w:after="0" w:line="220"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Lesley Ann Calhoun and Reid Huber were duly elected to the Company’s Board as Class I directors. The results of the election were as follows: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3680" w:type="dxa"/>
            <w:vAlign w:val="bottom"/>
          </w:tcPr>
          <w:p>
            <w:pPr>
              <w:spacing w:after="0"/>
              <w:rPr>
                <w:sz w:val="20"/>
                <w:szCs w:val="20"/>
                <w:color w:val="auto"/>
              </w:rPr>
            </w:pPr>
            <w:r>
              <w:rPr>
                <w:rFonts w:ascii="Times New Roman" w:cs="Times New Roman" w:eastAsia="Times New Roman" w:hAnsi="Times New Roman"/>
                <w:sz w:val="19"/>
                <w:szCs w:val="19"/>
                <w:b w:val="1"/>
                <w:bCs w:val="1"/>
                <w:u w:val="single" w:color="auto"/>
                <w:color w:val="auto"/>
              </w:rPr>
              <w:t>CLASS I DIRECTOR NOMINEE</w:t>
            </w:r>
          </w:p>
        </w:tc>
        <w:tc>
          <w:tcPr>
            <w:tcW w:w="2520" w:type="dxa"/>
            <w:vAlign w:val="bottom"/>
          </w:tcPr>
          <w:p>
            <w:pPr>
              <w:jc w:val="center"/>
              <w:ind w:left="66"/>
              <w:spacing w:after="0"/>
              <w:rPr>
                <w:sz w:val="20"/>
                <w:szCs w:val="20"/>
                <w:color w:val="auto"/>
              </w:rPr>
            </w:pPr>
            <w:r>
              <w:rPr>
                <w:rFonts w:ascii="Times New Roman" w:cs="Times New Roman" w:eastAsia="Times New Roman" w:hAnsi="Times New Roman"/>
                <w:sz w:val="19"/>
                <w:szCs w:val="19"/>
                <w:b w:val="1"/>
                <w:bCs w:val="1"/>
                <w:u w:val="single" w:color="auto"/>
                <w:color w:val="auto"/>
                <w:w w:val="99"/>
              </w:rPr>
              <w:t>FOR</w:t>
            </w:r>
          </w:p>
        </w:tc>
        <w:tc>
          <w:tcPr>
            <w:tcW w:w="2240" w:type="dxa"/>
            <w:vAlign w:val="bottom"/>
          </w:tcPr>
          <w:p>
            <w:pPr>
              <w:jc w:val="center"/>
              <w:ind w:left="226"/>
              <w:spacing w:after="0"/>
              <w:rPr>
                <w:sz w:val="20"/>
                <w:szCs w:val="20"/>
                <w:color w:val="auto"/>
              </w:rPr>
            </w:pPr>
            <w:r>
              <w:rPr>
                <w:rFonts w:ascii="Times New Roman" w:cs="Times New Roman" w:eastAsia="Times New Roman" w:hAnsi="Times New Roman"/>
                <w:sz w:val="19"/>
                <w:szCs w:val="19"/>
                <w:b w:val="1"/>
                <w:bCs w:val="1"/>
                <w:u w:val="single" w:color="auto"/>
                <w:color w:val="auto"/>
              </w:rPr>
              <w:t>WITHHELD</w:t>
            </w:r>
          </w:p>
        </w:tc>
        <w:tc>
          <w:tcPr>
            <w:tcW w:w="2420" w:type="dxa"/>
            <w:vAlign w:val="bottom"/>
          </w:tcPr>
          <w:p>
            <w:pPr>
              <w:jc w:val="center"/>
              <w:ind w:left="346"/>
              <w:spacing w:after="0"/>
              <w:rPr>
                <w:sz w:val="20"/>
                <w:szCs w:val="20"/>
                <w:color w:val="auto"/>
              </w:rPr>
            </w:pPr>
            <w:r>
              <w:rPr>
                <w:rFonts w:ascii="Times New Roman" w:cs="Times New Roman" w:eastAsia="Times New Roman" w:hAnsi="Times New Roman"/>
                <w:sz w:val="19"/>
                <w:szCs w:val="19"/>
                <w:b w:val="1"/>
                <w:bCs w:val="1"/>
                <w:u w:val="single" w:color="auto"/>
                <w:color w:val="auto"/>
                <w:w w:val="98"/>
              </w:rPr>
              <w:t>BROKER NON-VOTES</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Lesley Ann Calhoun</w:t>
            </w:r>
          </w:p>
        </w:tc>
        <w:tc>
          <w:tcPr>
            <w:tcW w:w="2520" w:type="dxa"/>
            <w:vAlign w:val="bottom"/>
          </w:tcPr>
          <w:p>
            <w:pPr>
              <w:jc w:val="center"/>
              <w:ind w:left="66"/>
              <w:spacing w:after="0"/>
              <w:rPr>
                <w:sz w:val="20"/>
                <w:szCs w:val="20"/>
                <w:color w:val="auto"/>
              </w:rPr>
            </w:pPr>
            <w:r>
              <w:rPr>
                <w:rFonts w:ascii="Times New Roman" w:cs="Times New Roman" w:eastAsia="Times New Roman" w:hAnsi="Times New Roman"/>
                <w:sz w:val="19"/>
                <w:szCs w:val="19"/>
                <w:color w:val="auto"/>
                <w:w w:val="98"/>
              </w:rPr>
              <w:t>74,549,730</w:t>
            </w:r>
          </w:p>
        </w:tc>
        <w:tc>
          <w:tcPr>
            <w:tcW w:w="2240" w:type="dxa"/>
            <w:vAlign w:val="bottom"/>
          </w:tcPr>
          <w:p>
            <w:pPr>
              <w:jc w:val="center"/>
              <w:ind w:left="226"/>
              <w:spacing w:after="0"/>
              <w:rPr>
                <w:sz w:val="20"/>
                <w:szCs w:val="20"/>
                <w:color w:val="auto"/>
              </w:rPr>
            </w:pPr>
            <w:r>
              <w:rPr>
                <w:rFonts w:ascii="Times New Roman" w:cs="Times New Roman" w:eastAsia="Times New Roman" w:hAnsi="Times New Roman"/>
                <w:sz w:val="19"/>
                <w:szCs w:val="19"/>
                <w:color w:val="auto"/>
                <w:w w:val="99"/>
              </w:rPr>
              <w:t>2,532,608</w:t>
            </w:r>
          </w:p>
        </w:tc>
        <w:tc>
          <w:tcPr>
            <w:tcW w:w="2420" w:type="dxa"/>
            <w:vAlign w:val="bottom"/>
          </w:tcPr>
          <w:p>
            <w:pPr>
              <w:jc w:val="center"/>
              <w:ind w:left="326"/>
              <w:spacing w:after="0"/>
              <w:rPr>
                <w:sz w:val="20"/>
                <w:szCs w:val="20"/>
                <w:color w:val="auto"/>
              </w:rPr>
            </w:pPr>
            <w:r>
              <w:rPr>
                <w:rFonts w:ascii="Times New Roman" w:cs="Times New Roman" w:eastAsia="Times New Roman" w:hAnsi="Times New Roman"/>
                <w:sz w:val="19"/>
                <w:szCs w:val="19"/>
                <w:color w:val="auto"/>
                <w:w w:val="99"/>
              </w:rPr>
              <w:t>4,658,458</w:t>
            </w:r>
          </w:p>
        </w:tc>
      </w:tr>
      <w:tr>
        <w:trPr>
          <w:trHeight w:val="244"/>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Reid Huber</w:t>
            </w:r>
          </w:p>
        </w:tc>
        <w:tc>
          <w:tcPr>
            <w:tcW w:w="2520" w:type="dxa"/>
            <w:vAlign w:val="bottom"/>
          </w:tcPr>
          <w:p>
            <w:pPr>
              <w:jc w:val="center"/>
              <w:ind w:left="66"/>
              <w:spacing w:after="0"/>
              <w:rPr>
                <w:sz w:val="20"/>
                <w:szCs w:val="20"/>
                <w:color w:val="auto"/>
              </w:rPr>
            </w:pPr>
            <w:r>
              <w:rPr>
                <w:rFonts w:ascii="Times New Roman" w:cs="Times New Roman" w:eastAsia="Times New Roman" w:hAnsi="Times New Roman"/>
                <w:sz w:val="19"/>
                <w:szCs w:val="19"/>
                <w:color w:val="auto"/>
                <w:w w:val="98"/>
              </w:rPr>
              <w:t>74,547,606</w:t>
            </w:r>
          </w:p>
        </w:tc>
        <w:tc>
          <w:tcPr>
            <w:tcW w:w="2240" w:type="dxa"/>
            <w:vAlign w:val="bottom"/>
          </w:tcPr>
          <w:p>
            <w:pPr>
              <w:jc w:val="center"/>
              <w:ind w:left="226"/>
              <w:spacing w:after="0"/>
              <w:rPr>
                <w:sz w:val="20"/>
                <w:szCs w:val="20"/>
                <w:color w:val="auto"/>
              </w:rPr>
            </w:pPr>
            <w:r>
              <w:rPr>
                <w:rFonts w:ascii="Times New Roman" w:cs="Times New Roman" w:eastAsia="Times New Roman" w:hAnsi="Times New Roman"/>
                <w:sz w:val="19"/>
                <w:szCs w:val="19"/>
                <w:color w:val="auto"/>
                <w:w w:val="99"/>
              </w:rPr>
              <w:t>2,534,732</w:t>
            </w:r>
          </w:p>
        </w:tc>
        <w:tc>
          <w:tcPr>
            <w:tcW w:w="2420" w:type="dxa"/>
            <w:vAlign w:val="bottom"/>
          </w:tcPr>
          <w:p>
            <w:pPr>
              <w:jc w:val="center"/>
              <w:ind w:left="326"/>
              <w:spacing w:after="0"/>
              <w:rPr>
                <w:sz w:val="20"/>
                <w:szCs w:val="20"/>
                <w:color w:val="auto"/>
              </w:rPr>
            </w:pPr>
            <w:r>
              <w:rPr>
                <w:rFonts w:ascii="Times New Roman" w:cs="Times New Roman" w:eastAsia="Times New Roman" w:hAnsi="Times New Roman"/>
                <w:sz w:val="19"/>
                <w:szCs w:val="19"/>
                <w:color w:val="auto"/>
                <w:w w:val="99"/>
              </w:rPr>
              <w:t>4,658,458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7134225" cy="473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47371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 xml:space="preserve">Proposal 2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u w:val="single" w:color="auto"/>
          <w:color w:val="auto"/>
        </w:rPr>
        <w:t xml:space="preserve"> Ratify the Selection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selection of PricewaterhouseCoopers, LLP as the Company’s independent registered public accounting firm for the fiscal year ending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was ratified. The results of the ratification were as follows: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3720" w:type="dxa"/>
            <w:vAlign w:val="bottom"/>
            <w:tcBorders>
              <w:top w:val="single" w:sz="8" w:color="auto"/>
              <w:left w:val="single" w:sz="8" w:color="auto"/>
              <w:right w:val="single" w:sz="8" w:color="auto"/>
            </w:tcBorders>
            <w:gridSpan w:val="3"/>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440" w:type="dxa"/>
            <w:vAlign w:val="bottom"/>
            <w:tcBorders>
              <w:top w:val="single" w:sz="8" w:color="auto"/>
            </w:tcBorders>
          </w:tcPr>
          <w:p>
            <w:pPr>
              <w:spacing w:after="0"/>
              <w:rPr>
                <w:sz w:val="16"/>
                <w:szCs w:val="16"/>
                <w:color w:val="auto"/>
              </w:rPr>
            </w:pPr>
          </w:p>
        </w:tc>
        <w:tc>
          <w:tcPr>
            <w:tcW w:w="2260" w:type="dxa"/>
            <w:vAlign w:val="bottom"/>
            <w:tcBorders>
              <w:top w:val="single" w:sz="8" w:color="auto"/>
              <w:right w:val="single" w:sz="8" w:color="auto"/>
            </w:tcBorders>
            <w:gridSpan w:val="2"/>
          </w:tcPr>
          <w:p>
            <w:pPr>
              <w:jc w:val="center"/>
              <w:ind w:right="1440"/>
              <w:spacing w:after="0" w:line="192" w:lineRule="exact"/>
              <w:rPr>
                <w:sz w:val="20"/>
                <w:szCs w:val="20"/>
                <w:color w:val="auto"/>
              </w:rPr>
            </w:pPr>
            <w:r>
              <w:rPr>
                <w:rFonts w:ascii="Times New Roman" w:cs="Times New Roman" w:eastAsia="Times New Roman" w:hAnsi="Times New Roman"/>
                <w:sz w:val="18"/>
                <w:szCs w:val="18"/>
                <w:b w:val="1"/>
                <w:bCs w:val="1"/>
                <w:color w:val="auto"/>
                <w:w w:val="99"/>
              </w:rPr>
              <w:t>AGAINST</w:t>
            </w:r>
          </w:p>
        </w:tc>
        <w:tc>
          <w:tcPr>
            <w:tcW w:w="3700" w:type="dxa"/>
            <w:vAlign w:val="bottom"/>
            <w:tcBorders>
              <w:top w:val="single" w:sz="8" w:color="auto"/>
              <w:right w:val="single" w:sz="8" w:color="auto"/>
            </w:tcBorders>
            <w:gridSpan w:val="3"/>
          </w:tcPr>
          <w:p>
            <w:pPr>
              <w:jc w:val="center"/>
              <w:ind w:right="20"/>
              <w:spacing w:after="0" w:line="192" w:lineRule="exact"/>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60"/>
        </w:trPr>
        <w:tc>
          <w:tcPr>
            <w:tcW w:w="1680" w:type="dxa"/>
            <w:vAlign w:val="bottom"/>
            <w:tcBorders>
              <w:left w:val="single" w:sz="8" w:color="auto"/>
              <w:bottom w:val="single" w:sz="8" w:color="auto"/>
            </w:tcBorders>
          </w:tcPr>
          <w:p>
            <w:pPr>
              <w:spacing w:after="0"/>
              <w:rPr>
                <w:sz w:val="5"/>
                <w:szCs w:val="5"/>
                <w:color w:val="auto"/>
              </w:rPr>
            </w:pPr>
          </w:p>
        </w:tc>
        <w:tc>
          <w:tcPr>
            <w:tcW w:w="380" w:type="dxa"/>
            <w:vAlign w:val="bottom"/>
            <w:tcBorders>
              <w:top w:val="single" w:sz="8" w:color="auto"/>
              <w:bottom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r>
      <w:tr>
        <w:trPr>
          <w:trHeight w:val="170"/>
        </w:trPr>
        <w:tc>
          <w:tcPr>
            <w:tcW w:w="3720" w:type="dxa"/>
            <w:vAlign w:val="bottom"/>
            <w:tcBorders>
              <w:bottom w:val="single" w:sz="8" w:color="auto"/>
              <w:right w:val="single" w:sz="8" w:color="auto"/>
            </w:tcBorders>
            <w:gridSpan w:val="3"/>
          </w:tcPr>
          <w:p>
            <w:pPr>
              <w:jc w:val="right"/>
              <w:ind w:right="1460"/>
              <w:spacing w:after="0" w:line="170" w:lineRule="exact"/>
              <w:rPr>
                <w:sz w:val="20"/>
                <w:szCs w:val="20"/>
                <w:color w:val="auto"/>
              </w:rPr>
            </w:pPr>
            <w:r>
              <w:rPr>
                <w:rFonts w:ascii="Times New Roman" w:cs="Times New Roman" w:eastAsia="Times New Roman" w:hAnsi="Times New Roman"/>
                <w:sz w:val="18"/>
                <w:szCs w:val="18"/>
                <w:color w:val="auto"/>
              </w:rPr>
              <w:t>81,737,938</w:t>
            </w:r>
          </w:p>
        </w:tc>
        <w:tc>
          <w:tcPr>
            <w:tcW w:w="2260" w:type="dxa"/>
            <w:vAlign w:val="bottom"/>
            <w:tcBorders>
              <w:bottom w:val="single" w:sz="8" w:color="auto"/>
            </w:tcBorders>
            <w:gridSpan w:val="2"/>
          </w:tcPr>
          <w:p>
            <w:pPr>
              <w:jc w:val="right"/>
              <w:ind w:right="190"/>
              <w:spacing w:after="0" w:line="170" w:lineRule="exact"/>
              <w:rPr>
                <w:sz w:val="20"/>
                <w:szCs w:val="20"/>
                <w:color w:val="auto"/>
              </w:rPr>
            </w:pPr>
            <w:r>
              <w:rPr>
                <w:rFonts w:ascii="Times New Roman" w:cs="Times New Roman" w:eastAsia="Times New Roman" w:hAnsi="Times New Roman"/>
                <w:sz w:val="18"/>
                <w:szCs w:val="18"/>
                <w:color w:val="auto"/>
              </w:rPr>
              <w:t>400</w:t>
            </w:r>
          </w:p>
        </w:tc>
        <w:tc>
          <w:tcPr>
            <w:tcW w:w="1440" w:type="dxa"/>
            <w:vAlign w:val="bottom"/>
            <w:tcBorders>
              <w:bottom w:val="single" w:sz="8" w:color="auto"/>
              <w:right w:val="single" w:sz="8" w:color="auto"/>
            </w:tcBorders>
          </w:tcPr>
          <w:p>
            <w:pPr>
              <w:spacing w:after="0"/>
              <w:rPr>
                <w:sz w:val="14"/>
                <w:szCs w:val="14"/>
                <w:color w:val="auto"/>
              </w:rPr>
            </w:pPr>
          </w:p>
        </w:tc>
        <w:tc>
          <w:tcPr>
            <w:tcW w:w="2240" w:type="dxa"/>
            <w:vAlign w:val="bottom"/>
            <w:tcBorders>
              <w:bottom w:val="single" w:sz="8" w:color="auto"/>
            </w:tcBorders>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auto"/>
              </w:rPr>
              <w:t>2,458</w:t>
            </w:r>
          </w:p>
        </w:tc>
        <w:tc>
          <w:tcPr>
            <w:tcW w:w="1460" w:type="dxa"/>
            <w:vAlign w:val="bottom"/>
            <w:tcBorders>
              <w:bottom w:val="single" w:sz="8" w:color="auto"/>
              <w:right w:val="single" w:sz="8" w:color="auto"/>
            </w:tcBorders>
          </w:tcPr>
          <w:p>
            <w:pPr>
              <w:spacing w:after="0"/>
              <w:rPr>
                <w:sz w:val="14"/>
                <w:szCs w:val="14"/>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9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June 10, 2022 By: </w:t>
      </w:r>
      <w:r>
        <w:rPr>
          <w:rFonts w:ascii="Times New Roman" w:cs="Times New Roman" w:eastAsia="Times New Roman" w:hAnsi="Times New Roman"/>
          <w:sz w:val="22"/>
          <w:szCs w:val="22"/>
          <w:u w:val="single" w:color="auto"/>
          <w:color w:val="auto"/>
        </w:rPr>
        <w:t>/s/ Douglas Barry__________</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Name: Douglas Barry</w:t>
      </w:r>
    </w:p>
    <w:p>
      <w:pPr>
        <w:spacing w:after="0" w:line="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42" w:right="8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2022-06-10T15:12:24Z</dcterms:created>
  <dcterms:modified xsi:type="dcterms:W3CDTF">2022-06-10T15:12:24Z</dcterms:modified>
</cp:coreProperties>
</file>