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760" w:hanging="4079"/>
        <w:spacing w:after="0" w:line="334"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EXCHaANGE ACT OF 1934 For the fiscal year ended December 31, 2022</w:t>
      </w: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001-39485</w:t>
      </w:r>
    </w:p>
    <w:p>
      <w:pPr>
        <w:spacing w:after="0" w:line="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40"/>
          <w:szCs w:val="40"/>
          <w:b w:val="1"/>
          <w:bCs w:val="1"/>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-266065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85-1195036</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460" w:space="480"/>
            <w:col w:w="3300"/>
          </w:cols>
          <w:pgMar w:left="320" w:top="628" w:right="3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8"/>
          <w:szCs w:val="18"/>
          <w:b w:val="1"/>
          <w:bCs w:val="1"/>
          <w:color w:val="auto"/>
        </w:rPr>
        <w:t>201 Brookline Ave., Suite 901</w:t>
      </w:r>
    </w:p>
    <w:p>
      <w:pPr>
        <w:spacing w:after="0" w:line="25" w:lineRule="exact"/>
        <w:rPr>
          <w:sz w:val="24"/>
          <w:szCs w:val="24"/>
          <w:color w:val="auto"/>
        </w:rPr>
      </w:pPr>
    </w:p>
    <w:p>
      <w:pPr>
        <w:ind w:left="236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Boston, MA</w:t>
      </w:r>
      <w:r>
        <w:rPr>
          <w:sz w:val="20"/>
          <w:szCs w:val="20"/>
          <w:color w:val="auto"/>
        </w:rPr>
        <w:tab/>
      </w:r>
      <w:r>
        <w:rPr>
          <w:rFonts w:ascii="Times New Roman" w:cs="Times New Roman" w:eastAsia="Times New Roman" w:hAnsi="Times New Roman"/>
          <w:sz w:val="18"/>
          <w:szCs w:val="18"/>
          <w:b w:val="1"/>
          <w:bCs w:val="1"/>
          <w:color w:val="auto"/>
        </w:rPr>
        <w:t>02215</w:t>
      </w:r>
    </w:p>
    <w:p>
      <w:pPr>
        <w:spacing w:after="0" w:line="16"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5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(857) 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34" w:lineRule="exact"/>
        <w:rPr>
          <w:sz w:val="24"/>
          <w:szCs w:val="24"/>
          <w:color w:val="auto"/>
        </w:rPr>
      </w:pPr>
    </w:p>
    <w:p>
      <w:pPr>
        <w:ind w:right="3880"/>
        <w:spacing w:after="0" w:line="207"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 w:lineRule="exact"/>
        <w:rPr>
          <w:sz w:val="24"/>
          <w:szCs w:val="24"/>
          <w:color w:val="auto"/>
        </w:rPr>
      </w:pPr>
    </w:p>
    <w:p>
      <w:pPr>
        <w:ind w:right="1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14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80"/>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73"/>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6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72"/>
        </w:trPr>
        <w:tc>
          <w:tcPr>
            <w:tcW w:w="17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22" w:lineRule="exact"/>
        <w:rPr>
          <w:sz w:val="24"/>
          <w:szCs w:val="24"/>
          <w:color w:val="auto"/>
        </w:rPr>
      </w:pPr>
    </w:p>
    <w:p>
      <w:pPr>
        <w:ind w:right="160"/>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63" w:lineRule="exact"/>
        <w:rPr>
          <w:sz w:val="24"/>
          <w:szCs w:val="24"/>
          <w:color w:val="auto"/>
        </w:rPr>
      </w:pPr>
    </w:p>
    <w:p>
      <w:pPr>
        <w:ind w:right="200"/>
        <w:spacing w:after="0" w:line="16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09" w:lineRule="exact"/>
        <w:rPr>
          <w:sz w:val="24"/>
          <w:szCs w:val="24"/>
          <w:color w:val="auto"/>
        </w:rPr>
      </w:pPr>
    </w:p>
    <w:p>
      <w:pPr>
        <w:ind w:right="1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40"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76" w:lineRule="exact"/>
        <w:rPr>
          <w:sz w:val="24"/>
          <w:szCs w:val="24"/>
          <w:color w:val="auto"/>
        </w:rPr>
      </w:pPr>
    </w:p>
    <w:p>
      <w:pPr>
        <w:ind w:right="180"/>
        <w:spacing w:after="0" w:line="278" w:lineRule="auto"/>
        <w:rPr>
          <w:sz w:val="20"/>
          <w:szCs w:val="20"/>
          <w:color w:val="auto"/>
        </w:rPr>
      </w:pPr>
      <w:r>
        <w:rPr>
          <w:rFonts w:ascii="Times New Roman" w:cs="Times New Roman" w:eastAsia="Times New Roman" w:hAnsi="Times New Roman"/>
          <w:sz w:val="13"/>
          <w:szCs w:val="13"/>
          <w:color w:val="auto"/>
        </w:rPr>
        <w:t>As of June 30, 2022,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LLC on June 30, 2022, was approximately $302.3 million.</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20, 2023, the registrant had 88,203,478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12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26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600" w:type="dxa"/>
            <w:vAlign w:val="bottom"/>
            <w:gridSpan w:val="4"/>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right w:val="single" w:sz="8" w:color="0000EE"/>
            </w:tcBorders>
            <w:gridSpan w:val="6"/>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0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581"/>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ind w:right="300" w:firstLine="584"/>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These risks are described more fully in Item 1A of this Annual Report on Form 10-K entitled “Risk Factors.” These risks include, among others, the following:</w:t>
      </w:r>
    </w:p>
    <w:p>
      <w:pPr>
        <w:spacing w:after="0" w:line="162" w:lineRule="exact"/>
        <w:rPr>
          <w:sz w:val="20"/>
          <w:szCs w:val="20"/>
          <w:color w:val="auto"/>
        </w:rPr>
      </w:pPr>
    </w:p>
    <w:p>
      <w:pPr>
        <w:ind w:left="820" w:right="120" w:hanging="340"/>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175" w:lineRule="exact"/>
        <w:rPr>
          <w:rFonts w:ascii="Times New Roman" w:cs="Times New Roman" w:eastAsia="Times New Roman" w:hAnsi="Times New Roman"/>
          <w:sz w:val="18"/>
          <w:szCs w:val="18"/>
          <w:color w:val="auto"/>
        </w:rPr>
      </w:pPr>
    </w:p>
    <w:p>
      <w:pPr>
        <w:ind w:left="820" w:right="320" w:hanging="340"/>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75" w:lineRule="exact"/>
        <w:rPr>
          <w:rFonts w:ascii="Times New Roman" w:cs="Times New Roman" w:eastAsia="Times New Roman" w:hAnsi="Times New Roman"/>
          <w:sz w:val="18"/>
          <w:szCs w:val="18"/>
          <w:color w:val="auto"/>
        </w:rPr>
      </w:pPr>
    </w:p>
    <w:p>
      <w:pPr>
        <w:ind w:left="820" w:right="300" w:hanging="340"/>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175" w:lineRule="exact"/>
        <w:rPr>
          <w:rFonts w:ascii="Times New Roman" w:cs="Times New Roman" w:eastAsia="Times New Roman" w:hAnsi="Times New Roman"/>
          <w:sz w:val="18"/>
          <w:szCs w:val="18"/>
          <w:color w:val="auto"/>
        </w:rPr>
      </w:pPr>
    </w:p>
    <w:p>
      <w:pPr>
        <w:ind w:left="820" w:right="140" w:hanging="340"/>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75" w:lineRule="exact"/>
        <w:rPr>
          <w:rFonts w:ascii="Times New Roman" w:cs="Times New Roman" w:eastAsia="Times New Roman" w:hAnsi="Times New Roman"/>
          <w:sz w:val="18"/>
          <w:szCs w:val="18"/>
          <w:color w:val="auto"/>
        </w:rPr>
      </w:pPr>
    </w:p>
    <w:p>
      <w:pPr>
        <w:ind w:left="820" w:right="480" w:hanging="340"/>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89" w:lineRule="exact"/>
        <w:rPr>
          <w:rFonts w:ascii="Times New Roman" w:cs="Times New Roman" w:eastAsia="Times New Roman" w:hAnsi="Times New Roman"/>
          <w:sz w:val="18"/>
          <w:szCs w:val="18"/>
          <w:color w:val="auto"/>
        </w:rPr>
      </w:pPr>
    </w:p>
    <w:p>
      <w:pPr>
        <w:ind w:left="840" w:right="80" w:hanging="360"/>
        <w:spacing w:after="0" w:line="289" w:lineRule="auto"/>
        <w:tabs>
          <w:tab w:leader="none" w:pos="8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trials.</w:t>
      </w:r>
    </w:p>
    <w:p>
      <w:pPr>
        <w:spacing w:after="0" w:line="171" w:lineRule="exact"/>
        <w:rPr>
          <w:rFonts w:ascii="Times New Roman" w:cs="Times New Roman" w:eastAsia="Times New Roman" w:hAnsi="Times New Roman"/>
          <w:sz w:val="17"/>
          <w:szCs w:val="17"/>
          <w:color w:val="auto"/>
        </w:rPr>
      </w:pPr>
    </w:p>
    <w:p>
      <w:pPr>
        <w:ind w:left="840" w:right="240" w:hanging="360"/>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75" w:lineRule="exact"/>
        <w:rPr>
          <w:rFonts w:ascii="Times New Roman" w:cs="Times New Roman" w:eastAsia="Times New Roman" w:hAnsi="Times New Roman"/>
          <w:sz w:val="18"/>
          <w:szCs w:val="18"/>
          <w:color w:val="auto"/>
        </w:rPr>
      </w:pPr>
    </w:p>
    <w:p>
      <w:pPr>
        <w:ind w:left="840" w:hanging="360"/>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initial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75" w:lineRule="exact"/>
        <w:rPr>
          <w:rFonts w:ascii="Times New Roman" w:cs="Times New Roman" w:eastAsia="Times New Roman" w:hAnsi="Times New Roman"/>
          <w:sz w:val="18"/>
          <w:szCs w:val="18"/>
          <w:color w:val="auto"/>
        </w:rPr>
      </w:pPr>
    </w:p>
    <w:p>
      <w:pPr>
        <w:ind w:left="820" w:right="100" w:hanging="340"/>
        <w:spacing w:after="0" w:line="261"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93" w:lineRule="exact"/>
        <w:rPr>
          <w:rFonts w:ascii="Times New Roman" w:cs="Times New Roman" w:eastAsia="Times New Roman" w:hAnsi="Times New Roman"/>
          <w:sz w:val="18"/>
          <w:szCs w:val="18"/>
          <w:color w:val="auto"/>
        </w:rPr>
      </w:pPr>
    </w:p>
    <w:p>
      <w:pPr>
        <w:ind w:left="820" w:right="480" w:hanging="340"/>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75" w:lineRule="exact"/>
        <w:rPr>
          <w:rFonts w:ascii="Times New Roman" w:cs="Times New Roman" w:eastAsia="Times New Roman" w:hAnsi="Times New Roman"/>
          <w:sz w:val="18"/>
          <w:szCs w:val="18"/>
          <w:color w:val="auto"/>
        </w:rPr>
      </w:pPr>
    </w:p>
    <w:p>
      <w:pPr>
        <w:ind w:left="840" w:right="120" w:hanging="360"/>
        <w:spacing w:after="0" w:line="312" w:lineRule="auto"/>
        <w:tabs>
          <w:tab w:leader="none" w:pos="8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53" w:lineRule="exact"/>
        <w:rPr>
          <w:rFonts w:ascii="Times New Roman" w:cs="Times New Roman" w:eastAsia="Times New Roman" w:hAnsi="Times New Roman"/>
          <w:sz w:val="17"/>
          <w:szCs w:val="17"/>
          <w:color w:val="auto"/>
        </w:rPr>
      </w:pPr>
    </w:p>
    <w:p>
      <w:pPr>
        <w:jc w:val="both"/>
        <w:ind w:left="820" w:right="140" w:hanging="340"/>
        <w:spacing w:after="0" w:line="266"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89" w:lineRule="exact"/>
        <w:rPr>
          <w:rFonts w:ascii="Times New Roman" w:cs="Times New Roman" w:eastAsia="Times New Roman" w:hAnsi="Times New Roman"/>
          <w:sz w:val="18"/>
          <w:szCs w:val="18"/>
          <w:color w:val="auto"/>
        </w:rPr>
      </w:pPr>
    </w:p>
    <w:p>
      <w:pPr>
        <w:jc w:val="both"/>
        <w:ind w:left="840" w:right="140" w:hanging="360"/>
        <w:spacing w:after="0" w:line="312" w:lineRule="auto"/>
        <w:tabs>
          <w:tab w:leader="none" w:pos="8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ind w:left="340" w:hanging="340"/>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189" w:lineRule="exact"/>
        <w:rPr>
          <w:rFonts w:ascii="Times New Roman" w:cs="Times New Roman" w:eastAsia="Times New Roman" w:hAnsi="Times New Roman"/>
          <w:sz w:val="18"/>
          <w:szCs w:val="18"/>
          <w:color w:val="auto"/>
        </w:rPr>
      </w:pPr>
    </w:p>
    <w:p>
      <w:pPr>
        <w:ind w:left="360" w:right="380" w:hanging="360"/>
        <w:spacing w:after="0" w:line="261"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93" w:lineRule="exact"/>
        <w:rPr>
          <w:rFonts w:ascii="Times New Roman" w:cs="Times New Roman" w:eastAsia="Times New Roman" w:hAnsi="Times New Roman"/>
          <w:sz w:val="18"/>
          <w:szCs w:val="18"/>
          <w:color w:val="auto"/>
        </w:rPr>
      </w:pPr>
    </w:p>
    <w:p>
      <w:pPr>
        <w:ind w:left="340" w:hanging="340"/>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93" w:lineRule="exact"/>
        <w:rPr>
          <w:rFonts w:ascii="Times New Roman" w:cs="Times New Roman" w:eastAsia="Times New Roman" w:hAnsi="Times New Roman"/>
          <w:sz w:val="18"/>
          <w:szCs w:val="18"/>
          <w:color w:val="auto"/>
        </w:rPr>
      </w:pPr>
    </w:p>
    <w:p>
      <w:pPr>
        <w:ind w:left="340" w:right="660" w:hanging="340"/>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175" w:lineRule="exact"/>
        <w:rPr>
          <w:rFonts w:ascii="Times New Roman" w:cs="Times New Roman" w:eastAsia="Times New Roman" w:hAnsi="Times New Roman"/>
          <w:sz w:val="18"/>
          <w:szCs w:val="18"/>
          <w:color w:val="auto"/>
        </w:rPr>
      </w:pPr>
    </w:p>
    <w:p>
      <w:pPr>
        <w:ind w:left="340" w:right="360" w:hanging="340"/>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75" w:lineRule="exact"/>
        <w:rPr>
          <w:rFonts w:ascii="Times New Roman" w:cs="Times New Roman" w:eastAsia="Times New Roman" w:hAnsi="Times New Roman"/>
          <w:sz w:val="18"/>
          <w:szCs w:val="18"/>
          <w:color w:val="auto"/>
        </w:rPr>
      </w:pPr>
    </w:p>
    <w:p>
      <w:pPr>
        <w:ind w:left="340" w:right="20" w:hanging="340"/>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200" w:lineRule="exact"/>
        <w:rPr>
          <w:sz w:val="20"/>
          <w:szCs w:val="20"/>
          <w:color w:val="auto"/>
        </w:rPr>
      </w:pPr>
    </w:p>
    <w:p>
      <w:pPr>
        <w:spacing w:after="0" w:line="20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00" w:top="553"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192" w:lineRule="exact"/>
        <w:rPr>
          <w:sz w:val="20"/>
          <w:szCs w:val="20"/>
          <w:color w:val="auto"/>
        </w:rPr>
      </w:pPr>
    </w:p>
    <w:p>
      <w:pPr>
        <w:ind w:left="820" w:right="20" w:hanging="340"/>
        <w:spacing w:after="0" w:line="261"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IND filings, active enrollment in clinical trials, and initiation and completion of studies or clinical trials and related preparatory work, and the period during which the results of the clinical trials (including initial and final trial results) will become available;</w:t>
      </w:r>
    </w:p>
    <w:p>
      <w:pPr>
        <w:spacing w:after="0" w:line="193" w:lineRule="exact"/>
        <w:rPr>
          <w:rFonts w:ascii="Times New Roman" w:cs="Times New Roman" w:eastAsia="Times New Roman" w:hAnsi="Times New Roman"/>
          <w:sz w:val="18"/>
          <w:szCs w:val="18"/>
          <w:color w:val="auto"/>
        </w:rPr>
      </w:pPr>
    </w:p>
    <w:p>
      <w:pPr>
        <w:ind w:left="820" w:right="52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and develop product candidates efficiently (including the advancement of development candidates on the timelines identified and the ability to identify clinical trial investigators to use our product candidates in trials);</w:t>
      </w:r>
    </w:p>
    <w:p>
      <w:pPr>
        <w:spacing w:after="0" w:line="175" w:lineRule="exact"/>
        <w:rPr>
          <w:rFonts w:ascii="Times New Roman" w:cs="Times New Roman" w:eastAsia="Times New Roman" w:hAnsi="Times New Roman"/>
          <w:sz w:val="18"/>
          <w:szCs w:val="18"/>
          <w:color w:val="auto"/>
        </w:rPr>
      </w:pPr>
    </w:p>
    <w:p>
      <w:pPr>
        <w:ind w:left="820" w:right="4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175" w:lineRule="exact"/>
        <w:rPr>
          <w:rFonts w:ascii="Times New Roman" w:cs="Times New Roman" w:eastAsia="Times New Roman" w:hAnsi="Times New Roman"/>
          <w:sz w:val="18"/>
          <w:szCs w:val="18"/>
          <w:color w:val="auto"/>
        </w:rPr>
      </w:pPr>
    </w:p>
    <w:p>
      <w:pPr>
        <w:ind w:left="820" w:right="2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175" w:lineRule="exact"/>
        <w:rPr>
          <w:rFonts w:ascii="Times New Roman" w:cs="Times New Roman" w:eastAsia="Times New Roman" w:hAnsi="Times New Roman"/>
          <w:sz w:val="18"/>
          <w:szCs w:val="18"/>
          <w:color w:val="auto"/>
        </w:rPr>
      </w:pPr>
    </w:p>
    <w:p>
      <w:pPr>
        <w:ind w:left="820" w:right="460" w:hanging="340"/>
        <w:spacing w:after="0" w:line="266"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2025);</w:t>
      </w:r>
    </w:p>
    <w:p>
      <w:pPr>
        <w:spacing w:after="0" w:line="189"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right="20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75" w:lineRule="exact"/>
        <w:rPr>
          <w:rFonts w:ascii="Times New Roman" w:cs="Times New Roman" w:eastAsia="Times New Roman" w:hAnsi="Times New Roman"/>
          <w:sz w:val="18"/>
          <w:szCs w:val="18"/>
          <w:color w:val="auto"/>
        </w:rPr>
      </w:pPr>
    </w:p>
    <w:p>
      <w:pPr>
        <w:ind w:left="820" w:right="500" w:hanging="340"/>
        <w:spacing w:after="0" w:line="282"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7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820" w:right="40" w:hanging="340"/>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pricing regulations by U.S. (such as CMS) and foreign regulatory authorities;</w:t>
      </w:r>
    </w:p>
    <w:p>
      <w:pPr>
        <w:spacing w:after="0" w:line="17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820" w:right="180" w:hanging="340"/>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175" w:lineRule="exact"/>
        <w:rPr>
          <w:rFonts w:ascii="Times New Roman" w:cs="Times New Roman" w:eastAsia="Times New Roman" w:hAnsi="Times New Roman"/>
          <w:sz w:val="18"/>
          <w:szCs w:val="18"/>
          <w:color w:val="auto"/>
        </w:rPr>
      </w:pPr>
    </w:p>
    <w:p>
      <w:pPr>
        <w:ind w:left="820" w:hanging="340"/>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in this Annual Report on Form 10-K under the section titled “Risk Factors.”</w:t>
      </w:r>
    </w:p>
    <w:p>
      <w:pPr>
        <w:spacing w:after="0" w:line="200" w:lineRule="exact"/>
        <w:rPr>
          <w:sz w:val="20"/>
          <w:szCs w:val="20"/>
          <w:color w:val="auto"/>
        </w:rPr>
      </w:pPr>
    </w:p>
    <w:p>
      <w:pPr>
        <w:spacing w:after="0" w:line="255"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Item 1A of this Annual Report on Form 10-K.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80"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Annual Report on Form 10-K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t>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62" w:lineRule="exact"/>
        <w:rPr>
          <w:sz w:val="20"/>
          <w:szCs w:val="20"/>
          <w:color w:val="auto"/>
        </w:rPr>
      </w:pPr>
    </w:p>
    <w:p>
      <w:pPr>
        <w:ind w:right="80" w:firstLine="584"/>
        <w:spacing w:after="0" w:line="258" w:lineRule="auto"/>
        <w:rPr>
          <w:sz w:val="20"/>
          <w:szCs w:val="20"/>
          <w:color w:val="auto"/>
        </w:rPr>
      </w:pPr>
      <w:r>
        <w:rPr>
          <w:rFonts w:ascii="Times New Roman" w:cs="Times New Roman" w:eastAsia="Times New Roman" w:hAnsi="Times New Roman"/>
          <w:sz w:val="18"/>
          <w:szCs w:val="18"/>
          <w:color w:val="auto"/>
        </w:rPr>
        <w:t>Further, the company intends to use its website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Annual Report on Form 10-K.</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7" w:name="page8"/>
    <w:bookmarkEnd w:id="7"/>
    <w:p>
      <w:pPr>
        <w:ind w:left="2700"/>
        <w:spacing w:after="0"/>
        <w:rPr>
          <w:sz w:val="20"/>
          <w:szCs w:val="20"/>
          <w:color w:val="auto"/>
        </w:rPr>
      </w:pPr>
      <w:r>
        <w:rPr>
          <w:rFonts w:ascii="Times New Roman" w:cs="Times New Roman" w:eastAsia="Times New Roman" w:hAnsi="Times New Roman"/>
          <w:sz w:val="18"/>
          <w:szCs w:val="18"/>
          <w:b w:val="1"/>
          <w:bCs w:val="1"/>
          <w:color w:val="auto"/>
        </w:rPr>
        <w:t>USE OF DEFINED TERMS IN THIS ANNUAL REPORT ON FORM 10-K</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Unless the context otherwise requires in this Annual Report on Form 10-K for the year ended December 31, 2022 we use the following defined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20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Annual Report" means this Annual Report on Form 10-K for the year ended December 31, 2022;</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"we", "our" and "us" mean Tango Therapeutics, Inc. and its wholly-owned subsidiaries;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“CoREST” means Co-repressor of Repressor Element-1 Silencing Transcription;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"CSF” means cerebrospinal fluid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means Gilead Sciences, Inc.;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“GBM” means glioblastoma;</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“HRD+” means homologous recombination deficient;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“MPNST” means malignant peripheral nerve sheath tumors;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 means methylthioadenosine;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“MTAP” means methylthioadenosine phosphorylase;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“NSCLC” means non-small cell lung cancer;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“PDX” means patient-derived xenograft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“PRMT5” means protein arginine methyltransferase 5;</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 means S-adenosyl-L-methionine;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“SDMA” means symmetric di-methylation of specific arginine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“STK11” means serine-threonine kinase 11;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“USP1” means ubiquitin-specific protease 1.</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33" w:right="6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84"/>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tumor suppressor gene loss, killing those cancer cells while sparing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our approach will provide the ability to deliver the deep, sustained target inhibition necessary to optimize tumor response and clinical benefit as a result of the unique ability of synthetic lethal targeting to spare normal cells.</w:t>
      </w:r>
    </w:p>
    <w:p>
      <w:pPr>
        <w:spacing w:after="0" w:line="188" w:lineRule="exact"/>
        <w:rPr>
          <w:sz w:val="20"/>
          <w:szCs w:val="20"/>
          <w:color w:val="auto"/>
        </w:rPr>
      </w:pPr>
    </w:p>
    <w:p>
      <w:pPr>
        <w:ind w:right="60" w:firstLine="584"/>
        <w:spacing w:after="0" w:line="258" w:lineRule="auto"/>
        <w:rPr>
          <w:sz w:val="20"/>
          <w:szCs w:val="20"/>
          <w:color w:val="auto"/>
        </w:rPr>
      </w:pPr>
      <w:r>
        <w:rPr>
          <w:rFonts w:ascii="Times New Roman" w:cs="Times New Roman" w:eastAsia="Times New Roman" w:hAnsi="Times New Roman"/>
          <w:sz w:val="18"/>
          <w:szCs w:val="18"/>
          <w:color w:val="auto"/>
        </w:rPr>
        <w:t>Our lead program, TNG908, is an MTA-cooperative inhibitor of PRMT5 designed to work selectively in cancer cells with an MTAP deletion. MTAP-deletion occurs in approximately 10% to 15% of all human tumors including NSCLC, mesothelioma, pancreatic cancer, cholangiocarcinoma and GBM. In preclinical studies, TNG908 demonstrated 15-fold greater potency in MTAP-deleted cancer cells versus normal cells and robust efficacy in vitro and in vivo. Patients are actively being enrolled in the Phase 1/2 clinical trial and we expect to provide an update on the ongoing dose escalation portion of the trial, focusing on proof-of-mechanism, in the second quarter of 2023.</w:t>
      </w:r>
    </w:p>
    <w:p>
      <w:pPr>
        <w:spacing w:after="0" w:line="183"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Given the large number of patients with MTAP-deleted cancers who may benefit from a PRMT5 inhibitor, and the resulting business opportunity, we also developed a next-generation PRMT5 inhibitor, TNG462, with increased potency, MTAP-deletion selectivity, as well as longer target coverage. TNG462 is 45 times more potent in cells with an MTAP deletion than those without and induces deep tumor regressions in preclinical models of multiple cancer types which is expected to significantly increase the therapeutic index. The clinical development path for TNG462 is expected to be similar to TNG908, evaluating safety and efficacy in multiple tumor types in a Phase 1/2 clinical trial. GBM will be excluded from the clinical trial as TNG462 is not expected to cross the blood-brain barrier. We expect to initiate the Phase 1/2 clinical trial for TNG462 in mid-2023.</w:t>
      </w:r>
    </w:p>
    <w:p>
      <w:pPr>
        <w:spacing w:after="0" w:line="187"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Discovered as part of our immune evasion target discovery platform, TNG260 is a first-in-class, CoREST inhibitor, which has shown to reverse the immune evasion effect of STK11 loss-of-function mutations. STK11 loss-of-function mutations are present in approximately 15% of NSCLC, 15% of cervical, 10% of carcinoma of unknown primary, 5% of breast and 3% of pancreatic cancers. In syngeneic models with an STK11 mutation and an intact immune system, the combination of TNG260 with an anti-PD-1 antibody resulted in sustained complete tumor regressions and the induction of immune memory against re-implantation of tumors. We plan to file an IND for TNG260 in the first half of 2023. We expect that TNG260 will be among the first oncology molecules to leverage the benefits of genetically-based patient selection (STK11-mutation) with checkpoint inhibitor therapy.</w:t>
      </w:r>
    </w:p>
    <w:p>
      <w:pPr>
        <w:spacing w:after="0" w:line="187"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We are developing TNG348, a novel allosteric inhibitor of USP1 for treatment of BRCA1 and BRCA2-mutant and other HRD+ cancers. BRCA1 or BRCA 2 mutations are present in approximately 15% of ovarian cancers, 10% of breast cancers, 10% of prostate cancers, 5% of endometrial cancers and 5% of pancreatic cancers and additionally, BRCA wild-type HRD+ mutations are present in approximately 40% of ovarian, 15% of breast, 3% of prostate and 2% of pancreatic cancers. In vivo preclinical studies for TNG348 have shown single agent efficacy and combination benefit with PARP inhibitors in BRCA1, BRCA2-mutant and other HRD+ cell-line and patient derived xenografts, including those that are intrinsically resistant to PARP inhibition. These preclinical data further demonstrate that TNG348 is synergistic with PARP inhibition across a panel of human ovarian and breast cancer cell lines, including both PARP inhibitor sensitive and resistant models. Clinically, we expect TNG348 to have single agent activity in PARP inhibitor -naïve and PARP inhibitor-resistant BRCA1/2 mutant and other HRD+ cancers, and to synergize with PARP inhibitors. We expect to file an IND for this program in mid-2023.</w:t>
      </w:r>
    </w:p>
    <w:p>
      <w:pPr>
        <w:spacing w:after="0" w:line="188" w:lineRule="exact"/>
        <w:rPr>
          <w:sz w:val="20"/>
          <w:szCs w:val="20"/>
          <w:color w:val="auto"/>
        </w:rPr>
      </w:pPr>
    </w:p>
    <w:p>
      <w:pPr>
        <w:jc w:val="both"/>
        <w:ind w:right="220" w:firstLine="584"/>
        <w:spacing w:after="0" w:line="257" w:lineRule="auto"/>
        <w:rPr>
          <w:sz w:val="20"/>
          <w:szCs w:val="20"/>
          <w:color w:val="auto"/>
        </w:rPr>
      </w:pPr>
      <w:r>
        <w:rPr>
          <w:rFonts w:ascii="Times New Roman" w:cs="Times New Roman" w:eastAsia="Times New Roman" w:hAnsi="Times New Roman"/>
          <w:sz w:val="18"/>
          <w:szCs w:val="18"/>
          <w:color w:val="auto"/>
        </w:rPr>
        <w:t>In October 2018, we entered into a collaboration agreement with Gilead (Gilead Agreement), which was expanded in August 2020. Our immune evasion platform is the foundation for this collaboration. Under the Gilead Agreement, we work together to identify and develop novel immune evasion targets by leveraging our proprietary functional genomics-based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9" w:name="page10"/>
    <w:bookmarkEnd w:id="9"/>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discovery platform. To date, Gilead has licensed two programs and has extended their option on two programs. Our collaboration with Gilead excludes PRMT5, CoREST and USP1 programs as well as a growing pipeline of novel targets identified in our non-immune based target discovery screens.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 See “— </w:t>
      </w:r>
      <w:r>
        <w:rPr>
          <w:rFonts w:ascii="Times New Roman" w:cs="Times New Roman" w:eastAsia="Times New Roman" w:hAnsi="Times New Roman"/>
          <w:sz w:val="18"/>
          <w:szCs w:val="18"/>
          <w:i w:val="1"/>
          <w:iCs w:val="1"/>
          <w:color w:val="auto"/>
        </w:rPr>
        <w:t>Collaboration and License Agreements — Collaboration and License Agreement with Gilead Sciences</w:t>
      </w:r>
      <w:r>
        <w:rPr>
          <w:rFonts w:ascii="Times New Roman" w:cs="Times New Roman" w:eastAsia="Times New Roman" w:hAnsi="Times New Roman"/>
          <w:sz w:val="18"/>
          <w:szCs w:val="18"/>
          <w:color w:val="auto"/>
        </w:rPr>
        <w:t>”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440" w:firstLine="584"/>
        <w:spacing w:after="0" w:line="282" w:lineRule="auto"/>
        <w:rPr>
          <w:sz w:val="20"/>
          <w:szCs w:val="20"/>
          <w:color w:val="auto"/>
        </w:rPr>
      </w:pPr>
      <w:r>
        <w:rPr>
          <w:rFonts w:ascii="Times New Roman" w:cs="Times New Roman" w:eastAsia="Times New Roman" w:hAnsi="Times New Roman"/>
          <w:sz w:val="18"/>
          <w:szCs w:val="18"/>
          <w:color w:val="auto"/>
        </w:rPr>
        <w:t>We are leveraging the power and productivity of our discovery engine to discover and validate multiple novel targets each year. Our growing pipeline consists of discovery programs for multiple cancer types with limited treatment options as summarized in Figure 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 Tango Therapeutics'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155575</wp:posOffset>
            </wp:positionV>
            <wp:extent cx="5760720" cy="237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40" w:firstLine="584"/>
        <w:spacing w:after="0" w:line="282" w:lineRule="auto"/>
        <w:rPr>
          <w:sz w:val="20"/>
          <w:szCs w:val="20"/>
          <w:color w:val="auto"/>
        </w:rPr>
      </w:pPr>
      <w:r>
        <w:rPr>
          <w:rFonts w:ascii="Times New Roman" w:cs="Times New Roman" w:eastAsia="Times New Roman" w:hAnsi="Times New Roman"/>
          <w:sz w:val="18"/>
          <w:szCs w:val="18"/>
          <w:color w:val="auto"/>
        </w:rPr>
        <w:t>We are pioneering novel approaches to the discovery and development of innovative precision oncology therapies. We leverage the following core strategic components, enabling bold thinking in pursuit of transformative therapies for patients with cancer:</w:t>
      </w:r>
    </w:p>
    <w:p>
      <w:pPr>
        <w:spacing w:after="0" w:line="54"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TNG908, our MTA-cooperative PRMT5 inhibitor that is synthetic lethal with MTAP deletion, into the clinic in multiple indications with high unmet need</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Maximize the opportunity to help patients with MTAP-deleted cancers and increase our strategic optionality with our next-generation PRMT5 inhibitor, TNG462, that has improved potency and selectivity compared to TNG908 in preclinical models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one of the first immunotherapy programs within genetically-defined patients into the clinic in STK11-mutant cancers with TNG260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USP1 inhibitor, TNG348, into clinical development in multiple BRCA1/2-mutant and other HRD+ cancers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drug the next generation of synthetic lethal precision oncology targets to continue to grow our pipeline</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evaluate and maximize the value of strategic collaborations to bring more medicines to patients, accelerate development timelines and explore combination therapy approaches for our product candidates</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Unmet need of cancers caused by tumor suppressor gene loss</w:t>
      </w:r>
    </w:p>
    <w:p>
      <w:pPr>
        <w:spacing w:after="0" w:line="121" w:lineRule="exact"/>
        <w:rPr>
          <w:sz w:val="20"/>
          <w:szCs w:val="20"/>
          <w:color w:val="auto"/>
        </w:rPr>
      </w:pPr>
    </w:p>
    <w:p>
      <w:pPr>
        <w:ind w:right="80" w:firstLine="584"/>
        <w:spacing w:after="0" w:line="256" w:lineRule="auto"/>
        <w:rPr>
          <w:sz w:val="20"/>
          <w:szCs w:val="20"/>
          <w:color w:val="auto"/>
        </w:rPr>
      </w:pPr>
      <w:r>
        <w:rPr>
          <w:rFonts w:ascii="Times New Roman" w:cs="Times New Roman" w:eastAsia="Times New Roman" w:hAnsi="Times New Roman"/>
          <w:sz w:val="18"/>
          <w:szCs w:val="18"/>
          <w:color w:val="auto"/>
        </w:rPr>
        <w:t>Many genetic drivers of cancer have been well-characterized but have not been directly targeted due to their molecular structure (undruggable oncogenes) or functional loss (tumor suppressor genes). Tumor suppressor gene loss represents a significant portion of the many genetic alterations that drive the formation of cancers but it remains a largely unaddressed target space. Targeting tumor suppressor gene loss directly is not possible because they are deleted or inactivated, and the immune evasion effects of tumor suppressor gene loss has only recently been described. We are using the concept of synthetic lethality to address the unmet medical need of these large groups of patients characterized by tumor suppressor gene loss and activation of immune evasion genes.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Synthetic lethality to address tumor suppressor gene loss</w:t>
      </w:r>
    </w:p>
    <w:p>
      <w:pPr>
        <w:spacing w:after="0" w:line="121"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Synthetic lethal therapies for cancer refers to pairs of genes where one is inactivated by a genetic alteration and the other is inhibited pharmacologically. While genetic alterations give rise to the development of cancer, they also create a unique vulnerability that can be exploited therapeutically. Biologically, such vulnerability can be the inability of cancer cells to respond to a specific signal, such as DNA damage or cell cycle arrest, or the inability to remodel chromatin or to maintain cellular homeostasis. The unique advantage of a synthetic lethal approach to cancer therapy is that normal cells are not vulnerable to the synthetic lethal drug target and are largely unaffected at drug doses where the mutant cancer cells are selectively killed, noted in Figure 2 below. The recent success of PARP inhibitors in BRCA-mutant breast, ovarian and prostate cancers is the first clinical example of using synthetic lethality to target tumor suppressor gene loss.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Figure 2. In cancer cells, when a tumor suppressor gene is lost, it creates a genetic vulnerability that allows an inhibitor to target a synthetic lethal partner gene causing cell death. This selective killing only occurs in cancer cells with tumor suppressor loss, therefore largely sparing the normal cells. Therefore, these synthetic lethality targets inherently can offer a wide therapeutic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123190</wp:posOffset>
            </wp:positionV>
            <wp:extent cx="4457700" cy="1817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770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60" w:firstLine="584"/>
        <w:spacing w:after="0" w:line="266" w:lineRule="auto"/>
        <w:rPr>
          <w:sz w:val="20"/>
          <w:szCs w:val="20"/>
          <w:color w:val="auto"/>
        </w:rPr>
      </w:pPr>
      <w:r>
        <w:rPr>
          <w:rFonts w:ascii="Times New Roman" w:cs="Times New Roman" w:eastAsia="Times New Roman" w:hAnsi="Times New Roman"/>
          <w:sz w:val="18"/>
          <w:szCs w:val="18"/>
          <w:color w:val="auto"/>
        </w:rPr>
        <w:t>Moreover, we plan to use the tumor suppressor gene loss as a patient selection marker for clinical trial enrollment to ensure we are enrolling the patients most likely to benefit from each new drug candidate. We believe this approach should enable efficient clinical development and increase the probability of success with maximum clinical benefit for the patient.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immune evasion platform</w:t>
      </w:r>
    </w:p>
    <w:p>
      <w:pPr>
        <w:spacing w:after="0" w:line="121" w:lineRule="exact"/>
        <w:rPr>
          <w:sz w:val="20"/>
          <w:szCs w:val="20"/>
          <w:color w:val="auto"/>
        </w:rPr>
      </w:pPr>
    </w:p>
    <w:p>
      <w:pPr>
        <w:ind w:right="80" w:firstLine="584"/>
        <w:spacing w:after="0" w:line="253" w:lineRule="auto"/>
        <w:rPr>
          <w:sz w:val="20"/>
          <w:szCs w:val="20"/>
          <w:color w:val="auto"/>
        </w:rPr>
      </w:pPr>
      <w:r>
        <w:rPr>
          <w:rFonts w:ascii="Times New Roman" w:cs="Times New Roman" w:eastAsia="Times New Roman" w:hAnsi="Times New Roman"/>
          <w:sz w:val="18"/>
          <w:szCs w:val="18"/>
          <w:color w:val="auto"/>
        </w:rPr>
        <w:t>Our synthetic lethal target discovery approach can be adapted to identify druggable targets that do not kill cancer cells directly, but rather attract immune cells to destroy them. Our immune evasion target discovery platform was designed to incorporate immuno-oncology therapies with genetically-defined patient populations to maximize clinical benefit. We are addressing the unmet medical need of this large group of patients by identifying novel immune evasion genes that (i) are activated by tumor suppressor gene loss and (ii) the effects of which can be reversed through inhibition with a small molecule. In the first step, we perform an in vivo CRISPR-based screen using immune cell-mediated cell killing as the readout. This first step allows us to identify tumor suppressor genes linked to immune evasion. For the second step, we repeat</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1" w:name="page12"/>
    <w:bookmarkEnd w:id="11"/>
    <w:p>
      <w:pPr>
        <w:ind w:right="40"/>
        <w:spacing w:after="0" w:line="282" w:lineRule="auto"/>
        <w:rPr>
          <w:sz w:val="20"/>
          <w:szCs w:val="20"/>
          <w:color w:val="auto"/>
        </w:rPr>
      </w:pPr>
      <w:r>
        <w:rPr>
          <w:rFonts w:ascii="Times New Roman" w:cs="Times New Roman" w:eastAsia="Times New Roman" w:hAnsi="Times New Roman"/>
          <w:sz w:val="18"/>
          <w:szCs w:val="18"/>
          <w:color w:val="auto"/>
        </w:rPr>
        <w:t>the in vivo CRISPR screen in animals with an intact immune system looking for potential drug targets that reverse the immune evasion effects of the tumor suppressor gene deletion.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PRMT5 inhibitors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20" w:firstLine="584"/>
        <w:spacing w:after="0" w:line="256" w:lineRule="auto"/>
        <w:rPr>
          <w:sz w:val="20"/>
          <w:szCs w:val="20"/>
          <w:color w:val="auto"/>
        </w:rPr>
      </w:pPr>
      <w:r>
        <w:rPr>
          <w:rFonts w:ascii="Times New Roman" w:cs="Times New Roman" w:eastAsia="Times New Roman" w:hAnsi="Times New Roman"/>
          <w:sz w:val="18"/>
          <w:szCs w:val="18"/>
          <w:color w:val="auto"/>
        </w:rPr>
        <w:t>We are currently developing TNG908 and TNG462, potent and selective oral small molecule MTA-cooperative inhibitors of PRMT5, which are designed to be synthetic lethal with MTAP deletion. Current preclinical data suggest the PRMT5-MTAP synthetic lethal interaction is one of the strongest and most prevalent synthetic lethal interactions in human cancers and represents a subset of synthetic lethality termed collateral lethality. This synthetic lethal interaction occurs when MTAP is co-deleted as a “passenger” with the frequently deleted tumor suppressor gene, CDKN2A (p16). The synthetic lethality occurs because MTAP-deleted cells accumulate the PRMT5 inhibitory factor MTA. As a result, PRMT5 is partially inhibited in MTAP-deleted cells, making those cells more sensitive than normal cells to further inhibition of PRMT5 activity.</w:t>
      </w:r>
    </w:p>
    <w:p>
      <w:pPr>
        <w:spacing w:after="0" w:line="187" w:lineRule="exact"/>
        <w:rPr>
          <w:sz w:val="20"/>
          <w:szCs w:val="20"/>
          <w:color w:val="auto"/>
        </w:rPr>
      </w:pPr>
    </w:p>
    <w:p>
      <w:pPr>
        <w:ind w:right="120" w:firstLine="584"/>
        <w:spacing w:after="0" w:line="274" w:lineRule="auto"/>
        <w:rPr>
          <w:sz w:val="20"/>
          <w:szCs w:val="20"/>
          <w:color w:val="auto"/>
        </w:rPr>
      </w:pPr>
      <w:r>
        <w:rPr>
          <w:rFonts w:ascii="Times New Roman" w:cs="Times New Roman" w:eastAsia="Times New Roman" w:hAnsi="Times New Roman"/>
          <w:sz w:val="17"/>
          <w:szCs w:val="17"/>
          <w:color w:val="auto"/>
        </w:rPr>
        <w:t>Taking advantage of this unique interaction between PRMT5 inhibition and MTAP deletion requires that the inhibitors have a specific binding mechanism called MTA cooperativity. TNG908 and TNG462 bind cooperatively with MTA to inhibit PRMT5 function by blocking access to the PRMT5 active site for both protein substrates and the activating PRMT5 co-factor SAM. This MTA-cooperative binding mechanism allows selective inhibition of PRMT5 in tumor cells that have lost MTAP (MTAP-null) while being relatively inert in normal cells without MTAP deletion (MTAP WT). We believe TNG908 and TNG462 are differentiated from non-MTA-cooperative PRMT5 inhibitors as a result of this mechanism of action. This approach is expected to result in a large therapeutic window in patients with MTAP-deleted tumors, potentially limiting toxicity and leading to meaningful clinical responses.</w:t>
      </w:r>
    </w:p>
    <w:p>
      <w:pPr>
        <w:spacing w:after="0" w:line="173" w:lineRule="exact"/>
        <w:rPr>
          <w:sz w:val="20"/>
          <w:szCs w:val="20"/>
          <w:color w:val="auto"/>
        </w:rPr>
      </w:pPr>
    </w:p>
    <w:p>
      <w:pPr>
        <w:ind w:right="40" w:firstLine="584"/>
        <w:spacing w:after="0" w:line="256" w:lineRule="auto"/>
        <w:rPr>
          <w:sz w:val="20"/>
          <w:szCs w:val="20"/>
          <w:color w:val="auto"/>
        </w:rPr>
      </w:pPr>
      <w:r>
        <w:rPr>
          <w:rFonts w:ascii="Times New Roman" w:cs="Times New Roman" w:eastAsia="Times New Roman" w:hAnsi="Times New Roman"/>
          <w:sz w:val="18"/>
          <w:szCs w:val="18"/>
          <w:color w:val="auto"/>
        </w:rPr>
        <w:t>We are developing TNG908 for the treatment of patients with solid tumors with homozygous MTAP deletion (10- 15% of all human tumors) including NSCLC, mesothelioma, pancreatic cancer, cholangiocarcinoma and GBM. In preclinical studies, TNG908 has 15-fold greater selectivity for MTAP-null cancer cells over MTAP WT cells, strong anti-tumor effects in vivo, and pharmacokinetics that support its potential to be a leading PRMT5 inhibitor if approved. The FDA granted TNG908 Fast Track designation to TNG908 and additionally, the granted Orphan Drug Designations to TNG908 for the treatment of MPNST and malignant glioma, including GBM. We are actively dosing patients in the Phase 1/2 clinical trial and we expect to provide an update on the ongoing dose escalation portion of the trial, focusing on proof-of-mechanism, in the second quarter of 2023.</w:t>
      </w:r>
    </w:p>
    <w:p>
      <w:pPr>
        <w:spacing w:after="0" w:line="187" w:lineRule="exact"/>
        <w:rPr>
          <w:sz w:val="20"/>
          <w:szCs w:val="20"/>
          <w:color w:val="auto"/>
        </w:rPr>
      </w:pPr>
    </w:p>
    <w:p>
      <w:pPr>
        <w:ind w:right="160" w:firstLine="584"/>
        <w:spacing w:after="0" w:line="256" w:lineRule="auto"/>
        <w:rPr>
          <w:sz w:val="20"/>
          <w:szCs w:val="20"/>
          <w:color w:val="auto"/>
        </w:rPr>
      </w:pPr>
      <w:r>
        <w:rPr>
          <w:rFonts w:ascii="Times New Roman" w:cs="Times New Roman" w:eastAsia="Times New Roman" w:hAnsi="Times New Roman"/>
          <w:sz w:val="18"/>
          <w:szCs w:val="18"/>
          <w:color w:val="auto"/>
        </w:rPr>
        <w:t>We also are developing TNG462, a more potent and selective PRMT5 inhibitor with improved pharmacokinetic properties as compared to TNG908. We believe additional potency may allow stronger target inhibition and thus clinical efficacy, and additional selectivity for MTAP-deleted cells may provide a wider therapeutic index. In the first quarter of 2023, the FDA cleared the IND for the Phase 1/2 trial and granted Fast Track designation to TNG462. We expect to initiate a Phase 1/2 clinical trial in mid-2023. The trial, which will require all patients to have a homozygous MTAP deletion, will evaluate cancers including NSCLC, mesothelioma and cholangiocarcinoma. Unlike TNG908, GBM will be excluded from the clinical trial as TNG462 is not expected to cross the blood-brain barrier.</w:t>
      </w:r>
    </w:p>
    <w:p>
      <w:pPr>
        <w:spacing w:after="0" w:line="187" w:lineRule="exact"/>
        <w:rPr>
          <w:sz w:val="20"/>
          <w:szCs w:val="20"/>
          <w:color w:val="auto"/>
        </w:rPr>
      </w:pPr>
    </w:p>
    <w:p>
      <w:pPr>
        <w:ind w:right="140" w:firstLine="584"/>
        <w:spacing w:after="0" w:line="266" w:lineRule="auto"/>
        <w:rPr>
          <w:sz w:val="20"/>
          <w:szCs w:val="20"/>
          <w:color w:val="auto"/>
        </w:rPr>
      </w:pPr>
      <w:r>
        <w:rPr>
          <w:rFonts w:ascii="Times New Roman" w:cs="Times New Roman" w:eastAsia="Times New Roman" w:hAnsi="Times New Roman"/>
          <w:sz w:val="18"/>
          <w:szCs w:val="18"/>
          <w:color w:val="auto"/>
        </w:rPr>
        <w:t>By advancing both TNG908 and TNG462 into the clinic, we not only maximize the opportunity to help patients with MTAP-deleted cancers but also increase our strategic optionality to develop and potentially commercialize a PRMT5 inhibitor. We look forward to emerging data from these trials to optimize our development and commercialization plans for these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MTAP-deletion frequency in multiple solid tumor types</w:t>
      </w:r>
    </w:p>
    <w:p>
      <w:pPr>
        <w:spacing w:after="0" w:line="121"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A partial deletion of chromosome 9p21, driven by loss of the tumor suppressor gene CDKN2A, is the most common homozygous deletion in human cancer. MTAP is adjacent to CDKN2A and is lost along with it in 80-90% of CDKN2A-deleted tumors, thus MTAP is one of the most commonly deleted genes across all cancer types. Based on The Cancer Genome Atlas (TCGA) data and data from a 2014 publication by Lee et al, there are at least 15 cancer types where MTAP loss occurs in more than 10% of patients, including approximately 10% of non-squamous NSCLC, 20% of squamous NSCLC, 25% of bladder cancers, 30% to 55% of MPNST and 40% of GBM. Given that we believe this is a large and important opportunity for patients with cancer, we are developing both TNG908 and TNG462.</w:t>
      </w:r>
    </w:p>
    <w:p>
      <w:pPr>
        <w:spacing w:after="0" w:line="185" w:lineRule="exact"/>
        <w:rPr>
          <w:sz w:val="20"/>
          <w:szCs w:val="20"/>
          <w:color w:val="auto"/>
        </w:rPr>
      </w:pPr>
    </w:p>
    <w:p>
      <w:pPr>
        <w:ind w:left="5540" w:right="1240" w:hanging="55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Figure 3. The frequency of MTAP deletion across tumor types as determined from analysis of TCGA and an indication specific publication </w:t>
      </w: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1793875</wp:posOffset>
            </wp:positionH>
            <wp:positionV relativeFrom="page">
              <wp:posOffset>363220</wp:posOffset>
            </wp:positionV>
            <wp:extent cx="3934460" cy="3488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3934460" cy="3488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PRMT5 mechanism of action</w:t>
      </w:r>
    </w:p>
    <w:p>
      <w:pPr>
        <w:spacing w:after="0" w:line="121" w:lineRule="exact"/>
        <w:rPr>
          <w:sz w:val="20"/>
          <w:szCs w:val="20"/>
          <w:color w:val="auto"/>
        </w:rPr>
      </w:pPr>
    </w:p>
    <w:p>
      <w:pPr>
        <w:ind w:right="480" w:firstLine="584"/>
        <w:spacing w:after="0" w:line="266" w:lineRule="auto"/>
        <w:rPr>
          <w:sz w:val="20"/>
          <w:szCs w:val="20"/>
          <w:color w:val="auto"/>
        </w:rPr>
      </w:pPr>
      <w:r>
        <w:rPr>
          <w:rFonts w:ascii="Times New Roman" w:cs="Times New Roman" w:eastAsia="Times New Roman" w:hAnsi="Times New Roman"/>
          <w:sz w:val="18"/>
          <w:szCs w:val="18"/>
          <w:color w:val="auto"/>
        </w:rPr>
        <w:t>PRMT5 has long been a therapeutic target of interest for cancer given its role in regulating proteins involved in multiple essential cellular functions, including RNA splicing, cell cycling, cell death, and metabolic signaling. PRMT5 is a protein arginine methyltransferase that modifies the activity of these proteins, which are critical for growth and viability of both normal and cancer cells.</w:t>
      </w:r>
    </w:p>
    <w:p>
      <w:pPr>
        <w:spacing w:after="0" w:line="176" w:lineRule="exact"/>
        <w:rPr>
          <w:sz w:val="20"/>
          <w:szCs w:val="20"/>
          <w:color w:val="auto"/>
        </w:rPr>
      </w:pPr>
    </w:p>
    <w:p>
      <w:pPr>
        <w:ind w:firstLine="584"/>
        <w:spacing w:after="0" w:line="266" w:lineRule="auto"/>
        <w:rPr>
          <w:sz w:val="20"/>
          <w:szCs w:val="20"/>
          <w:color w:val="auto"/>
        </w:rPr>
      </w:pPr>
      <w:r>
        <w:rPr>
          <w:rFonts w:ascii="Times New Roman" w:cs="Times New Roman" w:eastAsia="Times New Roman" w:hAnsi="Times New Roman"/>
          <w:sz w:val="18"/>
          <w:szCs w:val="18"/>
          <w:color w:val="auto"/>
        </w:rPr>
        <w:t>PRMT5 methylates target proteins by removing a methyl group from SAM, the co-factor and methyl donor which is necessary for PRMT5 activity, and transferring that methyl group to a specific residue on target proteins. This methyl modification, or “mark,” alters the function of the target protein, thereby regulating the cell processes for which the protein is important.</w:t>
      </w:r>
    </w:p>
    <w:p>
      <w:pPr>
        <w:spacing w:after="0" w:line="176" w:lineRule="exact"/>
        <w:rPr>
          <w:sz w:val="20"/>
          <w:szCs w:val="20"/>
          <w:color w:val="auto"/>
        </w:rPr>
      </w:pPr>
    </w:p>
    <w:p>
      <w:pPr>
        <w:ind w:right="120" w:firstLine="584"/>
        <w:spacing w:after="0" w:line="282" w:lineRule="auto"/>
        <w:rPr>
          <w:sz w:val="20"/>
          <w:szCs w:val="20"/>
          <w:color w:val="auto"/>
        </w:rPr>
      </w:pPr>
      <w:r>
        <w:rPr>
          <w:rFonts w:ascii="Times New Roman" w:cs="Times New Roman" w:eastAsia="Times New Roman" w:hAnsi="Times New Roman"/>
          <w:sz w:val="18"/>
          <w:szCs w:val="18"/>
          <w:color w:val="auto"/>
        </w:rPr>
        <w:t>The function of PRMT5 is regulated in several ways, including by the endogenous inhibitor MTA. MTA directly competes with SAM for binding to the PRMT5 active site but does not have a methyl donor. Thus, when present, MTA inhibits PRMT5 function.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MTA-cooperative PRMT5 inhibition as a novel synthetic lethal mechanism in cancers with MTAP-deletion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differentiated approach with TNG908 and TNG462</w:t>
      </w:r>
    </w:p>
    <w:p>
      <w:pPr>
        <w:spacing w:after="0" w:line="121"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The challenge for PRMT5 inhibitors that are not MTA-cooperative is that they kill rapidly growing normal cells (bone marrow cells in particular) as effectively as cancer cells and therefore the level of inhibition needed to kill cancer cells is reduced by on-target, dose-limiting bone marrow toxicity. To address this problem, we designed TNG908 and TNG462 to be selectively active (synthetic lethal) in cancer cells that have a homozygous deletion of MTAP, which is not deleted in normal cells.</w:t>
      </w:r>
    </w:p>
    <w:p>
      <w:pPr>
        <w:spacing w:after="0" w:line="180" w:lineRule="exact"/>
        <w:rPr>
          <w:sz w:val="20"/>
          <w:szCs w:val="20"/>
          <w:color w:val="auto"/>
        </w:rPr>
      </w:pPr>
    </w:p>
    <w:p>
      <w:pPr>
        <w:ind w:right="100" w:firstLine="584"/>
        <w:spacing w:after="0" w:line="254" w:lineRule="auto"/>
        <w:rPr>
          <w:sz w:val="20"/>
          <w:szCs w:val="20"/>
          <w:color w:val="auto"/>
        </w:rPr>
      </w:pPr>
      <w:r>
        <w:rPr>
          <w:rFonts w:ascii="Times New Roman" w:cs="Times New Roman" w:eastAsia="Times New Roman" w:hAnsi="Times New Roman"/>
          <w:sz w:val="18"/>
          <w:szCs w:val="18"/>
          <w:color w:val="auto"/>
        </w:rPr>
        <w:t>TNG908 and TNG462 bind PRMT5 cooperatively with MTA, whereas the non-MTA-cooperative PRMT5 inhibitors previously evaluated in clinical trials are either SAM-cooperative or SAM-competitive. In normal cells (MTAP WT), MTA is rapidly degraded by MTAP. When MTAP is deleted in cancer cells, intracellular MTA is markedly elevated compared to normal cells (Figures 4 and 5 below). TNG908 and TNG462 preferentially bind PRMT5 in the presence of MTA and “lock” the enzyme into the inactive state which prevents PRMT5 from methylating target proteins critical for cell survival. As a</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result, TNG908 and TNG462 selectively kill MTAP-deleted tumor cells with elevated MTA levels while sparing normal cells.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4. 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155575</wp:posOffset>
            </wp:positionV>
            <wp:extent cx="4183380" cy="2434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8338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584"/>
        <w:spacing w:after="0" w:line="266" w:lineRule="auto"/>
        <w:rPr>
          <w:sz w:val="20"/>
          <w:szCs w:val="20"/>
          <w:color w:val="auto"/>
        </w:rPr>
      </w:pPr>
      <w:r>
        <w:rPr>
          <w:rFonts w:ascii="Times New Roman" w:cs="Times New Roman" w:eastAsia="Times New Roman" w:hAnsi="Times New Roman"/>
          <w:sz w:val="18"/>
          <w:szCs w:val="18"/>
          <w:color w:val="auto"/>
        </w:rPr>
        <w:t>PRMT5 is an essential enzyme for all cell types, and MTAP deletion in cancer cells results in tumor specific sensitivity to PRMT5 inhibition. MTA-cooperative PRMT5 inhibitors, such as TNG908 and TNG462, may provide a wide therapeutic index by preferentially inhibiting PRMT5 in MTAP-deleted cancer cells, while relatively sparing normal tissue.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5. TNG908 and TNG462 have an MTA-cooperative mechanism of action that is selective for MTAP-deleted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224155</wp:posOffset>
            </wp:positionV>
            <wp:extent cx="4491990" cy="1954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9199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firstLine="584"/>
        <w:spacing w:after="0" w:line="261" w:lineRule="auto"/>
        <w:rPr>
          <w:sz w:val="20"/>
          <w:szCs w:val="20"/>
          <w:color w:val="auto"/>
        </w:rPr>
      </w:pPr>
      <w:r>
        <w:rPr>
          <w:rFonts w:ascii="Times New Roman" w:cs="Times New Roman" w:eastAsia="Times New Roman" w:hAnsi="Times New Roman"/>
          <w:sz w:val="18"/>
          <w:szCs w:val="18"/>
          <w:color w:val="auto"/>
        </w:rPr>
        <w:t>We compared the potency and selectivity of TNG908 and TNG462 to a non-MTA-cooperative PRMT5 inhibitor, GSK3326595, in a panel of 180 cancer cell lines representing multiple histologies, including NSCLC, bladder cancer, pancreatic cancer, mesothelioma, cancers of the central nervous system, leukemia and lymphoma. TNG908 and TNG462 demonstrated significant MTAP-selective inhibition of viability, while GSK3326595 showed no selectivity for MTAP-null cell lines over MTAP WT (Figure 6).</w:t>
      </w:r>
    </w:p>
    <w:p>
      <w:pPr>
        <w:spacing w:after="0" w:line="178" w:lineRule="exact"/>
        <w:rPr>
          <w:sz w:val="20"/>
          <w:szCs w:val="20"/>
          <w:color w:val="auto"/>
        </w:rPr>
      </w:pPr>
    </w:p>
    <w:p>
      <w:pPr>
        <w:ind w:left="5540" w:right="2220" w:hanging="55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Figure 6. TNG462 and TNG908 demonstrate strong MTAP selectivity in 180 cancer cell lines as compared to GSK3326595 </w:t>
      </w: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1322705</wp:posOffset>
            </wp:positionH>
            <wp:positionV relativeFrom="page">
              <wp:posOffset>380365</wp:posOffset>
            </wp:positionV>
            <wp:extent cx="4869180" cy="2597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86918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PRMT5 catalyzes SDMA residues of substrate proteins, a modification that can be detected and quantified by SDMA-specific antibodies as a direct measurement of PRMT5 activity. Therefore, SDMA quantification can be used as a pharmacodynamic biomarker for PRMT5 inhibitors. TNG908 and TNG462 both inhibit PRMT5 90-100% in the MTAP-null HAP1 cell line with marked selectivity over the MTAP WT cell line (Figure 7). The degree of PRMT5 inhibition and selective viability are consistent with data generated in isogenic xenograft models that differ only by presence or absence of the MTAP gene (Figure 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7. PRMT5 inhibition by TNG908 and TNG462 is dose-dependent and MTAP-selective</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i w:val="1"/>
          <w:iCs w:val="1"/>
          <w:color w:val="auto"/>
        </w:rPr>
        <w:t>In vitro in-cell western data demonstrating dose-dependent reduction of SDMA levels after 24 hours of TNG908 or TNG462 treatment in HAP1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127000</wp:posOffset>
            </wp:positionV>
            <wp:extent cx="3086100" cy="1954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8610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Figure 8. TNG908 demonstrates strong, MTAP-selective anti-tumor activity in xenograft models. TNG908 selectively inhibits PRMT5 in MTAP-null cancer in vivo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226060</wp:posOffset>
            </wp:positionV>
            <wp:extent cx="5760720" cy="1834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PRMT5 preclinical data overview</w:t>
      </w:r>
    </w:p>
    <w:p>
      <w:pPr>
        <w:spacing w:after="0" w:line="121"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TNG908 and TNG462 are both highly selective for PRMT5 against a panel of 38 methyltransferases at 10 µM, showing they do not inhibit any other methyltransferases, even well above the predicted clinical efficacious exposure range. Both TNG908 and TNG462 have excellent drug-like properties and are formulated for oral administration. Dose-dependent PRMT5 inhibition and anti-tumor efficacy have been shown in MTAP-null xenograft models, which demonstrate that both molecules suppress tumor growth in an on-target manner.</w:t>
      </w:r>
    </w:p>
    <w:p>
      <w:pPr>
        <w:spacing w:after="0" w:line="180" w:lineRule="exact"/>
        <w:rPr>
          <w:sz w:val="20"/>
          <w:szCs w:val="20"/>
          <w:color w:val="auto"/>
        </w:rPr>
      </w:pPr>
    </w:p>
    <w:p>
      <w:pPr>
        <w:ind w:right="40" w:firstLine="584"/>
        <w:spacing w:after="0" w:line="266" w:lineRule="auto"/>
        <w:rPr>
          <w:sz w:val="20"/>
          <w:szCs w:val="20"/>
          <w:color w:val="auto"/>
        </w:rPr>
      </w:pPr>
      <w:r>
        <w:rPr>
          <w:rFonts w:ascii="Times New Roman" w:cs="Times New Roman" w:eastAsia="Times New Roman" w:hAnsi="Times New Roman"/>
          <w:sz w:val="18"/>
          <w:szCs w:val="18"/>
          <w:color w:val="auto"/>
        </w:rPr>
        <w:t>TNG908 and TNG462 drive dose-dependent, on-target, anti-tumor activity including deep and durable regressions in MTAP-null xenograft models regardless of histology. TNG462 has demonstrated increased potency and MTAP-deletion selectivity as compared to TNG908. Additionally, due to improved pharmacokinetic properties, TNG462 will be dosed once daily in the Phase 1/2 clinical trial.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TNG908 preclinical data summary</w:t>
      </w:r>
    </w:p>
    <w:p>
      <w:pPr>
        <w:spacing w:after="0" w:line="121" w:lineRule="exact"/>
        <w:rPr>
          <w:sz w:val="20"/>
          <w:szCs w:val="20"/>
          <w:color w:val="auto"/>
        </w:rPr>
      </w:pPr>
    </w:p>
    <w:p>
      <w:pPr>
        <w:ind w:right="20" w:firstLine="584"/>
        <w:spacing w:after="0" w:line="256" w:lineRule="auto"/>
        <w:rPr>
          <w:sz w:val="20"/>
          <w:szCs w:val="20"/>
          <w:color w:val="auto"/>
        </w:rPr>
      </w:pPr>
      <w:r>
        <w:rPr>
          <w:rFonts w:ascii="Times New Roman" w:cs="Times New Roman" w:eastAsia="Times New Roman" w:hAnsi="Times New Roman"/>
          <w:sz w:val="18"/>
          <w:szCs w:val="18"/>
          <w:color w:val="auto"/>
        </w:rPr>
        <w:t>In our preclinical studies, TNG908 demonstrated 15-fold greater potency in MTAP-deleted cancer cells versus normal cells and robust efficacy in vitro and in vivo. Consistent with these findings, TNG908 demonstrated significant and dose-dependent anti-tumor activity in over 50 xenograft models representing multiple tumor lineages (sample data shown in Figure 9) that did not have a bias to specific histologies. These histology-agnostic responses included strong and durable regressions in a number of models including PDX models of cholangiocarcinoma, NSCLC, bladder cancer and GBM. Notably, in both the NSCLC (squamous) and GBM PDX models shown in Figure 9, complete responses were observed while on TNG908-treatment and maintained when therapy was discontinued in all mice (NSCLC-squamous PDX) and in 4/5 mice (GBM PDX).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9. TNG908 demonstrates strong anti-tumor activity with regressions in MTAP-deleted xenograft models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226060</wp:posOffset>
            </wp:positionV>
            <wp:extent cx="5760720" cy="33947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firstLine="584"/>
        <w:spacing w:after="0" w:line="281" w:lineRule="auto"/>
        <w:rPr>
          <w:sz w:val="20"/>
          <w:szCs w:val="20"/>
          <w:color w:val="auto"/>
        </w:rPr>
      </w:pPr>
      <w:r>
        <w:rPr>
          <w:rFonts w:ascii="Times New Roman" w:cs="Times New Roman" w:eastAsia="Times New Roman" w:hAnsi="Times New Roman"/>
          <w:sz w:val="17"/>
          <w:szCs w:val="17"/>
          <w:color w:val="auto"/>
        </w:rPr>
        <w:t>In preclinical non-human primate studies, TNG908 has exposure in CSF that is equivalent to plasma when corrected for protein-binding. In addition to the strong anti-tumor activity demonstrated in subcutaneous MTAP-null GBM xenograft models, we also have shown strong efficacy and prolonged survival in a GBM xenograft model that was inoculated in the brain. We believe these data uniquely position TNG908 as a potential treatment option for patients with MTAP-deleted tumors of the central nervous system (CNS), including GBM and CNS metastases of MTAP-deleted solid tumors.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TNG462 preclinical data summary</w:t>
      </w:r>
    </w:p>
    <w:p>
      <w:pPr>
        <w:spacing w:after="0" w:line="121" w:lineRule="exact"/>
        <w:rPr>
          <w:sz w:val="20"/>
          <w:szCs w:val="20"/>
          <w:color w:val="auto"/>
        </w:rPr>
      </w:pPr>
    </w:p>
    <w:p>
      <w:pPr>
        <w:ind w:firstLine="584"/>
        <w:spacing w:after="0" w:line="255" w:lineRule="auto"/>
        <w:rPr>
          <w:sz w:val="20"/>
          <w:szCs w:val="20"/>
          <w:color w:val="auto"/>
        </w:rPr>
      </w:pPr>
      <w:r>
        <w:rPr>
          <w:rFonts w:ascii="Times New Roman" w:cs="Times New Roman" w:eastAsia="Times New Roman" w:hAnsi="Times New Roman"/>
          <w:sz w:val="18"/>
          <w:szCs w:val="18"/>
          <w:color w:val="auto"/>
        </w:rPr>
        <w:t>TNG462 has the same mechanism of action as TNG908 with improved potency and selectivity in MTAP-deleted cancer cell lines. In preclinical studies, TNG462 is 45 times more selective for MTAP-deleted cells (3-fold greater than TNG908) and 28 times more potent than TNG908, which may translate to a wider therapeutic index and stronger target inhibition than TNG908. TNG462 has improved pharmacokinetic properties relative to TNG908 that support once daily dosing in the clinic. Similar to TNG908, TNG462 drives strong anti-tumor activity without bias towards any specific histology. Deep and durable regressions were demonstrated in PDX models derived from cholangiocarcinoma, mesothelioma, lung, bladder and pancreatic cancer (sample data shown in Figure 10). In the preclinical models, TNG462 treatment also suppresses tumor growth even after removal of therapy in a NSCLC (squamous) PDX model.</w:t>
      </w:r>
    </w:p>
    <w:p>
      <w:pPr>
        <w:spacing w:after="0" w:line="187" w:lineRule="exact"/>
        <w:rPr>
          <w:sz w:val="20"/>
          <w:szCs w:val="20"/>
          <w:color w:val="auto"/>
        </w:rPr>
      </w:pPr>
    </w:p>
    <w:p>
      <w:pPr>
        <w:ind w:left="5540" w:right="2980" w:hanging="552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Figure 10. TNG462 demonstrates strong anti-tumor activity with regressions in MTAP-deleted xenograft models </w:t>
      </w: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1905635</wp:posOffset>
            </wp:positionH>
            <wp:positionV relativeFrom="page">
              <wp:posOffset>363220</wp:posOffset>
            </wp:positionV>
            <wp:extent cx="3703320" cy="2691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370332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combination data</w:t>
      </w:r>
    </w:p>
    <w:p>
      <w:pPr>
        <w:spacing w:after="0" w:line="121" w:lineRule="exact"/>
        <w:rPr>
          <w:sz w:val="20"/>
          <w:szCs w:val="20"/>
          <w:color w:val="auto"/>
        </w:rPr>
      </w:pPr>
    </w:p>
    <w:p>
      <w:pPr>
        <w:jc w:val="both"/>
        <w:ind w:right="80" w:firstLine="584"/>
        <w:spacing w:after="0" w:line="266" w:lineRule="auto"/>
        <w:rPr>
          <w:sz w:val="20"/>
          <w:szCs w:val="20"/>
          <w:color w:val="auto"/>
        </w:rPr>
      </w:pPr>
      <w:r>
        <w:rPr>
          <w:rFonts w:ascii="Times New Roman" w:cs="Times New Roman" w:eastAsia="Times New Roman" w:hAnsi="Times New Roman"/>
          <w:sz w:val="18"/>
          <w:szCs w:val="18"/>
          <w:color w:val="auto"/>
        </w:rPr>
        <w:t>While we expect TNG908 and TNG462 both will show strong single-agent efficacy, we plan to evaluate these molecules clinically in combination with other agents in the future. Based on strong preclinical data showing significant in vivo combination benefit, combinations of potential interest include CDK4/6, MAT2A, and KRAS inhibitors and potentially other oncogene-targeted therapies.</w:t>
      </w:r>
    </w:p>
    <w:p>
      <w:pPr>
        <w:spacing w:after="0" w:line="68" w:lineRule="exact"/>
        <w:rPr>
          <w:sz w:val="20"/>
          <w:szCs w:val="20"/>
          <w:color w:val="auto"/>
        </w:rPr>
      </w:pPr>
    </w:p>
    <w:p>
      <w:pPr>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Essentially all MTAP-deleted tumors also have a CDKN2A deletion and CDKN2A deletion may sensitize cancers to CDK4/6 inhibition, thus combining TNG462 or TNG908 with a CDK4/6 inhibitor may further enhance the clinical benefit of either inhibitor alone. We have demonstrated the efficacy of this combination in preclinical in vivo studies.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MAT2A inhibitors reduce intracellular levels of the activating PRMT5 co-factor, SAM, and increase the ratio of MTA to SAM in MTAP-deleted cells. Strong synergy has been demonstrated preclinically with both TNG908 and TNG462 with a MAT2A inhibitor, suggesting that this could be a beneficial clinical combination in MTAP-deleted tumors.</w:t>
      </w:r>
    </w:p>
    <w:p>
      <w:pPr>
        <w:spacing w:after="0" w:line="67"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of MTAP-deleted lung adenocarcinomas and 85% of MTAP-deleted pancreatic adenocarcinomas are also KRAS-mutant, therefore combining TNG908 or TNG462 with a KRAS inhibitor in these patients may have clinical benefit. Preclinical in vivo studies further support testing these combinations in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Planned clinical trials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TNG908 Phase 1/2</w:t>
      </w:r>
    </w:p>
    <w:p>
      <w:pPr>
        <w:spacing w:after="0" w:line="121" w:lineRule="exact"/>
        <w:rPr>
          <w:sz w:val="20"/>
          <w:szCs w:val="20"/>
          <w:color w:val="auto"/>
        </w:rPr>
      </w:pPr>
    </w:p>
    <w:p>
      <w:pPr>
        <w:ind w:firstLine="584"/>
        <w:spacing w:after="0" w:line="266" w:lineRule="auto"/>
        <w:rPr>
          <w:sz w:val="20"/>
          <w:szCs w:val="20"/>
          <w:color w:val="auto"/>
        </w:rPr>
      </w:pPr>
      <w:r>
        <w:rPr>
          <w:rFonts w:ascii="Times New Roman" w:cs="Times New Roman" w:eastAsia="Times New Roman" w:hAnsi="Times New Roman"/>
          <w:sz w:val="18"/>
          <w:szCs w:val="18"/>
          <w:color w:val="auto"/>
        </w:rPr>
        <w:t>The Phase 1/2 first-in-human trial is evaluating the oral administration of TNG908 monotherapy in patients with MTAP-deleted tumors (See Figure 11 below). As TNG908 is designed to selectively inhibit PRMT5 in cancers with MTAP deletion, we are limiting enrollment to patients with MTAP-deleted cancers.</w:t>
      </w:r>
    </w:p>
    <w:p>
      <w:pPr>
        <w:spacing w:after="0" w:line="176"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We are actively enrolling patients in the dose escalation phase and evaluating safety, pharmacokinetics and pharmacodynamics and efficacy in patients with locally advanced or metastatic solid tumors of any histology with an MTAP deletion. Following determination of the optimal efficacious dose, we will evaluate the efficacy of TNG908 in multiple histology-specific expansion arms including MPNST, NSCLC, mesothelioma, cholangiocarcinoma and GBM. In parallel, we will enroll a histology-agnostic cohort to provide optionality for a registration strategy in all tumors regardless of histology if broad activity is observed. Given that MTAP deletion is common in multiple indications, we may expand into additional histology-specific cohorts based on activity observed in the Phase 1/2 trial.</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ind w:right="240" w:firstLine="584"/>
        <w:spacing w:after="0" w:line="312" w:lineRule="auto"/>
        <w:rPr>
          <w:sz w:val="20"/>
          <w:szCs w:val="20"/>
          <w:color w:val="auto"/>
        </w:rPr>
      </w:pPr>
      <w:r>
        <w:rPr>
          <w:rFonts w:ascii="Times New Roman" w:cs="Times New Roman" w:eastAsia="Times New Roman" w:hAnsi="Times New Roman"/>
          <w:sz w:val="17"/>
          <w:szCs w:val="17"/>
          <w:color w:val="auto"/>
        </w:rPr>
        <w:t>The indication specific cohorts were selected based on the unmet medical need for new therapies in prevalent histologies, including NSCLC, mesothelioma, cholangiocarcinoma and GBM, as well as indications where there are limited treatment options with no standard of care such as MPNST.</w:t>
      </w:r>
    </w:p>
    <w:p>
      <w:pPr>
        <w:spacing w:after="0" w:line="140" w:lineRule="exact"/>
        <w:rPr>
          <w:sz w:val="20"/>
          <w:szCs w:val="20"/>
          <w:color w:val="auto"/>
        </w:rPr>
      </w:pPr>
    </w:p>
    <w:p>
      <w:pPr>
        <w:ind w:right="220" w:firstLine="584"/>
        <w:spacing w:after="0" w:line="266" w:lineRule="auto"/>
        <w:rPr>
          <w:sz w:val="20"/>
          <w:szCs w:val="20"/>
          <w:color w:val="auto"/>
        </w:rPr>
      </w:pPr>
      <w:r>
        <w:rPr>
          <w:rFonts w:ascii="Times New Roman" w:cs="Times New Roman" w:eastAsia="Times New Roman" w:hAnsi="Times New Roman"/>
          <w:sz w:val="18"/>
          <w:szCs w:val="18"/>
          <w:color w:val="auto"/>
        </w:rPr>
        <w:t>In the first quarter of 2022, the FDA cleared the IND for the Phase 1/2 trial and granted Fast Track designation to TNG908. We are actively enrolling patients in the Phase 1/2 clinical trial of TNG908. Based on a recent protocol amendment, GBM patients will be added to the ongoing trial. We expect to provide an update on the ongoing dose escalation portion of the trial, focusing on the proof-of-mechanism, in the second quarter of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11. TNG908 First-in-human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172720</wp:posOffset>
            </wp:positionV>
            <wp:extent cx="3943350" cy="2837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4335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TNG462 Phase 1/2</w:t>
      </w:r>
    </w:p>
    <w:p>
      <w:pPr>
        <w:spacing w:after="0" w:line="121"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In the first quarter of 2023, the FDA cleared the IND for the Phase 1/2 trial and granted Fast Track designation to TNG462. We plan to initiate a Phase 1/2 clinical trial in mid-2023. The clinical trial for TNG462 is similar to the TNG908 trial, wherein all cancers must have an MTAP deletion. Similar to TNG908, the dose expansion portion of the clinical trial will include a histology-agnostic cohort. Unlike TNG908, GBM patients will be excluded from the clinical trial as TNG462 is not expected to cross the blood-brain barrier.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TNG260, CoREST-Selective Inhibitor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00" w:firstLine="584"/>
        <w:spacing w:after="0" w:line="266" w:lineRule="auto"/>
        <w:rPr>
          <w:sz w:val="20"/>
          <w:szCs w:val="20"/>
          <w:color w:val="auto"/>
        </w:rPr>
      </w:pPr>
      <w:r>
        <w:rPr>
          <w:rFonts w:ascii="Times New Roman" w:cs="Times New Roman" w:eastAsia="Times New Roman" w:hAnsi="Times New Roman"/>
          <w:sz w:val="18"/>
          <w:szCs w:val="18"/>
          <w:color w:val="auto"/>
        </w:rPr>
        <w:t>CoREST was discovered as a drug target with the potential to reverse the immune evasion associated with STK11 mutations using our immune evasion target discovery platform. This platform uses high throughput in vivo CRISPR-based target discovery screens to identify druggable targets that do not kill cancer cells directly, but rather attract immune cells to destroy them in the context of specific tumor suppressor gene loss.</w:t>
      </w:r>
    </w:p>
    <w:p>
      <w:pPr>
        <w:spacing w:after="0" w:line="176"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TNG260 is a novel small molecule inhibitor of the CoREST deacetylase complex that reverses checkpoint inhibitor resistance in STK11 mutant preclinical models. TNG260 is being developed in combination with an anti-PD-1 antibody and is designed to reverse immune evasion in STK11-mutant cancers, with the aim of restoring sensitivity to immune checkpoint inhibition. In preclinical studies, selective CoREST inhibition by TNG260 in combination with an anti-PD-1 antibody resulted in complete regressions in ~60% of mice as a result of the transcriptional reprogramming of STK11-mutant tumor cells. In STK11-mutant cancers, TNG260 directly alters tumor cell cytokine secretion, markedly reduces recruitment of immune suppressive T regulatory cells, upregulates components of the antigen presentation machinery as well as PD-L1 on the tumor cell surface, which together lead to a more immunogenic tumor microenvironment. Preclinically, TNG260 in combination with an anti-PD-1 antibody resulted in complete tumor regressions and prevented regrowth in STK11-mutant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9" w:name="page20"/>
    <w:bookmarkEnd w:id="19"/>
    <w:p>
      <w:pPr>
        <w:ind w:right="620"/>
        <w:spacing w:after="0" w:line="282" w:lineRule="auto"/>
        <w:rPr>
          <w:sz w:val="20"/>
          <w:szCs w:val="20"/>
          <w:color w:val="auto"/>
        </w:rPr>
      </w:pPr>
      <w:r>
        <w:rPr>
          <w:rFonts w:ascii="Times New Roman" w:cs="Times New Roman" w:eastAsia="Times New Roman" w:hAnsi="Times New Roman"/>
          <w:sz w:val="18"/>
          <w:szCs w:val="18"/>
          <w:color w:val="auto"/>
        </w:rPr>
        <w:t>tumors, inducing immune memory. STK11 loss-of-function mutations occur in approximately 15% of NSCLC, 15% of cervical, 10% carcinoma of unknown primary, 5% of breast and 3% of pancreatic cancers. We plan to file an IND for TNG260 in the first half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121"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STK11 mutant cancers have several key features that contribute to an immune checkpoint resistant tumor microenvironment, including low PD-L1 expression, low T effector cell infiltration, and high levels of immune suppressor T regulatory cells. Treatment with an immune checkpoint inhibitor, such as anti-PD-1, is not sufficient to overcome the immune evasive environment of STK11-mutant tumors, leading to very limited clinical response in these patients. Inhibition of the CoREST complex by TNG260 has been shown to lead to changes in expression of immune-related genes that favor a more active immune environment. For example, TNG260 treatment leads to increased expression of CXCL9, CXCL10, and CXCL11, which are cytokines responsible for recruiting T effector cells, therefore increasing the anti-tumor immune response when combined with anti-PD-1 antibody. Additionally, the combination of TNG260 with an anti-PD-1 antibody in preclinical studies leads to decreased expression of CCL1 and CCL22, which are chemokines responsible for recruiting immune suppressive regulatory T cells to the tumor environment. Together, this leads to an uncoupling of the levels of T effector and regulatory T cells in the tumor, which contributes to a more active immune microenvironment and re-sensitization to anti-PD-1 treatment.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discovery</w:t>
      </w:r>
    </w:p>
    <w:p>
      <w:pPr>
        <w:spacing w:after="0" w:line="121"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Our state-of-the-art in vivo CRISPR discovery platform enabled the discovery of STK11 as a tumor suppressor gene that drives immune evasion when not functional in cancer cells. We engineered a syngeneic mouse tumor model in which STK11 loss-of-function drives resistance to immune checkpoint blockade. Applying our in vivo CRISPR screen in this STK11 loss-of-function model, HDAC1 was identified as a target that reversed anti-PD-1 resistance caused by STK11 deletion. Though HDAC1 is a component of three major regulatory complexes, we observed that TNG260 is highly selective and only inhibits the CoREST complex and spares the other two complexes (Sin3 and NuRD).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 summary</w:t>
      </w:r>
    </w:p>
    <w:p>
      <w:pPr>
        <w:spacing w:after="0" w:line="121" w:lineRule="exact"/>
        <w:rPr>
          <w:sz w:val="20"/>
          <w:szCs w:val="20"/>
          <w:color w:val="auto"/>
        </w:rPr>
      </w:pPr>
    </w:p>
    <w:p>
      <w:pPr>
        <w:ind w:firstLine="584"/>
        <w:spacing w:after="0" w:line="255" w:lineRule="auto"/>
        <w:rPr>
          <w:sz w:val="20"/>
          <w:szCs w:val="20"/>
          <w:color w:val="auto"/>
        </w:rPr>
      </w:pPr>
      <w:r>
        <w:rPr>
          <w:rFonts w:ascii="Times New Roman" w:cs="Times New Roman" w:eastAsia="Times New Roman" w:hAnsi="Times New Roman"/>
          <w:sz w:val="18"/>
          <w:szCs w:val="18"/>
          <w:color w:val="auto"/>
        </w:rPr>
        <w:t>In preclinical models, TNG260 demonstrated strong genetic and pharmacologic validation showing reprogramming of the tumor microenvironment and strong sensitization to anti-PD-1 therapy in STK11-deficient tumor models. In a syngeneic mouse tumor model where STK11 mutations drive resistance to immune checkpoint blockade, CoREST inhibition by TNG260 in combination with an anti-PD-1 antibody resulted in complete tumor regressions in five out of eight treated mice. Treatment was stopped on Day 48 and the five of eight mice that were completely tumor-free at that time remained tumor-free for 21 days with no further treatment. Furthermore, when tumor cells were re-implanted in these mice on day 69, they were rejected, compared to a treatment-naïve group of animals where tumors grew as expected. This demonstrated the induction of immune memory in the animals with complete responses to TNG260 with anti-PD-1 antibody (Figure 12).</w:t>
      </w:r>
    </w:p>
    <w:p>
      <w:pPr>
        <w:spacing w:after="0" w:line="187" w:lineRule="exact"/>
        <w:rPr>
          <w:sz w:val="20"/>
          <w:szCs w:val="20"/>
          <w:color w:val="auto"/>
        </w:rPr>
      </w:pPr>
    </w:p>
    <w:p>
      <w:pPr>
        <w:jc w:val="cente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Figure 12: Pharmacologic proof-of-concept for CoREST inhibition in STK11 mutant MC38 mice with TNG260 in combination with an anti-PD-1 antibody </w:t>
      </w: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1751330</wp:posOffset>
            </wp:positionH>
            <wp:positionV relativeFrom="page">
              <wp:posOffset>363220</wp:posOffset>
            </wp:positionV>
            <wp:extent cx="4020185" cy="2468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02018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Planned clinical trials</w:t>
      </w:r>
    </w:p>
    <w:p>
      <w:pPr>
        <w:spacing w:after="0" w:line="121" w:lineRule="exact"/>
        <w:rPr>
          <w:sz w:val="20"/>
          <w:szCs w:val="20"/>
          <w:color w:val="auto"/>
        </w:rPr>
      </w:pPr>
    </w:p>
    <w:p>
      <w:pPr>
        <w:jc w:val="both"/>
        <w:ind w:right="260" w:firstLine="584"/>
        <w:spacing w:after="0" w:line="266" w:lineRule="auto"/>
        <w:rPr>
          <w:sz w:val="20"/>
          <w:szCs w:val="20"/>
          <w:color w:val="auto"/>
        </w:rPr>
      </w:pPr>
      <w:r>
        <w:rPr>
          <w:rFonts w:ascii="Times New Roman" w:cs="Times New Roman" w:eastAsia="Times New Roman" w:hAnsi="Times New Roman"/>
          <w:sz w:val="18"/>
          <w:szCs w:val="18"/>
          <w:color w:val="auto"/>
        </w:rPr>
        <w:t>Our Phase 1/2 first-in-human trial of TNG260 will evaluate the oral administration of TNG260 in combination with pembrolizumab (anti-PD-1 antibody) in patients with STK11-mutant solid tumors (Figure 12). As TNG260 is designed to work in combination with anti-PD-1 antibodies in tumors with STK11 loss, enrollment will be limited to patients with STK11 mutated tumors.</w:t>
      </w:r>
    </w:p>
    <w:p>
      <w:pPr>
        <w:spacing w:after="0" w:line="176"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The dose escalation phase of this clinical trial will evaluate safety, pharmacokinetics, pharmacodynamics, and efficacy of TNG260 in combination with pembrolizumab in patients with locally advanced or metastatic cancer of any solid tumor histology with an STK11 mutation. Since efficacy with TNG260 requires combination with an anti-PD-1 antibody, TNG260 will be evaluated in combination with pembrolizumab. Following determination of the optimal efficacious dose, we will evaluate the efficacy of TNG260 plus pembrolizumab in indication-specific expansion arms including STK11 mutated NSCLC. In parallel, we will enroll a solid tumor, histology-agnostic cohort including cervical, pancreatic and breast cancer as well as carcinoma of unknown primary. We plan to file an IND for TNG260 in the first half of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Figure 12. TNG260 in combination </w:t>
      </w:r>
      <w:r>
        <w:rPr>
          <w:rFonts w:ascii="Times New Roman" w:cs="Times New Roman" w:eastAsia="Times New Roman" w:hAnsi="Times New Roman"/>
          <w:sz w:val="18"/>
          <w:szCs w:val="18"/>
          <w:color w:val="auto"/>
        </w:rPr>
        <w:t>with pembrolizumab</w:t>
      </w:r>
      <w:r>
        <w:rPr>
          <w:rFonts w:ascii="Times New Roman" w:cs="Times New Roman" w:eastAsia="Times New Roman" w:hAnsi="Times New Roman"/>
          <w:sz w:val="18"/>
          <w:szCs w:val="18"/>
          <w:i w:val="1"/>
          <w:iCs w:val="1"/>
          <w:color w:val="auto"/>
        </w:rPr>
        <w:t xml:space="preserve"> first-in-human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155575</wp:posOffset>
            </wp:positionV>
            <wp:extent cx="3720465" cy="2640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2046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TNG348, USP1 Inhibitor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584"/>
        <w:spacing w:after="0" w:line="270" w:lineRule="auto"/>
        <w:rPr>
          <w:sz w:val="20"/>
          <w:szCs w:val="20"/>
          <w:color w:val="auto"/>
        </w:rPr>
      </w:pPr>
      <w:r>
        <w:rPr>
          <w:rFonts w:ascii="Times New Roman" w:cs="Times New Roman" w:eastAsia="Times New Roman" w:hAnsi="Times New Roman"/>
          <w:sz w:val="17"/>
          <w:szCs w:val="17"/>
          <w:color w:val="auto"/>
        </w:rPr>
        <w:t>TNG348 is a novel allosteric inhibitor of USP1 for treatment of BRCA-mutant and other HRD+ cancers. USP1 was initially identified as a strong synthetic lethal target for BRCA1 loss-of-function using CRISPR-based screens in a panel of BRCA1-mutant versus wild-type cancer cell lines. In vivo preclinical studies of TNG348 have shown single agent efficacy and combination benefit with PARP inhibitors in BRCA1, BRCA2-mutant and other HRD+ cell-line and patient derived xenografts, including those that are intrinsically resistant to PARP inhibitors. These preclinical data further demonstrate that TNG348 is synergistic with PARP inhibition across a panel of human ovarian and breast cancer cell lines, including both PARP inhibitor sensitive and resistant models. Clinically, we expect TNG348 to have both single agent activity and combination benefit with PARP inhibitors in PARP inhibitor-naïve and PARP inhibitor-resistant BRCA1/2 mutant cancers and other HRD+ cancers. As such, USP1 has the potential to treat a patient population that is at least comparable in size to the PARP inhibitor market. BRCA1 or BRCA2 mutations are present in approximately 15% of ovarian cancers, 10% of breast cancers, 10% of prostate cancers, 5% of endometrial cancers and 5% of pancreatic cancers and additionally, BRCA wild-type HRD+ mutations are present in approximately 40% of ovarian, 15% of breast, 3% of prostate and 2% of pancreatic cancers. We expect to file an IND for TNG348 in mid-2023.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w:t>
      </w:r>
    </w:p>
    <w:p>
      <w:pPr>
        <w:spacing w:after="0" w:line="121"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While normal cells have multiple mechanisms to repair damaged DNA and prevent the associated cell death, tumors with BRCA1/2 mutations lack one of those mechanisms, the ability to repair double strand breaks. BRCA1/2 mutant and other HRD+ cancers rely in part on translesion synthesis (TLS) and base excision repair (BER) for DNA damage repair and cell survival. USP1 and PARP inhibitors exploit these dependencies by preventing efficient translesion synthesis and base excision repair respectively (See Figure 18). Clinically, blocking DNA damage repair to induce cancer cell death is a validated therapeutic strategy in oncology as exemplified by PARP inhibitors for the treatment of BRCA1/2 mutant cancers.</w:t>
      </w:r>
    </w:p>
    <w:p>
      <w:pPr>
        <w:spacing w:after="0" w:line="18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Figure 13. Overview of DNA damage repair mechanism and how genetic alterations causing homologous recombination deficiency, such as BRCA1/2 loss, leads to a dependency on translesion synthesis (USP1) and base excision repair (PARP)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113030</wp:posOffset>
            </wp:positionV>
            <wp:extent cx="3857625" cy="2597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5762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USP1 is a deubiquitinating enzyme (DUB) that co-localizes with PCNA to DNA replication forks to ensure high-fidelity DNA replication. When mono-ubiquitinated PCNA (ub-PCNA) encounters DNA damage, USP1 removes ubiquitin from PCNA, switching synthesis to low fidelity TLS polymerases for gap filling and repair (See Figure 14). By inhibiting USP1, TNG348 blocks the ubiquitin removal from PCNA, driving PCNA poly-ubiquitination and degradation. This results in incomplete translesion synthesis repair. Ultimately, the replication stress induced by USP1 inhibition leads to decreased DNA synthesis, cell cycle arrest, and induction of cell death as detailed in our recent peer reviewed publication (Antione et al. Molecular Cancer Therapeutics, 2023).</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2" w:name="page23"/>
    <w:bookmarkEnd w:id="22"/>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Figure 14. TNG348 blocks an important DNA damage repair pathway known as translesion synthesis. By inhibiting USP1 activity, TNG348 prevents the posttranslational modification of PCNA required to bypass DNA damage using low fidelity TLS polymerases for gap filling and 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113030</wp:posOffset>
            </wp:positionV>
            <wp:extent cx="4543425" cy="24085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4342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 summary</w:t>
      </w:r>
    </w:p>
    <w:p>
      <w:pPr>
        <w:spacing w:after="0" w:line="121" w:lineRule="exact"/>
        <w:rPr>
          <w:sz w:val="20"/>
          <w:szCs w:val="20"/>
          <w:color w:val="auto"/>
        </w:rPr>
      </w:pPr>
    </w:p>
    <w:p>
      <w:pPr>
        <w:ind w:firstLine="584"/>
        <w:spacing w:after="0" w:line="255" w:lineRule="auto"/>
        <w:rPr>
          <w:sz w:val="20"/>
          <w:szCs w:val="20"/>
          <w:color w:val="auto"/>
        </w:rPr>
      </w:pPr>
      <w:r>
        <w:rPr>
          <w:rFonts w:ascii="Times New Roman" w:cs="Times New Roman" w:eastAsia="Times New Roman" w:hAnsi="Times New Roman"/>
          <w:sz w:val="18"/>
          <w:szCs w:val="18"/>
          <w:color w:val="auto"/>
        </w:rPr>
        <w:t>The DNA damage repair pathways regulated by USP1 are not currently targeted by any marketed drug. Based on genome-wide CRISPR-Cas9 screens in the presence of our USP1 inhibitors, we validated that the activity of TNG348 converges on ubiquitination of PCNA, which represent a highly differentiated mechanism relative to other DNA damage repair enzyme inhibitors, including PARP inhibitors (Figures 13 and 14). Based on in vitro cell line profiling and ex vivo studies in patient-derived organoid cultures, we expect TNG348 to have both single agent activity and combination benefit with PARP inhibitors in PARP inhibitor-naïve and PARP inhibitor-resistant cancers. (See Figure 15 and Figure 16). Because USP1 inhibition blocks TLS and PARP inhibition blocks BER, the drug combination is highly synergistic resulting in tumor regression in multiple patient-derived xenograft models that are not sensitive to either single agent alone (Figure 17).</w:t>
      </w:r>
    </w:p>
    <w:p>
      <w:pPr>
        <w:spacing w:after="0" w:line="18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Figure 15. TNG348 profiling using 7-14 day clongenic assays across a panel of sixty-one breast and ovarian cancer cell lines, including BRCA1/2 mutant and HRD+ models, show single agent activity and strong combination synergy with PARP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113030</wp:posOffset>
            </wp:positionV>
            <wp:extent cx="4928870" cy="2168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887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Figure 16. PARPi-resistant patient-derived organoids are sensitive to USP1 inhibition and are synergistic with niraparib</w:t>
      </w: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1" w:right="39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226060</wp:posOffset>
            </wp:positionV>
            <wp:extent cx="4080510" cy="2811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408051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Figure 17. TNG348 demonstrates significant combination benefit with PARP inhibitor in breast cancer patient derived xenograft models harboring homologous recombination repair defects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113030</wp:posOffset>
            </wp:positionV>
            <wp:extent cx="4080510" cy="25292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8051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Gilead Sciences</w:t>
      </w:r>
    </w:p>
    <w:p>
      <w:pPr>
        <w:spacing w:after="0" w:line="121"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In August 2020, we entered into an amended and restated research collaboration and license agreement, which we refer to as the Gilead Agreement, with Gilead. The Gilead Agreement expanded our 2018 collaboration with Gilead, or the 2018 Gilead Agreement. Pursuant to the Gilead Agreement we use our proprietary functional genomics-based discovery platform to identify and develop novel immune evasion targets during a seven-year period ending in August 2027, or the Research Term. During the Research Term, Gilead has the option to obtain exclusive, worldwide licenses to develop and commercialize products directed to up to 15 targets validated in the collaboration. Prior to exercising its option for a program, Gilead may “extend” such program, in which case we will further collaborate with Gilead during the Research Term to discover and develop immuno-oncology treatments directed to such target(s), potentially through early clinical development and be eligible to receive research extension payments from Gilead. Gilead will retain its option rights to any such extended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ind w:right="300"/>
        <w:spacing w:after="0" w:line="282" w:lineRule="auto"/>
        <w:rPr>
          <w:sz w:val="20"/>
          <w:szCs w:val="20"/>
          <w:color w:val="auto"/>
        </w:rPr>
      </w:pPr>
      <w:r>
        <w:rPr>
          <w:rFonts w:ascii="Times New Roman" w:cs="Times New Roman" w:eastAsia="Times New Roman" w:hAnsi="Times New Roman"/>
          <w:sz w:val="18"/>
          <w:szCs w:val="18"/>
          <w:color w:val="auto"/>
        </w:rPr>
        <w:t>program. For up to five programs licensed by Gilead, we have the option to co-develop and co-promote the lead product for such program in the United States, subject to certain exceptions, and eligible to receive milestone payments and royalties on ex-U.S. sales.</w:t>
      </w:r>
    </w:p>
    <w:p>
      <w:pPr>
        <w:spacing w:after="0" w:line="162"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Under the terms of the Gilead Agreement, we received an upfront payment of $125.0 million in addition to an upfront payment of $50.0 million received under the 2018 Gilead Agreement. We also received a $20.0 million equity investment in connection with the Gilead Agreement, and as of December 31, 2022, we received $21.1 million in license fees and $22.0 million in research option-extension fees. We are eligible to receive up to an additional $410.0 million per program in license, research extension, and clinical, regulatory and commercial milestone payments. We are also eligible to receive tiered royalties in the first decile on net sales by Gilead on a country-by-country and product-by-product basis until the later of (i) the expiration of the last valid claim of our patents or, in some instances, certain of Gilead’s patents, in each case covering such product in such country or (ii) ten years after the first commercial sale of such product in such country. For those products that we opt to co-develop and co-promote in the United States, we and Gilead will equally split profits and losses from the sales of such products in the United States, as well as development costs for such products attributable to the United States.</w:t>
      </w:r>
    </w:p>
    <w:p>
      <w:pPr>
        <w:spacing w:after="0" w:line="188" w:lineRule="exact"/>
        <w:rPr>
          <w:sz w:val="20"/>
          <w:szCs w:val="20"/>
          <w:color w:val="auto"/>
        </w:rPr>
      </w:pPr>
    </w:p>
    <w:p>
      <w:pPr>
        <w:ind w:right="40" w:firstLine="584"/>
        <w:spacing w:after="0" w:line="256" w:lineRule="auto"/>
        <w:rPr>
          <w:sz w:val="20"/>
          <w:szCs w:val="20"/>
          <w:color w:val="auto"/>
        </w:rPr>
      </w:pPr>
      <w:r>
        <w:rPr>
          <w:rFonts w:ascii="Times New Roman" w:cs="Times New Roman" w:eastAsia="Times New Roman" w:hAnsi="Times New Roman"/>
          <w:sz w:val="18"/>
          <w:szCs w:val="18"/>
          <w:color w:val="auto"/>
        </w:rPr>
        <w:t>Either party may terminate the Gilead Agreement if the other party materially breaches the terms of such agreement, subject to specified notice and cure provisions, or enters into bankruptcy or insolvency proceedings. Additionally, Gilead may terminate the agreement for any or no reason, in its entirety or on a program-by-program basis, upon specified written notice. If we terminate the Gilead Agreement for Gilead’s material breach, or Gilead terminates the Gilead Agreement without cause, then Gilead is obligated to negotiate with us in good faith for a specified period regarding the transfer by Gilead of certain assets and the provision by Gilead of certain assistance to enable us to continue the research, development and commercialization of products under any terminated programs.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 date, Gilead has licensed two of our programs and has research option-extended two programs under the Gilead agreements.</w:t>
      </w:r>
    </w:p>
    <w:p>
      <w:pPr>
        <w:spacing w:after="0" w:line="225"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Our collaboration with Gilead excludes our lead programs, PRMT5, CoREST, USP1 as well as a growing pipeline of novel targets identified in our non-immune related target discovery screens. We also retain the right to identify and validate targets outside the scope of our collaboration with Gilead (all cell-autonomous targets, exclusive of those in immune evasion contexts), and to develop and commercialize products directed to such targets, on our own or in collaboration with third 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Medivir AB</w:t>
      </w:r>
    </w:p>
    <w:p>
      <w:pPr>
        <w:spacing w:after="0" w:line="121" w:lineRule="exact"/>
        <w:rPr>
          <w:sz w:val="20"/>
          <w:szCs w:val="20"/>
          <w:color w:val="auto"/>
        </w:rPr>
      </w:pPr>
    </w:p>
    <w:p>
      <w:pPr>
        <w:ind w:right="340" w:firstLine="584"/>
        <w:spacing w:after="0" w:line="266" w:lineRule="auto"/>
        <w:rPr>
          <w:sz w:val="20"/>
          <w:szCs w:val="20"/>
          <w:color w:val="auto"/>
        </w:rPr>
      </w:pPr>
      <w:r>
        <w:rPr>
          <w:rFonts w:ascii="Times New Roman" w:cs="Times New Roman" w:eastAsia="Times New Roman" w:hAnsi="Times New Roman"/>
          <w:sz w:val="18"/>
          <w:szCs w:val="18"/>
          <w:color w:val="auto"/>
        </w:rPr>
        <w:t>In March 2020, we entered into a license agreement, or the Medivir Agreement, with Medivir AB, or Medivir, pursuant to which we obtained a worldwide, royalty-bearing, exclusive license under certain current and/or future patents and know-how of Medivir, to research, develop and commercialize products that are covered by such licensed patents or otherwise modulate USP1.</w:t>
      </w:r>
    </w:p>
    <w:p>
      <w:pPr>
        <w:spacing w:after="0" w:line="176"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Under the terms of the Medivir Agreement, we are obligated to pay Medivir in connection with development, regulatory and commercial activities. We have agreed to make certain milestone payments of (i)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(ii)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We have the right to reduce these milestone payments by a specified amount in the event the licensed product is not covered by Medivir’s patents or if payments are due to a third party for a license under such third party’s intellectual property rights. We are also obligated to pay Medivir a low single-digit royalty on net sales of any product covered by a licensed patent.</w:t>
      </w:r>
    </w:p>
    <w:p>
      <w:pPr>
        <w:spacing w:after="0" w:line="188"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Payments in respect of net sales or sublicense in a country shall remain in force on a product-by-product, country-by-country basis, with respect to products that are not covered by a licensed patent or certain of our patents, for ten years from the date of first commercial sale in such country, and products that are covered by a licensed patent or certain of our patents, until the expiration date of the last to expire of the licensed patents covering such product or its manufacture or use in the applicable country. No milestones have been achieved to date.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right="20" w:firstLine="584"/>
        <w:spacing w:after="0" w:line="282" w:lineRule="auto"/>
        <w:rPr>
          <w:sz w:val="20"/>
          <w:szCs w:val="20"/>
          <w:color w:val="auto"/>
        </w:rPr>
      </w:pPr>
      <w:r>
        <w:rPr>
          <w:rFonts w:ascii="Times New Roman" w:cs="Times New Roman" w:eastAsia="Times New Roman" w:hAnsi="Times New Roman"/>
          <w:sz w:val="18"/>
          <w:szCs w:val="18"/>
          <w:color w:val="auto"/>
        </w:rPr>
        <w:t>The Medivir Agreement expires on the date of expiration of all royalty obligations. Either party may terminate the Medivir Agreement earlier upon an uncured material breach of the other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third-party Contract Development and Manufacturing Organizations, or CDMOs for the manufacturing, packaging, labeling and distribution of our investigational products for preclinical and clinical testing, as well as for commercial manufacturing if any of our investigational products obtain marketing approval. A team of internal experts oversee activities at contracted CDMOs with the goal of ensuring our investigational products are being manufactured under current good manufacturing practices, or cGMP. Currently, all manufacturing of our product candidates drug substance and drug product to be used in our planned clinical trial in the U.S. is conducted by one manufacturer. We believe that the contracted CDMO has the capacity to support our planned registrational studies, in addition to the first-in-human studies for our product candidates. The operations of the CDMO manufacturing drug substance and drug product are located outside the U.S. and, therefore, in addition to the sole-source risks related to this CDMO, we may also encounter challenges related to supply chain, climate issues, pandemic and geopolitical risks. We plan to expand and diversify our supply chain by identifying and contracting other CDMOs with the capacity and expertise to support our product candidates and other investigational products in our pipeline and to manufacture commercial supply of our drugs (if those therapies obtain regulatory approval).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the development of our business and our product candidates, including seeking, maintaining and defending patent rights, whether developed internally or licensed from third parties. We also rely on trade secrets relating to our proprietary target discovery technology platform and on know-how, continuing technological innovation and in-licensing opportunities to develop, strengthen and maintain our proprietary position in the field of precision oncology that may be important for the development of our business and product candidates. We additionally may rely on regulatory protection afforded through data exclusivity, market exclusivity and patent term extensions, where available. Patent rights and regulatory protections are key factors that determine the period of market exclusivity for products in our industry. It is during the period of market exclusivity that, we believe, our potential future products have their greatest commercial value.</w:t>
      </w:r>
    </w:p>
    <w:p>
      <w:pPr>
        <w:spacing w:after="0" w:line="192"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 candidates (and any future products that may be approved for marketing by regulatory authorities) may depend on the extent to which we have rights under valid and enforceable licenses, patents, or trade secrets that cover these activities. In some cases, enforcement of these rights may depend on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and to the extent such patents are commercially useful in protecting our commercial products or methods of manufacturing, such patents may be challenged or invalidated or otherwise become less useful in protecting our commercial products and methods of manufacturing.</w:t>
      </w:r>
    </w:p>
    <w:p>
      <w:pPr>
        <w:spacing w:after="0" w:line="192" w:lineRule="exact"/>
        <w:rPr>
          <w:sz w:val="20"/>
          <w:szCs w:val="20"/>
          <w:color w:val="auto"/>
        </w:rPr>
      </w:pPr>
    </w:p>
    <w:p>
      <w:pPr>
        <w:ind w:right="160" w:firstLine="584"/>
        <w:spacing w:after="0" w:line="256" w:lineRule="auto"/>
        <w:rPr>
          <w:sz w:val="20"/>
          <w:szCs w:val="20"/>
          <w:color w:val="auto"/>
        </w:rPr>
      </w:pPr>
      <w:r>
        <w:rPr>
          <w:rFonts w:ascii="Times New Roman" w:cs="Times New Roman" w:eastAsia="Times New Roman" w:hAnsi="Times New Roman"/>
          <w:sz w:val="18"/>
          <w:szCs w:val="18"/>
          <w:color w:val="auto"/>
        </w:rPr>
        <w:t>Because a significant portion of a pharmaceutical product’s patent protection can elapse during the course of developing and obtaining regulatory approval of the product, certain countries, including the U.S., provide compensatory mechanisms to extend patent terms for pharmaceutical products. Patent expiration dates noted in the following paragraphs refer to statutory expiration dates and do not take into account any potential patent term adjustment or extension that may be available, or any potential disclaimers that may be needed to obtain certain patents that may reduce the term of such patents to correspond to that of earlier-expiring patents. There is no guarantee that any of our product candidates would be eligible for patent term extensions.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PRMT5 inhibitors</w:t>
      </w:r>
    </w:p>
    <w:p>
      <w:pPr>
        <w:spacing w:after="0" w:line="119" w:lineRule="exact"/>
        <w:rPr>
          <w:sz w:val="20"/>
          <w:szCs w:val="20"/>
          <w:color w:val="auto"/>
        </w:rPr>
      </w:pPr>
    </w:p>
    <w:p>
      <w:pPr>
        <w:ind w:right="340" w:firstLine="584"/>
        <w:spacing w:after="0" w:line="257" w:lineRule="auto"/>
        <w:rPr>
          <w:sz w:val="20"/>
          <w:szCs w:val="20"/>
          <w:color w:val="auto"/>
        </w:rPr>
      </w:pPr>
      <w:r>
        <w:rPr>
          <w:rFonts w:ascii="Times New Roman" w:cs="Times New Roman" w:eastAsia="Times New Roman" w:hAnsi="Times New Roman"/>
          <w:sz w:val="18"/>
          <w:szCs w:val="18"/>
          <w:color w:val="auto"/>
        </w:rPr>
        <w:t>We exclusively own three patent families covering the composition of matter, form and methods of use for our product candidates TNG908, TNG462 and other structurally related PRMT5 inhibitors. For the first family, a US patent has been granted, and patent applications are pending in the United States, Argentina, Pakistan, Taiwan, Australia, Brazil,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6" w:name="page27"/>
    <w:bookmarkEnd w:id="26"/>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Canada, China, Eurasia, Europe, Israel, India, Japan, Korea, Mexico, Malaysia, New Zealand, Singapore, Thailand and South Africa. Any patents granted in this family would be expected to expire no earlier than 2041. A Patent Cooperation Treaty application is pending in the second family, and any patents granted in this family would be expected to expire no earlier than 2042. A provisional United States patent application is pending in the third family, and any patents granted in this family would be expected to expire no earlier than 2043.</w:t>
      </w:r>
    </w:p>
    <w:p>
      <w:pPr>
        <w:spacing w:after="0" w:line="180" w:lineRule="exact"/>
        <w:rPr>
          <w:sz w:val="20"/>
          <w:szCs w:val="20"/>
          <w:color w:val="auto"/>
        </w:rPr>
      </w:pPr>
    </w:p>
    <w:p>
      <w:pPr>
        <w:ind w:right="40" w:firstLine="584"/>
        <w:spacing w:after="0" w:line="266" w:lineRule="auto"/>
        <w:rPr>
          <w:sz w:val="20"/>
          <w:szCs w:val="20"/>
          <w:color w:val="auto"/>
        </w:rPr>
      </w:pPr>
      <w:r>
        <w:rPr>
          <w:rFonts w:ascii="Times New Roman" w:cs="Times New Roman" w:eastAsia="Times New Roman" w:hAnsi="Times New Roman"/>
          <w:sz w:val="18"/>
          <w:szCs w:val="18"/>
          <w:color w:val="auto"/>
        </w:rPr>
        <w:t>Additionally, we exclusively own six patent families covering other PRMT5 inhibitors and their methods of use with expiration dates ranging from 2039 to 2043. A US patent has been granted and a US patent application is pending in the first family. A US patent application is pending in the second family. Patent Cooperation Treaty applications are pending in the remaining four families.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USP1 inhibitors</w:t>
      </w:r>
    </w:p>
    <w:p>
      <w:pPr>
        <w:spacing w:after="0" w:line="119" w:lineRule="exact"/>
        <w:rPr>
          <w:sz w:val="20"/>
          <w:szCs w:val="20"/>
          <w:color w:val="auto"/>
        </w:rPr>
      </w:pPr>
    </w:p>
    <w:p>
      <w:pPr>
        <w:ind w:right="220" w:firstLine="584"/>
        <w:spacing w:after="0" w:line="266" w:lineRule="auto"/>
        <w:rPr>
          <w:sz w:val="20"/>
          <w:szCs w:val="20"/>
          <w:color w:val="auto"/>
        </w:rPr>
      </w:pPr>
      <w:r>
        <w:rPr>
          <w:rFonts w:ascii="Times New Roman" w:cs="Times New Roman" w:eastAsia="Times New Roman" w:hAnsi="Times New Roman"/>
          <w:sz w:val="18"/>
          <w:szCs w:val="18"/>
          <w:color w:val="auto"/>
        </w:rPr>
        <w:t>We own two patent families covering USP1 inhibitors and methods of use thereof. Patent Cooperation Treaty applications are pending in both families. Any patents issuing from each of these two patent families are expected to expire no earlier than 2042. One of the patent families is exclusively owned by us, and the remaining one is jointly owned by us and Medivir AB and exclusively licensed to us under the Medivir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CoREST inhibitors</w:t>
      </w:r>
    </w:p>
    <w:p>
      <w:pPr>
        <w:spacing w:after="0" w:line="119" w:lineRule="exact"/>
        <w:rPr>
          <w:sz w:val="20"/>
          <w:szCs w:val="20"/>
          <w:color w:val="auto"/>
        </w:rPr>
      </w:pPr>
    </w:p>
    <w:p>
      <w:pPr>
        <w:ind w:right="60" w:firstLine="584"/>
        <w:spacing w:after="0" w:line="266" w:lineRule="auto"/>
        <w:rPr>
          <w:sz w:val="20"/>
          <w:szCs w:val="20"/>
          <w:color w:val="auto"/>
        </w:rPr>
      </w:pPr>
      <w:r>
        <w:rPr>
          <w:rFonts w:ascii="Times New Roman" w:cs="Times New Roman" w:eastAsia="Times New Roman" w:hAnsi="Times New Roman"/>
          <w:sz w:val="18"/>
          <w:szCs w:val="18"/>
          <w:color w:val="auto"/>
        </w:rPr>
        <w:t>We exclusively own two patent families relating to our CoREST inhibitor program, including composition of matter and methods of use thereof. A Patent Cooperation Treaty application is pending in the first family, and a provisional application is pending in the second family. Any issued patents, if granted, covering the composition of matter for our CoREST inhibitor, or methods of use thereof, are expected to expire no earlier than 2042.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clinical trials,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development and manufacturing organizations, or CDMOs,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92" w:lineRule="exact"/>
        <w:rPr>
          <w:sz w:val="20"/>
          <w:szCs w:val="20"/>
          <w:color w:val="auto"/>
        </w:rPr>
      </w:pPr>
    </w:p>
    <w:p>
      <w:pPr>
        <w:ind w:right="60" w:firstLine="584"/>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Federal Food, Drug, and Cosmetic Act, or FD&amp;C Act, its implementing regulations, and other federal statutes and regulations. Drugs are also subject to other federal, state and local statutes and regulations. If we fail to comply with applicable FDA or other regulatory requirements at any time with respect to product development, clinical testing, approval or any other regulatory requirements relating to product manufacture, processing, handling, storage, quality control, safety, pharmacovigilance,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92" w:lineRule="exact"/>
        <w:rPr>
          <w:sz w:val="20"/>
          <w:szCs w:val="20"/>
          <w:color w:val="auto"/>
        </w:rPr>
      </w:pPr>
    </w:p>
    <w:p>
      <w:pPr>
        <w:ind w:right="240" w:firstLine="584"/>
        <w:spacing w:after="0" w:line="282" w:lineRule="auto"/>
        <w:rPr>
          <w:sz w:val="20"/>
          <w:szCs w:val="20"/>
          <w:color w:val="auto"/>
        </w:rPr>
      </w:pPr>
      <w:r>
        <w:rPr>
          <w:rFonts w:ascii="Times New Roman" w:cs="Times New Roman" w:eastAsia="Times New Roman" w:hAnsi="Times New Roman"/>
          <w:sz w:val="18"/>
          <w:szCs w:val="18"/>
          <w:color w:val="auto"/>
        </w:rPr>
        <w:t>Our product candidates must be approved for therapeutic indications by the FDA before they may be marketed in the United States. For drug product candidates regulated under the FD&amp;C Act, FDA must approve a New Drug Application, or NDA. The process generally involves the following:</w:t>
      </w:r>
    </w:p>
    <w:p>
      <w:pPr>
        <w:spacing w:after="0" w:line="54" w:lineRule="exact"/>
        <w:rPr>
          <w:sz w:val="20"/>
          <w:szCs w:val="20"/>
          <w:color w:val="auto"/>
        </w:rPr>
      </w:pPr>
    </w:p>
    <w:p>
      <w:pPr>
        <w:ind w:left="1020" w:right="1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cGMP conditions, of the drug substance and drug product to be used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must be updated annually and when certain changes are made (for example, we received clearance of our IND application for TNG908 in the first quarter of 2022);</w:t>
      </w: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7" w:name="page28"/>
    <w:bookmarkEnd w:id="27"/>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 at that site;</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 of the clinical trial sites that generated the data in support of the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where applicable, consideration of the views of any FDA advisory committee, prior to any commercial marketing or sale of the drug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w:t>
      </w:r>
    </w:p>
    <w:p>
      <w:pPr>
        <w:spacing w:after="0" w:line="121"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Before testing any drug in humans, the product candidate must undergo rigorous preclinical testing. Preclinical studies include laboratory evaluations of product chemistry, formulation and stability, as well as in vitro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83"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An IND is a request for authorization from the FDA to administer an investigational product to humans and must become effective before clinical trials may begin. An IND includes the general investigational plan and the protocol(s) for clinical studies, the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A clinical hold can also be imposed once a trial has already begun, thereby halting the trial until any safety concerns or deficiencies articulated by FDA are corrected.</w:t>
      </w:r>
    </w:p>
    <w:p>
      <w:pPr>
        <w:spacing w:after="0" w:line="192" w:lineRule="exact"/>
        <w:rPr>
          <w:sz w:val="20"/>
          <w:szCs w:val="20"/>
          <w:color w:val="auto"/>
        </w:rPr>
      </w:pPr>
    </w:p>
    <w:p>
      <w:pPr>
        <w:ind w:firstLine="584"/>
        <w:spacing w:after="0" w:line="269" w:lineRule="auto"/>
        <w:rPr>
          <w:sz w:val="20"/>
          <w:szCs w:val="20"/>
          <w:color w:val="auto"/>
        </w:rPr>
      </w:pPr>
      <w:r>
        <w:rPr>
          <w:rFonts w:ascii="Times New Roman" w:cs="Times New Roman" w:eastAsia="Times New Roman" w:hAnsi="Times New Roman"/>
          <w:sz w:val="17"/>
          <w:szCs w:val="17"/>
          <w:color w:val="auto"/>
        </w:rPr>
        <w:t xml:space="preserve">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inclusion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t>
      </w:r>
      <w:r>
        <w:rPr>
          <w:rFonts w:ascii="Times New Roman" w:cs="Times New Roman" w:eastAsia="Times New Roman" w:hAnsi="Times New Roman"/>
          <w:sz w:val="17"/>
          <w:szCs w:val="17"/>
          <w:i w:val="1"/>
          <w:iCs w:val="1"/>
          <w:color w:val="auto"/>
        </w:rPr>
        <w:t>www.ClinicalTrials.gov</w:t>
      </w:r>
      <w:r>
        <w:rPr>
          <w:rFonts w:ascii="Times New Roman" w:cs="Times New Roman" w:eastAsia="Times New Roman" w:hAnsi="Times New Roman"/>
          <w:sz w:val="17"/>
          <w:szCs w:val="17"/>
          <w:color w:val="auto"/>
        </w:rPr>
        <w:t>, a clinical trials database maintained by the National Institutes of Health.</w:t>
      </w:r>
    </w:p>
    <w:p>
      <w:pPr>
        <w:spacing w:after="0" w:line="179" w:lineRule="exact"/>
        <w:rPr>
          <w:sz w:val="20"/>
          <w:szCs w:val="20"/>
          <w:color w:val="auto"/>
        </w:rPr>
      </w:pPr>
    </w:p>
    <w:p>
      <w:pPr>
        <w:ind w:right="120" w:firstLine="584"/>
        <w:spacing w:after="0" w:line="257"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FDA may nevertheless accept the results of the study in support of an NDA if the study was conducted in accordance with GCP</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requirements, and the FDA is able to validate the data through independent analysis and an onsite inspection if deemed necessary.</w:t>
      </w:r>
    </w:p>
    <w:p>
      <w:pPr>
        <w:spacing w:after="0" w:line="225" w:lineRule="exact"/>
        <w:rPr>
          <w:sz w:val="20"/>
          <w:szCs w:val="20"/>
          <w:color w:val="auto"/>
        </w:rPr>
      </w:pPr>
    </w:p>
    <w:p>
      <w:pPr>
        <w:ind w:right="20" w:firstLine="584"/>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for marketing approval are typically conducted in three sequential phases, which may overlap or be combined.</w:t>
      </w:r>
    </w:p>
    <w:p>
      <w:pPr>
        <w:spacing w:after="0" w:line="52" w:lineRule="exact"/>
        <w:rPr>
          <w:sz w:val="20"/>
          <w:szCs w:val="20"/>
          <w:color w:val="auto"/>
        </w:rPr>
      </w:pPr>
    </w:p>
    <w:p>
      <w:pPr>
        <w:ind w:left="1020" w:hanging="503"/>
        <w:spacing w:after="0" w:line="290"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 Phase 1 clinical trials involve initial introduction of the investigational product in a limited population of healthy human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volunteers or patients with the target disease or condition. These studies are typically designed to test the safety, dosage tolerance, absorption, metabolism, distribution, and excretion of the investigational product in humans, and, if possible, to gain early evidence of effectiveness.</w:t>
      </w:r>
    </w:p>
    <w:p>
      <w:pPr>
        <w:spacing w:after="0" w:line="47" w:lineRule="exact"/>
        <w:rPr>
          <w:rFonts w:ascii="Times New Roman" w:cs="Times New Roman" w:eastAsia="Times New Roman" w:hAnsi="Times New Roman"/>
          <w:sz w:val="17"/>
          <w:szCs w:val="17"/>
          <w:color w:val="auto"/>
        </w:rPr>
      </w:pPr>
    </w:p>
    <w:p>
      <w:pPr>
        <w:ind w:left="1020" w:right="120" w:hanging="503"/>
        <w:spacing w:after="0" w:line="26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 limited patient population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disease or condition to evaluate the drug’s potential efficacy, to determine the optimal dosages and dosing schedule and to identify possible adverse side effects and safety risks.</w:t>
      </w:r>
    </w:p>
    <w:p>
      <w:pPr>
        <w:spacing w:after="0" w:line="65"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w:t>
      </w:r>
    </w:p>
    <w:p>
      <w:pPr>
        <w:spacing w:after="0" w:line="185" w:lineRule="exact"/>
        <w:rPr>
          <w:sz w:val="20"/>
          <w:szCs w:val="20"/>
          <w:color w:val="auto"/>
        </w:rPr>
      </w:pPr>
    </w:p>
    <w:p>
      <w:pPr>
        <w:ind w:right="320" w:firstLine="584"/>
        <w:spacing w:after="0" w:line="282" w:lineRule="auto"/>
        <w:rPr>
          <w:sz w:val="20"/>
          <w:szCs w:val="20"/>
          <w:color w:val="auto"/>
        </w:rPr>
      </w:pPr>
      <w:r>
        <w:rPr>
          <w:rFonts w:ascii="Times New Roman" w:cs="Times New Roman" w:eastAsia="Times New Roman" w:hAnsi="Times New Roman"/>
          <w:sz w:val="18"/>
          <w:szCs w:val="18"/>
          <w:color w:val="auto"/>
        </w:rPr>
        <w:t>In the first quarter of 2022, we received clearance of our IND application for TNG908 to initiate a Phase 1/2 clinical trial. In the first quarter of 2023, we received clearance of our IND application for TNG462 to initiate a Phase 1/2 clinical trial.</w:t>
      </w:r>
    </w:p>
    <w:p>
      <w:pPr>
        <w:spacing w:after="0" w:line="162"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In March 2022, the FDA released final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 costs and time.</w:t>
      </w:r>
    </w:p>
    <w:p>
      <w:pPr>
        <w:spacing w:after="0" w:line="183" w:lineRule="exact"/>
        <w:rPr>
          <w:sz w:val="20"/>
          <w:szCs w:val="20"/>
          <w:color w:val="auto"/>
        </w:rPr>
      </w:pPr>
    </w:p>
    <w:p>
      <w:pPr>
        <w:ind w:right="180" w:firstLine="584"/>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180" w:lineRule="exact"/>
        <w:rPr>
          <w:sz w:val="20"/>
          <w:szCs w:val="20"/>
          <w:color w:val="auto"/>
        </w:rPr>
      </w:pPr>
    </w:p>
    <w:p>
      <w:pPr>
        <w:ind w:right="60" w:firstLine="584"/>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Written IND safety reports must be submitted to the FDA and the investigators within 15 days for reporting for serious and unexpected suspected adverse events, findings from other studies or animal or in vitro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7" w:lineRule="exact"/>
        <w:rPr>
          <w:sz w:val="20"/>
          <w:szCs w:val="20"/>
          <w:color w:val="auto"/>
        </w:rPr>
      </w:pPr>
    </w:p>
    <w:p>
      <w:pPr>
        <w:ind w:right="180" w:firstLine="584"/>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approval for drugs</w:t>
      </w:r>
    </w:p>
    <w:p>
      <w:pPr>
        <w:spacing w:after="0" w:line="121" w:lineRule="exact"/>
        <w:rPr>
          <w:sz w:val="20"/>
          <w:szCs w:val="20"/>
          <w:color w:val="auto"/>
        </w:rPr>
      </w:pPr>
    </w:p>
    <w:p>
      <w:pPr>
        <w:ind w:right="100" w:firstLine="584"/>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must contain proof of the drug’s safety and efficacy for the requested indications and the marketing</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9" w:name="page30"/>
    <w:bookmarkEnd w:id="29"/>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to the satisfaction of the FDA. The FDA must approve an NDA before a drug may be marketed in the United States.</w:t>
      </w:r>
    </w:p>
    <w:p>
      <w:pPr>
        <w:spacing w:after="0" w:line="180"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initial review of a new molecular entity NDA and respond to the applicant, and 6 months from the filing date of a new molecular entity NDA for Priority Review. The FDA does not always meet its PDUFA goal dates for standard or priority NDAs, and the review process is often extended by FDA requests for additional information or clarification. Further, under PDUFA, as amended, each NDA must be accompanied by a substantial user fee.</w:t>
      </w:r>
    </w:p>
    <w:p>
      <w:pPr>
        <w:spacing w:after="0" w:line="194" w:lineRule="exact"/>
        <w:rPr>
          <w:sz w:val="20"/>
          <w:szCs w:val="20"/>
          <w:color w:val="auto"/>
        </w:rPr>
      </w:pPr>
    </w:p>
    <w:p>
      <w:pPr>
        <w:ind w:right="60" w:firstLine="584"/>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if it believes such a strategy is necessary to ensure that the benefits of the drug outweigh its risks. A REMS can include use of risk evaluation and mitigation strategies such as medication guides, physician communication plans, assessment plans, and/or elements to assure safe use, such as restricted distribution methods, patient registries, special monitoring or other risk-minimization tools.</w:t>
      </w:r>
    </w:p>
    <w:p>
      <w:pPr>
        <w:spacing w:after="0" w:line="180" w:lineRule="exact"/>
        <w:rPr>
          <w:sz w:val="20"/>
          <w:szCs w:val="20"/>
          <w:color w:val="auto"/>
        </w:rPr>
      </w:pPr>
    </w:p>
    <w:p>
      <w:pPr>
        <w:ind w:right="140" w:firstLine="584"/>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80" w:lineRule="exact"/>
        <w:rPr>
          <w:sz w:val="20"/>
          <w:szCs w:val="20"/>
          <w:color w:val="auto"/>
        </w:rPr>
      </w:pPr>
    </w:p>
    <w:p>
      <w:pPr>
        <w:ind w:right="100" w:firstLine="584"/>
        <w:spacing w:after="0" w:line="254"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one or more indications.</w:t>
      </w:r>
    </w:p>
    <w:p>
      <w:pPr>
        <w:spacing w:after="0" w:line="192" w:lineRule="exact"/>
        <w:rPr>
          <w:sz w:val="20"/>
          <w:szCs w:val="20"/>
          <w:color w:val="auto"/>
        </w:rPr>
      </w:pPr>
    </w:p>
    <w:p>
      <w:pPr>
        <w:ind w:right="100" w:firstLine="584"/>
        <w:spacing w:after="0" w:line="253"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although companies developing orphan-designated products are eligible for certain incentives, including tax credits for qualified clinical testing and waiver of application fees.</w:t>
      </w:r>
    </w:p>
    <w:p>
      <w:pPr>
        <w:spacing w:after="0" w:line="189"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w:t>
      </w:r>
    </w:p>
    <w:p>
      <w:pPr>
        <w:spacing w:after="0" w:line="180" w:lineRule="exact"/>
        <w:rPr>
          <w:sz w:val="20"/>
          <w:szCs w:val="20"/>
          <w:color w:val="auto"/>
        </w:rPr>
      </w:pPr>
    </w:p>
    <w:p>
      <w:pPr>
        <w:ind w:right="80" w:firstLine="584"/>
        <w:spacing w:after="0" w:line="258" w:lineRule="auto"/>
        <w:rPr>
          <w:sz w:val="20"/>
          <w:szCs w:val="20"/>
          <w:color w:val="auto"/>
        </w:rPr>
      </w:pPr>
      <w:r>
        <w:rPr>
          <w:rFonts w:ascii="Times New Roman" w:cs="Times New Roman" w:eastAsia="Times New Roman" w:hAnsi="Times New Roman"/>
          <w:sz w:val="18"/>
          <w:szCs w:val="18"/>
          <w:color w:val="auto"/>
        </w:rPr>
        <w:t>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w:t>
      </w:r>
    </w:p>
    <w:p>
      <w:pPr>
        <w:spacing w:after="0" w:line="121" w:lineRule="exact"/>
        <w:rPr>
          <w:sz w:val="20"/>
          <w:szCs w:val="20"/>
          <w:color w:val="auto"/>
        </w:rPr>
      </w:pPr>
    </w:p>
    <w:p>
      <w:pPr>
        <w:ind w:right="120" w:firstLine="584"/>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get important new drugs to patients more quickly than standard FDA review timelines typically permit.</w:t>
      </w:r>
    </w:p>
    <w:p>
      <w:pPr>
        <w:spacing w:after="0" w:line="180" w:lineRule="exact"/>
        <w:rPr>
          <w:sz w:val="20"/>
          <w:szCs w:val="20"/>
          <w:color w:val="auto"/>
        </w:rPr>
      </w:pPr>
    </w:p>
    <w:p>
      <w:pPr>
        <w:ind w:right="40" w:firstLine="584"/>
        <w:spacing w:after="0" w:line="256" w:lineRule="auto"/>
        <w:rPr>
          <w:sz w:val="20"/>
          <w:szCs w:val="20"/>
          <w:color w:val="auto"/>
        </w:rPr>
      </w:pPr>
      <w:r>
        <w:rPr>
          <w:rFonts w:ascii="Times New Roman" w:cs="Times New Roman" w:eastAsia="Times New Roman" w:hAnsi="Times New Roman"/>
          <w:sz w:val="18"/>
          <w:szCs w:val="18"/>
          <w:color w:val="auto"/>
        </w:rPr>
        <w:t>A new drug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In the first quarter of 2022 and 2023, the FDA granted Fast Track designation for TNG908 and TNG462, respectively.</w:t>
      </w:r>
    </w:p>
    <w:p>
      <w:pPr>
        <w:spacing w:after="0" w:line="187" w:lineRule="exact"/>
        <w:rPr>
          <w:sz w:val="20"/>
          <w:szCs w:val="20"/>
          <w:color w:val="auto"/>
        </w:rPr>
      </w:pPr>
    </w:p>
    <w:p>
      <w:pPr>
        <w:ind w:right="360" w:firstLine="584"/>
        <w:spacing w:after="0" w:line="258" w:lineRule="auto"/>
        <w:rPr>
          <w:sz w:val="20"/>
          <w:szCs w:val="20"/>
          <w:color w:val="auto"/>
        </w:rPr>
      </w:pPr>
      <w:r>
        <w:rPr>
          <w:rFonts w:ascii="Times New Roman" w:cs="Times New Roman" w:eastAsia="Times New Roman" w:hAnsi="Times New Roman"/>
          <w:sz w:val="18"/>
          <w:szCs w:val="18"/>
          <w:color w:val="auto"/>
        </w:rPr>
        <w:t>In addition, a new drug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as well as more intensive FDA interaction and guidance.</w:t>
      </w:r>
    </w:p>
    <w:p>
      <w:pPr>
        <w:spacing w:after="0" w:line="183"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Products with Fast Track or Breakthrough Therapy designation may also be eligible for additional FDA programs intended to expedite the review and approval process, including Priority Review designation and Accelerated Approval. Any product submitted to the FDA for approval that has the potential to provide a significant improvement in safety or effectiveness in the treatment, diagnosis or prevention of a serious disease or condition may be eligible for priority review.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92" w:lineRule="exact"/>
        <w:rPr>
          <w:sz w:val="20"/>
          <w:szCs w:val="20"/>
          <w:color w:val="auto"/>
        </w:rPr>
      </w:pPr>
    </w:p>
    <w:p>
      <w:pPr>
        <w:jc w:val="both"/>
        <w:ind w:firstLine="584"/>
        <w:spacing w:after="0" w:line="257" w:lineRule="auto"/>
        <w:rPr>
          <w:sz w:val="20"/>
          <w:szCs w:val="20"/>
          <w:color w:val="auto"/>
        </w:rPr>
      </w:pPr>
      <w:r>
        <w:rPr>
          <w:rFonts w:ascii="Times New Roman" w:cs="Times New Roman" w:eastAsia="Times New Roman" w:hAnsi="Times New Roman"/>
          <w:sz w:val="18"/>
          <w:szCs w:val="18"/>
          <w:color w:val="auto"/>
        </w:rPr>
        <w:t>Accelerated Approval is usually contingent on a sponsor’s agreement to conduct, in a diligent manner, adequate and well-controlled post-approval confirmatory studies to verify and describe the product’s clinical benefit and, under the Food and Drug Omnibus Reform Act of 2022, or FDORA, the FDA may require, as appropriate, that such trials be underway prior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1" w:name="page32"/>
    <w:bookmarkEnd w:id="31"/>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to approval or within a specific time period after the date accelerated approval is granted. Under FDORA, the FDA has increased authority for expedited procedures to withdraw approval of a drug or an indication approved under Accelerated Approval if, for example, the confirmatory trial fails to verify the predicted clinical benefit of the product.</w:t>
      </w:r>
    </w:p>
    <w:p>
      <w:pPr>
        <w:spacing w:after="0" w:line="176" w:lineRule="exact"/>
        <w:rPr>
          <w:sz w:val="20"/>
          <w:szCs w:val="20"/>
          <w:color w:val="auto"/>
        </w:rPr>
      </w:pPr>
    </w:p>
    <w:p>
      <w:pPr>
        <w:ind w:right="360" w:firstLine="584"/>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these FDA programs do not change the scientific or medical standards for approval or the quality of evidence necessary to support approval, though they may expedite the development or review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121"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PREA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The FDA and the sponsor must reach an agreement on the PSP.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90" w:lineRule="exact"/>
        <w:rPr>
          <w:sz w:val="20"/>
          <w:szCs w:val="20"/>
          <w:color w:val="auto"/>
        </w:rPr>
      </w:pPr>
    </w:p>
    <w:p>
      <w:pPr>
        <w:jc w:val="both"/>
        <w:ind w:right="200" w:firstLine="584"/>
        <w:spacing w:after="0" w:line="266" w:lineRule="auto"/>
        <w:rPr>
          <w:sz w:val="20"/>
          <w:szCs w:val="20"/>
          <w:color w:val="auto"/>
        </w:rPr>
      </w:pPr>
      <w:r>
        <w:rPr>
          <w:rFonts w:ascii="Times New Roman" w:cs="Times New Roman" w:eastAsia="Times New Roman" w:hAnsi="Times New Roman"/>
          <w:sz w:val="18"/>
          <w:szCs w:val="18"/>
          <w:color w:val="auto"/>
        </w:rPr>
        <w:t>A drug can also obtain pediatric exclusivity in the United States. Pediatric exclusivity, if granted, adds six months to existing exclusivity periods and patent terms. This six-month exclusivity may be granted based on the voluntary completion of a pediatric study that adequately responds to an FDA-issued “Written Request” for such a study.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w:t>
      </w:r>
    </w:p>
    <w:p>
      <w:pPr>
        <w:spacing w:after="0" w:line="121" w:lineRule="exact"/>
        <w:rPr>
          <w:sz w:val="20"/>
          <w:szCs w:val="20"/>
          <w:color w:val="auto"/>
        </w:rPr>
      </w:pPr>
    </w:p>
    <w:p>
      <w:pPr>
        <w:ind w:right="140" w:firstLine="584"/>
        <w:spacing w:after="0" w:line="253"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and promotion and advertising requirements. FDA's advertising and promotion requirements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are reimbursed under federal health care programs. Promotional materials for approved drugs must be submitted to the FDA in conjunction with their first use or first publication. Further, for certain modifications to the drug, including changes in indications, labeling or manufacturing processes or facilities, the applicant may be required to submit and obtain prior FDA approval of an NDA supplement, which may require the development of additional data or preclinical studies and clinical trials.</w:t>
      </w:r>
    </w:p>
    <w:p>
      <w:pPr>
        <w:spacing w:after="0" w:line="187" w:lineRule="exact"/>
        <w:rPr>
          <w:sz w:val="20"/>
          <w:szCs w:val="20"/>
          <w:color w:val="auto"/>
        </w:rPr>
      </w:pPr>
    </w:p>
    <w:p>
      <w:pPr>
        <w:ind w:right="300" w:firstLine="584"/>
        <w:spacing w:after="0" w:line="253"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as well as the manufacturing process for making the drug to confirm continued compliance with cGMP. Manufacturers and certain subcontractors must register their establishments with the FDA and applicable state agencies and are subject to periodic unannounced inspections for compliance with regulatory requirements. Changes to the manufacturing process are strictly regulated and, depending on the nature of the change, may require prior FDA approval before implementation. In addition, manufacturers and other parties involved in the drug supply chain must comply with product tracking and tracing requirements and notify the FDA of counterfeit, diverted, stolen and intentionally adulterated products or products that are otherwise unfit for distribution. Accordingly, manufacturers must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2" w:name="page33"/>
    <w:bookmarkEnd w:id="32"/>
    <w:p>
      <w:pPr>
        <w:ind w:right="820"/>
        <w:spacing w:after="0" w:line="282" w:lineRule="auto"/>
        <w:rPr>
          <w:sz w:val="20"/>
          <w:szCs w:val="20"/>
          <w:color w:val="auto"/>
        </w:rPr>
      </w:pPr>
      <w:r>
        <w:rPr>
          <w:rFonts w:ascii="Times New Roman" w:cs="Times New Roman" w:eastAsia="Times New Roman" w:hAnsi="Times New Roman"/>
          <w:sz w:val="18"/>
          <w:szCs w:val="18"/>
          <w:color w:val="auto"/>
        </w:rPr>
        <w:t>continue to expend time, money and effort in the area of production and quality control to maintain compliance with cGMP and other regulatory requirements.</w:t>
      </w:r>
    </w:p>
    <w:p>
      <w:pPr>
        <w:spacing w:after="0" w:line="162"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companion diagnostics</w:t>
      </w:r>
    </w:p>
    <w:p>
      <w:pPr>
        <w:spacing w:after="0" w:line="121"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Companion diagnostics provide information that is essential for the safe and effective use of a corresponding drug. A companion diagnostic may be used to help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PMA.</w:t>
      </w:r>
    </w:p>
    <w:p>
      <w:pPr>
        <w:spacing w:after="0" w:line="188" w:lineRule="exact"/>
        <w:rPr>
          <w:sz w:val="20"/>
          <w:szCs w:val="20"/>
          <w:color w:val="auto"/>
        </w:rPr>
      </w:pPr>
    </w:p>
    <w:p>
      <w:pPr>
        <w:ind w:firstLine="584"/>
        <w:spacing w:after="0" w:line="273" w:lineRule="auto"/>
        <w:rPr>
          <w:sz w:val="20"/>
          <w:szCs w:val="20"/>
          <w:color w:val="auto"/>
        </w:rPr>
      </w:pPr>
      <w:r>
        <w:rPr>
          <w:rFonts w:ascii="Times New Roman" w:cs="Times New Roman" w:eastAsia="Times New Roman" w:hAnsi="Times New Roman"/>
          <w:sz w:val="17"/>
          <w:szCs w:val="17"/>
          <w:color w:val="auto"/>
        </w:rPr>
        <w:t>The FDA has issued several guidance documents regarding the co-development of drugs and companion diagnostic tests, including a 2014 final guidance titled “Guidance for Industry: In Vitro Companion Diagnostic Devices”, a 2016 draft guidance titled “Principles for Codevelopment of an In Vitro Companion Diagnostic Device with a Therapeutic Product,” and a 2018 draft guidance titled “Developing and Labeling In Vitro Companion Diagnostic Devices for a Specific Group or Class of Oncology Therapeutic Products. Once cleared or approved, the companion diagnostic device must adhere to applicable post-marketing requirements including the FDA’s quality system regulation (QSR), adverse event reporting, recalls and corrections, and product marketing requirements and limitations. Like drug manufacturers, companion diagnostic manufacturers are subject to unannounced FDA inspections at any time during which the FDA will conduct an audit of the product(s) and the company’s facilities for compliance with regulatory requirements.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ind w:right="140" w:firstLine="584"/>
        <w:spacing w:after="0" w:line="261"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and commercialization are also subject to regulation by numerous regulatory authorities in the United States in addition to the FDA, which may include the Centers for Medicare</w:t>
      </w:r>
    </w:p>
    <w:p>
      <w:pPr>
        <w:ind w:right="40" w:firstLine="8"/>
        <w:spacing w:after="0" w:line="250"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Medicaid Services, or CMS, other divisions of the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40" w:firstLine="584"/>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will seek to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future. In the United States, these laws include, without limitation, state and federal anti-kickback, false claims, physician transparency, and patient data privacy and security laws and regulations, including but not limited to those described below.</w:t>
      </w:r>
    </w:p>
    <w:p>
      <w:pPr>
        <w:spacing w:after="0" w:line="79" w:lineRule="exact"/>
        <w:rPr>
          <w:sz w:val="20"/>
          <w:szCs w:val="20"/>
          <w:color w:val="auto"/>
        </w:rPr>
      </w:pPr>
    </w:p>
    <w:p>
      <w:pPr>
        <w:ind w:left="1020" w:right="80" w:hanging="503"/>
        <w:spacing w:after="0" w:line="253"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 Anti-Kickback Statute has been interpreted to apply to arrangements between pharmaceutical manufacturers, on the one hand, and prescribers, purchasers and formulary managers, on the other. In addition, the government may assert that a claim that includes items or services resulting from a violation of the federal Anti-Kickback Statute constitutes a false or fraudulent claim for purposes of the civil False Claims Act.</w:t>
      </w:r>
    </w:p>
    <w:p>
      <w:pPr>
        <w:spacing w:after="0" w:line="86"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79" w:lineRule="exact"/>
        <w:rPr>
          <w:rFonts w:ascii="Times New Roman" w:cs="Times New Roman" w:eastAsia="Times New Roman" w:hAnsi="Times New Roman"/>
          <w:sz w:val="18"/>
          <w:szCs w:val="18"/>
          <w:color w:val="auto"/>
        </w:rPr>
      </w:pPr>
    </w:p>
    <w:p>
      <w:pPr>
        <w:ind w:left="1020" w:right="80" w:hanging="503"/>
        <w:spacing w:after="0" w:line="25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80"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Patient Protection and Affordable Care Act, as amended by the Health Care and</w:t>
      </w:r>
    </w:p>
    <w:p>
      <w:pPr>
        <w:spacing w:after="0" w:line="27" w:lineRule="exact"/>
        <w:rPr>
          <w:sz w:val="20"/>
          <w:szCs w:val="20"/>
          <w:color w:val="auto"/>
        </w:rPr>
      </w:pPr>
    </w:p>
    <w:p>
      <w:pPr>
        <w:ind w:left="5540" w:right="4600" w:hanging="4507"/>
        <w:spacing w:after="0" w:line="260" w:lineRule="auto"/>
        <w:rPr>
          <w:sz w:val="20"/>
          <w:szCs w:val="20"/>
          <w:color w:val="auto"/>
        </w:rPr>
      </w:pPr>
      <w:r>
        <w:rPr>
          <w:rFonts w:ascii="Times New Roman" w:cs="Times New Roman" w:eastAsia="Times New Roman" w:hAnsi="Times New Roman"/>
          <w:sz w:val="18"/>
          <w:szCs w:val="18"/>
          <w:color w:val="auto"/>
        </w:rPr>
        <w:t>Education Reconciliation Act of 2010, or collectively, the ACA, imposed new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ind w:left="1020" w:right="80"/>
        <w:spacing w:after="0" w:line="258" w:lineRule="auto"/>
        <w:rPr>
          <w:sz w:val="20"/>
          <w:szCs w:val="20"/>
          <w:color w:val="auto"/>
        </w:rPr>
      </w:pPr>
      <w:r>
        <w:rPr>
          <w:rFonts w:ascii="Times New Roman" w:cs="Times New Roman" w:eastAsia="Times New Roman" w:hAnsi="Times New Roman"/>
          <w:sz w:val="18"/>
          <w:szCs w:val="18"/>
          <w:color w:val="auto"/>
        </w:rPr>
        <w:t>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as well as certain non-physician providers such as physician assistants and nurse practitioners) and teaching hospitals, as well as ownership and investment interests held by physicians and their immediate family members.</w:t>
      </w:r>
    </w:p>
    <w:p>
      <w:pPr>
        <w:spacing w:after="0" w:line="75" w:lineRule="exact"/>
        <w:rPr>
          <w:sz w:val="20"/>
          <w:szCs w:val="20"/>
          <w:color w:val="auto"/>
        </w:rPr>
      </w:pPr>
    </w:p>
    <w:p>
      <w:pPr>
        <w:ind w:left="1020" w:right="140" w:hanging="503"/>
        <w:spacing w:after="0" w:line="255"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189"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Coverage and Reimbursement</w:t>
      </w:r>
    </w:p>
    <w:p>
      <w:pPr>
        <w:spacing w:after="0" w:line="121"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CMS decides whether and to what extent a new medicine will be covered and reimbursed under Medicare and private payors tend to follow CMS to a substantial degree.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2" w:lineRule="exact"/>
        <w:rPr>
          <w:sz w:val="20"/>
          <w:szCs w:val="20"/>
          <w:color w:val="auto"/>
        </w:rPr>
      </w:pPr>
    </w:p>
    <w:p>
      <w:pPr>
        <w:ind w:right="180" w:firstLine="584"/>
        <w:spacing w:after="0" w:line="256"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Some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(when a product candidate is approved for marketing). Levels of coverage and reimbursement for a product can differ significantly from payor to payor.</w:t>
      </w:r>
    </w:p>
    <w:p>
      <w:pPr>
        <w:spacing w:after="0" w:line="187" w:lineRule="exact"/>
        <w:rPr>
          <w:sz w:val="20"/>
          <w:szCs w:val="20"/>
          <w:color w:val="auto"/>
        </w:rPr>
      </w:pPr>
    </w:p>
    <w:p>
      <w:pPr>
        <w:ind w:right="200" w:firstLine="584"/>
        <w:spacing w:after="0" w:line="254"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other third-party payers),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ind w:firstLine="584"/>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w:t>
      </w:r>
    </w:p>
    <w:p>
      <w:pPr>
        <w:spacing w:after="0" w:line="121"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75" w:lineRule="exact"/>
        <w:rPr>
          <w:sz w:val="20"/>
          <w:szCs w:val="20"/>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thereby potentially increasing a manufacturer’s Medicaid rebate liability;</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Patient-Centered Outcomes Research Institute to oversee, identify priorities in, and conduct comparative clinical effectiveness research, along with funding for such research.</w:t>
      </w:r>
    </w:p>
    <w:p>
      <w:pPr>
        <w:spacing w:after="0" w:line="53"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ind w:right="80" w:firstLine="584"/>
        <w:spacing w:after="0" w:line="253"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President Biden has issued multiple executive orders that have sought to reduce prescription drug costs. In February 2023, HHS issued a proposal in response to an October 2022 executive order from President Biden that includes a proposed prescription drug</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0" w:lineRule="exact"/>
        <w:rPr>
          <w:sz w:val="20"/>
          <w:szCs w:val="20"/>
          <w:color w:val="auto"/>
        </w:rPr>
      </w:pPr>
    </w:p>
    <w:p>
      <w:pPr>
        <w:ind w:right="40" w:firstLine="584"/>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from $7,050 to $2,000 starting in 2025, thereby effectively eliminating the coverage gap; impose new manufacturer financial liability on certain drugs under Medicare Part D; and allow the U.S. government to negotiate Medicare Part B and Part D price caps for certain high-cost drugs and biologics without generic or biosimilar competition. Specifically, under the IRA, a single-source pharmaceutical product qualifies for selection for participation in the drug price negotiation program if it is (i) a small-molecule drug for which at least seven years have passed since the date of approval from the FDA and there is no generic on the market (as of the date of selection); or (ii) a biologic for which 11 years have passed since the date of FDA licensure and there is no biosimilar on the market (as of the date of selection). Given that any negotiated price does not take effect until approximately two years after selection, small-molecule drug and biologic manufacturers are afforded at least nine years and 13 years, respectively, before they may be obligated to sell their product under Medicare Part B and Part D, as applicable, at CMS-negotiated pricing. The IRA also requires companies to pay rebates to Medicare to the extent that drug pricing increases faster than inflation, and it also further delayed until January 1, 2032 the implementation of the HHS rebate rule that would have limited the fees that pharmacy benefit managers can charge.</w:t>
      </w:r>
    </w:p>
    <w:p>
      <w:pPr>
        <w:spacing w:after="0" w:line="192" w:lineRule="exact"/>
        <w:rPr>
          <w:sz w:val="20"/>
          <w:szCs w:val="20"/>
          <w:color w:val="auto"/>
        </w:rPr>
      </w:pPr>
    </w:p>
    <w:p>
      <w:pPr>
        <w:ind w:right="80" w:firstLine="584"/>
        <w:spacing w:after="0" w:line="266"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176"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(if approved for marketing) or put pressure on our drug pricing, which could negatively affect our business, financial condition, results of operations and prospects.</w:t>
      </w:r>
    </w:p>
    <w:p>
      <w:pPr>
        <w:spacing w:after="0" w:line="189" w:lineRule="exact"/>
        <w:rPr>
          <w:sz w:val="20"/>
          <w:szCs w:val="20"/>
          <w:color w:val="auto"/>
        </w:rPr>
      </w:pPr>
    </w:p>
    <w:p>
      <w:pPr>
        <w:ind w:right="60" w:firstLine="584"/>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United States environmental, health and safety laws and regulations</w:t>
      </w:r>
    </w:p>
    <w:p>
      <w:pPr>
        <w:spacing w:after="0" w:line="121"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200" w:firstLine="584"/>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that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76" w:lineRule="exact"/>
        <w:rPr>
          <w:sz w:val="20"/>
          <w:szCs w:val="20"/>
          <w:color w:val="auto"/>
        </w:rPr>
      </w:pPr>
    </w:p>
    <w:p>
      <w:pPr>
        <w:ind w:right="40" w:firstLine="584"/>
        <w:spacing w:after="0" w:line="261"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w:t>
      </w: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production efforts. In addition, failure to comply with these laws and regulations may result in substantial fines, penalties or other sanctions.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drugs outside of the United States</w:t>
      </w:r>
    </w:p>
    <w:p>
      <w:pPr>
        <w:spacing w:after="0" w:line="121" w:lineRule="exact"/>
        <w:rPr>
          <w:sz w:val="20"/>
          <w:szCs w:val="20"/>
          <w:color w:val="auto"/>
        </w:rPr>
      </w:pPr>
    </w:p>
    <w:p>
      <w:pPr>
        <w:ind w:right="260" w:firstLine="584"/>
        <w:spacing w:after="0" w:line="258" w:lineRule="auto"/>
        <w:rPr>
          <w:sz w:val="20"/>
          <w:szCs w:val="20"/>
          <w:color w:val="auto"/>
        </w:rPr>
      </w:pPr>
      <w:r>
        <w:rPr>
          <w:rFonts w:ascii="Times New Roman" w:cs="Times New Roman" w:eastAsia="Times New Roman" w:hAnsi="Times New Roman"/>
          <w:sz w:val="18"/>
          <w:szCs w:val="18"/>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promotion and distribution of our potential future products. For instance, in the European Economic Area, or the EEA (comprised of the 27 EU Member States plus Iceland, Liechtenstein and Norway), medicinal products must be authorized for marketing by using either the centralized authorization procedure or national authorization procedures.</w:t>
      </w:r>
    </w:p>
    <w:p>
      <w:pPr>
        <w:spacing w:after="0" w:line="73" w:lineRule="exact"/>
        <w:rPr>
          <w:sz w:val="20"/>
          <w:szCs w:val="20"/>
          <w:color w:val="auto"/>
        </w:rPr>
      </w:pPr>
    </w:p>
    <w:p>
      <w:pPr>
        <w:ind w:left="1140" w:hanging="383"/>
        <w:spacing w:after="0" w:line="25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Centralized procedure </w:t>
      </w:r>
      <w:r>
        <w:rPr>
          <w:rFonts w:ascii="Times New Roman" w:cs="Times New Roman" w:eastAsia="Times New Roman" w:hAnsi="Times New Roman"/>
          <w:sz w:val="18"/>
          <w:szCs w:val="18"/>
          <w:color w:val="auto"/>
        </w:rPr>
        <w:t>— The centralized procedure provides for the grant of a single marketing authorization by the European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EEA, is a significant therapeutic, scientific or technical innovation, or if its authorization would be in the interest of public health in the EEA.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94" w:lineRule="exact"/>
        <w:rPr>
          <w:rFonts w:ascii="Times New Roman" w:cs="Times New Roman" w:eastAsia="Times New Roman" w:hAnsi="Times New Roman"/>
          <w:sz w:val="18"/>
          <w:szCs w:val="18"/>
          <w:color w:val="auto"/>
        </w:rPr>
      </w:pPr>
    </w:p>
    <w:p>
      <w:pPr>
        <w:ind w:left="1140" w:right="240" w:hanging="383"/>
        <w:spacing w:after="0" w:line="284"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National authorization procedures </w:t>
      </w:r>
      <w:r>
        <w:rPr>
          <w:rFonts w:ascii="Times New Roman" w:cs="Times New Roman" w:eastAsia="Times New Roman" w:hAnsi="Times New Roman"/>
          <w:sz w:val="18"/>
          <w:szCs w:val="18"/>
          <w:color w:val="auto"/>
        </w:rPr>
        <w:t>— There are also two other possible routes to authorize products for therapeutic indications in several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which are available for products that fall outside the scope of the centralized procedure:</w:t>
      </w:r>
    </w:p>
    <w:p>
      <w:pPr>
        <w:spacing w:after="0" w:line="52" w:lineRule="exact"/>
        <w:rPr>
          <w:sz w:val="20"/>
          <w:szCs w:val="20"/>
          <w:color w:val="auto"/>
        </w:rPr>
      </w:pPr>
    </w:p>
    <w:p>
      <w:pPr>
        <w:ind w:left="1540" w:right="80" w:hanging="514"/>
        <w:spacing w:after="0" w:line="266"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decentralized procedure, an applicant may apply for simultaneous authorization in more than one EEA Member State for a medicinal product that has not yet been authorized in any EEA Member State and that does not fall within the mandatory scope of the centralized procedure.</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mutual recognition procedure, a medicine is first authorized in one EEA Member State, in accordance with the national procedures of that country. Following this, additional marketing authorizations can be sought from other EEA Member States in a procedure whereby the countries concerned recognize the validity of the original, national marketing authorization.</w:t>
      </w:r>
    </w:p>
    <w:p>
      <w:pPr>
        <w:spacing w:after="0" w:line="176" w:lineRule="exact"/>
        <w:rPr>
          <w:sz w:val="20"/>
          <w:szCs w:val="20"/>
          <w:color w:val="auto"/>
        </w:rPr>
      </w:pPr>
    </w:p>
    <w:p>
      <w:pPr>
        <w:ind w:right="80" w:firstLine="584"/>
        <w:spacing w:after="0" w:line="282" w:lineRule="auto"/>
        <w:rPr>
          <w:sz w:val="20"/>
          <w:szCs w:val="20"/>
          <w:color w:val="auto"/>
        </w:rPr>
      </w:pPr>
      <w:r>
        <w:rPr>
          <w:rFonts w:ascii="Times New Roman" w:cs="Times New Roman" w:eastAsia="Times New Roman" w:hAnsi="Times New Roman"/>
          <w:sz w:val="18"/>
          <w:szCs w:val="18"/>
          <w:color w:val="auto"/>
        </w:rPr>
        <w:t>In both cases, as with the centralized procedure, the competent authorities of the EEA Member States assess the risk-benefit balance of the product on the basis of scientific criteria concerning its quality, safety and efficacy before granting the marketing authorization.</w:t>
      </w:r>
    </w:p>
    <w:p>
      <w:pPr>
        <w:spacing w:after="0" w:line="162" w:lineRule="exact"/>
        <w:rPr>
          <w:sz w:val="20"/>
          <w:szCs w:val="20"/>
          <w:color w:val="auto"/>
        </w:rPr>
      </w:pPr>
    </w:p>
    <w:p>
      <w:pPr>
        <w:ind w:right="220" w:firstLine="584"/>
        <w:spacing w:after="0" w:line="254" w:lineRule="auto"/>
        <w:rPr>
          <w:sz w:val="20"/>
          <w:szCs w:val="20"/>
          <w:color w:val="auto"/>
        </w:rPr>
      </w:pPr>
      <w:r>
        <w:rPr>
          <w:rFonts w:ascii="Times New Roman" w:cs="Times New Roman" w:eastAsia="Times New Roman" w:hAnsi="Times New Roman"/>
          <w:sz w:val="18"/>
          <w:szCs w:val="18"/>
          <w:color w:val="auto"/>
        </w:rPr>
        <w:t>Now that the United Kingdom has left the European Union, Great Britain is no longer covered by the EEA procedures for the grant of marketing authorizations described above (under the Northern Ireland Protocol, centralized European Union marketing authorizations continue to be recognized in Northern Ireland) and a separate marketing authorization is therefore required to market drugs in Great Britain. For three years from January 1, 2021, the UK’s regulator, the MHRA, may adopt decisions taken by the European Commission on the approval of new marketing authorizations through the centralized procedure, and the MHRA will have regard to marketing authorizations approved in a country in the EEA (although in both</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ind w:right="20"/>
        <w:spacing w:after="0" w:line="253" w:lineRule="auto"/>
        <w:rPr>
          <w:sz w:val="20"/>
          <w:szCs w:val="20"/>
          <w:color w:val="auto"/>
        </w:rPr>
      </w:pPr>
      <w:r>
        <w:rPr>
          <w:rFonts w:ascii="Times New Roman" w:cs="Times New Roman" w:eastAsia="Times New Roman" w:hAnsi="Times New Roman"/>
          <w:sz w:val="18"/>
          <w:szCs w:val="18"/>
          <w:color w:val="auto"/>
        </w:rPr>
        <w:t>cases a marketing authorization will only be granted if any Great Britain-specific requirements are met). This is known as the EC Decision Reliance Procedure. On January 24, 2023, the MHRA announced that a new international recognition framework will be put in place from January 1, 2024, which will have regard to decisions on the approval of marketing authorizations made by the European Medicines Agency, or EMA, and certain other regulators. 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Once the Windsor Framework is approved by the EU-UK Joint Committee, the UK Government and the European Union will enact legislative measures to enact it into law.</w:t>
      </w:r>
    </w:p>
    <w:p>
      <w:pPr>
        <w:spacing w:after="0" w:line="194"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In the EEA, new products for therapeutic indications that are authorized for marketing (i.e., innovator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EEA during a period of eight years from the date on which the innovator product was first authorized in the EEA. The additional two-year period of market exclusivity period prevents a successful generic or biosimilar applicant from commercializing its product in the EEA until ten years have elapsed from the initial authorization of the reference product in the European Union.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92"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EEA are similar in principle to those in the United States. Under Article 3 of Regulation (EC) 141/2000, in the EEA a medicinal product may be designated as orphan if it meets the following criteria: (i) it is intended for the diagnosis, prevention or treatment of a life-threatening or chronically debilitating condition; and (ii) either (a) such condition affects no more than five in 10,000 persons in the EEA when the application is made, or (b) it is unlikely that the product, without the benefits derived from orphan status, would generate sufficient return in the EEA to justify the investment needed for its development; and (iii)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unless certain conditions are met. An orphan product can also obtain an additional two years of market exclusivity in the European Union for pediatric studies. Orphan drug designation does not convey any advantage in, or shorten the duration of, the regulatory review and approval process.</w:t>
      </w:r>
    </w:p>
    <w:p>
      <w:pPr>
        <w:spacing w:after="0" w:line="192" w:lineRule="exact"/>
        <w:rPr>
          <w:sz w:val="20"/>
          <w:szCs w:val="20"/>
          <w:color w:val="auto"/>
        </w:rPr>
      </w:pPr>
    </w:p>
    <w:p>
      <w:pPr>
        <w:ind w:right="340" w:firstLine="584"/>
        <w:spacing w:after="0" w:line="282" w:lineRule="auto"/>
        <w:rPr>
          <w:sz w:val="20"/>
          <w:szCs w:val="20"/>
          <w:color w:val="auto"/>
        </w:rPr>
      </w:pPr>
      <w:r>
        <w:rPr>
          <w:rFonts w:ascii="Times New Roman" w:cs="Times New Roman" w:eastAsia="Times New Roman" w:hAnsi="Times New Roman"/>
          <w:sz w:val="18"/>
          <w:szCs w:val="18"/>
          <w:color w:val="auto"/>
        </w:rPr>
        <w:t>Similar to the United States, the various phases of non-clinical and clinical research in the European Union are subject to significant regulatory controls.</w:t>
      </w:r>
    </w:p>
    <w:p>
      <w:pPr>
        <w:spacing w:after="0" w:line="162" w:lineRule="exact"/>
        <w:rPr>
          <w:sz w:val="20"/>
          <w:szCs w:val="20"/>
          <w:color w:val="auto"/>
        </w:rPr>
      </w:pPr>
    </w:p>
    <w:p>
      <w:pPr>
        <w:ind w:firstLine="584"/>
        <w:spacing w:after="0" w:line="253" w:lineRule="auto"/>
        <w:rPr>
          <w:sz w:val="20"/>
          <w:szCs w:val="20"/>
          <w:color w:val="auto"/>
        </w:rPr>
      </w:pPr>
      <w:r>
        <w:rPr>
          <w:rFonts w:ascii="Times New Roman" w:cs="Times New Roman" w:eastAsia="Times New Roman" w:hAnsi="Times New Roman"/>
          <w:sz w:val="18"/>
          <w:szCs w:val="18"/>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clinical trial application must be accompanied by, among other documents, an investigational medicinal product dossier (the Common Technical Document) with supporting information prescribed by applicable directives. All suspected unexpected serious adverse reactions to the investigated drug that occur during the clinical trial have to be reported to the NCA and ECs of the Member State where they occurred.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data collection outside of the United States</w:t>
      </w:r>
    </w:p>
    <w:p>
      <w:pPr>
        <w:spacing w:after="0" w:line="229" w:lineRule="exact"/>
        <w:rPr>
          <w:sz w:val="20"/>
          <w:szCs w:val="20"/>
          <w:color w:val="auto"/>
        </w:rPr>
      </w:pPr>
    </w:p>
    <w:p>
      <w:pPr>
        <w:ind w:right="20" w:firstLine="584"/>
        <w:spacing w:after="0" w:line="251" w:lineRule="auto"/>
        <w:rPr>
          <w:sz w:val="20"/>
          <w:szCs w:val="20"/>
          <w:color w:val="auto"/>
        </w:rPr>
      </w:pPr>
      <w:r>
        <w:rPr>
          <w:rFonts w:ascii="Times New Roman" w:cs="Times New Roman" w:eastAsia="Times New Roman" w:hAnsi="Times New Roman"/>
          <w:sz w:val="18"/>
          <w:szCs w:val="18"/>
          <w:color w:val="auto"/>
        </w:rPr>
        <w:t>In the event we conduct clinical trials in the European Union, we will be subject to additional privacy restrictions. The collection and use of personal health data in the European Economic Area, or EEA (being the European Union plus Norway, Iceland, and Liechtenstein), is governed by the General Data Protection Regulation, or the GDPR, which became effective on May 25, 2018. The GDPR applies to the processing of 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enhanced requirements for securing personal data,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European Union Member States and Norway, Iceland and Liechtenstein, which may deviate slightly from the GDPR, may result in fines of up to 4% of a company’s global revenue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will be required to put in place controls and processes ensuring compliance with the new data protection rules. There has been limited enforcement of the GDPR to date, particularly in biopharmaceutical development, so we face uncertainty as to the exact interpretation of the new requirements on any future trials and we may be unsuccessful in implementing all measures required by data protection authorities or courts in interpretation of the new law. Further, the United Kingdom’s decision to leave the European Union, means that it has in force its own legislation which is aligned with the GDPR, known as the Data Protection Act 2018. The requirements are similar except that the United Kingdom is now regarded as a “third country” for the purposes of transfers of personal data from the EEA. Transfers continue to flow freely from the United Kingdom to the EEA; however, as part of the agreement between the United Kingdom and the European Union, the United Kingdom intends to obtain an adequacy decision from the European Commission to ensure personal data can continue to flow freely from the European Union to the United Kingdom.</w:t>
      </w:r>
    </w:p>
    <w:p>
      <w:pPr>
        <w:spacing w:after="0" w:line="206"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Data protection authority activity differs across the European Union,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183" w:lineRule="exact"/>
        <w:rPr>
          <w:sz w:val="20"/>
          <w:szCs w:val="20"/>
          <w:color w:val="auto"/>
        </w:rPr>
      </w:pPr>
    </w:p>
    <w:p>
      <w:pPr>
        <w:ind w:right="320" w:firstLine="584"/>
        <w:spacing w:after="0" w:line="282" w:lineRule="auto"/>
        <w:rPr>
          <w:sz w:val="20"/>
          <w:szCs w:val="20"/>
          <w:color w:val="auto"/>
        </w:rPr>
      </w:pPr>
      <w:r>
        <w:rPr>
          <w:rFonts w:ascii="Times New Roman" w:cs="Times New Roman" w:eastAsia="Times New Roman" w:hAnsi="Times New Roman"/>
          <w:sz w:val="18"/>
          <w:szCs w:val="18"/>
          <w:color w:val="auto"/>
        </w:rPr>
        <w:t>Should we utilize third-party distributors, compliance with such foreign governmental regulations would generally be the responsibility of such distributors, who may be independent contractors over whom we have limited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We face direct competition from pharmaceutical and biotechnology companies leveraging the principle of synthetic lethality as well as companies developing therapies for the same target pathway and the same indications. Well-established companies that are developing or may develop therapies based on synthetic lethality include AstraZeneca, Amgen, GlaxoSmithKline, Bristol Myers Squibb, Merck KGaA and Pfizer. Smaller and earlier-stage companies focused on synthetic lethality include Artios Pharma, KSQ Therapeutics, IDEAYA Biosciences, Mirati Therapeutics, Repare Therapeutics and Servier Pharmaceuticals.</w:t>
      </w:r>
    </w:p>
    <w:p>
      <w:pPr>
        <w:spacing w:after="0" w:line="183" w:lineRule="exact"/>
        <w:rPr>
          <w:sz w:val="20"/>
          <w:szCs w:val="20"/>
          <w:color w:val="auto"/>
        </w:rPr>
      </w:pPr>
    </w:p>
    <w:p>
      <w:pPr>
        <w:ind w:right="300" w:firstLine="584"/>
        <w:spacing w:after="0" w:line="261" w:lineRule="auto"/>
        <w:rPr>
          <w:sz w:val="20"/>
          <w:szCs w:val="20"/>
          <w:color w:val="auto"/>
        </w:rPr>
      </w:pPr>
      <w:r>
        <w:rPr>
          <w:rFonts w:ascii="Times New Roman" w:cs="Times New Roman" w:eastAsia="Times New Roman" w:hAnsi="Times New Roman"/>
          <w:sz w:val="18"/>
          <w:szCs w:val="18"/>
          <w:color w:val="auto"/>
        </w:rPr>
        <w:t>Our PRMT5 inhibitor programs, which includes TNG908 and TNG462, will face direct competition from companies that have clinical-stage, MTA-cooperative PRMT5 inhibitors that are selective for MTAP-deleted cancers. We are aware that Mirati Therapeutics and Amgen are in Phase 1/2 clinical trials with MTA-cooperative PRMT5 inhibitor programs, using the same mechanism of action as TNG908 and TNG462. Currently, there are no MTA-cooperative PRMT5 inhibitors that are authorized for marketing by any regulatory authority.</w:t>
      </w:r>
    </w:p>
    <w:p>
      <w:pPr>
        <w:spacing w:after="0" w:line="180" w:lineRule="exact"/>
        <w:rPr>
          <w:sz w:val="20"/>
          <w:szCs w:val="20"/>
          <w:color w:val="auto"/>
        </w:rPr>
      </w:pPr>
    </w:p>
    <w:p>
      <w:pPr>
        <w:jc w:val="both"/>
        <w:ind w:right="200" w:firstLine="584"/>
        <w:spacing w:after="0" w:line="257" w:lineRule="auto"/>
        <w:rPr>
          <w:sz w:val="20"/>
          <w:szCs w:val="20"/>
          <w:color w:val="auto"/>
        </w:rPr>
      </w:pPr>
      <w:r>
        <w:rPr>
          <w:rFonts w:ascii="Times New Roman" w:cs="Times New Roman" w:eastAsia="Times New Roman" w:hAnsi="Times New Roman"/>
          <w:sz w:val="18"/>
          <w:szCs w:val="18"/>
          <w:color w:val="auto"/>
        </w:rPr>
        <w:t>Indirect competition may come from MAT2A inhibitor programs that are uniquely different than the TNG908 and TNG462 mechanism of action but are synthetic lethal with MTAP-deletions. MAT2A is an enzyme upstream of PRMT5 essential for the metabolism of the PRMT5 co-factor SAM that acts on the same pathway as TNG908. We are aware that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IDEAYA Biosciences (IDE397) has a clinical program and Servier Pharmaceuticals (S95035) has a preclinical MAT2A inhibitor program.</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are not aware of any competition from other companies developing a similar mechanism as TNG260, our CoREST inhibitor program.</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Competition for TNG348, our USP1 inhibitor program, comes from KSQ Therapeutics, which has a USP1 program in clinical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in March 2023, Debiopharm acquired global rights to a USP1 inhibitor in late preclinical development.</w:t>
      </w:r>
    </w:p>
    <w:p>
      <w:pPr>
        <w:spacing w:after="0" w:line="207"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94"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Many of our competitors, either alone or with their collaborators, have significantly greater resources,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significant competitors, particularly through collaborative arrangements with large and established companies. Additionally, mergers and acquisitions may result in even more resources being concentrated in our competitors.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80" w:firstLine="584"/>
        <w:spacing w:after="0" w:line="261" w:lineRule="auto"/>
        <w:rPr>
          <w:sz w:val="20"/>
          <w:szCs w:val="20"/>
          <w:color w:val="auto"/>
        </w:rPr>
      </w:pPr>
      <w:r>
        <w:rPr>
          <w:rFonts w:ascii="Times New Roman" w:cs="Times New Roman" w:eastAsia="Times New Roman" w:hAnsi="Times New Roman"/>
          <w:sz w:val="18"/>
          <w:szCs w:val="18"/>
          <w:color w:val="auto"/>
        </w:rPr>
        <w:t>Attracting and retaining qualified and experienced employees in research and development, clinical, manufacturing, quality and other positions is crucial to our ability to compete effectively. Competition for these employees is intense in the pharmaceutical industry in which we operate. Our ability to recruit and retain such employees depends on a number of factors, including the growth of our organization, the culture and work environment we have created, our organizational values and goals and our corporate philosophy; talent development and career opportunities; and compensation and benefits.</w:t>
      </w:r>
    </w:p>
    <w:p>
      <w:pPr>
        <w:spacing w:after="0" w:line="180" w:lineRule="exact"/>
        <w:rPr>
          <w:sz w:val="20"/>
          <w:szCs w:val="20"/>
          <w:color w:val="auto"/>
        </w:rPr>
      </w:pPr>
    </w:p>
    <w:p>
      <w:pPr>
        <w:ind w:firstLine="584"/>
        <w:spacing w:after="0" w:line="266" w:lineRule="auto"/>
        <w:rPr>
          <w:sz w:val="20"/>
          <w:szCs w:val="20"/>
          <w:color w:val="auto"/>
        </w:rPr>
      </w:pPr>
      <w:r>
        <w:rPr>
          <w:rFonts w:ascii="Times New Roman" w:cs="Times New Roman" w:eastAsia="Times New Roman" w:hAnsi="Times New Roman"/>
          <w:sz w:val="18"/>
          <w:szCs w:val="18"/>
          <w:color w:val="auto"/>
        </w:rPr>
        <w:t>As of December 31, 2022, we had 110 full-time employees, 84 employees are engaged in research and development and 26 are engaged in business development, finance, legal, and general management and administration. None of our employees are represented by labor unions or covered by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Employee Development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20" w:firstLine="584"/>
        <w:spacing w:after="0" w:line="254" w:lineRule="auto"/>
        <w:rPr>
          <w:sz w:val="20"/>
          <w:szCs w:val="20"/>
          <w:color w:val="auto"/>
        </w:rPr>
      </w:pPr>
      <w:r>
        <w:rPr>
          <w:rFonts w:ascii="Times New Roman" w:cs="Times New Roman" w:eastAsia="Times New Roman" w:hAnsi="Times New Roman"/>
          <w:sz w:val="18"/>
          <w:szCs w:val="18"/>
          <w:color w:val="auto"/>
        </w:rPr>
        <w:t>Our principal talent acquisition goal is to attract, retain, and develop the highest quality talent. As we build our organization beyond drug discovery and drug development, our goals have been extended to include establishing an employee base that will allow us to efficiently move our pipeline products through clinical trials, regulatory approvals and into the market where we can help patients and their families and, simultaneously, to have a workforce that provides diverse backgrounds and ideas, are trained to operate and act at the highest standards of ethics and integrity, and are dedicated to achieve the highest level of innovation and to advance oncology treatments through the use of synthetic lethality. To support our talent acquisition, our human resources programs are designed to develop talent to prepare them for leadership positions in the future; reward employees through competitive benefits programs, including competitive pay, incentive compensation, and an equity program that aligns the incentives of our employees with the interests of our shareholders; enhance our culture through efforts aimed at making the workplace more engaging and inclusive; and retain and develop talent that embody our core values.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1" w:name="page42"/>
    <w:bookmarkEnd w:id="41"/>
    <w:p>
      <w:pPr>
        <w:ind w:firstLine="584"/>
        <w:spacing w:after="0" w:line="274" w:lineRule="auto"/>
        <w:rPr>
          <w:sz w:val="20"/>
          <w:szCs w:val="20"/>
          <w:color w:val="auto"/>
        </w:rPr>
      </w:pPr>
      <w:r>
        <w:rPr>
          <w:rFonts w:ascii="Times New Roman" w:cs="Times New Roman" w:eastAsia="Times New Roman" w:hAnsi="Times New Roman"/>
          <w:sz w:val="17"/>
          <w:szCs w:val="17"/>
          <w:color w:val="auto"/>
        </w:rPr>
        <w:t>While Tango is early in its corporate development, our employees represent a broad set of backgrounds, perspectives and experiences. We attribute our early growth and success to the diversity that our employees bring with them to their professional roles. We are committed to the goals of diversity, equity and inclusion, which is the foundation upon which we are building a leading synthetic lethality business that is pushing the advances in oncology care, all with the objective of benefiting patients. We are building a work environment where employees can express themselves and have a voice in how we operate. Among other things, members of our management meet in small group sessions with all employees throughout the year and the feedback in these meetings is used to drive our professional development programs, our compensation structure, our organizational development and our culture.</w:t>
      </w:r>
    </w:p>
    <w:p>
      <w:pPr>
        <w:spacing w:after="0" w:line="173" w:lineRule="exact"/>
        <w:rPr>
          <w:sz w:val="20"/>
          <w:szCs w:val="20"/>
          <w:color w:val="auto"/>
        </w:rPr>
      </w:pPr>
    </w:p>
    <w:p>
      <w:pPr>
        <w:ind w:right="280" w:firstLine="584"/>
        <w:spacing w:after="0" w:line="258" w:lineRule="auto"/>
        <w:rPr>
          <w:sz w:val="20"/>
          <w:szCs w:val="20"/>
          <w:color w:val="auto"/>
        </w:rPr>
      </w:pPr>
      <w:r>
        <w:rPr>
          <w:rFonts w:ascii="Times New Roman" w:cs="Times New Roman" w:eastAsia="Times New Roman" w:hAnsi="Times New Roman"/>
          <w:sz w:val="18"/>
          <w:szCs w:val="18"/>
          <w:color w:val="auto"/>
        </w:rPr>
        <w:t>Tango has also recently established a Diversity, Equity and Inclusion (DE&amp;I) Council in which a broad, cross-section of our employees are members. The DE&amp;I Council is responsible for initiatives that prioritize building a diverse workforce and creating an environment that is equitable and inclusive for all employees and employee candidates. The DE&amp;I Council has led company-wide education efforts to inform our employees and our management team of the challenges employees face in the work environment so actions can be taken throughout the organization to support a range of diversity, equity and inclusion causes.</w:t>
      </w:r>
    </w:p>
    <w:p>
      <w:pPr>
        <w:spacing w:after="0" w:line="183" w:lineRule="exact"/>
        <w:rPr>
          <w:sz w:val="20"/>
          <w:szCs w:val="20"/>
          <w:color w:val="auto"/>
        </w:rPr>
      </w:pPr>
    </w:p>
    <w:p>
      <w:pPr>
        <w:jc w:val="both"/>
        <w:ind w:right="320" w:firstLine="584"/>
        <w:spacing w:after="0" w:line="266" w:lineRule="auto"/>
        <w:rPr>
          <w:sz w:val="20"/>
          <w:szCs w:val="20"/>
          <w:color w:val="auto"/>
        </w:rPr>
      </w:pPr>
      <w:r>
        <w:rPr>
          <w:rFonts w:ascii="Times New Roman" w:cs="Times New Roman" w:eastAsia="Times New Roman" w:hAnsi="Times New Roman"/>
          <w:sz w:val="18"/>
          <w:szCs w:val="18"/>
          <w:color w:val="auto"/>
        </w:rPr>
        <w:t>Further, the Nominating and Corporate Governance Committee charter sets forth specific guidelines that the Committee will use in evaluating future individuals for nomination to the Board of Directors. Among the identified factors the Committee is to consider in nominating a candidate is the diversity of a candidate. The Board recognizes that diversity plays an important role in its functioning and operations.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and similar programs are important to develop a sense of belonging for all employees and for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We survey our employees on an annual basis to assess overall engagement of our workforce, and compare our engagement results against prior year results, as well as a set of benchmark companies. These companies are in the biotech sector and of similar size (number of employees). We use these results, both our internal results and the comparative results against the benchmark companies, to assess our employee engagement performance during the preceding year and to determine areas of focus going forward.</w:t>
      </w:r>
    </w:p>
    <w:p>
      <w:pPr>
        <w:spacing w:after="0" w:line="180" w:lineRule="exact"/>
        <w:rPr>
          <w:sz w:val="20"/>
          <w:szCs w:val="20"/>
          <w:color w:val="auto"/>
        </w:rPr>
      </w:pPr>
    </w:p>
    <w:p>
      <w:pPr>
        <w:ind w:firstLine="584"/>
        <w:spacing w:after="0" w:line="256" w:lineRule="auto"/>
        <w:rPr>
          <w:sz w:val="20"/>
          <w:szCs w:val="20"/>
          <w:color w:val="auto"/>
        </w:rPr>
      </w:pPr>
      <w:r>
        <w:rPr>
          <w:rFonts w:ascii="Times New Roman" w:cs="Times New Roman" w:eastAsia="Times New Roman" w:hAnsi="Times New Roman"/>
          <w:sz w:val="18"/>
          <w:szCs w:val="18"/>
          <w:color w:val="auto"/>
        </w:rPr>
        <w:t>Following the 2021 engagement survey, we were able to implement a number of initiatives in response to employee feedback, including updating our vacation policy and adopting policies designed to improve employee wellness. In our most recent survey, conducted in 2022, we continued to generate results that were generally higher than our benchmark dataset, which supports our view that we have positive employee engagement. We identified areas where we are performing well, such as our efforts around innovation and social connection. As is the case with every survey, we also used the data to identify areas where we want to focus our efforts for improvement, including employee empowerment. As was the case in 2022, we will take these 2022 results, and a task force has been formed to enable actions that will further improve our engagement.</w:t>
      </w:r>
    </w:p>
    <w:p>
      <w:pPr>
        <w:spacing w:after="0" w:line="187" w:lineRule="exact"/>
        <w:rPr>
          <w:sz w:val="20"/>
          <w:szCs w:val="20"/>
          <w:color w:val="auto"/>
        </w:rPr>
      </w:pPr>
    </w:p>
    <w:p>
      <w:pPr>
        <w:ind w:right="40" w:firstLine="584"/>
        <w:spacing w:after="0" w:line="257" w:lineRule="auto"/>
        <w:rPr>
          <w:sz w:val="20"/>
          <w:szCs w:val="20"/>
          <w:color w:val="auto"/>
        </w:rPr>
      </w:pPr>
      <w:r>
        <w:rPr>
          <w:rFonts w:ascii="Times New Roman" w:cs="Times New Roman" w:eastAsia="Times New Roman" w:hAnsi="Times New Roman"/>
          <w:sz w:val="18"/>
          <w:szCs w:val="18"/>
          <w:color w:val="auto"/>
        </w:rPr>
        <w:t>We also conduct regular townhall meetings with our employees that are intended to keep our employees updated on important corporate initiatives and to obtain input from employees on these initiatives. We also use periodic employee surveys so we can quickly obtain employee feedback on new programs or policies that are under consideration.</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other information in this Annual Report on Form 10-K, including our financial statements and the related notes and the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also the section titled “Note Regarding Forward-Looking Statements”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precision oncology company with a limited operating history.</w:t>
      </w:r>
    </w:p>
    <w:p>
      <w:pPr>
        <w:spacing w:after="0" w:line="12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The revenue that we have generated from our collaboration agreement is also not sufficient to fund our operations. We have not obtained regulatory approvals for any of our product candidates, and there is no assurance that we will obtain approvals in the future. We have two investigational new drug, or IND, applications, for TNG908 and TNG462 that were cleared by the FDA in the first quarters of 2022 and 2023, respectively. Other than TNG908 and TNG462, all of our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our stockholders’ equity and working capital. If we were to expend our cash resources more quickly than we anticipate as we advance into and through the approval process, our cash runway may be shorter than the target we may disclose from time to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our inception and anticipate that we will continue to incur losses for the foreseeable future.</w:t>
      </w:r>
    </w:p>
    <w:p>
      <w:pPr>
        <w:spacing w:after="0" w:line="121"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December 31, 2022, we had an accumulated deficit of $269.5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our operating results to fluctuate significantly in the future as our business advances</w:t>
      </w:r>
    </w:p>
    <w:p>
      <w:pPr>
        <w:spacing w:after="0" w:line="121" w:lineRule="exact"/>
        <w:rPr>
          <w:sz w:val="20"/>
          <w:szCs w:val="20"/>
          <w:color w:val="auto"/>
        </w:rPr>
      </w:pPr>
    </w:p>
    <w:p>
      <w:pPr>
        <w:ind w:right="100" w:firstLine="576"/>
        <w:spacing w:after="0" w:line="261"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72" w:lineRule="exact"/>
        <w:rPr>
          <w:sz w:val="20"/>
          <w:szCs w:val="20"/>
          <w:color w:val="auto"/>
        </w:rPr>
      </w:pPr>
    </w:p>
    <w:p>
      <w:pPr>
        <w:ind w:right="120" w:firstLine="230"/>
        <w:spacing w:after="0" w:line="261" w:lineRule="auto"/>
        <w:rPr>
          <w:sz w:val="20"/>
          <w:szCs w:val="20"/>
          <w:color w:val="auto"/>
        </w:rPr>
      </w:pPr>
      <w:r>
        <w:rPr>
          <w:rFonts w:ascii="Times New Roman" w:cs="Times New Roman" w:eastAsia="Times New Roman" w:hAnsi="Times New Roman"/>
          <w:sz w:val="18"/>
          <w:szCs w:val="18"/>
          <w:color w:val="auto"/>
        </w:rPr>
        <w:t>the timing and success or failure of on-going and future clinical trials for our product candidates or competing product candidates, or any other change in the competitive landscape of our industry, including consolidation among our competitors or partners;</w:t>
      </w:r>
    </w:p>
    <w:p>
      <w:pPr>
        <w:ind w:right="120" w:firstLine="230"/>
        <w:spacing w:after="0" w:line="250" w:lineRule="auto"/>
        <w:rPr>
          <w:sz w:val="20"/>
          <w:szCs w:val="20"/>
          <w:color w:val="auto"/>
        </w:rPr>
      </w:pPr>
      <w:r>
        <w:rPr>
          <w:rFonts w:ascii="Times New Roman" w:cs="Times New Roman" w:eastAsia="Times New Roman" w:hAnsi="Times New Roman"/>
          <w:sz w:val="18"/>
          <w:szCs w:val="18"/>
          <w:color w:val="auto"/>
        </w:rPr>
        <w:t>our ability to obtain INDs for our pipeline product candidates, successfully open clinical trial sites and recruit and retain subjects for clinical trials, and any delays caused by difficulties in such efforts;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7" w:lineRule="exact"/>
        <w:rPr>
          <w:sz w:val="20"/>
          <w:szCs w:val="20"/>
          <w:color w:val="auto"/>
        </w:rPr>
      </w:pPr>
    </w:p>
    <w:p>
      <w:pPr>
        <w:ind w:right="600" w:firstLine="230"/>
        <w:spacing w:after="0" w:line="250" w:lineRule="auto"/>
        <w:rPr>
          <w:sz w:val="20"/>
          <w:szCs w:val="20"/>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and any future product candidates and research-stage programs, which may change from time to time;</w:t>
      </w:r>
    </w:p>
    <w:p>
      <w:pPr>
        <w:ind w:right="100" w:firstLine="230"/>
        <w:spacing w:after="0" w:line="250" w:lineRule="auto"/>
        <w:rPr>
          <w:sz w:val="20"/>
          <w:szCs w:val="20"/>
          <w:color w:val="auto"/>
        </w:rPr>
      </w:pPr>
      <w:r>
        <w:rPr>
          <w:rFonts w:ascii="Times New Roman" w:cs="Times New Roman" w:eastAsia="Times New Roman" w:hAnsi="Times New Roman"/>
          <w:sz w:val="18"/>
          <w:szCs w:val="18"/>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spacing w:after="0"/>
        <w:rPr>
          <w:sz w:val="20"/>
          <w:szCs w:val="20"/>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of demand for our product candidates should they receive regulatory approval, which may vary significantly;</w:t>
      </w:r>
    </w:p>
    <w:p>
      <w:pPr>
        <w:spacing w:after="0" w:line="9" w:lineRule="exact"/>
        <w:rPr>
          <w:sz w:val="20"/>
          <w:szCs w:val="20"/>
          <w:color w:val="auto"/>
        </w:rPr>
      </w:pPr>
    </w:p>
    <w:p>
      <w:pPr>
        <w:ind w:right="800" w:firstLine="230"/>
        <w:spacing w:after="0" w:line="250" w:lineRule="auto"/>
        <w:rPr>
          <w:sz w:val="20"/>
          <w:szCs w:val="20"/>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ind w:left="240" w:right="2240"/>
        <w:spacing w:after="0" w:line="260" w:lineRule="auto"/>
        <w:rPr>
          <w:sz w:val="20"/>
          <w:szCs w:val="20"/>
          <w:color w:val="auto"/>
        </w:rPr>
      </w:pPr>
      <w:r>
        <w:rPr>
          <w:rFonts w:ascii="Times New Roman" w:cs="Times New Roman" w:eastAsia="Times New Roman" w:hAnsi="Times New Roman"/>
          <w:sz w:val="18"/>
          <w:szCs w:val="18"/>
          <w:color w:val="auto"/>
        </w:rPr>
        <w:t>the changing and volatile U.S. and global economic environments, including as a result of the COVID-19 pandemic; and future accounting pronouncements or changes in our accounting policies.</w:t>
      </w:r>
    </w:p>
    <w:p>
      <w:pPr>
        <w:spacing w:after="0" w:line="73"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w:t>
      </w:r>
    </w:p>
    <w:p>
      <w:pPr>
        <w:spacing w:after="0" w:line="121"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from product sales, and we do not expect to generate any revenue from the sale of products in the near future. Our ability to generate revenue depends on a number of factors, including, but not limited to, our ability to: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successfully complete our planned preclinical studies for our novel precision oncology development programs;</w:t>
      </w:r>
    </w:p>
    <w:p>
      <w:pPr>
        <w:spacing w:after="0" w:line="27" w:lineRule="exact"/>
        <w:rPr>
          <w:sz w:val="20"/>
          <w:szCs w:val="20"/>
          <w:color w:val="auto"/>
        </w:rPr>
      </w:pPr>
    </w:p>
    <w:p>
      <w:pPr>
        <w:ind w:left="240" w:right="1740"/>
        <w:spacing w:after="0" w:line="250" w:lineRule="auto"/>
        <w:rPr>
          <w:sz w:val="20"/>
          <w:szCs w:val="20"/>
          <w:color w:val="auto"/>
        </w:rPr>
      </w:pPr>
      <w:r>
        <w:rPr>
          <w:rFonts w:ascii="Times New Roman" w:cs="Times New Roman" w:eastAsia="Times New Roman" w:hAnsi="Times New Roman"/>
          <w:sz w:val="18"/>
          <w:szCs w:val="18"/>
          <w:color w:val="auto"/>
        </w:rPr>
        <w:t>timely file INDs for our programs, and obtain clearance of these INDs to allow for commencement of such future clinical trials; timely complete patient enrollment and patient dosing in our TNG908 and TNG462 clinical trials;</w:t>
      </w:r>
    </w:p>
    <w:p>
      <w:pPr>
        <w:spacing w:after="0"/>
        <w:rPr>
          <w:sz w:val="20"/>
          <w:szCs w:val="20"/>
          <w:color w:val="auto"/>
        </w:rPr>
      </w:pPr>
      <w:r>
        <w:rPr>
          <w:rFonts w:ascii="Times New Roman" w:cs="Times New Roman" w:eastAsia="Times New Roman" w:hAnsi="Times New Roman"/>
          <w:sz w:val="18"/>
          <w:szCs w:val="18"/>
          <w:color w:val="auto"/>
        </w:rPr>
        <w:t>successfully complete our TNG908 and TNG462 clinical trials and any future clinical trials;</w:t>
      </w:r>
    </w:p>
    <w:p>
      <w:pPr>
        <w:spacing w:after="0" w:line="9" w:lineRule="exact"/>
        <w:rPr>
          <w:sz w:val="20"/>
          <w:szCs w:val="20"/>
          <w:color w:val="auto"/>
        </w:rPr>
      </w:pPr>
    </w:p>
    <w:p>
      <w:pPr>
        <w:ind w:left="240" w:right="340"/>
        <w:spacing w:after="0" w:line="250" w:lineRule="auto"/>
        <w:rPr>
          <w:sz w:val="20"/>
          <w:szCs w:val="20"/>
          <w:color w:val="auto"/>
        </w:rPr>
      </w:pPr>
      <w:r>
        <w:rPr>
          <w:rFonts w:ascii="Times New Roman" w:cs="Times New Roman" w:eastAsia="Times New Roman" w:hAnsi="Times New Roman"/>
          <w:sz w:val="18"/>
          <w:szCs w:val="18"/>
          <w:color w:val="auto"/>
        </w:rPr>
        <w:t>initiate and successfully complete all safety and efficacy studies required to obtain U.S. and foreign regulatory approval for our product candidates; make and maintain arrangements with third-party manufacturers for clinical supply and commercial manufacturing;</w:t>
      </w:r>
    </w:p>
    <w:p>
      <w:pPr>
        <w:spacing w:after="0"/>
        <w:rPr>
          <w:sz w:val="20"/>
          <w:szCs w:val="20"/>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9" w:lineRule="exact"/>
        <w:rPr>
          <w:sz w:val="20"/>
          <w:szCs w:val="20"/>
          <w:color w:val="auto"/>
        </w:rPr>
      </w:pPr>
    </w:p>
    <w:p>
      <w:pPr>
        <w:ind w:left="240" w:right="1520"/>
        <w:spacing w:after="0" w:line="250" w:lineRule="auto"/>
        <w:rPr>
          <w:sz w:val="20"/>
          <w:szCs w:val="20"/>
          <w:color w:val="auto"/>
        </w:rPr>
      </w:pPr>
      <w:r>
        <w:rPr>
          <w:rFonts w:ascii="Times New Roman" w:cs="Times New Roman" w:eastAsia="Times New Roman" w:hAnsi="Times New Roman"/>
          <w:sz w:val="18"/>
          <w:szCs w:val="18"/>
          <w:color w:val="auto"/>
        </w:rPr>
        <w:t>obtain and maintain acceptance of our products, if and when approved, by patients, the medical community and third-party payors; position our products to effectively compete with other therapies;</w:t>
      </w:r>
    </w:p>
    <w:p>
      <w:pPr>
        <w:ind w:left="240" w:right="3020"/>
        <w:spacing w:after="0" w:line="250" w:lineRule="auto"/>
        <w:rPr>
          <w:sz w:val="20"/>
          <w:szCs w:val="20"/>
          <w:color w:val="auto"/>
        </w:rPr>
      </w:pPr>
      <w:r>
        <w:rPr>
          <w:rFonts w:ascii="Times New Roman" w:cs="Times New Roman" w:eastAsia="Times New Roman" w:hAnsi="Times New Roman"/>
          <w:sz w:val="18"/>
          <w:szCs w:val="18"/>
          <w:color w:val="auto"/>
        </w:rPr>
        <w:t>obtain and maintain healthcare coverage and adequate reimbursement for our products, if and when approved; enforce and defend intellectual property rights and claims;</w:t>
      </w:r>
    </w:p>
    <w:p>
      <w:pPr>
        <w:ind w:right="420" w:firstLine="230"/>
        <w:spacing w:after="0" w:line="250" w:lineRule="auto"/>
        <w:rPr>
          <w:sz w:val="20"/>
          <w:szCs w:val="20"/>
          <w:color w:val="auto"/>
        </w:rPr>
      </w:pPr>
      <w:r>
        <w:rPr>
          <w:rFonts w:ascii="Times New Roman" w:cs="Times New Roman" w:eastAsia="Times New Roman" w:hAnsi="Times New Roman"/>
          <w:sz w:val="18"/>
          <w:szCs w:val="18"/>
          <w:color w:val="auto"/>
        </w:rPr>
        <w:t>implement measures to help minimize the risk and disruption of COVID-19 to our employees as well as patients and subjects to be enrolled in our clinical trials; and</w:t>
      </w:r>
    </w:p>
    <w:p>
      <w:pPr>
        <w:spacing w:after="0"/>
        <w:rPr>
          <w:sz w:val="20"/>
          <w:szCs w:val="20"/>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207" w:lineRule="exact"/>
        <w:rPr>
          <w:sz w:val="20"/>
          <w:szCs w:val="20"/>
          <w:color w:val="auto"/>
        </w:rPr>
      </w:pPr>
    </w:p>
    <w:p>
      <w:pPr>
        <w:ind w:right="180" w:firstLine="576"/>
        <w:spacing w:after="0" w:line="266" w:lineRule="auto"/>
        <w:rPr>
          <w:sz w:val="20"/>
          <w:szCs w:val="20"/>
          <w:color w:val="auto"/>
        </w:rPr>
      </w:pPr>
      <w:r>
        <w:rPr>
          <w:rFonts w:ascii="Times New Roman" w:cs="Times New Roman" w:eastAsia="Times New Roman" w:hAnsi="Times New Roman"/>
          <w:sz w:val="18"/>
          <w:szCs w:val="18"/>
          <w:color w:val="auto"/>
        </w:rPr>
        <w:t>Further, our most advanced program is a PRMT5 inhibitor, TNG908. Given the large number of patients with MTAP-deleted cancers who may benefit from a PRMT5 inhibitor, and the resulting business opportunity, we also developed a next-generation PRMT5 inhibitor, TNG462, with increased potency, MTAP-deletion selectivity, as well as longer target coverage.</w:t>
      </w:r>
    </w:p>
    <w:p>
      <w:pPr>
        <w:spacing w:after="0" w:line="176"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TNG462, our next-generation PRMT5 inhibitor, is 45-fold more potent in cells with an MTAP deletion than those without and induces deep tumor regressions in preclinical models of multiple cancer types. The clinical development path for TNG462 is expected to be similar to TNG908, evaluating safety and efficacy in multiple tumor types in a future Phase 1/2 clinical trial. GBM will be excluded from the clinical trial as TNG462 does not cross the blood-brain barrier in preclinical non-human primate models. If clinical evaluation of TNG462 supports this hypothesis, we may elect to promote TNG462 as our lead PRMT5 inhibitor, which may result in a delay to our development timeline for the lead PRMT5 program of approximately 12 to 18 months (in this case, we could continue clinical development of TNG908, however, the focus would be on GBM, which constitutes only a subset of the larger MTAP-deleted cancer patient population). If we elect to promote TNG462, it may result in the delay in receiving potential revenue from product sales, if approved by regulatory authorities.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4" w:name="page45"/>
    <w:bookmarkEnd w:id="44"/>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 development of pharmaceutical products is capital-intensive. We are currently advancing our precision oncology programs through clinical and preclinical development. We received FDA clearance of our IND applications for TNG908 and TNG462 in the first quarters of 2022 and 2023, respectively. We are actively enrolling patients in the TNG908 Phase 1/2 clinical trial, which is evaluating safety and efficacy in multiple indications. We expect to initiate the Phase 1/2 clinical trial for TNG462 in mid-2023 which will evaluate safety and efficacy in multiple indications</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We plan to file an IND for TNG260, our selective CoREST inhibitor, in the first half of 2023. We also plan to file an IND for TNG348, our USP1 inhibitor, in mid-2023. Consequently, we expect our expenses to significantly increase in connection with our ongoing activities, particularly as we continue the research and development of, initiate and complete clinical trials of, and seek regulatory approval for, our product candidates. As a result, we will be required to raise substantial additional funding in the future in order to continue our operations.</w:t>
      </w:r>
    </w:p>
    <w:p>
      <w:pPr>
        <w:spacing w:after="0" w:line="192"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In addition,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87" w:lineRule="exact"/>
        <w:rPr>
          <w:sz w:val="20"/>
          <w:szCs w:val="20"/>
          <w:color w:val="auto"/>
        </w:rPr>
      </w:pPr>
    </w:p>
    <w:p>
      <w:pPr>
        <w:jc w:val="both"/>
        <w:ind w:right="40" w:firstLine="584"/>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will fund our operating expenses and capital expenditure requirements at least into 2025. However, our future capital requirements will depend on and could increase significantly as a result of many factors (which may result in exhausting such cash resources prior to 2025), including: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progress, results and costs of product discovery, preclinical and clinical development, and clinical trials for our product candidates;</w:t>
      </w:r>
    </w:p>
    <w:p>
      <w:pPr>
        <w:spacing w:after="0" w:line="27" w:lineRule="exact"/>
        <w:rPr>
          <w:sz w:val="20"/>
          <w:szCs w:val="20"/>
          <w:color w:val="auto"/>
        </w:rPr>
      </w:pPr>
    </w:p>
    <w:p>
      <w:pPr>
        <w:ind w:left="240" w:right="320"/>
        <w:spacing w:after="0" w:line="250" w:lineRule="auto"/>
        <w:rPr>
          <w:sz w:val="20"/>
          <w:szCs w:val="20"/>
          <w:color w:val="auto"/>
        </w:rPr>
      </w:pPr>
      <w:r>
        <w:rPr>
          <w:rFonts w:ascii="Times New Roman" w:cs="Times New Roman" w:eastAsia="Times New Roman" w:hAnsi="Times New Roman"/>
          <w:sz w:val="18"/>
          <w:szCs w:val="18"/>
          <w:color w:val="auto"/>
        </w:rPr>
        <w:t>the potential additional expenses attributable to adjusting our development plans (including any supply related matters) to the COVID-19 pandemic; the scope, prioritization and number of our research and development programs;</w:t>
      </w:r>
    </w:p>
    <w:p>
      <w:pPr>
        <w:spacing w:after="0"/>
        <w:rPr>
          <w:sz w:val="20"/>
          <w:szCs w:val="20"/>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9" w:lineRule="exact"/>
        <w:rPr>
          <w:sz w:val="20"/>
          <w:szCs w:val="20"/>
          <w:color w:val="auto"/>
        </w:rPr>
      </w:pPr>
    </w:p>
    <w:p>
      <w:pPr>
        <w:ind w:right="80" w:firstLine="230"/>
        <w:spacing w:after="0" w:line="250" w:lineRule="auto"/>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agreements or any additional collaboration agreements we may establish;</w:t>
      </w:r>
    </w:p>
    <w:p>
      <w:pPr>
        <w:ind w:right="240" w:firstLine="230"/>
        <w:spacing w:after="0" w:line="250" w:lineRule="auto"/>
        <w:rPr>
          <w:sz w:val="20"/>
          <w:szCs w:val="20"/>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ind w:left="240" w:right="4520"/>
        <w:spacing w:after="0" w:line="265" w:lineRule="auto"/>
        <w:rPr>
          <w:sz w:val="20"/>
          <w:szCs w:val="20"/>
          <w:color w:val="auto"/>
        </w:rPr>
      </w:pPr>
      <w:r>
        <w:rPr>
          <w:rFonts w:ascii="Times New Roman" w:cs="Times New Roman" w:eastAsia="Times New Roman" w:hAnsi="Times New Roman"/>
          <w:sz w:val="17"/>
          <w:szCs w:val="17"/>
          <w:color w:val="auto"/>
        </w:rPr>
        <w:t>the extent to which we acquire or in-license other product candidates and technologies; the costs of securing manufacturing arrangements for clinical and commercial production;</w:t>
      </w:r>
    </w:p>
    <w:p>
      <w:pPr>
        <w:ind w:left="240" w:right="1380"/>
        <w:spacing w:after="0" w:line="250" w:lineRule="auto"/>
        <w:rPr>
          <w:sz w:val="20"/>
          <w:szCs w:val="20"/>
          <w:color w:val="auto"/>
        </w:rPr>
      </w:pPr>
      <w:r>
        <w:rPr>
          <w:rFonts w:ascii="Times New Roman" w:cs="Times New Roman" w:eastAsia="Times New Roman" w:hAnsi="Times New Roman"/>
          <w:sz w:val="18"/>
          <w:szCs w:val="18"/>
          <w:color w:val="auto"/>
        </w:rPr>
        <w:t>our ability to hire and retain skilled scientific and operational personnel to meet our development, clinical and commercial objectives; costs related to the development of any companion diagnostics we may use in the future; and</w:t>
      </w:r>
    </w:p>
    <w:p>
      <w:pPr>
        <w:spacing w:after="0"/>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commercial revenue, if any, will be derived from sales of products that we do not expect to be commercially available for many years, if at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will need to continue to rely on additional financing to achieve our business objectives.</w:t>
      </w:r>
    </w:p>
    <w:p>
      <w:pPr>
        <w:spacing w:after="0" w:line="207"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As a result of disruptions in the financial markets in general, and the recent decrease in biopharmaceutical stock prices and market capitalizations in particular, as well as the ongoing COVID-19 pandemic, equity and debt financing may be more difficult to obtain and may have a material adverse effect on our ability to meet our fundraising needs. We cannot guarantee that future financing will be available in sufficient amounts or on terms acceptable to us, if at all.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one or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90"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Precision Oncology and Other Programs and Product Candidates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51"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We have not yet demonstrated our ability to successfully register, initiate, enroll and complete clinical trials, including large-scale, pivotal clinical trials, obtain regulatory approvals, manufacture a commercial scale product or arrange for a third party to do so on our behalf, or conduct sales and marketing activities necessary for successful commercialization. We received FDA clearance of two IND applications for TNG908 and TNG462. We may not be able to file any future INDs for any of our other product candidates on the timelines we expect, if at all. Further, timelines for developing and filing INDs are subject to significant uncertainties and projected timelines can be improved upon or delayed. For example, we extended the timeline for filing an IND for our USP1 inhibitor program as we continued work on a development candidate, TNG348, that has improved pharmaceutical properties. Moreover, we cannot be sure that submission of an IND will result in the FDA allowing clinical trials to begin, or that, once 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 Successful completion of our clinical trials is a prerequisite to submitting an NDA to the FDA, a Marketing Authorization Application, or MAA, to the European Medicines Agency, or EMA, or other marketing applications to regulatory authorities in other jurisdictions, for each product candidate and, consequently, the regulatory approval of each product candidate. While the INDs for TNG908 and TNG462 were cleared by the FDA, it is possible that an adequate number of patients may not be enrolled on a timely basis, or at all, and the studies may not be completed (and preliminary, initial or final trial results may not be available) on time. Similarly, future clinical trials may not begin on time or be completed on schedule, if at all.</w:t>
      </w:r>
    </w:p>
    <w:p>
      <w:pPr>
        <w:spacing w:after="0" w:line="142" w:lineRule="exact"/>
        <w:rPr>
          <w:sz w:val="20"/>
          <w:szCs w:val="20"/>
          <w:color w:val="auto"/>
        </w:rPr>
      </w:pPr>
    </w:p>
    <w:p>
      <w:pPr>
        <w:ind w:right="20" w:firstLine="585"/>
        <w:spacing w:after="0" w:line="282" w:lineRule="auto"/>
        <w:rPr>
          <w:sz w:val="20"/>
          <w:szCs w:val="20"/>
          <w:color w:val="auto"/>
        </w:rPr>
      </w:pPr>
      <w:r>
        <w:rPr>
          <w:rFonts w:ascii="Times New Roman" w:cs="Times New Roman" w:eastAsia="Times New Roman" w:hAnsi="Times New Roman"/>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ind w:right="360"/>
        <w:spacing w:after="0" w:line="282" w:lineRule="auto"/>
        <w:rPr>
          <w:sz w:val="20"/>
          <w:szCs w:val="20"/>
          <w:color w:val="auto"/>
        </w:rPr>
      </w:pPr>
      <w:r>
        <w:rPr>
          <w:rFonts w:ascii="Times New Roman" w:cs="Times New Roman" w:eastAsia="Times New Roman" w:hAnsi="Times New Roman"/>
          <w:sz w:val="18"/>
          <w:szCs w:val="18"/>
          <w:color w:val="auto"/>
        </w:rPr>
        <w:t>testing, if the results of these trials or tests are not positive or are only modestly positive or if there are safety and/or efficacy concerns, we may, among other things:</w:t>
      </w:r>
    </w:p>
    <w:p>
      <w:pPr>
        <w:spacing w:after="0" w:line="54" w:lineRule="exact"/>
        <w:rPr>
          <w:sz w:val="20"/>
          <w:szCs w:val="20"/>
          <w:color w:val="auto"/>
        </w:rPr>
      </w:pPr>
    </w:p>
    <w:p>
      <w:pPr>
        <w:ind w:left="240" w:right="5860"/>
        <w:spacing w:after="0" w:line="261" w:lineRule="auto"/>
        <w:rPr>
          <w:sz w:val="20"/>
          <w:szCs w:val="20"/>
          <w:color w:val="auto"/>
        </w:rPr>
      </w:pPr>
      <w:r>
        <w:rPr>
          <w:rFonts w:ascii="Times New Roman" w:cs="Times New Roman" w:eastAsia="Times New Roman" w:hAnsi="Times New Roman"/>
          <w:sz w:val="18"/>
          <w:szCs w:val="18"/>
          <w:color w:val="auto"/>
        </w:rPr>
        <w:t>be delayed in obtaining regulatory approval for our product candidates; not obtain regulatory approval at all;</w:t>
      </w:r>
    </w:p>
    <w:p>
      <w:pPr>
        <w:ind w:left="240" w:right="3200"/>
        <w:spacing w:after="0" w:line="250" w:lineRule="auto"/>
        <w:rPr>
          <w:sz w:val="20"/>
          <w:szCs w:val="20"/>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 be subject to post-marketing testing requirements; or</w:t>
      </w:r>
    </w:p>
    <w:p>
      <w:pPr>
        <w:spacing w:after="0"/>
        <w:rPr>
          <w:sz w:val="20"/>
          <w:szCs w:val="20"/>
          <w:color w:val="auto"/>
        </w:rPr>
      </w:pPr>
      <w:r>
        <w:rPr>
          <w:rFonts w:ascii="Times New Roman" w:cs="Times New Roman" w:eastAsia="Times New Roman" w:hAnsi="Times New Roman"/>
          <w:sz w:val="18"/>
          <w:szCs w:val="18"/>
          <w:color w:val="auto"/>
        </w:rPr>
        <w:t>have the product removed from the market after obtaining regulatory approval.</w:t>
      </w:r>
    </w:p>
    <w:p>
      <w:pPr>
        <w:spacing w:after="0" w:line="20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6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proprietary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as large as we anticipate, large enough to allow us to successfully obtain approval for each such mutation and commercialize our product candidates and achieve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product development involves a lengthy and expensive process, with an uncertain outcome.</w:t>
      </w:r>
    </w:p>
    <w:p>
      <w:pPr>
        <w:spacing w:after="0" w:line="121"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Our preclinical studies, our TNG908 and TNG462 clinical trials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or preliminary results of a clinical trial do not necessarily predict final results (or be indicative of safety and efficacy if commercialized and used in a broader population).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third-parties are unable to successfully develop screening technology for biomarkers that enable patient selection, or experience significant delays in doing so, we may not realize the full commercial potential of our product candidates.</w:t>
      </w:r>
    </w:p>
    <w:p>
      <w:pPr>
        <w:spacing w:after="0" w:line="267" w:lineRule="exact"/>
        <w:rPr>
          <w:sz w:val="20"/>
          <w:szCs w:val="20"/>
          <w:color w:val="auto"/>
        </w:rPr>
      </w:pPr>
    </w:p>
    <w:p>
      <w:pPr>
        <w:ind w:right="140" w:firstLine="576"/>
        <w:spacing w:after="0" w:line="258" w:lineRule="auto"/>
        <w:rPr>
          <w:sz w:val="20"/>
          <w:szCs w:val="20"/>
          <w:color w:val="auto"/>
        </w:rPr>
      </w:pPr>
      <w:r>
        <w:rPr>
          <w:rFonts w:ascii="Times New Roman" w:cs="Times New Roman" w:eastAsia="Times New Roman" w:hAnsi="Times New Roman"/>
          <w:sz w:val="18"/>
          <w:szCs w:val="18"/>
          <w:color w:val="auto"/>
        </w:rPr>
        <w:t>A key component of our strategy includes the use of next-generation sequencing to guide patient selection and/or to confirm target engagement of our product candidates. In some cases, third-parties provide this technology. It is not always the case, however, that the biomarker we have identified for patient selection is on the panel offered by certain next generation technology sequencing providers. If not already commercially available, we may collaborate with sequencing companies for the development of biomarkers associated with our product candidates. We may have difficulty in establishing or maintaining such development relationships, and we will face competition from other companies in establishing these collaborations.</w:t>
      </w:r>
    </w:p>
    <w:p>
      <w:pPr>
        <w:spacing w:after="0" w:line="399" w:lineRule="exact"/>
        <w:rPr>
          <w:sz w:val="20"/>
          <w:szCs w:val="20"/>
          <w:color w:val="auto"/>
        </w:rPr>
      </w:pPr>
    </w:p>
    <w:p>
      <w:pPr>
        <w:ind w:right="60" w:firstLine="576"/>
        <w:spacing w:after="0" w:line="270" w:lineRule="auto"/>
        <w:rPr>
          <w:sz w:val="20"/>
          <w:szCs w:val="20"/>
          <w:color w:val="auto"/>
        </w:rPr>
      </w:pPr>
      <w:r>
        <w:rPr>
          <w:rFonts w:ascii="Times New Roman" w:cs="Times New Roman" w:eastAsia="Times New Roman" w:hAnsi="Times New Roman"/>
          <w:sz w:val="17"/>
          <w:szCs w:val="17"/>
          <w:color w:val="auto"/>
        </w:rPr>
        <w:t>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genetic mutations) or their functional relevance preclinically in relevant in vitro or in vivo models. Data analytics and information from databases that we rely on for identifying or validating some of our biomarker-target relationships may not accurately reflect potential patient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populations. Potential biomarkers, even if validated preclinically, may not be functionally effective or validated in human clinical trials.</w:t>
      </w:r>
    </w:p>
    <w:p>
      <w:pPr>
        <w:spacing w:after="0" w:line="200" w:lineRule="exact"/>
        <w:rPr>
          <w:sz w:val="20"/>
          <w:szCs w:val="20"/>
          <w:color w:val="auto"/>
        </w:rPr>
      </w:pPr>
    </w:p>
    <w:p>
      <w:pPr>
        <w:spacing w:after="0" w:line="241"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If next generation sequencing companies experience any delays including the biomarkers we have identified for patient selection on their panels or tests, or if they do not include those biomarkers on their panels or tests, our clinical trials may be delayed or may not identify sufficient patients to complete the trial and our clinical trials may be unsuccessful and our therapies will not advance to approval.</w:t>
      </w:r>
    </w:p>
    <w:p>
      <w:pPr>
        <w:spacing w:after="0" w:line="3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67"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in vitro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89"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w:t>
      </w:r>
    </w:p>
    <w:p>
      <w:pPr>
        <w:spacing w:after="0" w:line="18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initial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51"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initial data from our current and future clinical trials, which is based on a preliminary analysis of then-available data, and the results and related findings and conclusions are subject to change following a more comprehensive review of the data, including audit and verification procedures, and as results from additional clinical trial participants become available and trial participants spend additional time on therapy. For example, we may report responses in certain patients that are unconfirmed at the time and which do not ultimately result in confirmed responses to treatment after follow-up evaluations. We may also make assumptions, estimations, calculations and conclusions as part of our analyses of data, and we may not have received or had the opportunity to fully and carefully evaluate all data. As a result, initial, interim and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 and may cause the price of our common stock to fluctuate or decline.</w:t>
      </w:r>
    </w:p>
    <w:p>
      <w:pPr>
        <w:spacing w:after="0" w:line="194" w:lineRule="exact"/>
        <w:rPr>
          <w:sz w:val="20"/>
          <w:szCs w:val="20"/>
          <w:color w:val="auto"/>
        </w:rPr>
      </w:pPr>
    </w:p>
    <w:p>
      <w:pPr>
        <w:jc w:val="both"/>
        <w:ind w:right="460" w:firstLine="576"/>
        <w:spacing w:after="0" w:line="257" w:lineRule="auto"/>
        <w:rPr>
          <w:sz w:val="20"/>
          <w:szCs w:val="20"/>
          <w:color w:val="auto"/>
        </w:rPr>
      </w:pPr>
      <w:r>
        <w:rPr>
          <w:rFonts w:ascii="Times New Roman" w:cs="Times New Roman" w:eastAsia="Times New Roman" w:hAnsi="Times New Roman"/>
          <w:sz w:val="18"/>
          <w:szCs w:val="18"/>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ind w:right="180"/>
        <w:spacing w:after="0" w:line="266" w:lineRule="auto"/>
        <w:rPr>
          <w:sz w:val="20"/>
          <w:szCs w:val="20"/>
          <w:color w:val="auto"/>
        </w:rPr>
      </w:pPr>
      <w:r>
        <w:rPr>
          <w:rFonts w:ascii="Times New Roman" w:cs="Times New Roman" w:eastAsia="Times New Roman" w:hAnsi="Times New Roman"/>
          <w:sz w:val="18"/>
          <w:szCs w:val="18"/>
          <w:color w:val="auto"/>
        </w:rPr>
        <w:t>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76"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 xml:space="preserve">We may from time to time indicate the intent to publicly disclose certain clinical trial data at a future date. We have, for example, noted that we will provide an update on the ongoing dose escalation portion of the TNG908 clinical trial, focusing on proof-of-mechanism. Due to the factors described above, and elsewhere in these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we may be unable to report that data on or before the time indicated to investors, we may not have the data to provide the information previously indicated and, even if we do provide such clinical trial data, the final results from that phase of the clinical trial may be different from what we disclose initially.</w:t>
      </w:r>
    </w:p>
    <w:p>
      <w:pPr>
        <w:spacing w:after="0" w:line="183"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If the initial,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172" w:lineRule="exact"/>
        <w:rPr>
          <w:sz w:val="20"/>
          <w:szCs w:val="20"/>
          <w:color w:val="auto"/>
        </w:rPr>
      </w:pPr>
    </w:p>
    <w:p>
      <w:pPr>
        <w:ind w:right="1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51"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75" w:lineRule="exact"/>
        <w:rPr>
          <w:sz w:val="20"/>
          <w:szCs w:val="20"/>
          <w:color w:val="auto"/>
        </w:rPr>
      </w:pPr>
    </w:p>
    <w:p>
      <w:pPr>
        <w:ind w:right="20" w:firstLine="230"/>
        <w:spacing w:after="0" w:line="261" w:lineRule="auto"/>
        <w:rPr>
          <w:sz w:val="20"/>
          <w:szCs w:val="20"/>
          <w:color w:val="auto"/>
        </w:rPr>
      </w:pPr>
      <w:r>
        <w:rPr>
          <w:rFonts w:ascii="Times New Roman" w:cs="Times New Roman" w:eastAsia="Times New Roman" w:hAnsi="Times New Roman"/>
          <w:sz w:val="18"/>
          <w:szCs w:val="18"/>
          <w:color w:val="auto"/>
        </w:rPr>
        <w:t>we may receive feedback from regulatory authorities that require us to modify the design or implementation of our preclinical studies or clinical trials or to delay or terminate a clinical trial;</w:t>
      </w:r>
    </w:p>
    <w:p>
      <w:pPr>
        <w:ind w:firstLine="230"/>
        <w:spacing w:after="0" w:line="250" w:lineRule="auto"/>
        <w:rPr>
          <w:sz w:val="20"/>
          <w:szCs w:val="20"/>
          <w:color w:val="auto"/>
        </w:rPr>
      </w:pPr>
      <w:r>
        <w:rPr>
          <w:rFonts w:ascii="Times New Roman" w:cs="Times New Roman" w:eastAsia="Times New Roman" w:hAnsi="Times New Roman"/>
          <w:sz w:val="18"/>
          <w:szCs w:val="18"/>
          <w:color w:val="auto"/>
        </w:rPr>
        <w:t>regulators or IRB, or ethics committees may delay or may not authorize us or our investigators to commence a clinical trial or conduct a clinical trial at a prospective trial site;</w:t>
      </w:r>
    </w:p>
    <w:p>
      <w:pPr>
        <w:ind w:right="260" w:firstLine="230"/>
        <w:spacing w:after="0" w:line="250" w:lineRule="auto"/>
        <w:rPr>
          <w:sz w:val="20"/>
          <w:szCs w:val="20"/>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right="160" w:firstLine="230"/>
        <w:spacing w:after="0" w:line="250"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1" w:lineRule="exact"/>
        <w:rPr>
          <w:sz w:val="20"/>
          <w:szCs w:val="20"/>
          <w:color w:val="auto"/>
        </w:rPr>
      </w:pPr>
    </w:p>
    <w:p>
      <w:pPr>
        <w:ind w:right="560" w:firstLine="230"/>
        <w:spacing w:after="0" w:line="250" w:lineRule="auto"/>
        <w:rPr>
          <w:sz w:val="20"/>
          <w:szCs w:val="20"/>
          <w:color w:val="auto"/>
        </w:rPr>
      </w:pPr>
      <w:r>
        <w:rPr>
          <w:rFonts w:ascii="Times New Roman" w:cs="Times New Roman" w:eastAsia="Times New Roman" w:hAnsi="Times New Roman"/>
          <w:sz w:val="18"/>
          <w:szCs w:val="18"/>
          <w:color w:val="auto"/>
        </w:rPr>
        <w:t>preclinical studies or clinical trials of our product candidates may not produce differentiated or clinically significant results across tumor types or indications;</w:t>
      </w:r>
    </w:p>
    <w:p>
      <w:pPr>
        <w:ind w:right="220" w:firstLine="230"/>
        <w:spacing w:after="0" w:line="250" w:lineRule="auto"/>
        <w:rPr>
          <w:sz w:val="20"/>
          <w:szCs w:val="20"/>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 w:lineRule="exact"/>
        <w:rPr>
          <w:sz w:val="20"/>
          <w:szCs w:val="20"/>
          <w:color w:val="auto"/>
        </w:rPr>
      </w:pPr>
    </w:p>
    <w:p>
      <w:pPr>
        <w:ind w:right="40" w:firstLine="230"/>
        <w:spacing w:after="0" w:line="250" w:lineRule="auto"/>
        <w:rPr>
          <w:sz w:val="20"/>
          <w:szCs w:val="20"/>
          <w:color w:val="auto"/>
        </w:rPr>
      </w:pPr>
      <w:r>
        <w:rPr>
          <w:rFonts w:ascii="Times New Roman" w:cs="Times New Roman" w:eastAsia="Times New Roman" w:hAnsi="Times New Roman"/>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spacing w:after="0" w:line="1" w:lineRule="exact"/>
        <w:rPr>
          <w:sz w:val="20"/>
          <w:szCs w:val="20"/>
          <w:color w:val="auto"/>
        </w:rPr>
      </w:pPr>
    </w:p>
    <w:p>
      <w:pPr>
        <w:ind w:right="40" w:firstLine="185"/>
        <w:spacing w:after="0" w:line="250" w:lineRule="auto"/>
        <w:rPr>
          <w:sz w:val="20"/>
          <w:szCs w:val="20"/>
          <w:color w:val="auto"/>
        </w:rPr>
      </w:pPr>
      <w:r>
        <w:rPr>
          <w:rFonts w:ascii="Times New Roman" w:cs="Times New Roman" w:eastAsia="Times New Roman" w:hAnsi="Times New Roman"/>
          <w:sz w:val="18"/>
          <w:szCs w:val="18"/>
          <w:color w:val="auto"/>
        </w:rPr>
        <w:t>our clinical trial sites or investigators may deviate from the clinical trial protocol or drop out of the trial, which may require that we add new clinical trial sites or investigators in order to ensure our trials generate statistically significant results;</w:t>
      </w:r>
    </w:p>
    <w:p>
      <w:pPr>
        <w:jc w:val="both"/>
        <w:ind w:right="340" w:firstLine="230"/>
        <w:spacing w:after="0" w:line="250" w:lineRule="auto"/>
        <w:rPr>
          <w:sz w:val="20"/>
          <w:szCs w:val="20"/>
          <w:color w:val="auto"/>
        </w:rPr>
      </w:pPr>
      <w:r>
        <w:rPr>
          <w:rFonts w:ascii="Times New Roman" w:cs="Times New Roman" w:eastAsia="Times New Roman" w:hAnsi="Times New Roman"/>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9" w:lineRule="exact"/>
        <w:rPr>
          <w:sz w:val="20"/>
          <w:szCs w:val="20"/>
          <w:color w:val="auto"/>
        </w:rPr>
      </w:pPr>
    </w:p>
    <w:p>
      <w:pPr>
        <w:ind w:right="660" w:firstLine="230"/>
        <w:spacing w:after="0" w:line="250" w:lineRule="auto"/>
        <w:rPr>
          <w:sz w:val="20"/>
          <w:szCs w:val="20"/>
          <w:color w:val="auto"/>
        </w:rPr>
      </w:pPr>
      <w:r>
        <w:rPr>
          <w:rFonts w:ascii="Times New Roman" w:cs="Times New Roman" w:eastAsia="Times New Roman" w:hAnsi="Times New Roman"/>
          <w:sz w:val="18"/>
          <w:szCs w:val="18"/>
          <w:color w:val="auto"/>
        </w:rPr>
        <w:t>clinical trials of our product candidates may be delayed due to complications associated with the evolving COVID-19 pandemic which we have experienced in connection with our TNG908 clinical trial as described below;</w:t>
      </w:r>
    </w:p>
    <w:p>
      <w:pPr>
        <w:ind w:right="300" w:firstLine="230"/>
        <w:spacing w:after="0" w:line="250" w:lineRule="auto"/>
        <w:rPr>
          <w:sz w:val="20"/>
          <w:szCs w:val="20"/>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ind w:right="340" w:firstLine="230"/>
        <w:spacing w:after="0" w:line="250" w:lineRule="auto"/>
        <w:rPr>
          <w:sz w:val="20"/>
          <w:szCs w:val="20"/>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ind w:right="300" w:firstLine="230"/>
        <w:spacing w:after="0" w:line="282" w:lineRule="auto"/>
        <w:rPr>
          <w:sz w:val="20"/>
          <w:szCs w:val="20"/>
          <w:color w:val="auto"/>
        </w:rPr>
      </w:pPr>
      <w:r>
        <w:rPr>
          <w:rFonts w:ascii="Times New Roman" w:cs="Times New Roman" w:eastAsia="Times New Roman" w:hAnsi="Times New Roman"/>
          <w:sz w:val="18"/>
          <w:szCs w:val="18"/>
          <w:color w:val="auto"/>
        </w:rPr>
        <w:t>regulatory developments with respect to our competitors’ products, including any developments, litigation or public concern about the safety of such products.</w:t>
      </w:r>
    </w:p>
    <w:p>
      <w:pPr>
        <w:spacing w:after="0" w:line="162"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8"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current or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9"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regulatory approvals. We do not know whether any of our current or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are orphan indications that have small populations, our ability to enroll eligible patients may be limited or may result in slower enrollment than we anticipate. For example, following the FDA's clearance of our IND application for the Phase 1/2 clinical trial of TNG908, we and our third-party CRO have initiated multiple clinical trial sites, and we are actively enrolling patients in the trial. While we expect to continue to enroll patients in our TNG908 clinical trial, we have experienced slower than expected enrollment, due to limited site resources resulting from COVID-19, and may experience slower enrollment as a result of limited trial populations due to competitive trials or other factors beyond our control. Delays in enrollment may affect the timing of any results from the TNG908 Phase 1/2 trials (as well as the timing for dose escalation and dose expansion) and therefore the regulatory approval (if any) for TNG908 may extend beyond the period we have targeted or beyond the timeline expected by investors.</w:t>
      </w:r>
    </w:p>
    <w:p>
      <w:pPr>
        <w:spacing w:after="0" w:line="194"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also rely on the willingness and ability of clinicians to screen their patients for biomarkers to indicate which patients may be eligible for enrollment in our clinical trials.</w:t>
      </w:r>
    </w:p>
    <w:p>
      <w:pPr>
        <w:spacing w:after="0" w:line="180" w:lineRule="exact"/>
        <w:rPr>
          <w:sz w:val="20"/>
          <w:szCs w:val="20"/>
          <w:color w:val="auto"/>
        </w:rPr>
      </w:pPr>
    </w:p>
    <w:p>
      <w:pPr>
        <w:jc w:val="both"/>
        <w:ind w:right="40" w:firstLine="576"/>
        <w:spacing w:after="0" w:line="255" w:lineRule="auto"/>
        <w:rPr>
          <w:sz w:val="20"/>
          <w:szCs w:val="20"/>
          <w:color w:val="auto"/>
        </w:rPr>
      </w:pPr>
      <w:r>
        <w:rPr>
          <w:rFonts w:ascii="Times New Roman" w:cs="Times New Roman" w:eastAsia="Times New Roman" w:hAnsi="Times New Roman"/>
          <w:sz w:val="18"/>
          <w:szCs w:val="18"/>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(for example, two INDs for other companies have been cleared by the FDA for clinical trials of MTA-cooperative PRMT5 inhibitors for the treatment of cancer patients, such trials have already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line="256" w:lineRule="auto"/>
        <w:rPr>
          <w:sz w:val="20"/>
          <w:szCs w:val="20"/>
          <w:color w:val="auto"/>
        </w:rPr>
      </w:pPr>
      <w:r>
        <w:rPr>
          <w:rFonts w:ascii="Times New Roman" w:cs="Times New Roman" w:eastAsia="Times New Roman" w:hAnsi="Times New Roman"/>
          <w:sz w:val="18"/>
          <w:szCs w:val="18"/>
          <w:color w:val="auto"/>
        </w:rPr>
        <w:t>enrolled patients and those trials are using some of the same clinical trial sites that we use). Further, the IND for TNG462, our next generation MTA-cooperative PRMT5 inhibitor, was cleared by the FDA in January 2023 and we expect to initiate the Phase 1/2 clinical trial for TNG462 in mid-2023. The patient population eligible for the TNG462 clinical trial will be largely the same as for the TNG908 clinical trial. As a result, our own trials may compete to enroll patients among a limited population and each trial may experience delays or limited enrollment. Furthermore, as noted above, our ability to enroll patients may be significantly delayed by the ongoing COVID-19 pandemic (including due to lack of resources and personnel at trial sites), and we cannot accurately predict the extent and scope of such delays at this point.</w:t>
      </w:r>
    </w:p>
    <w:p>
      <w:pPr>
        <w:spacing w:after="0" w:line="187"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In addition to the competitive trial environment, the eligibility criteria of our clinical trials will further limit the pool of available study participants as we will require that patients have specific characteristics that we can measure to assure their cancer is either severe enough or not too advanced to include them in a study.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reporting initial and final trial results and obtaining regulatory approval of potential products may be delayed.</w:t>
      </w:r>
    </w:p>
    <w:p>
      <w:pPr>
        <w:spacing w:after="0" w:line="18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Further, if we are unable to identify patients with the targeted genetic mutations for our clinical trials, this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severity of the disease under investigation;</w:t>
      </w:r>
    </w:p>
    <w:p>
      <w:pPr>
        <w:spacing w:after="0" w:line="27" w:lineRule="exact"/>
        <w:rPr>
          <w:sz w:val="20"/>
          <w:szCs w:val="20"/>
          <w:color w:val="auto"/>
        </w:rPr>
      </w:pPr>
    </w:p>
    <w:p>
      <w:pPr>
        <w:ind w:left="240" w:right="3880"/>
        <w:spacing w:after="0" w:line="250" w:lineRule="auto"/>
        <w:rPr>
          <w:sz w:val="20"/>
          <w:szCs w:val="20"/>
          <w:color w:val="auto"/>
        </w:rPr>
      </w:pPr>
      <w:r>
        <w:rPr>
          <w:rFonts w:ascii="Times New Roman" w:cs="Times New Roman" w:eastAsia="Times New Roman" w:hAnsi="Times New Roman"/>
          <w:sz w:val="18"/>
          <w:szCs w:val="18"/>
          <w:color w:val="auto"/>
        </w:rPr>
        <w:t>the efforts to obtain and maintain patient consents and facilitate timely enrollment in clinical trials; the ability to monitor patients adequately during and after treatment;</w:t>
      </w:r>
    </w:p>
    <w:p>
      <w:pPr>
        <w:ind w:left="240" w:right="3980"/>
        <w:spacing w:after="0" w:line="250" w:lineRule="auto"/>
        <w:rPr>
          <w:sz w:val="20"/>
          <w:szCs w:val="20"/>
          <w:color w:val="auto"/>
        </w:rPr>
      </w:pPr>
      <w:r>
        <w:rPr>
          <w:rFonts w:ascii="Times New Roman" w:cs="Times New Roman" w:eastAsia="Times New Roman" w:hAnsi="Times New Roman"/>
          <w:sz w:val="18"/>
          <w:szCs w:val="18"/>
          <w:color w:val="auto"/>
        </w:rPr>
        <w:t>the ability to recruit clinical trial investigators with the appropriate competencies and experience; reporting of the initial results of any of our clinical trials; and</w:t>
      </w:r>
    </w:p>
    <w:p>
      <w:pPr>
        <w:ind w:right="460" w:firstLine="230"/>
        <w:spacing w:after="0" w:line="260" w:lineRule="auto"/>
        <w:rPr>
          <w:sz w:val="20"/>
          <w:szCs w:val="20"/>
          <w:color w:val="auto"/>
        </w:rPr>
      </w:pPr>
      <w:r>
        <w:rPr>
          <w:rFonts w:ascii="Times New Roman" w:cs="Times New Roman" w:eastAsia="Times New Roman" w:hAnsi="Times New Roman"/>
          <w:sz w:val="18"/>
          <w:szCs w:val="18"/>
          <w:color w:val="auto"/>
        </w:rPr>
        <w:t>factors we may not be able to control, including the impacts of the COVID-19 pandemic, that may limit patients, principal investigators or staff or clinical site availability.</w:t>
      </w:r>
    </w:p>
    <w:p>
      <w:pPr>
        <w:spacing w:after="0" w:line="17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other drugs or biologics.</w:t>
      </w:r>
    </w:p>
    <w:p>
      <w:pPr>
        <w:spacing w:after="0" w:line="67"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Certain of our current product candidates and any future product candidates may have the potential to be administered in combination with existing standards of care such as checkpoint inhibitor immunotherapies, chemotherapies, targeted therapies or radiotherapy.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87"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Any failure to maintain or enter into new successful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80" w:lineRule="exact"/>
        <w:rPr>
          <w:sz w:val="20"/>
          <w:szCs w:val="20"/>
          <w:color w:val="auto"/>
        </w:rPr>
      </w:pPr>
    </w:p>
    <w:p>
      <w:pPr>
        <w:ind w:right="20" w:firstLine="576"/>
        <w:spacing w:after="0" w:line="252"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other therapy and not our current product candidates and any future product candidates. Even if successful, such trials may cause delays in the time to obtain regulatory approval, thereby limiting any exclusive periods we have to market the product candidate.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1" w:name="page52"/>
    <w:bookmarkEnd w:id="51"/>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7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72"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12"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51"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We have received FDA clearance of our IND applications for TNG908 and TNG462 and we are actively enrolling patients in our Phase 1/2 clinical trial for TNG908. We expect to initiate the Phase 1/2 clinical trial for TNG462 in mid-2023. Additionally, we plan to file an IND for: (i) TNG260, our selective CoREST inhibitor, in the first half of 2023 and (ii) TNG348, our USP1 inhibitor, in mid-2023. However, we may not be able to file such INDs or INDs for future product candidates for our precision oncology or other programs on the timelines we expect. We have in the past, for example, extended the timeline for filing an IND for our USP1 inhibitor program as we continued to work on the development candidate in order to improve its pharmacologic properties.</w:t>
      </w:r>
    </w:p>
    <w:p>
      <w:pPr>
        <w:spacing w:after="0" w:line="79" w:lineRule="exact"/>
        <w:rPr>
          <w:sz w:val="20"/>
          <w:szCs w:val="20"/>
          <w:color w:val="auto"/>
        </w:rPr>
      </w:pPr>
    </w:p>
    <w:p>
      <w:pPr>
        <w:ind w:right="240" w:firstLine="576"/>
        <w:spacing w:after="0" w:line="258" w:lineRule="auto"/>
        <w:rPr>
          <w:sz w:val="20"/>
          <w:szCs w:val="20"/>
          <w:color w:val="auto"/>
        </w:rPr>
      </w:pPr>
      <w:r>
        <w:rPr>
          <w:rFonts w:ascii="Times New Roman" w:cs="Times New Roman" w:eastAsia="Times New Roman" w:hAnsi="Times New Roman"/>
          <w:sz w:val="18"/>
          <w:szCs w:val="18"/>
          <w:color w:val="auto"/>
        </w:rPr>
        <w:t>Further, we may experience manufacturing delays or other delays with IND-enabling studies. Moreover, we cannot be sure that submission of an IND will result in the FDA allowing clinical trials to begin, or that, once begun, issues will not arise that suspend or terminate clinical trials. These risks also apply to amendments we submit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51"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ind w:right="20"/>
        <w:spacing w:after="0" w:line="254" w:lineRule="auto"/>
        <w:rPr>
          <w:sz w:val="20"/>
          <w:szCs w:val="20"/>
          <w:color w:val="auto"/>
        </w:rPr>
      </w:pPr>
      <w:r>
        <w:rPr>
          <w:rFonts w:ascii="Times New Roman" w:cs="Times New Roman" w:eastAsia="Times New Roman" w:hAnsi="Times New Roman"/>
          <w:sz w:val="18"/>
          <w:szCs w:val="18"/>
          <w:color w:val="auto"/>
        </w:rPr>
        <w:t>during clinical trials in connection with the use of oncology therapies. Results of our trials could reveal a high and unacceptable severity and prevalence of side effects as a result of the use of our therapy (or due to other factors).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Product liability claims can be expensive to defend and result in significant damages and harm to our reputation. While we do have insurance to cover certain product liability claims, including in connection with certain injury during clinical trials, the coverage may not may not cover all injuries, be sufficient to cover all expenses related to any injury and we may be required to pay damages from our own resources and the amount of such damages may be significant.</w:t>
      </w:r>
    </w:p>
    <w:p>
      <w:pPr>
        <w:spacing w:after="0" w:line="124"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There can be no assurance that any of our current or future clinical trials will ultimately be successful or support further clinical development or regulatory approval of any of our product candidates.</w:t>
      </w:r>
    </w:p>
    <w:p>
      <w:pPr>
        <w:spacing w:after="0" w:line="108"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Certain of our product candidates will be used, and future product candidates may be used, in combination with one or more cancer therapies. The uncertainty resulting from the use of our product candidates in combination with other cancer therapies may make it difficult 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our clinical trial of our product candidate in combination with another therapy,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combination products from obtaining or maintaining regulatory approval, undesirable side effects may inhibit market acceptance of the approved products due to its tolerability versus other therapies. Any of these developments could materially harm our business, operating results, financial condition and prospects.</w:t>
      </w:r>
    </w:p>
    <w:p>
      <w:pPr>
        <w:spacing w:after="0" w:line="190"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67" w:lineRule="exact"/>
        <w:rPr>
          <w:sz w:val="20"/>
          <w:szCs w:val="20"/>
          <w:color w:val="auto"/>
        </w:rPr>
      </w:pPr>
    </w:p>
    <w:p>
      <w:pPr>
        <w:ind w:right="260" w:firstLine="576"/>
        <w:spacing w:after="0" w:line="261" w:lineRule="auto"/>
        <w:rPr>
          <w:sz w:val="20"/>
          <w:szCs w:val="20"/>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is compelling biological rationale. We explore new programs based on extensive preclinical data analysis which sometimes cannot predict efficacy or safety in humans.</w:t>
      </w:r>
    </w:p>
    <w:p>
      <w:pPr>
        <w:spacing w:after="0" w:line="112"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38"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ind w:right="300"/>
        <w:spacing w:after="0" w:line="258" w:lineRule="auto"/>
        <w:rPr>
          <w:sz w:val="20"/>
          <w:szCs w:val="20"/>
          <w:color w:val="auto"/>
        </w:rPr>
      </w:pPr>
      <w:r>
        <w:rPr>
          <w:rFonts w:ascii="Times New Roman" w:cs="Times New Roman" w:eastAsia="Times New Roman" w:hAnsi="Times New Roman"/>
          <w:sz w:val="18"/>
          <w:szCs w:val="18"/>
          <w:color w:val="auto"/>
        </w:rPr>
        <w:t>may make it more difficult to find, hire and retain personnel for research, development and manufacturing positions and to identify clinical trial investigators to use our product candidates in trials.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clinical trials for our product candidates outside the United States, and the FDA and comparable foreign regulatory authorities may not accept data from such trials.</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We currently conduct certain clinical trials outside the United States, and expect we will continue to do so in the future, and these jurisdictions may include countries in Europe, Australia or other foreign jurisdictions. For example, a separate clinical trial for TNG908 has commenced in France.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19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67" w:lineRule="exact"/>
        <w:rPr>
          <w:sz w:val="20"/>
          <w:szCs w:val="20"/>
          <w:color w:val="auto"/>
        </w:rPr>
      </w:pPr>
    </w:p>
    <w:p>
      <w:pPr>
        <w:ind w:right="40" w:firstLine="584"/>
        <w:spacing w:after="0" w:line="258" w:lineRule="auto"/>
        <w:rPr>
          <w:sz w:val="20"/>
          <w:szCs w:val="20"/>
          <w:color w:val="auto"/>
        </w:rPr>
      </w:pPr>
      <w:r>
        <w:rPr>
          <w:rFonts w:ascii="Times New Roman" w:cs="Times New Roman" w:eastAsia="Times New Roman" w:hAnsi="Times New Roman"/>
          <w:sz w:val="18"/>
          <w:szCs w:val="18"/>
          <w:color w:val="auto"/>
        </w:rPr>
        <w:t>The ongoing success of businesses in the biopharmaceutical industry depend, to a large extent, on the ability to continue to introduce new products, especially as exclusivity rights to given therapies or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screening technology and research programs may fail to yield results for clinical development for a number of reasons, including:</w:t>
      </w:r>
    </w:p>
    <w:p>
      <w:pPr>
        <w:spacing w:after="0" w:line="75" w:lineRule="exact"/>
        <w:rPr>
          <w:sz w:val="20"/>
          <w:szCs w:val="20"/>
          <w:color w:val="auto"/>
        </w:rPr>
      </w:pPr>
    </w:p>
    <w:p>
      <w:pPr>
        <w:ind w:right="200" w:firstLine="230"/>
        <w:spacing w:after="0" w:line="261" w:lineRule="auto"/>
        <w:rPr>
          <w:sz w:val="20"/>
          <w:szCs w:val="20"/>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 (or the development of a chemical compound or formulation that has the desired effect cannot be developed);</w:t>
      </w:r>
    </w:p>
    <w:p>
      <w:pPr>
        <w:ind w:right="120" w:firstLine="230"/>
        <w:spacing w:after="0" w:line="250" w:lineRule="auto"/>
        <w:rPr>
          <w:sz w:val="20"/>
          <w:szCs w:val="20"/>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products; or</w:t>
      </w:r>
    </w:p>
    <w:p>
      <w:pPr>
        <w:ind w:right="20" w:firstLine="230"/>
        <w:spacing w:after="0" w:line="255" w:lineRule="auto"/>
        <w:rPr>
          <w:sz w:val="20"/>
          <w:szCs w:val="20"/>
          <w:color w:val="auto"/>
        </w:rPr>
      </w:pPr>
      <w:r>
        <w:rPr>
          <w:rFonts w:ascii="Times New Roman" w:cs="Times New Roman" w:eastAsia="Times New Roman" w:hAnsi="Times New Roman"/>
          <w:sz w:val="18"/>
          <w:szCs w:val="18"/>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86"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0" w:lineRule="exact"/>
        <w:rPr>
          <w:sz w:val="20"/>
          <w:szCs w:val="20"/>
          <w:color w:val="auto"/>
        </w:rPr>
      </w:pPr>
    </w:p>
    <w:p>
      <w:pPr>
        <w:ind w:right="320" w:firstLine="576"/>
        <w:spacing w:after="0" w:line="261"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w:t>
      </w: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4" w:name="page55"/>
    <w:bookmarkEnd w:id="54"/>
    <w:p>
      <w:pPr>
        <w:jc w:val="both"/>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We received clearance of our IND applications for TNG908 and TNG462. We are actively enrolling patients in our Phase 1/2 clinical trial for TNG908 and we expect to initiate the Phase 1/2 clinical trial for TNG462 in mid-2023.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87" w:lineRule="exact"/>
        <w:rPr>
          <w:sz w:val="20"/>
          <w:szCs w:val="20"/>
          <w:color w:val="auto"/>
        </w:rPr>
      </w:pPr>
    </w:p>
    <w:p>
      <w:pPr>
        <w:ind w:right="40" w:firstLine="584"/>
        <w:spacing w:after="0" w:line="254"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7" w:lineRule="exact"/>
        <w:rPr>
          <w:sz w:val="20"/>
          <w:szCs w:val="20"/>
          <w:color w:val="auto"/>
        </w:rPr>
      </w:pPr>
    </w:p>
    <w:p>
      <w:pPr>
        <w:ind w:right="600" w:firstLine="230"/>
        <w:spacing w:after="0" w:line="250" w:lineRule="auto"/>
        <w:rPr>
          <w:sz w:val="20"/>
          <w:szCs w:val="20"/>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ind w:right="540" w:firstLine="230"/>
        <w:spacing w:after="0" w:line="250" w:lineRule="auto"/>
        <w:rPr>
          <w:sz w:val="20"/>
          <w:szCs w:val="20"/>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rPr>
          <w:sz w:val="20"/>
          <w:szCs w:val="20"/>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9" w:lineRule="exact"/>
        <w:rPr>
          <w:sz w:val="20"/>
          <w:szCs w:val="20"/>
          <w:color w:val="auto"/>
        </w:rPr>
      </w:pPr>
    </w:p>
    <w:p>
      <w:pPr>
        <w:ind w:right="300" w:firstLine="230"/>
        <w:spacing w:after="0" w:line="250" w:lineRule="auto"/>
        <w:rPr>
          <w:sz w:val="20"/>
          <w:szCs w:val="20"/>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ind w:right="300" w:firstLine="230"/>
        <w:spacing w:after="0" w:line="250" w:lineRule="auto"/>
        <w:rPr>
          <w:sz w:val="20"/>
          <w:szCs w:val="20"/>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ind w:right="360" w:firstLine="230"/>
        <w:spacing w:after="0" w:line="250" w:lineRule="auto"/>
        <w:rPr>
          <w:sz w:val="20"/>
          <w:szCs w:val="20"/>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such that our clinical data are insufficient for approval; and</w:t>
      </w:r>
    </w:p>
    <w:p>
      <w:pPr>
        <w:spacing w:after="0"/>
        <w:rPr>
          <w:sz w:val="20"/>
          <w:szCs w:val="20"/>
          <w:color w:val="auto"/>
        </w:rPr>
      </w:pPr>
      <w:r>
        <w:rPr>
          <w:rFonts w:ascii="Times New Roman" w:cs="Times New Roman" w:eastAsia="Times New Roman" w:hAnsi="Times New Roman"/>
          <w:sz w:val="18"/>
          <w:szCs w:val="18"/>
          <w:color w:val="auto"/>
        </w:rPr>
        <w:t>· due to the factors identified above in this and other risk factors;</w:t>
      </w:r>
    </w:p>
    <w:p>
      <w:pPr>
        <w:spacing w:after="0" w:line="207" w:lineRule="exact"/>
        <w:rPr>
          <w:sz w:val="20"/>
          <w:szCs w:val="20"/>
          <w:color w:val="auto"/>
        </w:rPr>
      </w:pPr>
    </w:p>
    <w:p>
      <w:pPr>
        <w:ind w:right="260" w:firstLine="576"/>
        <w:spacing w:after="0" w:line="258" w:lineRule="auto"/>
        <w:rPr>
          <w:sz w:val="20"/>
          <w:szCs w:val="20"/>
          <w:color w:val="auto"/>
        </w:rPr>
      </w:pPr>
      <w:r>
        <w:rPr>
          <w:rFonts w:ascii="Times New Roman" w:cs="Times New Roman" w:eastAsia="Times New Roman" w:hAnsi="Times New Roman"/>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3" w:lineRule="exact"/>
        <w:rPr>
          <w:sz w:val="20"/>
          <w:szCs w:val="20"/>
          <w:color w:val="auto"/>
        </w:rPr>
      </w:pPr>
    </w:p>
    <w:p>
      <w:pPr>
        <w:ind w:right="760" w:firstLine="576"/>
        <w:spacing w:after="0" w:line="261" w:lineRule="auto"/>
        <w:rPr>
          <w:sz w:val="20"/>
          <w:szCs w:val="20"/>
          <w:color w:val="auto"/>
        </w:rPr>
      </w:pPr>
      <w:r>
        <w:rPr>
          <w:rFonts w:ascii="Times New Roman" w:cs="Times New Roman" w:eastAsia="Times New Roman" w:hAnsi="Times New Roman"/>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p>
      <w:pPr>
        <w:spacing w:after="0" w:line="51" w:lineRule="exact"/>
        <w:rPr>
          <w:sz w:val="20"/>
          <w:szCs w:val="20"/>
          <w:color w:val="auto"/>
        </w:rPr>
      </w:pPr>
    </w:p>
    <w:p>
      <w:pPr>
        <w:ind w:right="100" w:firstLine="576"/>
        <w:spacing w:after="0" w:line="253"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Beginning in 2020 and continuing through the date of this filing, a novel strain of a virus named SARS-CoV-2 (severe acute respiratory syndrome coronavirus 2), or coronavirus, which causes COVID-19 has spread across the world. Despite progress with distribution and administration of vaccines, COVID-19 and its effects continue to evolve, and countries continue to respond with the implementation of various responses. The extent to which the coronavirus impacts our operations or those of our third-party partners, including our preclinical studies and clinical trial operations, will depend on future developments, which are highly uncertain and cannot be predicted with confidence and could adversely impact our preclinical or clinical trial operations in the United States and our future clinical trial sites in foreign jurisdictions, including our ability to recruit and retain patients and principal investigators and site staff who, as healthcare providers, may have heightened exposure to COVID-19 if an outbreak occurs in their geography. For example, similar to other biopharmaceutical companies, we may experience delays in initiating IND-enabling studies, protocol deviations, delays in enrolling our clinical trials, or dosing of patients in our clinical trials as well as in activating new trial sites. COVID-19 may also affect employees of third-party CROs located in affected geographies that we expect that we will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7" w:lineRule="exact"/>
        <w:rPr>
          <w:sz w:val="20"/>
          <w:szCs w:val="20"/>
          <w:color w:val="auto"/>
        </w:rPr>
      </w:pPr>
    </w:p>
    <w:p>
      <w:pPr>
        <w:ind w:right="160" w:firstLine="576"/>
        <w:spacing w:after="0" w:line="255" w:lineRule="auto"/>
        <w:rPr>
          <w:sz w:val="20"/>
          <w:szCs w:val="20"/>
          <w:color w:val="auto"/>
        </w:rPr>
      </w:pPr>
      <w:r>
        <w:rPr>
          <w:rFonts w:ascii="Times New Roman" w:cs="Times New Roman" w:eastAsia="Times New Roman" w:hAnsi="Times New Roman"/>
          <w:sz w:val="18"/>
          <w:szCs w:val="18"/>
          <w:color w:val="auto"/>
        </w:rPr>
        <w:t>Additionally, timely enrollment in planned clinical trials and the reporting of clinical trial results is dependent upon clinical trial sites which could be adversely affected by global health matters, such as pandemics. We are conducting, and plan to conduct, clinical trials for our product candidates in geographies which are currently affected by the COVID-19 pandemic, including our clinical trial for TNG908, a Phase 1/2 clinical trial in which we are actively enrolling patients in the United States and in France. The impact of the COVID-19 pandemic on the resources at clinical trial sites, among other factors, may impact the enrollment and progression (including dose escalation and dose expansion) of the Phase 1/2 trials for TNG908 and TNG462 and any future clinical trials we may conduct. Some factors from the COVID-19 pandemic that may delay or otherwise adversely affect enrollment in the clinical trials of our product candidates, including TNG908 and TNG462, as well as our business generally, include:</w:t>
      </w:r>
    </w:p>
    <w:p>
      <w:pPr>
        <w:spacing w:after="0" w:line="81" w:lineRule="exact"/>
        <w:rPr>
          <w:sz w:val="20"/>
          <w:szCs w:val="20"/>
          <w:color w:val="auto"/>
        </w:rPr>
      </w:pPr>
    </w:p>
    <w:p>
      <w:pPr>
        <w:ind w:firstLine="230"/>
        <w:spacing w:after="0" w:line="257" w:lineRule="auto"/>
        <w:rPr>
          <w:sz w:val="20"/>
          <w:szCs w:val="20"/>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 the potential negative effect on the operations of our third-party manufacturers;</w:t>
      </w:r>
    </w:p>
    <w:p>
      <w:pPr>
        <w:spacing w:after="0" w:line="1" w:lineRule="exact"/>
        <w:rPr>
          <w:sz w:val="20"/>
          <w:szCs w:val="20"/>
          <w:color w:val="auto"/>
        </w:rPr>
      </w:pPr>
    </w:p>
    <w:p>
      <w:pPr>
        <w:ind w:right="220" w:firstLine="230"/>
        <w:spacing w:after="0" w:line="250" w:lineRule="auto"/>
        <w:rPr>
          <w:sz w:val="20"/>
          <w:szCs w:val="20"/>
          <w:color w:val="auto"/>
        </w:rPr>
      </w:pPr>
      <w:r>
        <w:rPr>
          <w:rFonts w:ascii="Times New Roman" w:cs="Times New Roman" w:eastAsia="Times New Roman" w:hAnsi="Times New Roman"/>
          <w:sz w:val="18"/>
          <w:szCs w:val="18"/>
          <w:color w:val="auto"/>
        </w:rPr>
        <w:t>interruption in global shipping affecting the transport of clinical trial materials, such as patient samples, investigational drug product and conditioning drugs and other supplies used in our clinical trials;</w:t>
      </w:r>
    </w:p>
    <w:p>
      <w:pPr>
        <w:ind w:right="140" w:firstLine="185"/>
        <w:spacing w:after="0" w:line="250" w:lineRule="auto"/>
        <w:rPr>
          <w:sz w:val="20"/>
          <w:szCs w:val="20"/>
          <w:color w:val="auto"/>
        </w:rPr>
      </w:pPr>
      <w:r>
        <w:rPr>
          <w:rFonts w:ascii="Times New Roman" w:cs="Times New Roman" w:eastAsia="Times New Roman" w:hAnsi="Times New Roman"/>
          <w:sz w:val="18"/>
          <w:szCs w:val="18"/>
          <w:color w:val="auto"/>
        </w:rPr>
        <w:t>staffing shortages at clinical trial sites, both healthcare professionals (e.g. physicians, nurses) and support staff, caused by the COVID-19 pandemic and the challenges of finding replacements may adversely impact the timing and on-going performance of a clinical trial;</w:t>
      </w:r>
    </w:p>
    <w:p>
      <w:pPr>
        <w:ind w:right="180" w:firstLine="230"/>
        <w:spacing w:after="0" w:line="250" w:lineRule="auto"/>
        <w:rPr>
          <w:sz w:val="20"/>
          <w:szCs w:val="20"/>
          <w:color w:val="auto"/>
        </w:rPr>
      </w:pPr>
      <w:r>
        <w:rPr>
          <w:rFonts w:ascii="Times New Roman" w:cs="Times New Roman" w:eastAsia="Times New Roman" w:hAnsi="Times New Roman"/>
          <w:sz w:val="18"/>
          <w:szCs w:val="18"/>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rPr>
          <w:sz w:val="20"/>
          <w:szCs w:val="20"/>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207"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Our employees, including our lab personnel, are currently working at our office headquarters. We have, in the past,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100" w:firstLine="576"/>
        <w:spacing w:after="0" w:line="257" w:lineRule="auto"/>
        <w:rPr>
          <w:sz w:val="20"/>
          <w:szCs w:val="20"/>
          <w:color w:val="auto"/>
        </w:rPr>
      </w:pPr>
      <w:r>
        <w:rPr>
          <w:rFonts w:ascii="Times New Roman" w:cs="Times New Roman" w:eastAsia="Times New Roman" w:hAnsi="Times New Roman"/>
          <w:sz w:val="18"/>
          <w:szCs w:val="18"/>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ind w:right="40"/>
        <w:spacing w:after="0" w:line="261" w:lineRule="auto"/>
        <w:rPr>
          <w:sz w:val="20"/>
          <w:szCs w:val="20"/>
          <w:color w:val="auto"/>
        </w:rPr>
      </w:pPr>
      <w:r>
        <w:rPr>
          <w:rFonts w:ascii="Times New Roman" w:cs="Times New Roman" w:eastAsia="Times New Roman" w:hAnsi="Times New Roman"/>
          <w:sz w:val="18"/>
          <w:szCs w:val="18"/>
          <w:color w:val="auto"/>
        </w:rPr>
        <w:t>are many other companies focusing on precision oncology to develop therapies in the fields of cancer and other diseases. Specifically, with respect to TNG908 and TNG462 (each of which received FDA clearance of our respective IND applications), we are aware that Mirati Therapeutics, Inc. and Amgen each have a clinical MTA-cooperative PRMT5 inhibitor program that have commenced clinical trials, using the same mechanism of action as TNG908 and TNG462 (and there are other indirect competitors in the PRMT5 inhibition space as well).</w:t>
      </w:r>
    </w:p>
    <w:p>
      <w:pPr>
        <w:spacing w:after="0" w:line="180"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We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We face competition with respect to our current product candidates, and expect that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ind w:right="100" w:firstLine="576"/>
        <w:spacing w:after="0" w:line="255"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We believe principal competitive factors to our business include, among other things, our ability to identify biomarkers and third-party genetic screening services that include the applicable biomarkers in their test panels, ability to successfully transition research programs into clinical development, and the scalability of the platform, pipeline, and business. The key competitive factors affecting the success of all of our product candidates, if approved, are likely to be their efficacy, safety, convenience, price, level of generic competition and novel competition that utilize the same mechanism of action and availability of reimbursement from government and other third-party payors.</w:t>
      </w:r>
    </w:p>
    <w:p>
      <w:pPr>
        <w:spacing w:after="0" w:line="189"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barriers to entry do not remain in place, other companies may be able to more directly or effectively compete with us.</w:t>
      </w:r>
    </w:p>
    <w:p>
      <w:pPr>
        <w:spacing w:after="0" w:line="192" w:lineRule="exact"/>
        <w:rPr>
          <w:sz w:val="20"/>
          <w:szCs w:val="20"/>
          <w:color w:val="auto"/>
        </w:rPr>
      </w:pPr>
    </w:p>
    <w:p>
      <w:pPr>
        <w:ind w:right="160" w:firstLine="576"/>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The incidence and prevalence for target patient populations of our programs and product candidates have not been established with precision. TNG908 and TNG462, our first two product candidates to have INDs cleared by the FDA, are both oral small molecule inhibitors of PRMT5. We are developing TNG908 for the treatment of patients with solid tumors with MTAP deletion, a genetic alteration which occurs in 10% to 15% of all human tumors, including NSCLC, mesothelioma, cholangiocarcinoma, and GBM, as well as indications where there are limited treatment options with no standard of care, including MPNST. Our next-generation PRMT5 product candidate, TNG462, is being developed for the same patient population as TNG908 with the exception of GBM as TNG462 does not cross the blood-brain barrier in preclinical non-human primate models. Additionally, TNG260 is a first-in-class, CoREST inhibitor, which reverses the immune evasion effect of STK11 loss-of-function mutations. STK11 loss-of-function mutations are a genetic alteration in approximately 15% of NSCLC, 15% of cervical, 10% carcinoma of unknown primary, 5% of breast and 3% of pancreatic cancers. TNG348 is a USP1 inhibitor that is a strong synthetic lethal target for BRCA1/2 mutations, which are present in approximately 15% of ovarian, 10% of breast, 10% of prostate, 5% of endometrial and 5% of pancreatic cancers and additionally, BRCA wild-type HRD+ mutations which are present in approximately 40% of ovarian, 15% of breast, 3% 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right="300"/>
        <w:spacing w:after="0" w:line="282" w:lineRule="auto"/>
        <w:rPr>
          <w:sz w:val="20"/>
          <w:szCs w:val="20"/>
          <w:color w:val="auto"/>
        </w:rPr>
      </w:pPr>
      <w:r>
        <w:rPr>
          <w:rFonts w:ascii="Times New Roman" w:cs="Times New Roman" w:eastAsia="Times New Roman" w:hAnsi="Times New Roman"/>
          <w:sz w:val="18"/>
          <w:szCs w:val="18"/>
          <w:color w:val="auto"/>
        </w:rPr>
        <w:t>prostate and 2% of pancreatic cancers. Our projections of both the number of people who have these diseases, as well as the subset of people with these diseases who have the potential to benefit from treatment with our product candidates, are based on our estimates.</w:t>
      </w:r>
    </w:p>
    <w:p>
      <w:pPr>
        <w:spacing w:after="0" w:line="162"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will ultimately depend upon, among other things, the diagnosis criteria included in the final label (if approved for marketing),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potential future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24"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which will depend on a number of factors, we could be prevented from or significantly delayed in achieving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clinical trials.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ind w:right="420" w:firstLine="576"/>
        <w:spacing w:after="0" w:line="261"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Phase 1/2 clinical trials of TNG908 and TNG462, and for any other product candidates that emerge from our precision oncology programs. We may also rely on academic and private non-academic institutions to conduct and sponsor clinical trials relating to our product candidates.</w:t>
      </w:r>
    </w:p>
    <w:p>
      <w:pPr>
        <w:spacing w:after="0" w:line="72"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Since we will rely on third parties for execution of clinical trials for our product candidates, we will control only certain aspects of their activities that will be important for the conduct of the trial (and such control that we do exercise may be based on contractual provisions that may be breached by the third-party). For example, for the Phase 1/2 clinical trials of TNG908 and TNG462, we will rely on one CRO (and expect that we will rely on that same CRO in connection with our TNG260 clinical trial if the IND for such therapy is approved by the FDA) for the conduct of the trials and, depending on the trial, one or a very limited number of manufacturers to manufacture the study drug to be used during the course of the trials. We are responsible for ensuring that each of our clinical trials is conducted and the study drug is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8" w:name="page59"/>
    <w:bookmarkEnd w:id="58"/>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We, our principal investigators and our CROs are required to comply with regulations,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current or future clinical trials will comply with GCP. In addition, our clinical trials generally must be conducted with product candidates produced under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06" w:lineRule="exact"/>
        <w:rPr>
          <w:sz w:val="20"/>
          <w:szCs w:val="20"/>
          <w:color w:val="auto"/>
        </w:rPr>
      </w:pPr>
    </w:p>
    <w:p>
      <w:pPr>
        <w:ind w:firstLine="576"/>
        <w:spacing w:after="0" w:line="273" w:lineRule="auto"/>
        <w:rPr>
          <w:sz w:val="20"/>
          <w:szCs w:val="20"/>
          <w:color w:val="auto"/>
        </w:rPr>
      </w:pPr>
      <w:r>
        <w:rPr>
          <w:rFonts w:ascii="Times New Roman" w:cs="Times New Roman" w:eastAsia="Times New Roman" w:hAnsi="Times New Roman"/>
          <w:sz w:val="17"/>
          <w:szCs w:val="17"/>
          <w:color w:val="auto"/>
        </w:rPr>
        <w:t>Although we have designed our Phase 1/2 clinical trials of TNG908 and TNG462 and intend to design the future clinical trials for our product candidates, the operational details of these trials will be executed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71"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color w:val="auto"/>
        </w:rPr>
        <w:t>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83"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principal investigators or CROs terminate, we may not be able to enter into arrangements with alternative investigators (or clinical trial sites) and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18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we may seek to establish additional collaborations in the future, and we might not realize the anticipated benefits of such collaborations. If we are not able to establish additional collaborations on commercially reasonable terms, or at all, we may have to alter our development and commercialization plans.</w:t>
      </w:r>
    </w:p>
    <w:p>
      <w:pPr>
        <w:spacing w:after="0" w:line="67" w:lineRule="exact"/>
        <w:rPr>
          <w:sz w:val="20"/>
          <w:szCs w:val="20"/>
          <w:color w:val="auto"/>
        </w:rPr>
      </w:pPr>
    </w:p>
    <w:p>
      <w:pPr>
        <w:ind w:right="140" w:firstLine="584"/>
        <w:spacing w:after="0" w:line="266" w:lineRule="auto"/>
        <w:rPr>
          <w:sz w:val="20"/>
          <w:szCs w:val="20"/>
          <w:color w:val="auto"/>
        </w:rPr>
      </w:pPr>
      <w:r>
        <w:rPr>
          <w:rFonts w:ascii="Times New Roman" w:cs="Times New Roman" w:eastAsia="Times New Roman" w:hAnsi="Times New Roman"/>
          <w:sz w:val="18"/>
          <w:szCs w:val="18"/>
          <w:color w:val="auto"/>
        </w:rPr>
        <w:t>Our product development programs and the potential commercialization of our product candidates will require substantial additional cash to fund expenses. For some of our product candidates, we may decide to collaborate with other pharmaceutical and biotechnology companies, like our existing collaboration with Gilead, for the development and potential commercialization of those product candidates.</w:t>
      </w:r>
    </w:p>
    <w:p>
      <w:pPr>
        <w:spacing w:after="0" w:line="68" w:lineRule="exact"/>
        <w:rPr>
          <w:sz w:val="20"/>
          <w:szCs w:val="20"/>
          <w:color w:val="auto"/>
        </w:rPr>
      </w:pPr>
    </w:p>
    <w:p>
      <w:pPr>
        <w:ind w:right="160" w:firstLine="584"/>
        <w:spacing w:after="0" w:line="258"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59" w:name="page60"/>
    <w:bookmarkEnd w:id="59"/>
    <w:p>
      <w:pPr>
        <w:spacing w:after="0" w:line="261" w:lineRule="auto"/>
        <w:rPr>
          <w:sz w:val="20"/>
          <w:szCs w:val="20"/>
          <w:color w:val="auto"/>
        </w:rPr>
      </w:pPr>
      <w:r>
        <w:rPr>
          <w:rFonts w:ascii="Times New Roman" w:cs="Times New Roman" w:eastAsia="Times New Roman" w:hAnsi="Times New Roman"/>
          <w:sz w:val="18"/>
          <w:szCs w:val="18"/>
          <w:color w:val="auto"/>
        </w:rPr>
        <w:t>competing products, the existence of uncertainty with respect to our ownership of technology, which can exist if there is a challenge to such ownership without regard to the merits of the challenge, as well as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72" w:lineRule="exact"/>
        <w:rPr>
          <w:sz w:val="20"/>
          <w:szCs w:val="20"/>
          <w:color w:val="auto"/>
        </w:rPr>
      </w:pPr>
    </w:p>
    <w:p>
      <w:pPr>
        <w:ind w:right="500" w:firstLine="584"/>
        <w:spacing w:after="0" w:line="266" w:lineRule="auto"/>
        <w:rPr>
          <w:sz w:val="20"/>
          <w:szCs w:val="20"/>
          <w:color w:val="auto"/>
        </w:rPr>
      </w:pPr>
      <w:r>
        <w:rPr>
          <w:rFonts w:ascii="Times New Roman" w:cs="Times New Roman" w:eastAsia="Times New Roman" w:hAnsi="Times New Roman"/>
          <w:sz w:val="18"/>
          <w:szCs w:val="18"/>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68"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81" w:lineRule="exact"/>
        <w:rPr>
          <w:sz w:val="20"/>
          <w:szCs w:val="20"/>
          <w:color w:val="auto"/>
        </w:rPr>
      </w:pPr>
    </w:p>
    <w:p>
      <w:pPr>
        <w:jc w:val="both"/>
        <w:ind w:right="120" w:firstLine="584"/>
        <w:spacing w:after="0" w:line="261"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Research, development, commercialization and/or strategic collaborations, including the existing collaboration that we have with Gilead, are subject to numerous risks that may impact the success of a collaboration, which include the following:</w:t>
      </w:r>
    </w:p>
    <w:p>
      <w:pPr>
        <w:spacing w:after="0" w:line="72" w:lineRule="exact"/>
        <w:rPr>
          <w:sz w:val="20"/>
          <w:szCs w:val="20"/>
          <w:color w:val="auto"/>
        </w:rPr>
      </w:pPr>
    </w:p>
    <w:p>
      <w:pPr>
        <w:ind w:right="260" w:firstLine="230"/>
        <w:spacing w:after="0" w:line="261" w:lineRule="auto"/>
        <w:rPr>
          <w:sz w:val="20"/>
          <w:szCs w:val="20"/>
          <w:color w:val="auto"/>
        </w:rPr>
      </w:pPr>
      <w:r>
        <w:rPr>
          <w:rFonts w:ascii="Times New Roman" w:cs="Times New Roman" w:eastAsia="Times New Roman" w:hAnsi="Times New Roman"/>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ind w:firstLine="230"/>
        <w:spacing w:after="0" w:line="250" w:lineRule="auto"/>
        <w:rPr>
          <w:sz w:val="20"/>
          <w:szCs w:val="20"/>
          <w:color w:val="auto"/>
        </w:rPr>
      </w:pPr>
      <w:r>
        <w:rPr>
          <w:rFonts w:ascii="Times New Roman" w:cs="Times New Roman" w:eastAsia="Times New Roman" w:hAnsi="Times New Roman"/>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ind w:right="280" w:firstLine="230"/>
        <w:spacing w:after="0" w:line="250" w:lineRule="auto"/>
        <w:rPr>
          <w:sz w:val="20"/>
          <w:szCs w:val="20"/>
          <w:color w:val="auto"/>
        </w:rPr>
      </w:pPr>
      <w:r>
        <w:rPr>
          <w:rFonts w:ascii="Times New Roman" w:cs="Times New Roman" w:eastAsia="Times New Roman" w:hAnsi="Times New Roman"/>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1" w:lineRule="exact"/>
        <w:rPr>
          <w:sz w:val="20"/>
          <w:szCs w:val="20"/>
          <w:color w:val="auto"/>
        </w:rPr>
      </w:pPr>
    </w:p>
    <w:p>
      <w:pPr>
        <w:ind w:right="160" w:firstLine="230"/>
        <w:spacing w:after="0" w:line="250" w:lineRule="auto"/>
        <w:rPr>
          <w:sz w:val="20"/>
          <w:szCs w:val="20"/>
          <w:color w:val="auto"/>
        </w:rPr>
      </w:pPr>
      <w:r>
        <w:rPr>
          <w:rFonts w:ascii="Times New Roman" w:cs="Times New Roman" w:eastAsia="Times New Roman" w:hAnsi="Times New Roman"/>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ind w:right="160" w:firstLine="230"/>
        <w:spacing w:after="0" w:line="250" w:lineRule="auto"/>
        <w:rPr>
          <w:sz w:val="20"/>
          <w:szCs w:val="20"/>
          <w:color w:val="auto"/>
        </w:rPr>
      </w:pPr>
      <w:r>
        <w:rPr>
          <w:rFonts w:ascii="Times New Roman" w:cs="Times New Roman" w:eastAsia="Times New Roman" w:hAnsi="Times New Roman"/>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rPr>
          <w:sz w:val="20"/>
          <w:szCs w:val="20"/>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9" w:lineRule="exact"/>
        <w:rPr>
          <w:sz w:val="20"/>
          <w:szCs w:val="20"/>
          <w:color w:val="auto"/>
        </w:rPr>
      </w:pPr>
    </w:p>
    <w:p>
      <w:pPr>
        <w:ind w:right="720" w:firstLine="8"/>
        <w:spacing w:after="0" w:line="250" w:lineRule="auto"/>
        <w:tabs>
          <w:tab w:leader="none" w:pos="1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might arise regarding the ownership of inventions and know-how resulting from the joint creation or use of intellectual property by our collaborators and us and our partners or with those we engage in connection with sponsored research;</w:t>
      </w:r>
    </w:p>
    <w:p>
      <w:pPr>
        <w:ind w:right="260" w:firstLine="2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properly maintain or defend our intellectual property rights or might use our intellectual property improperly or in a way that jeopardizes our intellectual property or the potential commercial benefit of our product candidates or exposes us to potential liability;</w:t>
      </w:r>
    </w:p>
    <w:p>
      <w:pPr>
        <w:ind w:right="140" w:firstLine="2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jc w:val="both"/>
        <w:ind w:right="200" w:firstLine="23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might not be in compliance with laws applicable to their activities under the collaboration, which could impact the collaboration and us; disputes might arise between a collaborator and us that could cause a delay or termination of the collaboration or result in costly litigation that diverts management attention and resources; and</w:t>
      </w:r>
    </w:p>
    <w:p>
      <w:pPr>
        <w:spacing w:after="0" w:line="1" w:lineRule="exact"/>
        <w:rPr>
          <w:rFonts w:ascii="Times New Roman" w:cs="Times New Roman" w:eastAsia="Times New Roman" w:hAnsi="Times New Roman"/>
          <w:sz w:val="18"/>
          <w:szCs w:val="18"/>
          <w:color w:val="auto"/>
        </w:rPr>
      </w:pPr>
    </w:p>
    <w:p>
      <w:pPr>
        <w:ind w:right="20" w:firstLine="23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might be terminated, which could result in a need for additional capital to pursue further research, development and/or commercialization of our product candidates.</w:t>
      </w:r>
    </w:p>
    <w:p>
      <w:pPr>
        <w:spacing w:after="0" w:line="114" w:lineRule="exact"/>
        <w:rPr>
          <w:sz w:val="20"/>
          <w:szCs w:val="20"/>
          <w:color w:val="auto"/>
        </w:rPr>
      </w:pPr>
    </w:p>
    <w:p>
      <w:pPr>
        <w:ind w:right="180" w:firstLine="576"/>
        <w:spacing w:after="0" w:line="257" w:lineRule="auto"/>
        <w:rPr>
          <w:sz w:val="20"/>
          <w:szCs w:val="20"/>
          <w:color w:val="auto"/>
        </w:rPr>
      </w:pPr>
      <w:r>
        <w:rPr>
          <w:rFonts w:ascii="Times New Roman" w:cs="Times New Roman" w:eastAsia="Times New Roman" w:hAnsi="Times New Roman"/>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our collaboration, we might need additional funding to advance product candidates prior to the completion of the clinical milestones of the collaboration agreement with Gilead.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0" w:name="page61"/>
    <w:bookmarkEnd w:id="60"/>
    <w:p>
      <w:pPr>
        <w:ind w:right="160" w:firstLine="576"/>
        <w:spacing w:after="0" w:line="256" w:lineRule="auto"/>
        <w:rPr>
          <w:sz w:val="20"/>
          <w:szCs w:val="20"/>
          <w:color w:val="auto"/>
        </w:rPr>
      </w:pPr>
      <w:r>
        <w:rPr>
          <w:rFonts w:ascii="Times New Roman" w:cs="Times New Roman" w:eastAsia="Times New Roman" w:hAnsi="Times New Roman"/>
          <w:sz w:val="18"/>
          <w:szCs w:val="18"/>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87"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Additionally, disagreements between parties to a collaboration arrangement regarding clinical development and commercialization matters can lead to delays in the development process or commercializing of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83" w:lineRule="exact"/>
        <w:rPr>
          <w:sz w:val="20"/>
          <w:szCs w:val="20"/>
          <w:color w:val="auto"/>
        </w:rPr>
      </w:pPr>
    </w:p>
    <w:p>
      <w:pPr>
        <w:ind w:right="200" w:firstLine="576"/>
        <w:spacing w:after="0" w:line="282" w:lineRule="auto"/>
        <w:rPr>
          <w:sz w:val="20"/>
          <w:szCs w:val="20"/>
          <w:color w:val="auto"/>
        </w:rPr>
      </w:pPr>
      <w:r>
        <w:rPr>
          <w:rFonts w:ascii="Times New Roman" w:cs="Times New Roman" w:eastAsia="Times New Roman" w:hAnsi="Times New Roman"/>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5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67"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to manufacture our preclinical and clinical products and we exercise limited direct control over this manufacturer (and it would be time consuming and expensive to move production to a new manufacturer, if we were able to do so at all). This reliance on third parties increases the risk that we will not have sufficient quantities of our product candidates or products, if approved, or such quantities at an acceptable cost or quality, which could delay, prevent or impair our development or commercialization efforts. For example, we rely on a limited number of CDMOs to perform certain chemistry-related work on our preclinical product candidates. One such CDMO is located in Ukraine, which was invaded by Russia in February 2022 and, as a result, their work on our behalf of was interrupted. Another CDMO, with operations in Shanghai, was impacted when lock-down procedures were recently implemented due to COVID-19 and was unable to operate at full capacity. Events such as those in Ukraine and China may delay development of our future product candidates, which have been temporary and limited to date, but such delays may materially impact the timing for moving products into development candidate stage and IND-enabling studies, as well as initiating trials, in the future.</w:t>
      </w:r>
    </w:p>
    <w:p>
      <w:pPr>
        <w:spacing w:after="0" w:line="190"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88"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If any CDMO with whom we contract fails to perform its obligations, we may be forced to enter into an agreement with a different CDMO, which we may not be able to do on reasonable terms, if at all, and such new agreement may result in significantly greater costs to us. In such scenario, our clinical trials supply could be delayed significantly as we establish alternative supply sources. In some cases, the technical skills required to manufacture our products or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1" w:name="page62"/>
    <w:bookmarkEnd w:id="61"/>
    <w:p>
      <w:pPr>
        <w:ind w:right="100"/>
        <w:spacing w:after="0" w:line="254" w:lineRule="auto"/>
        <w:rPr>
          <w:sz w:val="20"/>
          <w:szCs w:val="20"/>
          <w:color w:val="auto"/>
        </w:rPr>
      </w:pPr>
      <w:r>
        <w:rPr>
          <w:rFonts w:ascii="Times New Roman" w:cs="Times New Roman" w:eastAsia="Times New Roman" w:hAnsi="Times New Roman"/>
          <w:sz w:val="18"/>
          <w:szCs w:val="18"/>
          <w:color w:val="auto"/>
        </w:rPr>
        <w:t>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Furthermore, a CDMO may possess technology related to the manufacture of our product candidate that such CDMO owns independently. This would increase our reliance on such CDMO or require us to obtain a license from such CDMO in order to have another CDMO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88"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0"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51"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 active pharmaceutical ingredients, or API, and drug product we expect to use in all of our product candidates are supplied to us from single-source suppliers, in some cases the same manufacturer produces the API and drug product. Our ability to successfully develop our product candidates, and to ultimately supply our commercial products in quantities sufficient to meet the market demand (and to meet requirements in connection with our planned clinical trials), depends in part on our ability to obtain the API and drug product for these products in accordance with regulatory requirements and in sufficient quantities for clinical testing and commercialization. We are also unable to predict how changing global economic conditions or global health concerns such as the ongoing COVID-19 pandemic, as well as potential supply chain disruptions or cost increases related thereto, will affect our third-party suppliers and manufacturers. Any negative impact of such matters on our third-party suppliers and manufacturers may also have an adverse impact on our results of operations or financial condition.</w:t>
      </w:r>
    </w:p>
    <w:p>
      <w:pPr>
        <w:spacing w:after="0" w:line="192" w:lineRule="exact"/>
        <w:rPr>
          <w:sz w:val="20"/>
          <w:szCs w:val="20"/>
          <w:color w:val="auto"/>
        </w:rPr>
      </w:pPr>
    </w:p>
    <w:p>
      <w:pPr>
        <w:ind w:right="320" w:firstLine="576"/>
        <w:spacing w:after="0" w:line="256" w:lineRule="auto"/>
        <w:rPr>
          <w:sz w:val="20"/>
          <w:szCs w:val="20"/>
          <w:color w:val="auto"/>
        </w:rPr>
      </w:pPr>
      <w:r>
        <w:rPr>
          <w:rFonts w:ascii="Times New Roman" w:cs="Times New Roman" w:eastAsia="Times New Roman" w:hAnsi="Times New Roman"/>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7"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and drug product used in our product candidates,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2" w:name="page63"/>
    <w:bookmarkEnd w:id="62"/>
    <w:p>
      <w:pPr>
        <w:ind w:right="360" w:firstLine="576"/>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and regulatory protections for our products candidates, to preserve our trade secrets and other proprietary rights and to prevent third parties from infringing on our rights and our proprietary technology.</w:t>
      </w:r>
    </w:p>
    <w:p>
      <w:pPr>
        <w:spacing w:after="0" w:line="162"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We have procured patent rights, through both ownership and license, that cover our product candidates, and expect apply for additional patent protections in the future. However, our patent applications may not result in the issuance of patents in the U.S. or other countries. In addition, a patent may be issued in one country, but a counterpart patent may not be issued in another country, which is not uncommon in the biopharmaceutical industry.</w:t>
      </w:r>
    </w:p>
    <w:p>
      <w:pPr>
        <w:spacing w:after="0" w:line="176"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Even if a patent is issued, that is not conclusive as to its inventorship, scope, validity or enforceability and therefore that patent may not afford adequate (or any) protection for our product candidates or future approved products. On the basis of such inconclusiveness, third parties may challenge our patents. Furthermore, patents have a limited lifespan. In the United States and most other jurisdictions in which we have undertaken patent filings, the natural expiration of a patent is generally twenty years after it is filed, assuming all maintenance fees are paid.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Nor can we be certain that we will obtain any patent term extension as permitted under the “Hatch-Waxman Amendments” which permit a patent restoration term of up to five years as compensation for patent term lost during product development and the FDA regulatory review process.</w:t>
      </w:r>
    </w:p>
    <w:p>
      <w:pPr>
        <w:spacing w:after="0" w:line="188" w:lineRule="exact"/>
        <w:rPr>
          <w:sz w:val="20"/>
          <w:szCs w:val="20"/>
          <w:color w:val="auto"/>
        </w:rPr>
      </w:pPr>
    </w:p>
    <w:p>
      <w:pPr>
        <w:ind w:right="180" w:firstLine="576"/>
        <w:spacing w:after="0" w:line="261" w:lineRule="auto"/>
        <w:rPr>
          <w:sz w:val="20"/>
          <w:szCs w:val="20"/>
          <w:color w:val="auto"/>
        </w:rPr>
      </w:pPr>
      <w:r>
        <w:rPr>
          <w:rFonts w:ascii="Times New Roman" w:cs="Times New Roman" w:eastAsia="Times New Roman" w:hAnsi="Times New Roman"/>
          <w:sz w:val="18"/>
          <w:szCs w:val="18"/>
          <w:color w:val="auto"/>
        </w:rPr>
        <w:t>If any of our patents are narrowed, invalidated, revoked or become unenforceable, competitors may develop and market products similar or identical to ours that do not conflict with or infringe our patents rights, which could have a material adverse effect on our financial condition. Even if we obtain and maintain patents, our business may be significantly harmed if the patents are not broad enough to protect our products from copycat or similar products.</w:t>
      </w:r>
    </w:p>
    <w:p>
      <w:pPr>
        <w:spacing w:after="0" w:line="180"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In addition, if there are challenges to our intellectual property by third parties, we may in the future enter into agreements with those parties that provide certain intellectual property rights to our future marketed products or products in our pipeline. If we do enter into such agreements, we may not be the exclusive provider of a therapy and, as a result, we expect that any potential revenue from the sales of such therapies would be materially and negatively impacted.</w:t>
      </w:r>
    </w:p>
    <w:p>
      <w:pPr>
        <w:spacing w:after="0" w:line="180"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right="340" w:firstLine="576"/>
        <w:spacing w:after="0" w:line="258" w:lineRule="auto"/>
        <w:rPr>
          <w:sz w:val="20"/>
          <w:szCs w:val="20"/>
          <w:color w:val="auto"/>
        </w:rPr>
      </w:pPr>
      <w:r>
        <w:rPr>
          <w:rFonts w:ascii="Times New Roman" w:cs="Times New Roman" w:eastAsia="Times New Roman" w:hAnsi="Times New Roman"/>
          <w:sz w:val="18"/>
          <w:szCs w:val="18"/>
          <w:color w:val="auto"/>
        </w:rPr>
        <w:t>We have, and expect that we will continue, to finance or collaborate in research and development projects conducted by third parties, including government organizations, hospitals, universities or other educational or research institutions, or other for-profit companies. Such third parties may be unwilling to grant us certain rights to technology or products developed through such projects. Disputes may also arise as to the rights to technology or products developed in collaboration with such third parties and we may not be able to secure the proprietary rights to any technology generated in such collaboration.</w:t>
      </w:r>
    </w:p>
    <w:p>
      <w:pPr>
        <w:spacing w:after="0" w:line="183" w:lineRule="exact"/>
        <w:rPr>
          <w:sz w:val="20"/>
          <w:szCs w:val="20"/>
          <w:color w:val="auto"/>
        </w:rPr>
      </w:pPr>
    </w:p>
    <w:p>
      <w:pPr>
        <w:ind w:right="20" w:firstLine="576"/>
        <w:spacing w:after="0" w:line="252" w:lineRule="auto"/>
        <w:rPr>
          <w:sz w:val="20"/>
          <w:szCs w:val="20"/>
          <w:color w:val="auto"/>
        </w:rPr>
      </w:pPr>
      <w:r>
        <w:rPr>
          <w:rFonts w:ascii="Times New Roman" w:cs="Times New Roman" w:eastAsia="Times New Roman" w:hAnsi="Times New Roman"/>
          <w:sz w:val="18"/>
          <w:szCs w:val="18"/>
          <w:color w:val="auto"/>
        </w:rPr>
        <w:t>Significant legal questions exist concerning the extent and scope of patent protection for biopharmaceutical products and processes in the U.S. and elsewhere. Accordingly, there is no certainty that patent applications owned or licensed by us will issue as patents, or that our issued patents will afford meaningful protection against competitors. Once issued, patents are subject to challenge through both administrative and judicial proceedings in the U.S. and other countries. Such proceedings include re-examinations, inter partes reviews, post-grant reviews and interference proceedings before the U.S. Patent and Trademark Office, as well as opposition proceedings before the European Patent Office and other non-U.S. patent offices. Certain countries have laws that provide stronger bases for challenging third party patent rights than are available to challenge patents in other countries. Therefore, we may be able to defend our patents against a third-party claim in one country but counterpart patents may be invalidated in other countries and we may be able to invalidate a third-party patent in one country but not invalidate its counterpart patents in other countries. Further,, in jurisdictions outside the United States,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Litigation may be required to enforce, defend or obtain our patent and other intellectual property rights. Any administrative proceeding or litigation could require a</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3" w:name="page64"/>
    <w:bookmarkEnd w:id="63"/>
    <w:p>
      <w:pPr>
        <w:ind w:right="120"/>
        <w:spacing w:after="0" w:line="282" w:lineRule="auto"/>
        <w:rPr>
          <w:sz w:val="20"/>
          <w:szCs w:val="20"/>
          <w:color w:val="auto"/>
        </w:rPr>
      </w:pPr>
      <w:r>
        <w:rPr>
          <w:rFonts w:ascii="Times New Roman" w:cs="Times New Roman" w:eastAsia="Times New Roman" w:hAnsi="Times New Roman"/>
          <w:sz w:val="18"/>
          <w:szCs w:val="18"/>
          <w:color w:val="auto"/>
        </w:rPr>
        <w:t>significant commitment of our resources and, depending on outcome, could adversely affect the scope, validity or enforceability of certain of our patent or other proprietary rights.</w:t>
      </w:r>
    </w:p>
    <w:p>
      <w:pPr>
        <w:spacing w:after="0" w:line="162"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2"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Some of the sensitive technology, techniques and proprietary compounds used in our business are protected as trade secrets. Among other things, we enter into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(or for which we determine we will not seek patent protection).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 (or that the terms of such agreements are enforceable). In our business, we rely on collaboration with, or discuss the potential for collaboration with, suppliers, outside scientists and other biopharmaceutical companies. Collaboration and discussion of potential collaboration or inadvertent disclosure of a trade secret present a strong risk of exposing our trade secrets. If our trade secrets were exposed, we may lose the protection and potential exclusive rights afforded by trade secret law, and such exposure may likely help our competitors and allow them to access technology without restriction and adversely affect our business prospects.</w:t>
      </w:r>
    </w:p>
    <w:p>
      <w:pPr>
        <w:spacing w:after="0" w:line="203"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Due to expense of patent filings, we also may not file in every jurisdiction in which patents may be issued (and, therefore, we may not be able to assert patents rights in every country in the future).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88" w:lineRule="exact"/>
        <w:rPr>
          <w:sz w:val="20"/>
          <w:szCs w:val="20"/>
          <w:color w:val="auto"/>
        </w:rPr>
      </w:pPr>
    </w:p>
    <w:p>
      <w:pPr>
        <w:ind w:right="100" w:firstLine="576"/>
        <w:spacing w:after="0" w:line="266" w:lineRule="auto"/>
        <w:rPr>
          <w:sz w:val="20"/>
          <w:szCs w:val="20"/>
          <w:color w:val="auto"/>
        </w:rPr>
      </w:pPr>
      <w:r>
        <w:rPr>
          <w:rFonts w:ascii="Times New Roman" w:cs="Times New Roman" w:eastAsia="Times New Roman" w:hAnsi="Times New Roman"/>
          <w:sz w:val="18"/>
          <w:szCs w:val="18"/>
          <w:color w:val="auto"/>
        </w:rPr>
        <w:t>Similarly, trademarks and trade names we utilize in our business may be challenged, infringed, diluted or declared generic or determined to be infringing on other marks. These marks can be important for name recognition in markets. If we are unable to secure and protect our trademarks and trade names, our business could be harmed.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6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Parts of our technology, techniques, proprietary compounds and potential product candidates, including those which are or may be in-licensed or developed in collaboration with third parties, may be found to infringe patents owned by or granted to others. We may in the future receive notices claiming our products (if approved) and product candidates infringe third party patents (and notices offering the right to license certain technology to us) and third parties may in the future file civil lawsuits against us claiming infringement of their intellectual property rights.</w:t>
      </w:r>
    </w:p>
    <w:p>
      <w:pPr>
        <w:spacing w:after="0" w:line="180" w:lineRule="exact"/>
        <w:rPr>
          <w:sz w:val="20"/>
          <w:szCs w:val="20"/>
          <w:color w:val="auto"/>
        </w:rPr>
      </w:pPr>
    </w:p>
    <w:p>
      <w:pPr>
        <w:ind w:right="340" w:firstLine="576"/>
        <w:spacing w:after="0" w:line="257" w:lineRule="auto"/>
        <w:rPr>
          <w:sz w:val="20"/>
          <w:szCs w:val="20"/>
          <w:color w:val="auto"/>
        </w:rPr>
      </w:pPr>
      <w:r>
        <w:rPr>
          <w:rFonts w:ascii="Times New Roman" w:cs="Times New Roman" w:eastAsia="Times New Roman" w:hAnsi="Times New Roman"/>
          <w:sz w:val="18"/>
          <w:szCs w:val="18"/>
          <w:color w:val="auto"/>
        </w:rPr>
        <w:t>Third parties may claim that the manufacture, use or sale of our products or product candidates infringes patents owned or granted to such third parties. We may become aware of patents owned by third parties that might be claimed by such third parties to be infringed by the development and commercialization of our products (if approved) or our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ind w:right="320"/>
        <w:spacing w:after="0" w:line="282" w:lineRule="auto"/>
        <w:rPr>
          <w:sz w:val="20"/>
          <w:szCs w:val="20"/>
          <w:color w:val="auto"/>
        </w:rPr>
      </w:pPr>
      <w:r>
        <w:rPr>
          <w:rFonts w:ascii="Times New Roman" w:cs="Times New Roman" w:eastAsia="Times New Roman" w:hAnsi="Times New Roman"/>
          <w:sz w:val="18"/>
          <w:szCs w:val="18"/>
          <w:color w:val="auto"/>
        </w:rPr>
        <w:t>investigational compounds. In such cases we may take certain actions with respect to some of these, for example we may try to invalidate the patents or obtain licenses to a technology or invention.</w:t>
      </w:r>
    </w:p>
    <w:p>
      <w:pPr>
        <w:spacing w:after="0" w:line="162"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Any holder of patents covering similar technology to our technology could sue us for damages, which may be material in amount, and seek to prevent us from manufacturing, selling or developing our products (and we may be, in certain cases, prevented from initiating product launches in certain jurisdictions or required to withdraw the product from the market after it has been launched). Intellectual property disputes, can be costly and time consuming to defend and there is no guarantee that we would prevail in such lawsuit. If we cannot successfully defend against any infringement claims, we may seek to invalidate the patent or seek a license to the technology prior to or during legal actions in order to reduce the risks in connection with the product launches (or at a later time after product introduction) and to reduce further costs and the risk of a court determination that our technology, techniques, proprietary compounds or potential product candidates infringe the third party’s patents. A required license may be costly or may not be available on acceptable terms, if at all. A costly license, or inability to obtain a necessary license, could have a material adverse effect on our business.</w:t>
      </w:r>
    </w:p>
    <w:p>
      <w:pPr>
        <w:spacing w:after="0" w:line="192"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In some instances, we believe we may prevail in a patent infringement action. There can, however, be no assurance that the court will agree with our position or that it will decide any infringement case in our favor. Nor can we be certain that, if we do not prevail in litigation, that we may be able to obtain a license to any third-party patent on commercially reasonable terms (or at all); successfully develop non-infringing alternatives on a timely basis (or at all); or license alternative non-infringing technology, if any exists, on commercially reasonable terms (or at all). Any impediment to our ability to manufacture, use or sell approved forms of our future products (if approved by regulatory authorities) or our product candidates could have a material adverse effect on our business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possible that we could lose market exclusivity for a product earlier than expected, which may harm our competitive position.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our industry, much of an innovative product’s commercial value is realized while it has market exclusivity.</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Market exclusivity for our future products (if approved for sale by regulatory authorities) will likely depend in large part on patent rights and certain regulatory forms of protection. As noted above, patent protection can be uncertain as to the validity, scope and enforceability of many issued patents. Absent relevant patent protection for a product, once regulatory exclusivity periods expire, generic versions of the product can be approved and marketed.</w:t>
      </w:r>
    </w:p>
    <w:p>
      <w:pPr>
        <w:spacing w:after="0" w:line="186" w:lineRule="exact"/>
        <w:rPr>
          <w:sz w:val="20"/>
          <w:szCs w:val="20"/>
          <w:color w:val="auto"/>
        </w:rPr>
      </w:pPr>
    </w:p>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The market exclusivity of our products may be impacted by competitive products that are either innovative or generic copies. In our industry, the risk of generic challenges has been increasing. U.S. law includes an approval pathway for generic versions of innovative small molecule products. Under the pathway, the FDA may approve products that are generic copies of innovative small molecule therapies on the basis of less extensive data than is required for a full new drug application. The law provides a mechanism to challenge the patents that protect an innovator’s products. Such litigation may begin as early as four years after the innovative small product is first approved by the FDA. Pathways for generic products also exist in many other markets, including Europe and Japan. Competition, including from generics approved for marketing, would likely result in a decrease in volume of sales of our products, as well as a decrease in prices and lower margins for our products (if approved for marketing by regulatory authorities).</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51" w:lineRule="exact"/>
        <w:rPr>
          <w:sz w:val="20"/>
          <w:szCs w:val="20"/>
          <w:color w:val="auto"/>
        </w:rPr>
      </w:pPr>
    </w:p>
    <w:p>
      <w:pPr>
        <w:ind w:right="60" w:firstLine="576"/>
        <w:spacing w:after="0" w:line="252" w:lineRule="auto"/>
        <w:rPr>
          <w:sz w:val="20"/>
          <w:szCs w:val="20"/>
          <w:color w:val="auto"/>
        </w:rPr>
      </w:pPr>
      <w:r>
        <w:rPr>
          <w:rFonts w:ascii="Times New Roman" w:cs="Times New Roman" w:eastAsia="Times New Roman" w:hAnsi="Times New Roman"/>
          <w:sz w:val="18"/>
          <w:szCs w:val="18"/>
          <w:color w:val="auto"/>
        </w:rPr>
        <w:t>Competitors may infringe any patents we may own or in-license, our trade secrets or other proprietary rights. In addition, any patents or other proprietary rights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(and we may not be able to prevent the commercialization of the competitor product).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(or any other proprietary rights we may own). An adverse result in any litigation or defense proceedings could put one or more of any patents we may own or in-license at risk of being invalidated, held unenforceable, or interpreted narrowly and could put our patent applications at risk of not issuing. Uncertainties resulting from the initiation and continuation of patent litigation or other proceedings relating to our proprietary rights could have a material adverse effect on our ability to compete in the marketplace and may negatively impact our stock price.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5" w:name="page66"/>
    <w:bookmarkEnd w:id="65"/>
    <w:p>
      <w:pPr>
        <w:ind w:right="60" w:firstLine="576"/>
        <w:spacing w:after="0" w:line="255"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 current patent applications)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w:t>
      </w:r>
    </w:p>
    <w:p>
      <w:pPr>
        <w:spacing w:after="0" w:line="189" w:lineRule="exact"/>
        <w:rPr>
          <w:sz w:val="20"/>
          <w:szCs w:val="20"/>
          <w:color w:val="auto"/>
        </w:rPr>
      </w:pPr>
    </w:p>
    <w:p>
      <w:pPr>
        <w:ind w:right="140" w:firstLine="576"/>
        <w:spacing w:after="0" w:line="258" w:lineRule="auto"/>
        <w:rPr>
          <w:sz w:val="20"/>
          <w:szCs w:val="20"/>
          <w:color w:val="auto"/>
        </w:rPr>
      </w:pPr>
      <w:r>
        <w:rPr>
          <w:rFonts w:ascii="Times New Roman" w:cs="Times New Roman" w:eastAsia="Times New Roman" w:hAnsi="Times New Roman"/>
          <w:sz w:val="18"/>
          <w:szCs w:val="18"/>
          <w:color w:val="auto"/>
        </w:rPr>
        <w:t>Even in cases in which we or our licensors or strategic partners initiate legal proceedings against a third party to enforce a patent covering one of our current or future product candidates, the defendant could (and in pharmaceutical patent litigation the defendant often does) make a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If such counterclaims are successful, the exclusivity related to the product may be lost and our business would be harmed.</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51"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research and development activities or any future sales, marketing, patient support or distribution activities. We may not have sufficient financial or other resources to conduct such litigation or proceedings adequately</w:t>
      </w:r>
    </w:p>
    <w:p>
      <w:pPr>
        <w:spacing w:after="0" w:line="18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75"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94" w:lineRule="exact"/>
        <w:rPr>
          <w:sz w:val="20"/>
          <w:szCs w:val="20"/>
          <w:color w:val="auto"/>
        </w:rPr>
      </w:pPr>
    </w:p>
    <w:p>
      <w:pPr>
        <w:ind w:right="640" w:firstLine="584"/>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right="220" w:firstLine="230"/>
        <w:spacing w:after="0" w:line="257" w:lineRule="auto"/>
        <w:rPr>
          <w:sz w:val="20"/>
          <w:szCs w:val="20"/>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6" w:name="page67"/>
    <w:bookmarkEnd w:id="66"/>
    <w:p>
      <w:pPr>
        <w:ind w:right="200" w:firstLine="230"/>
        <w:spacing w:after="0" w:line="257" w:lineRule="auto"/>
        <w:rPr>
          <w:sz w:val="20"/>
          <w:szCs w:val="20"/>
          <w:color w:val="auto"/>
        </w:rPr>
      </w:pPr>
      <w:r>
        <w:rPr>
          <w:rFonts w:ascii="Times New Roman" w:cs="Times New Roman" w:eastAsia="Times New Roman" w:hAnsi="Times New Roman"/>
          <w:sz w:val="18"/>
          <w:szCs w:val="18"/>
          <w:color w:val="auto"/>
        </w:rPr>
        <w:t>a court prohibiting us from developing, manufacturing, marketing or selling our current product candidate, including TNG908 and TNG462, or future product candidates, or from using our proprietary technologies, unless the third party licenses its product rights to us, which it is not required to do, on commercially reasonable terms or at all;</w:t>
      </w:r>
    </w:p>
    <w:p>
      <w:pPr>
        <w:spacing w:after="0" w:line="1" w:lineRule="exact"/>
        <w:rPr>
          <w:sz w:val="20"/>
          <w:szCs w:val="20"/>
          <w:color w:val="auto"/>
        </w:rPr>
      </w:pPr>
    </w:p>
    <w:p>
      <w:pPr>
        <w:ind w:right="500" w:firstLine="230"/>
        <w:spacing w:after="0" w:line="250" w:lineRule="auto"/>
        <w:rPr>
          <w:sz w:val="20"/>
          <w:szCs w:val="20"/>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1" w:lineRule="exact"/>
        <w:rPr>
          <w:sz w:val="20"/>
          <w:szCs w:val="20"/>
          <w:color w:val="auto"/>
        </w:rPr>
      </w:pPr>
    </w:p>
    <w:p>
      <w:pPr>
        <w:ind w:right="420" w:firstLine="230"/>
        <w:spacing w:after="0" w:line="250" w:lineRule="auto"/>
        <w:rPr>
          <w:sz w:val="20"/>
          <w:szCs w:val="20"/>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ind w:firstLine="230"/>
        <w:spacing w:after="0" w:line="253" w:lineRule="auto"/>
        <w:rPr>
          <w:sz w:val="20"/>
          <w:szCs w:val="20"/>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67"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92"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7"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We may from time to time be party to license and collaboration agreements with third parties to advance our research or allow commercialization of current or future product candidates. For example, in March 2020 we entered into a License Agreement with Medivir with respect to certain technology related to USP1.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7" w:name="page68"/>
    <w:bookmarkEnd w:id="67"/>
    <w:p>
      <w:pPr>
        <w:ind w:right="240"/>
        <w:spacing w:after="0" w:line="266" w:lineRule="auto"/>
        <w:rPr>
          <w:sz w:val="20"/>
          <w:szCs w:val="20"/>
          <w:color w:val="auto"/>
        </w:rPr>
      </w:pPr>
      <w:r>
        <w:rPr>
          <w:rFonts w:ascii="Times New Roman" w:cs="Times New Roman" w:eastAsia="Times New Roman" w:hAnsi="Times New Roman"/>
          <w:sz w:val="18"/>
          <w:szCs w:val="18"/>
          <w:color w:val="auto"/>
        </w:rPr>
        <w:t>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76" w:lineRule="exact"/>
        <w:rPr>
          <w:sz w:val="20"/>
          <w:szCs w:val="20"/>
          <w:color w:val="auto"/>
        </w:rPr>
      </w:pPr>
    </w:p>
    <w:p>
      <w:pPr>
        <w:ind w:right="80" w:firstLine="584"/>
        <w:spacing w:after="0" w:line="261" w:lineRule="auto"/>
        <w:rPr>
          <w:sz w:val="20"/>
          <w:szCs w:val="20"/>
          <w:color w:val="auto"/>
        </w:rPr>
      </w:pPr>
      <w:r>
        <w:rPr>
          <w:rFonts w:ascii="Times New Roman" w:cs="Times New Roman" w:eastAsia="Times New Roman" w:hAnsi="Times New Roman"/>
          <w:sz w:val="18"/>
          <w:szCs w:val="18"/>
          <w:color w:val="auto"/>
        </w:rPr>
        <w:t>Further, the terms of these agreements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w:t>
      </w:r>
    </w:p>
    <w:p>
      <w:pPr>
        <w:spacing w:after="0" w:line="180"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7" w:lineRule="exact"/>
        <w:rPr>
          <w:sz w:val="20"/>
          <w:szCs w:val="20"/>
          <w:color w:val="auto"/>
        </w:rPr>
      </w:pPr>
    </w:p>
    <w:p>
      <w:pPr>
        <w:ind w:right="240" w:firstLine="230"/>
        <w:spacing w:after="0" w:line="250" w:lineRule="auto"/>
        <w:rPr>
          <w:sz w:val="20"/>
          <w:szCs w:val="20"/>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rPr>
          <w:sz w:val="20"/>
          <w:szCs w:val="20"/>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9" w:lineRule="exact"/>
        <w:rPr>
          <w:sz w:val="20"/>
          <w:szCs w:val="20"/>
          <w:color w:val="auto"/>
        </w:rPr>
      </w:pPr>
    </w:p>
    <w:p>
      <w:pPr>
        <w:ind w:firstLine="230"/>
        <w:spacing w:after="0" w:line="250" w:lineRule="auto"/>
        <w:rPr>
          <w:sz w:val="20"/>
          <w:szCs w:val="20"/>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rPr>
          <w:sz w:val="20"/>
          <w:szCs w:val="20"/>
          <w:color w:val="auto"/>
        </w:rPr>
      </w:pPr>
      <w:r>
        <w:rPr>
          <w:rFonts w:ascii="Times New Roman" w:cs="Times New Roman" w:eastAsia="Times New Roman" w:hAnsi="Times New Roman"/>
          <w:sz w:val="18"/>
          <w:szCs w:val="18"/>
          <w:color w:val="auto"/>
        </w:rPr>
        <w:t>the priority of invention of any patented technology; and</w:t>
      </w:r>
    </w:p>
    <w:p>
      <w:pPr>
        <w:spacing w:after="0" w:line="9" w:lineRule="exact"/>
        <w:rPr>
          <w:sz w:val="20"/>
          <w:szCs w:val="20"/>
          <w:color w:val="auto"/>
        </w:rPr>
      </w:pPr>
    </w:p>
    <w:p>
      <w:pPr>
        <w:ind w:right="600" w:firstLine="230"/>
        <w:spacing w:after="0" w:line="260" w:lineRule="auto"/>
        <w:rPr>
          <w:sz w:val="20"/>
          <w:szCs w:val="20"/>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future licensors and us and our partners.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12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 xml:space="preserve">Patent reform legislation in the United States and other countries, including the Leahy-Smith America Invents Act, or Leahy-Smith Act, signed into law on September 16, 2011, could increase uncertainties of the scope of our patent protection and the costs related to obtaining and enforcing our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22" w:lineRule="exact"/>
        <w:rPr>
          <w:sz w:val="20"/>
          <w:szCs w:val="20"/>
          <w:color w:val="auto"/>
        </w:rPr>
      </w:pPr>
    </w:p>
    <w:p>
      <w:pPr>
        <w:jc w:val="both"/>
        <w:ind w:right="120" w:firstLine="576"/>
        <w:spacing w:after="0" w:line="266" w:lineRule="auto"/>
        <w:rPr>
          <w:sz w:val="20"/>
          <w:szCs w:val="20"/>
          <w:color w:val="auto"/>
        </w:rPr>
      </w:pPr>
      <w:r>
        <w:rPr>
          <w:rFonts w:ascii="Times New Roman" w:cs="Times New Roman" w:eastAsia="Times New Roman" w:hAnsi="Times New Roman"/>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95"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 Further, other countries and jurisdictions, such as the European Union, periodically review their intellectual property laws and they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8" w:name="page69"/>
    <w:bookmarkEnd w:id="68"/>
    <w:p>
      <w:pPr>
        <w:ind w:right="400"/>
        <w:spacing w:after="0" w:line="282" w:lineRule="auto"/>
        <w:rPr>
          <w:sz w:val="20"/>
          <w:szCs w:val="20"/>
          <w:color w:val="auto"/>
        </w:rPr>
      </w:pPr>
      <w:r>
        <w:rPr>
          <w:rFonts w:ascii="Times New Roman" w:cs="Times New Roman" w:eastAsia="Times New Roman" w:hAnsi="Times New Roman"/>
          <w:sz w:val="18"/>
          <w:szCs w:val="18"/>
          <w:color w:val="auto"/>
        </w:rPr>
        <w:t>may also take similar actions that impact the laws and regulations governing patents and they may implement changes that could weaken our ability to obtain new patents or to enforce our rights under patents that we might obtain in the future</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51"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3" w:lineRule="exact"/>
        <w:rPr>
          <w:sz w:val="20"/>
          <w:szCs w:val="20"/>
          <w:color w:val="auto"/>
        </w:rPr>
      </w:pPr>
    </w:p>
    <w:p>
      <w:pPr>
        <w:ind w:right="60" w:firstLine="576"/>
        <w:spacing w:after="0" w:line="26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which can result in the adverse consequences related to infringement as described in the preceding risk factors.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51" w:lineRule="exact"/>
        <w:rPr>
          <w:sz w:val="20"/>
          <w:szCs w:val="20"/>
          <w:color w:val="auto"/>
        </w:rPr>
      </w:pPr>
    </w:p>
    <w:p>
      <w:pPr>
        <w:ind w:firstLine="584"/>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right="220" w:firstLine="230"/>
        <w:spacing w:after="0" w:line="261" w:lineRule="auto"/>
        <w:rPr>
          <w:sz w:val="20"/>
          <w:szCs w:val="20"/>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jc w:val="both"/>
        <w:ind w:right="280" w:firstLine="230"/>
        <w:spacing w:after="0" w:line="250" w:lineRule="auto"/>
        <w:rPr>
          <w:sz w:val="20"/>
          <w:szCs w:val="20"/>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1" w:lineRule="exact"/>
        <w:rPr>
          <w:sz w:val="20"/>
          <w:szCs w:val="20"/>
          <w:color w:val="auto"/>
        </w:rPr>
      </w:pPr>
    </w:p>
    <w:p>
      <w:pPr>
        <w:ind w:right="80" w:firstLine="230"/>
        <w:spacing w:after="0" w:line="250" w:lineRule="auto"/>
        <w:rPr>
          <w:sz w:val="20"/>
          <w:szCs w:val="20"/>
          <w:color w:val="auto"/>
        </w:rPr>
      </w:pPr>
      <w:r>
        <w:rPr>
          <w:rFonts w:ascii="Times New Roman" w:cs="Times New Roman" w:eastAsia="Times New Roman" w:hAnsi="Times New Roman"/>
          <w:sz w:val="18"/>
          <w:szCs w:val="18"/>
          <w:color w:val="auto"/>
        </w:rPr>
        <w:t>we, or our future licensors or collaborators, might not have been the first to make the inventions or to file the patent covered by a patent application that we own or may in-license;</w:t>
      </w:r>
    </w:p>
    <w:p>
      <w:pPr>
        <w:ind w:right="600" w:firstLine="230"/>
        <w:spacing w:after="0" w:line="250" w:lineRule="auto"/>
        <w:rPr>
          <w:sz w:val="20"/>
          <w:szCs w:val="20"/>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jc w:val="both"/>
        <w:ind w:right="520" w:firstLine="230"/>
        <w:spacing w:after="0" w:line="250" w:lineRule="auto"/>
        <w:rPr>
          <w:sz w:val="20"/>
          <w:szCs w:val="20"/>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1" w:lineRule="exact"/>
        <w:rPr>
          <w:sz w:val="20"/>
          <w:szCs w:val="20"/>
          <w:color w:val="auto"/>
        </w:rPr>
      </w:pPr>
    </w:p>
    <w:p>
      <w:pPr>
        <w:ind w:right="40" w:firstLine="230"/>
        <w:spacing w:after="0" w:line="250" w:lineRule="auto"/>
        <w:rPr>
          <w:sz w:val="20"/>
          <w:szCs w:val="20"/>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ind w:left="240" w:right="3560"/>
        <w:spacing w:after="0" w:line="250" w:lineRule="auto"/>
        <w:rPr>
          <w:sz w:val="20"/>
          <w:szCs w:val="20"/>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 we may not develop or in-license additional proprietary technologies that are patentable; and</w:t>
      </w:r>
    </w:p>
    <w:p>
      <w:pPr>
        <w:spacing w:after="0"/>
        <w:rPr>
          <w:sz w:val="20"/>
          <w:szCs w:val="20"/>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on gaining regulatory approval for new products and obtaining approvals for new indications.</w:t>
      </w:r>
    </w:p>
    <w:p>
      <w:pPr>
        <w:spacing w:after="0" w:line="121" w:lineRule="exact"/>
        <w:rPr>
          <w:sz w:val="20"/>
          <w:szCs w:val="20"/>
          <w:color w:val="auto"/>
        </w:rPr>
      </w:pPr>
    </w:p>
    <w:p>
      <w:pPr>
        <w:ind w:right="300" w:firstLine="576"/>
        <w:spacing w:after="0" w:line="261" w:lineRule="auto"/>
        <w:rPr>
          <w:sz w:val="20"/>
          <w:szCs w:val="20"/>
          <w:color w:val="auto"/>
        </w:rPr>
      </w:pPr>
      <w:r>
        <w:rPr>
          <w:rFonts w:ascii="Times New Roman" w:cs="Times New Roman" w:eastAsia="Times New Roman" w:hAnsi="Times New Roman"/>
          <w:sz w:val="18"/>
          <w:szCs w:val="18"/>
          <w:color w:val="auto"/>
        </w:rPr>
        <w:t>We invest significant amounts in developing new products and technologies. Our success and revenue growth, if any, will depend in part on our identification, development and commercialization of new products and technologies, and approval of additional indications for our any products under development. Product development is very expensive, takes significant time and involves a high degree of risk. Only a small number of research and development programs result in the commercialization of a product.</w:t>
      </w:r>
    </w:p>
    <w:p>
      <w:pPr>
        <w:spacing w:after="0" w:line="180" w:lineRule="exact"/>
        <w:rPr>
          <w:sz w:val="20"/>
          <w:szCs w:val="20"/>
          <w:color w:val="auto"/>
        </w:rPr>
      </w:pPr>
    </w:p>
    <w:p>
      <w:pPr>
        <w:jc w:val="both"/>
        <w:ind w:right="140" w:firstLine="584"/>
        <w:spacing w:after="0" w:line="266" w:lineRule="auto"/>
        <w:rPr>
          <w:sz w:val="20"/>
          <w:szCs w:val="20"/>
          <w:color w:val="auto"/>
        </w:rPr>
      </w:pPr>
      <w:r>
        <w:rPr>
          <w:rFonts w:ascii="Times New Roman" w:cs="Times New Roman" w:eastAsia="Times New Roman" w:hAnsi="Times New Roman"/>
          <w:sz w:val="18"/>
          <w:szCs w:val="18"/>
          <w:color w:val="auto"/>
        </w:rPr>
        <w:t>Our ability to grow our business may be adversely affected if we are delayed or unable to successfully develop the products in our pipeline, if we are unable to gain regulatory approval of such product candidates, and expand the indications that may be treated by such product candidates, and gaining regulatory approval to sell and market such product candidates in additional jurisdictions.</w:t>
      </w:r>
    </w:p>
    <w:p>
      <w:pPr>
        <w:spacing w:after="0" w:line="176" w:lineRule="exact"/>
        <w:rPr>
          <w:sz w:val="20"/>
          <w:szCs w:val="20"/>
          <w:color w:val="auto"/>
        </w:rPr>
      </w:pPr>
    </w:p>
    <w:p>
      <w:pPr>
        <w:ind w:firstLine="584"/>
        <w:spacing w:after="0" w:line="266" w:lineRule="auto"/>
        <w:rPr>
          <w:sz w:val="20"/>
          <w:szCs w:val="20"/>
          <w:color w:val="auto"/>
        </w:rPr>
      </w:pPr>
      <w:r>
        <w:rPr>
          <w:rFonts w:ascii="Times New Roman" w:cs="Times New Roman" w:eastAsia="Times New Roman" w:hAnsi="Times New Roman"/>
          <w:sz w:val="18"/>
          <w:szCs w:val="18"/>
          <w:color w:val="auto"/>
        </w:rPr>
        <w:t>We must also maintain all such regulatory approvals for the period of time that we sell the product in each such jurisdiction. Our failure to obtain, or a delay in obtaining, approval or our failure to maintain approvals once obtained, will prevent us from selling products and generating revenues for those products in such jurisdiction where we do not hold such approvals</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189"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from the date of filing,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0" w:name="page71"/>
    <w:bookmarkEnd w:id="70"/>
    <w:p>
      <w:pPr>
        <w:ind w:right="360"/>
        <w:spacing w:after="0" w:line="282" w:lineRule="auto"/>
        <w:rPr>
          <w:sz w:val="20"/>
          <w:szCs w:val="20"/>
          <w:color w:val="auto"/>
        </w:rPr>
      </w:pPr>
      <w:r>
        <w:rPr>
          <w:rFonts w:ascii="Times New Roman" w:cs="Times New Roman" w:eastAsia="Times New Roman" w:hAnsi="Times New Roman"/>
          <w:sz w:val="18"/>
          <w:szCs w:val="18"/>
          <w:color w:val="auto"/>
        </w:rPr>
        <w:t>confer any advantage with respect to approval compared to conventional FDA procedures. Receiving priority review from the FDA does not guarantee approval within the six-month review cycle or at all.</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right="20" w:firstLine="576"/>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 The FDA granted Orphan Drug Designation to TNG908 for the treatment of malignant peripheral nerve sheath tumors (MPNST) and malignant glioma, including GBM.</w:t>
      </w:r>
    </w:p>
    <w:p>
      <w:pPr>
        <w:spacing w:after="0" w:line="192"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Similarly, in Europe, the European Commission, upon the recommendation of the EMA’s Committee for Orphan Medicinal Products, grants orphan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designation entitles a party to financial incentives such as reduction of fees or fee waivers.</w:t>
      </w:r>
    </w:p>
    <w:p>
      <w:pPr>
        <w:spacing w:after="0" w:line="189" w:lineRule="exact"/>
        <w:rPr>
          <w:sz w:val="20"/>
          <w:szCs w:val="20"/>
          <w:color w:val="auto"/>
        </w:rPr>
      </w:pPr>
    </w:p>
    <w:p>
      <w:pPr>
        <w:ind w:right="160" w:firstLine="576"/>
        <w:spacing w:after="0" w:line="258"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exclusivity period in the European Union can be reduced to six years if a product no longer meets the criteria for orphan drug designation or if the product is sufficiently profitable so that market exclusivity is no longer justified.</w:t>
      </w:r>
    </w:p>
    <w:p>
      <w:pPr>
        <w:spacing w:after="0" w:line="183"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Obtaining orphan drug exclusivity may not effectively protect a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1" w:name="page72"/>
    <w:bookmarkEnd w:id="71"/>
    <w:p>
      <w:pPr>
        <w:spacing w:after="0" w:line="256" w:lineRule="auto"/>
        <w:rPr>
          <w:sz w:val="20"/>
          <w:szCs w:val="20"/>
          <w:color w:val="auto"/>
        </w:rPr>
      </w:pPr>
      <w:r>
        <w:rPr>
          <w:rFonts w:ascii="Times New Roman" w:cs="Times New Roman" w:eastAsia="Times New Roman" w:hAnsi="Times New Roman"/>
          <w:sz w:val="18"/>
          <w:szCs w:val="18"/>
          <w:color w:val="auto"/>
        </w:rPr>
        <w:t>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87" w:lineRule="exact"/>
        <w:rPr>
          <w:sz w:val="20"/>
          <w:szCs w:val="20"/>
          <w:color w:val="auto"/>
        </w:rPr>
      </w:pPr>
    </w:p>
    <w:p>
      <w:pPr>
        <w:ind w:right="80" w:firstLine="576"/>
        <w:spacing w:after="0" w:line="255" w:lineRule="auto"/>
        <w:rPr>
          <w:sz w:val="20"/>
          <w:szCs w:val="20"/>
          <w:color w:val="auto"/>
        </w:rPr>
      </w:pPr>
      <w:r>
        <w:rPr>
          <w:rFonts w:ascii="Times New Roman" w:cs="Times New Roman" w:eastAsia="Times New Roman" w:hAnsi="Times New Roman"/>
          <w:sz w:val="18"/>
          <w:szCs w:val="18"/>
          <w:color w:val="auto"/>
        </w:rPr>
        <w:t>We may also seek fast track designation for some of our product candidates and, in the case of TNG908 and TNG462, we have been granted fast track designation by the FDA. 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67" w:lineRule="exact"/>
        <w:rPr>
          <w:sz w:val="20"/>
          <w:szCs w:val="20"/>
          <w:color w:val="auto"/>
        </w:rPr>
      </w:pPr>
    </w:p>
    <w:p>
      <w:pPr>
        <w:ind w:right="40" w:firstLine="576"/>
        <w:spacing w:after="0" w:line="252"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where applicable,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 These confirmatory trials must be completed with due diligence. Under the Food and Drug Omnibus Reform Act of 2022, or FDORA, the FDA is permitted to require, as appropriate, that a post-approval confirmatory study or studies be under way prior to approval or within a specified time period after the date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Even if we do receive accelerated approval, we may not experience a faster development or regulatory review or approval process, and receiving accelerated approval does not provide assurance of traditional FDA approval.</w:t>
      </w:r>
    </w:p>
    <w:p>
      <w:pPr>
        <w:spacing w:after="0" w:line="1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51" w:lineRule="exact"/>
        <w:rPr>
          <w:sz w:val="20"/>
          <w:szCs w:val="20"/>
          <w:color w:val="auto"/>
        </w:rPr>
      </w:pPr>
    </w:p>
    <w:p>
      <w:pPr>
        <w:ind w:right="120" w:firstLine="576"/>
        <w:spacing w:after="0" w:line="252" w:lineRule="auto"/>
        <w:rPr>
          <w:sz w:val="20"/>
          <w:szCs w:val="20"/>
          <w:color w:val="auto"/>
        </w:rPr>
      </w:pPr>
      <w:r>
        <w:rPr>
          <w:rFonts w:ascii="Times New Roman" w:cs="Times New Roman" w:eastAsia="Times New Roman" w:hAnsi="Times New Roman"/>
          <w:sz w:val="18"/>
          <w:szCs w:val="18"/>
          <w:color w:val="auto"/>
        </w:rPr>
        <w:t>The FDA, the EMA and regulatory authorities in other countries have each expressed interest in further regulating biotechnology products. Agencies at both the federal and state level in the United States, as well as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2" w:name="page73"/>
    <w:bookmarkEnd w:id="72"/>
    <w:p>
      <w:pPr>
        <w:ind w:right="40"/>
        <w:spacing w:after="0" w:line="261" w:lineRule="auto"/>
        <w:rPr>
          <w:sz w:val="20"/>
          <w:szCs w:val="20"/>
          <w:color w:val="auto"/>
        </w:rPr>
      </w:pPr>
      <w:r>
        <w:rPr>
          <w:rFonts w:ascii="Times New Roman" w:cs="Times New Roman" w:eastAsia="Times New Roman" w:hAnsi="Times New Roman"/>
          <w:sz w:val="18"/>
          <w:szCs w:val="18"/>
          <w:color w:val="auto"/>
        </w:rPr>
        <w:t>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3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government agencies or the EMA or comparable foreign regulatory authorities,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140" w:firstLine="576"/>
        <w:spacing w:after="0" w:line="258" w:lineRule="auto"/>
        <w:rPr>
          <w:sz w:val="20"/>
          <w:szCs w:val="20"/>
          <w:color w:val="auto"/>
        </w:rPr>
      </w:pPr>
      <w:r>
        <w:rPr>
          <w:rFonts w:ascii="Times New Roman" w:cs="Times New Roman" w:eastAsia="Times New Roman" w:hAnsi="Times New Roman"/>
          <w:sz w:val="18"/>
          <w:szCs w:val="18"/>
          <w:color w:val="auto"/>
        </w:rPr>
        <w:t>The ability of the FDA, the EMA or comparable foreign regulatory authorities to review and approve new products can be affected by a variety of factors, including government budget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83" w:lineRule="exact"/>
        <w:rPr>
          <w:sz w:val="20"/>
          <w:szCs w:val="20"/>
          <w:color w:val="auto"/>
        </w:rPr>
      </w:pPr>
    </w:p>
    <w:p>
      <w:pPr>
        <w:ind w:right="200" w:firstLine="576"/>
        <w:spacing w:after="0" w:line="282" w:lineRule="auto"/>
        <w:rPr>
          <w:sz w:val="20"/>
          <w:szCs w:val="20"/>
          <w:color w:val="auto"/>
        </w:rPr>
      </w:pPr>
      <w:r>
        <w:rPr>
          <w:rFonts w:ascii="Times New Roman" w:cs="Times New Roman" w:eastAsia="Times New Roman" w:hAnsi="Times New Roman"/>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2" w:lineRule="exact"/>
        <w:rPr>
          <w:sz w:val="20"/>
          <w:szCs w:val="20"/>
          <w:color w:val="auto"/>
        </w:rPr>
      </w:pPr>
    </w:p>
    <w:p>
      <w:pPr>
        <w:ind w:right="60" w:firstLine="576"/>
        <w:spacing w:after="0" w:line="256" w:lineRule="auto"/>
        <w:rPr>
          <w:sz w:val="20"/>
          <w:szCs w:val="20"/>
          <w:color w:val="auto"/>
        </w:rPr>
      </w:pPr>
      <w:r>
        <w:rPr>
          <w:rFonts w:ascii="Times New Roman" w:cs="Times New Roman" w:eastAsia="Times New Roman" w:hAnsi="Times New Roman"/>
          <w:sz w:val="18"/>
          <w:szCs w:val="18"/>
          <w:color w:val="auto"/>
        </w:rPr>
        <w:t>Disruptions at the FDA, the EMA and other agencies may also slow the time necessary for new product candidates to be reviewed and/or approved by necessary government agencies, which would adversely affect our business. For example, in prior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7"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8"/>
          <w:szCs w:val="18"/>
          <w:color w:val="auto"/>
        </w:rPr>
        <w:t>Separately, since March 2020 when foreign and domestic inspections were largely placed on hold due to the COVID-19 pandemic,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w:t>
      </w:r>
    </w:p>
    <w:p>
      <w:pPr>
        <w:spacing w:after="0" w:line="183" w:lineRule="exact"/>
        <w:rPr>
          <w:sz w:val="20"/>
          <w:szCs w:val="20"/>
          <w:color w:val="auto"/>
        </w:rPr>
      </w:pPr>
    </w:p>
    <w:p>
      <w:pPr>
        <w:ind w:right="300" w:firstLine="576"/>
        <w:spacing w:after="0" w:line="282" w:lineRule="auto"/>
        <w:rPr>
          <w:sz w:val="20"/>
          <w:szCs w:val="20"/>
          <w:color w:val="auto"/>
        </w:rPr>
      </w:pPr>
      <w:r>
        <w:rPr>
          <w:rFonts w:ascii="Times New Roman" w:cs="Times New Roman" w:eastAsia="Times New Roman" w:hAnsi="Times New Roman"/>
          <w:sz w:val="18"/>
          <w:szCs w:val="18"/>
          <w:color w:val="auto"/>
        </w:rPr>
        <w:t>During the COVID-19 pandemic, a number of companies announced receipt of complete response letters due to the FDA’s inability to complete required inspections for their applications.</w:t>
      </w:r>
    </w:p>
    <w:p>
      <w:pPr>
        <w:spacing w:after="0" w:line="162" w:lineRule="exact"/>
        <w:rPr>
          <w:sz w:val="20"/>
          <w:szCs w:val="20"/>
          <w:color w:val="auto"/>
        </w:rPr>
      </w:pPr>
    </w:p>
    <w:p>
      <w:pPr>
        <w:ind w:right="20" w:firstLine="576"/>
        <w:spacing w:after="0" w:line="256" w:lineRule="auto"/>
        <w:rPr>
          <w:sz w:val="20"/>
          <w:szCs w:val="20"/>
          <w:color w:val="auto"/>
        </w:rPr>
      </w:pPr>
      <w:r>
        <w:rPr>
          <w:rFonts w:ascii="Times New Roman" w:cs="Times New Roman" w:eastAsia="Times New Roman" w:hAnsi="Times New Roman"/>
          <w:sz w:val="18"/>
          <w:szCs w:val="18"/>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and other regulatory authorities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40" w:firstLine="576"/>
        <w:spacing w:after="0" w:line="254"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and statutes could impact our business in the future by requiring, for example: (i) changes to our manufacturing arrangements; (ii) changes to the method in which drug prices are determined for Medicare and Medicaid participants or other potential patients in the U.S. (or by which drug prices are determined in other countries and regions), (iii) additions or modifications to product labeling (if, and when, a product is approved for sale); (iv) the recall or discontinuation of our products (if any products are approved by applicable regulatory authorities); or (v) additional record-keeping requirements. If any such changes were to be imposed, they could adversely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affect the operation of our business. For additional information, see the section entitled “Business – Current and future healthcare reform legislation.”</w:t>
      </w:r>
    </w:p>
    <w:p>
      <w:pPr>
        <w:spacing w:after="0" w:line="225" w:lineRule="exact"/>
        <w:rPr>
          <w:sz w:val="20"/>
          <w:szCs w:val="20"/>
          <w:color w:val="auto"/>
        </w:rPr>
      </w:pPr>
    </w:p>
    <w:p>
      <w:pPr>
        <w:ind w:right="200" w:firstLine="584"/>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demand for any of our product candidates, if approved;</w:t>
      </w:r>
    </w:p>
    <w:p>
      <w:pPr>
        <w:spacing w:after="0" w:line="27" w:lineRule="exact"/>
        <w:rPr>
          <w:sz w:val="20"/>
          <w:szCs w:val="20"/>
          <w:color w:val="auto"/>
        </w:rPr>
      </w:pPr>
    </w:p>
    <w:p>
      <w:pPr>
        <w:ind w:left="240" w:right="4320"/>
        <w:spacing w:after="0" w:line="250" w:lineRule="auto"/>
        <w:rPr>
          <w:sz w:val="20"/>
          <w:szCs w:val="20"/>
          <w:color w:val="auto"/>
        </w:rPr>
      </w:pPr>
      <w:r>
        <w:rPr>
          <w:rFonts w:ascii="Times New Roman" w:cs="Times New Roman" w:eastAsia="Times New Roman" w:hAnsi="Times New Roman"/>
          <w:sz w:val="18"/>
          <w:szCs w:val="18"/>
          <w:color w:val="auto"/>
        </w:rPr>
        <w:t>the ability to set a price that we believe is fair for any of our product candidates, if approved; our ability to generate revenues and achieve or maintain profitability;</w:t>
      </w:r>
    </w:p>
    <w:p>
      <w:pPr>
        <w:ind w:left="240" w:right="7460"/>
        <w:spacing w:after="0" w:line="260" w:lineRule="auto"/>
        <w:rPr>
          <w:sz w:val="20"/>
          <w:szCs w:val="20"/>
          <w:color w:val="auto"/>
        </w:rPr>
      </w:pPr>
      <w:r>
        <w:rPr>
          <w:rFonts w:ascii="Times New Roman" w:cs="Times New Roman" w:eastAsia="Times New Roman" w:hAnsi="Times New Roman"/>
          <w:sz w:val="18"/>
          <w:szCs w:val="18"/>
          <w:color w:val="auto"/>
        </w:rPr>
        <w:t>the level of taxes that we are required to pay; and the availability of capital.</w:t>
      </w:r>
    </w:p>
    <w:p>
      <w:pPr>
        <w:spacing w:after="0" w:line="181" w:lineRule="exact"/>
        <w:rPr>
          <w:sz w:val="20"/>
          <w:szCs w:val="20"/>
          <w:color w:val="auto"/>
        </w:rPr>
      </w:pPr>
    </w:p>
    <w:p>
      <w:pPr>
        <w:ind w:right="140" w:firstLine="57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ind w:right="200" w:firstLine="576"/>
        <w:spacing w:after="0" w:line="261" w:lineRule="auto"/>
        <w:rPr>
          <w:sz w:val="20"/>
          <w:szCs w:val="20"/>
          <w:color w:val="auto"/>
        </w:rPr>
      </w:pPr>
      <w:r>
        <w:rPr>
          <w:rFonts w:ascii="Times New Roman" w:cs="Times New Roman" w:eastAsia="Times New Roman" w:hAnsi="Times New Roman"/>
          <w:sz w:val="18"/>
          <w:szCs w:val="18"/>
          <w:color w:val="auto"/>
        </w:rPr>
        <w:t>Further, reductions in reimbursement from Medicare and other government programs may also result in reductions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7"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expect that additional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179"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drugs and decrease our ability to generate revenue.</w:t>
      </w:r>
    </w:p>
    <w:p>
      <w:pPr>
        <w:spacing w:after="0" w:line="67" w:lineRule="exact"/>
        <w:rPr>
          <w:sz w:val="20"/>
          <w:szCs w:val="20"/>
          <w:color w:val="auto"/>
        </w:rPr>
      </w:pPr>
    </w:p>
    <w:p>
      <w:pPr>
        <w:ind w:firstLine="584"/>
        <w:spacing w:after="0" w:line="258"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For more information regarding insurance coverage and reimbursement please see “Business – Government Regulation – Insurance Coverage and Reimbursement.”</w:t>
      </w:r>
    </w:p>
    <w:p>
      <w:pPr>
        <w:spacing w:after="0" w:line="183" w:lineRule="exact"/>
        <w:rPr>
          <w:sz w:val="20"/>
          <w:szCs w:val="20"/>
          <w:color w:val="auto"/>
        </w:rPr>
      </w:pPr>
    </w:p>
    <w:p>
      <w:pPr>
        <w:ind w:right="80" w:firstLine="576"/>
        <w:spacing w:after="0" w:line="266"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68" w:lineRule="exact"/>
        <w:rPr>
          <w:sz w:val="20"/>
          <w:szCs w:val="20"/>
          <w:color w:val="auto"/>
        </w:rPr>
      </w:pPr>
    </w:p>
    <w:p>
      <w:pPr>
        <w:jc w:val="both"/>
        <w:ind w:left="240" w:right="8140"/>
        <w:spacing w:after="0" w:line="276" w:lineRule="auto"/>
        <w:rPr>
          <w:sz w:val="20"/>
          <w:szCs w:val="20"/>
          <w:color w:val="auto"/>
        </w:rPr>
      </w:pPr>
      <w:r>
        <w:rPr>
          <w:rFonts w:ascii="Times New Roman" w:cs="Times New Roman" w:eastAsia="Times New Roman" w:hAnsi="Times New Roman"/>
          <w:sz w:val="17"/>
          <w:szCs w:val="17"/>
          <w:color w:val="auto"/>
        </w:rPr>
        <w:t>a covered benefit under its health plan; safe, effective and medically necessary;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ind w:left="240" w:right="8480"/>
        <w:spacing w:after="0" w:line="261" w:lineRule="auto"/>
        <w:rPr>
          <w:sz w:val="20"/>
          <w:szCs w:val="20"/>
          <w:color w:val="auto"/>
        </w:rPr>
      </w:pPr>
      <w:r>
        <w:rPr>
          <w:rFonts w:ascii="Times New Roman" w:cs="Times New Roman" w:eastAsia="Times New Roman" w:hAnsi="Times New Roman"/>
          <w:sz w:val="18"/>
          <w:szCs w:val="18"/>
          <w:color w:val="auto"/>
        </w:rPr>
        <w:t>appropriate for the specific patient; cost-effective; and</w:t>
      </w:r>
    </w:p>
    <w:p>
      <w:pPr>
        <w:spacing w:after="0"/>
        <w:rPr>
          <w:sz w:val="20"/>
          <w:szCs w:val="20"/>
          <w:color w:val="auto"/>
        </w:rPr>
      </w:pPr>
      <w:r>
        <w:rPr>
          <w:rFonts w:ascii="Times New Roman" w:cs="Times New Roman" w:eastAsia="Times New Roman" w:hAnsi="Times New Roman"/>
          <w:sz w:val="18"/>
          <w:szCs w:val="18"/>
          <w:color w:val="auto"/>
        </w:rPr>
        <w:t>neither experimental nor investigational.</w:t>
      </w:r>
    </w:p>
    <w:p>
      <w:pPr>
        <w:spacing w:after="0" w:line="207" w:lineRule="exact"/>
        <w:rPr>
          <w:sz w:val="20"/>
          <w:szCs w:val="20"/>
          <w:color w:val="auto"/>
        </w:rPr>
      </w:pPr>
    </w:p>
    <w:p>
      <w:pPr>
        <w:ind w:right="260" w:firstLine="576"/>
        <w:spacing w:after="0" w:line="261" w:lineRule="auto"/>
        <w:rPr>
          <w:sz w:val="20"/>
          <w:szCs w:val="20"/>
          <w:color w:val="auto"/>
        </w:rPr>
      </w:pPr>
      <w:r>
        <w:rPr>
          <w:rFonts w:ascii="Times New Roman" w:cs="Times New Roman" w:eastAsia="Times New Roman" w:hAnsi="Times New Roman"/>
          <w:sz w:val="18"/>
          <w:szCs w:val="18"/>
          <w:color w:val="auto"/>
        </w:rPr>
        <w:t>Even if we obtain coverage for our product candidates by a third-party payor, the resulting reimbursement payment rates may not be adequate or may require co-payments that patients find unacceptably high. We cannot be sure that coverage and reimbursement in the U.S., the European Union or elsewhere will be available for our product candidates or any product that we may develop, and any reimbursement that may become available may be decreased or eliminated in the future.</w:t>
      </w:r>
    </w:p>
    <w:p>
      <w:pPr>
        <w:spacing w:after="0" w:line="180"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newly-approved products. In the U.S., third-party payors, and governmental healthcare plans, such as the Medicare and Medicaid programs, play an important role in determining the extent to which new drugs and biologics will be covered. The Medicare and Medicaid programs increasingly are used as models in the U.S.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Outside the U.S., international operations are generally subject to extensive governmental price controls and other market regulations, and we believe the increasing emphasis on cost-containment initiatives in Europe and other foreign jurisdictions have and will continue to put pressure on the pricing and usage of our product candidates (if approved by regulators).</w:t>
      </w:r>
    </w:p>
    <w:p>
      <w:pPr>
        <w:spacing w:after="0" w:line="192"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7"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may obtain regulatory approval. Our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the section entitled “</w:t>
      </w:r>
      <w:r>
        <w:rPr>
          <w:rFonts w:ascii="Times New Roman" w:cs="Times New Roman" w:eastAsia="Times New Roman" w:hAnsi="Times New Roman"/>
          <w:sz w:val="18"/>
          <w:szCs w:val="18"/>
          <w:i w:val="1"/>
          <w:iCs w:val="1"/>
          <w:color w:val="auto"/>
        </w:rPr>
        <w:t>Business – Other healthcare laws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above occur, our ability to operate our business and our results of operations could be adversely affected.</w:t>
      </w:r>
    </w:p>
    <w:p>
      <w:pPr>
        <w:spacing w:after="0" w:line="18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firstLine="576"/>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appropriately licensed and permitted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72" w:lineRule="exact"/>
        <w:rPr>
          <w:sz w:val="20"/>
          <w:szCs w:val="20"/>
          <w:color w:val="auto"/>
        </w:rPr>
      </w:pPr>
    </w:p>
    <w:p>
      <w:pPr>
        <w:ind w:right="20" w:firstLine="584"/>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 and GCPs for any clinical trials that we conduct post-approval and pharmacovigilance reporting obligations. Manufacturers and other entities involved in the manufacture and distribution of approved drugs or biologics,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including applicable product tracking and tracing requirements.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include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240" w:right="280"/>
        <w:spacing w:after="0" w:line="261" w:lineRule="auto"/>
        <w:rPr>
          <w:sz w:val="20"/>
          <w:szCs w:val="20"/>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 manufacturing delays and supply disruptions where regulatory inspections identify observations of noncompliance requiring remediation;</w:t>
      </w:r>
    </w:p>
    <w:p>
      <w:pPr>
        <w:ind w:right="340" w:firstLine="230"/>
        <w:spacing w:after="0" w:line="250" w:lineRule="auto"/>
        <w:rPr>
          <w:sz w:val="20"/>
          <w:szCs w:val="20"/>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rPr>
          <w:sz w:val="20"/>
          <w:szCs w:val="20"/>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9" w:lineRule="exact"/>
        <w:rPr>
          <w:sz w:val="20"/>
          <w:szCs w:val="20"/>
          <w:color w:val="auto"/>
        </w:rPr>
      </w:pPr>
    </w:p>
    <w:p>
      <w:pPr>
        <w:ind w:left="240" w:right="4080"/>
        <w:spacing w:after="0" w:line="250" w:lineRule="auto"/>
        <w:rPr>
          <w:sz w:val="20"/>
          <w:szCs w:val="20"/>
          <w:color w:val="auto"/>
        </w:rPr>
      </w:pPr>
      <w:r>
        <w:rPr>
          <w:rFonts w:ascii="Times New Roman" w:cs="Times New Roman" w:eastAsia="Times New Roman" w:hAnsi="Times New Roman"/>
          <w:sz w:val="18"/>
          <w:szCs w:val="18"/>
          <w:color w:val="auto"/>
        </w:rPr>
        <w:t>requirements to conduct additional post-market clinical trials to assess the safety of the product; clinical trial holds;</w:t>
      </w:r>
    </w:p>
    <w:p>
      <w:pPr>
        <w:spacing w:after="0"/>
        <w:rPr>
          <w:sz w:val="20"/>
          <w:szCs w:val="20"/>
          <w:color w:val="auto"/>
        </w:rPr>
      </w:pPr>
      <w:r>
        <w:rPr>
          <w:rFonts w:ascii="Times New Roman" w:cs="Times New Roman" w:eastAsia="Times New Roman" w:hAnsi="Times New Roman"/>
          <w:sz w:val="18"/>
          <w:szCs w:val="18"/>
          <w:color w:val="auto"/>
        </w:rPr>
        <w:t>fines, warning letters or other regulatory enforcement action;</w:t>
      </w:r>
    </w:p>
    <w:p>
      <w:pPr>
        <w:spacing w:after="0" w:line="9" w:lineRule="exact"/>
        <w:rPr>
          <w:sz w:val="20"/>
          <w:szCs w:val="20"/>
          <w:color w:val="auto"/>
        </w:rPr>
      </w:pPr>
    </w:p>
    <w:p>
      <w:pPr>
        <w:ind w:left="240" w:right="480"/>
        <w:spacing w:after="0" w:line="250" w:lineRule="auto"/>
        <w:rPr>
          <w:sz w:val="20"/>
          <w:szCs w:val="20"/>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 product seizure or detention, or refusal to permit the import or export of products; and</w:t>
      </w:r>
    </w:p>
    <w:p>
      <w:pPr>
        <w:spacing w:after="0"/>
        <w:rPr>
          <w:sz w:val="20"/>
          <w:szCs w:val="20"/>
          <w:color w:val="auto"/>
        </w:rPr>
      </w:pPr>
      <w:r>
        <w:rPr>
          <w:rFonts w:ascii="Times New Roman" w:cs="Times New Roman" w:eastAsia="Times New Roman" w:hAnsi="Times New Roman"/>
          <w:sz w:val="18"/>
          <w:szCs w:val="18"/>
          <w:color w:val="auto"/>
        </w:rPr>
        <w:t>injunctions or the imposition of civil or criminal penalties.</w:t>
      </w:r>
    </w:p>
    <w:p>
      <w:pPr>
        <w:spacing w:after="0" w:line="207" w:lineRule="exact"/>
        <w:rPr>
          <w:sz w:val="20"/>
          <w:szCs w:val="20"/>
          <w:color w:val="auto"/>
        </w:rPr>
      </w:pPr>
    </w:p>
    <w:p>
      <w:pPr>
        <w:ind w:right="20" w:firstLine="576"/>
        <w:spacing w:after="0" w:line="25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6" w:name="page77"/>
    <w:bookmarkEnd w:id="76"/>
    <w:p>
      <w:pPr>
        <w:ind w:right="160"/>
        <w:spacing w:after="0" w:line="282" w:lineRule="auto"/>
        <w:rPr>
          <w:sz w:val="20"/>
          <w:szCs w:val="20"/>
          <w:color w:val="auto"/>
        </w:rPr>
      </w:pPr>
      <w:r>
        <w:rPr>
          <w:rFonts w:ascii="Times New Roman" w:cs="Times New Roman" w:eastAsia="Times New Roman" w:hAnsi="Times New Roman"/>
          <w:sz w:val="18"/>
          <w:szCs w:val="18"/>
          <w:color w:val="auto"/>
        </w:rPr>
        <w:t>compliance, we may lose any regulatory approval that we may have obtained, which would adversely affect our business, prospects and ability to achieve or sustain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are conducting and plan to conduct additional clinical trials and enroll subjects in our current or future clinical trials in the U.S. and Europe, and therefore we will be subject to privacy restrictions. The collection, use, storage, disclosure, transfer, or other processing of personal data regarding individuals in the European Economic Area (“EEA”), including personal health data, is subject to the EU General Data Protection Regulation, or GDPR and similarly, processing of personal data regarding individuals in the UK is subject to the UK General Data Protection Regulation and the UK Data Protection Act 2018, or UK GDPR and together with the EU GDPR,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While we have commenced the process of implementing procedures to comply with the GDPR, compliance with these regulations will be a rigorous and time-intensive process that we expect will increase our cost of doing business and require us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GDPR in different manner, making compliance in certain countries and across the EEA challenging.</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51" w:lineRule="exact"/>
        <w:rPr>
          <w:sz w:val="20"/>
          <w:szCs w:val="20"/>
          <w:color w:val="auto"/>
        </w:rPr>
      </w:pPr>
    </w:p>
    <w:p>
      <w:pPr>
        <w:ind w:right="40" w:firstLine="576"/>
        <w:spacing w:after="0" w:line="255" w:lineRule="auto"/>
        <w:rPr>
          <w:sz w:val="20"/>
          <w:szCs w:val="20"/>
          <w:color w:val="auto"/>
        </w:rPr>
      </w:pPr>
      <w:r>
        <w:rPr>
          <w:rFonts w:ascii="Times New Roman" w:cs="Times New Roman" w:eastAsia="Times New Roman" w:hAnsi="Times New Roman"/>
          <w:sz w:val="18"/>
          <w:szCs w:val="18"/>
          <w:color w:val="auto"/>
        </w:rPr>
        <w:t>As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both"/>
        <w:ind w:right="60" w:firstLine="576"/>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3" w:lineRule="exact"/>
        <w:rPr>
          <w:sz w:val="20"/>
          <w:szCs w:val="20"/>
          <w:color w:val="auto"/>
        </w:rPr>
      </w:pPr>
    </w:p>
    <w:p>
      <w:pPr>
        <w:jc w:val="both"/>
        <w:ind w:right="140" w:firstLine="584"/>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Employee Matters and Managing Anticipated Growth</w:t>
      </w:r>
    </w:p>
    <w:p>
      <w:pPr>
        <w:spacing w:after="0" w:line="225" w:lineRule="exact"/>
        <w:rPr>
          <w:sz w:val="20"/>
          <w:szCs w:val="20"/>
          <w:color w:val="auto"/>
        </w:rPr>
      </w:pPr>
    </w:p>
    <w:p>
      <w:pPr>
        <w:jc w:val="cente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future success depends on our ability to retain key executives and experienced scientists and to attract, retain and motivate qualified personnel. </w:t>
      </w: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ind w:firstLine="576"/>
        <w:spacing w:after="0" w:line="255" w:lineRule="auto"/>
        <w:rPr>
          <w:sz w:val="20"/>
          <w:szCs w:val="20"/>
          <w:color w:val="auto"/>
        </w:rPr>
      </w:pPr>
      <w:r>
        <w:rPr>
          <w:rFonts w:ascii="Times New Roman" w:cs="Times New Roman" w:eastAsia="Times New Roman" w:hAnsi="Times New Roman"/>
          <w:sz w:val="18"/>
          <w:szCs w:val="18"/>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clinical trial and commercialization strategies.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ind w:right="60" w:firstLine="576"/>
        <w:spacing w:after="0" w:line="271" w:lineRule="auto"/>
        <w:rPr>
          <w:sz w:val="20"/>
          <w:szCs w:val="20"/>
          <w:color w:val="auto"/>
        </w:rPr>
      </w:pPr>
      <w:r>
        <w:rPr>
          <w:rFonts w:ascii="Times New Roman" w:cs="Times New Roman" w:eastAsia="Times New Roman" w:hAnsi="Times New Roman"/>
          <w:sz w:val="17"/>
          <w:szCs w:val="17"/>
          <w:color w:val="auto"/>
        </w:rPr>
        <w:t>Recruiting and retaining qualified scientific, clinical, medical,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provide evidence of safety and efficacy of our product candidates in clinical trials, or delays experienced in such clinical trials, may make it more challenging to recruit and retain qualified scientific personnel.</w:t>
      </w:r>
    </w:p>
    <w:p>
      <w:pPr>
        <w:spacing w:after="0" w:line="173" w:lineRule="exact"/>
        <w:rPr>
          <w:sz w:val="20"/>
          <w:szCs w:val="20"/>
          <w:color w:val="auto"/>
        </w:rPr>
      </w:pPr>
    </w:p>
    <w:p>
      <w:pPr>
        <w:ind w:right="140" w:firstLine="576"/>
        <w:spacing w:after="0" w:line="258" w:lineRule="auto"/>
        <w:rPr>
          <w:sz w:val="20"/>
          <w:szCs w:val="20"/>
          <w:color w:val="auto"/>
        </w:rPr>
      </w:pPr>
      <w:r>
        <w:rPr>
          <w:rFonts w:ascii="Times New Roman" w:cs="Times New Roman" w:eastAsia="Times New Roman" w:hAnsi="Times New Roman"/>
          <w:sz w:val="18"/>
          <w:szCs w:val="18"/>
          <w:color w:val="auto"/>
        </w:rPr>
        <w:t>In particular, we have experienced a very competitive hiring environment in Boston and Cambridge, Massachusetts.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51"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collect and use a variety of personal data, such as names, mailing addresses, email addresses, phone numbers. In addition, in connection with our TNG908 and TNG462 Phase 1/2 clinical trials, we (and our third party processors assisting with the clinical trial) will have access to, and may store, clinical and health information of the patients participating in the trial.</w:t>
      </w:r>
    </w:p>
    <w:p>
      <w:pPr>
        <w:spacing w:after="0" w:line="180"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the compounds we are developing, our screening platform technology,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87" w:lineRule="exact"/>
        <w:rPr>
          <w:sz w:val="20"/>
          <w:szCs w:val="20"/>
          <w:color w:val="auto"/>
        </w:rPr>
      </w:pPr>
    </w:p>
    <w:p>
      <w:pPr>
        <w:ind w:right="20" w:firstLine="576"/>
        <w:spacing w:after="0" w:line="257" w:lineRule="auto"/>
        <w:rPr>
          <w:sz w:val="20"/>
          <w:szCs w:val="20"/>
          <w:color w:val="auto"/>
        </w:rPr>
      </w:pPr>
      <w:r>
        <w:rPr>
          <w:rFonts w:ascii="Times New Roman" w:cs="Times New Roman" w:eastAsia="Times New Roman" w:hAnsi="Times New Roman"/>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8" w:name="page79"/>
    <w:bookmarkEnd w:id="78"/>
    <w:p>
      <w:pPr>
        <w:spacing w:after="0" w:line="253" w:lineRule="auto"/>
        <w:rPr>
          <w:sz w:val="20"/>
          <w:szCs w:val="20"/>
          <w:color w:val="auto"/>
        </w:rPr>
      </w:pPr>
      <w:r>
        <w:rPr>
          <w:rFonts w:ascii="Times New Roman" w:cs="Times New Roman" w:eastAsia="Times New Roman" w:hAnsi="Times New Roman"/>
          <w:sz w:val="18"/>
          <w:szCs w:val="18"/>
          <w:color w:val="auto"/>
        </w:rPr>
        <w:t>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other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Third parties that perform services on our behalf in connection with our research and development efforts and other operations may also hold proprietary or confidential information regarding our business on their information technology networks. The risks outlined above (and elsewhere in this risk factor) apply to any third-party service provider that holds our information, including the ability of unauthorized access to our confidential and proprietary information.</w:t>
      </w:r>
    </w:p>
    <w:p>
      <w:pPr>
        <w:spacing w:after="0" w:line="187"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Further, the California Privacy Rights Act, or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Additionally, some observers have noted that the CCPA and CPRA could mark the beginning of a trend toward more stringent privacy legislation in the U.S., which could increase our potential liability and adversely affect our business. Already, in the United States, we have witnessed significant developments at the state level, for example, comprehensive privacy laws akin to the CCPA have recently been passed in Colorado, Utah, Virginia and Colorado, and, with bills being proposed in several other states, it is quite possible that other U.S. states will follow suit. New privacy and data security laws have been proposed in more than half of the states in the U.S. and in the U.S. Congress. Further, in addition to the proposals for comprehensive consumer privacy laws, many states are considering more limited privacy bills that focus on specific issues such as biometric data. The existence of comprehensive privacy laws in different states in the country will make our compliance obligations more complex and costly.</w:t>
      </w:r>
    </w:p>
    <w:p>
      <w:pPr>
        <w:spacing w:after="0" w:line="188"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A number of states have adopted privacy laws and several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187"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18"/>
          <w:szCs w:val="18"/>
          <w:color w:val="auto"/>
        </w:rPr>
        <w:t>To enable the transfer of personal data outside of the EEA or the UK, adequate safeguards must be implemented in compliance with European and UK data protection laws (for example, the European Commission approved Standard Contractual Clauses, or SCCs). In addition, transfers made pursuant to the SCCs (and other similar appropriate transfer safeguards) need to be assessed on a case-by-case basis taking into account the legal regime applicable in the destination country, in particular regarding applicable surveillance laws and relevant rights of individuals with respect to the transferred personal data, to ensure an “essentially equivalent” level of protection to that guaranteed in the EEA in the jurisdiction where the data importer is based (“Transfer Impact Assessment”). On June 4, 2021, the EC issued new forms of SCCs for data transfers from controllers or processors in the EU/EEA (or otherwise subject to the GDPR) to controllers or processors established outside the EU/EEA. The new SCCs replace the SCCs that were adopted previously under the EU Data Protection Directive. The UK is not subject to the EC’s new SCCs but has published its own transfer mechanism, the International Data Transfer Agreement, or IDTA, along with a separate addendum to the EU SCCs), which enable transfers from the UK, and has also implemented a similar Transfer Impact Assessment requirement. The new IDTA or the U.K. addendum must be used for any new contract entered into as of September 21, 2022 and implemented in existing contracts that incorporate the prior version of the SCCs by March 21, 2024. Implementing these new safeguards will require significant effort and cost and may result in us needing to make strategic considerations around where EEA or UK personal data is utilized, processed and stored.</w:t>
      </w:r>
    </w:p>
    <w:p>
      <w:pPr>
        <w:spacing w:after="0" w:line="187"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Although the UK is regarded as a third country under the EU GDPR, the European Commission has issued a decision recognizing the UK as providing adequate protection under the EU GDPR (“Adequacy Decision”) and, therefore, transfers of personal data originating in the EEA to the UK remain unrestricted. The UK government has confirmed that personal data transfers from the UK to the EEA remain free flowing. The UK Government has also now introduced a Data Protection and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9" w:name="page80"/>
    <w:bookmarkEnd w:id="79"/>
    <w:p>
      <w:pPr>
        <w:ind w:right="60"/>
        <w:spacing w:after="0" w:line="258" w:lineRule="auto"/>
        <w:rPr>
          <w:sz w:val="20"/>
          <w:szCs w:val="20"/>
          <w:color w:val="auto"/>
        </w:rPr>
      </w:pPr>
      <w:r>
        <w:rPr>
          <w:rFonts w:ascii="Times New Roman" w:cs="Times New Roman" w:eastAsia="Times New Roman" w:hAnsi="Times New Roman"/>
          <w:sz w:val="18"/>
          <w:szCs w:val="18"/>
          <w:color w:val="auto"/>
        </w:rPr>
        <w:t>Digital Information Bill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 Commission.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183" w:lineRule="exact"/>
        <w:rPr>
          <w:sz w:val="20"/>
          <w:szCs w:val="20"/>
          <w:color w:val="auto"/>
        </w:rPr>
      </w:pPr>
    </w:p>
    <w:p>
      <w:pPr>
        <w:ind w:right="100" w:firstLine="576"/>
        <w:spacing w:after="0" w:line="266" w:lineRule="auto"/>
        <w:rPr>
          <w:sz w:val="20"/>
          <w:szCs w:val="20"/>
          <w:color w:val="auto"/>
        </w:rPr>
      </w:pPr>
      <w:r>
        <w:rPr>
          <w:rFonts w:ascii="Times New Roman" w:cs="Times New Roman" w:eastAsia="Times New Roman" w:hAnsi="Times New Roman"/>
          <w:sz w:val="18"/>
          <w:szCs w:val="18"/>
          <w:color w:val="auto"/>
        </w:rPr>
        <w:t>These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76" w:lineRule="exact"/>
        <w:rPr>
          <w:sz w:val="20"/>
          <w:szCs w:val="20"/>
          <w:color w:val="auto"/>
        </w:rPr>
      </w:pPr>
    </w:p>
    <w:p>
      <w:pPr>
        <w:ind w:right="140" w:firstLine="576"/>
        <w:spacing w:after="0" w:line="266"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76" w:lineRule="exact"/>
        <w:rPr>
          <w:sz w:val="20"/>
          <w:szCs w:val="20"/>
          <w:color w:val="auto"/>
        </w:rPr>
      </w:pPr>
    </w:p>
    <w:p>
      <w:pPr>
        <w:ind w:right="140" w:firstLine="576"/>
        <w:spacing w:after="0" w:line="255" w:lineRule="auto"/>
        <w:rPr>
          <w:sz w:val="20"/>
          <w:szCs w:val="20"/>
          <w:color w:val="auto"/>
        </w:rPr>
      </w:pPr>
      <w:r>
        <w:rPr>
          <w:rFonts w:ascii="Times New Roman" w:cs="Times New Roman" w:eastAsia="Times New Roman" w:hAnsi="Times New Roman"/>
          <w:sz w:val="18"/>
          <w:szCs w:val="18"/>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our CRO operating our trials, or our potential collaborators obtain information, as well as the providers who share this information with us, may contractually limit our ability to use and disclose the information. Claims that we or such third-party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As of December 31, 2022, we had 110 full-time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5"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51"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Based on our common stock outstanding as of December 31, 2022,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ind w:right="100"/>
        <w:spacing w:after="0" w:line="282" w:lineRule="auto"/>
        <w:rPr>
          <w:sz w:val="20"/>
          <w:szCs w:val="20"/>
          <w:color w:val="auto"/>
        </w:rPr>
      </w:pPr>
      <w:r>
        <w:rPr>
          <w:rFonts w:ascii="Times New Roman" w:cs="Times New Roman" w:eastAsia="Times New Roman" w:hAnsi="Times New Roman"/>
          <w:sz w:val="18"/>
          <w:szCs w:val="18"/>
          <w:color w:val="auto"/>
        </w:rPr>
        <w:t>a change of control of us, impeding a merger, consolidation, takeover or other business combination involving us or discouraging a potential acquirer from making a tender offer or otherwise attempting to obtain control of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right="100" w:firstLine="576"/>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188"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18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300" w:firstLine="58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right="380" w:firstLine="230"/>
        <w:spacing w:after="0" w:line="254" w:lineRule="auto"/>
        <w:rPr>
          <w:sz w:val="20"/>
          <w:szCs w:val="20"/>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 a prohibition on stockholder action through written consent, which requires that all stockholder actions be taken at a meeting of our stockholders; 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 advance notice requirements for stockholder proposals and nominations for election to our board of directors;</w:t>
      </w:r>
    </w:p>
    <w:p>
      <w:pPr>
        <w:spacing w:after="0" w:line="3" w:lineRule="exact"/>
        <w:rPr>
          <w:sz w:val="20"/>
          <w:szCs w:val="20"/>
          <w:color w:val="auto"/>
        </w:rPr>
      </w:pPr>
    </w:p>
    <w:p>
      <w:pPr>
        <w:ind w:right="40" w:firstLine="230"/>
        <w:spacing w:after="0" w:line="250" w:lineRule="auto"/>
        <w:rPr>
          <w:sz w:val="20"/>
          <w:szCs w:val="20"/>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1" w:lineRule="exact"/>
        <w:rPr>
          <w:sz w:val="20"/>
          <w:szCs w:val="20"/>
          <w:color w:val="auto"/>
        </w:rPr>
      </w:pPr>
    </w:p>
    <w:p>
      <w:pPr>
        <w:ind w:right="560" w:firstLine="230"/>
        <w:spacing w:after="0" w:line="250" w:lineRule="auto"/>
        <w:rPr>
          <w:sz w:val="20"/>
          <w:szCs w:val="20"/>
          <w:color w:val="auto"/>
        </w:rPr>
      </w:pPr>
      <w:r>
        <w:rPr>
          <w:rFonts w:ascii="Times New Roman" w:cs="Times New Roman" w:eastAsia="Times New Roman" w:hAnsi="Times New Roman"/>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ind w:right="560" w:firstLine="230"/>
        <w:spacing w:after="0" w:line="260" w:lineRule="auto"/>
        <w:rPr>
          <w:sz w:val="20"/>
          <w:szCs w:val="20"/>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81"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1" w:name="page82"/>
    <w:bookmarkEnd w:id="81"/>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51"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92"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80" w:firstLine="576"/>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19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2" w:name="page83"/>
    <w:bookmarkEnd w:id="82"/>
    <w:p>
      <w:pPr>
        <w:spacing w:after="0" w:line="254" w:lineRule="auto"/>
        <w:rPr>
          <w:sz w:val="20"/>
          <w:szCs w:val="20"/>
          <w:color w:val="auto"/>
        </w:rPr>
      </w:pPr>
      <w:r>
        <w:rPr>
          <w:rFonts w:ascii="Times New Roman" w:cs="Times New Roman" w:eastAsia="Times New Roman" w:hAnsi="Times New Roman"/>
          <w:sz w:val="18"/>
          <w:szCs w:val="18"/>
          <w:color w:val="auto"/>
        </w:rPr>
        <w:t>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right="120" w:firstLine="576"/>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ind w:right="180" w:firstLine="584"/>
        <w:spacing w:after="0" w:line="266"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competitive products or technologies;</w:t>
      </w:r>
    </w:p>
    <w:p>
      <w:pPr>
        <w:spacing w:after="0" w:line="27" w:lineRule="exact"/>
        <w:rPr>
          <w:sz w:val="20"/>
          <w:szCs w:val="20"/>
          <w:color w:val="auto"/>
        </w:rPr>
      </w:pPr>
    </w:p>
    <w:p>
      <w:pPr>
        <w:ind w:left="240" w:right="3520"/>
        <w:spacing w:after="0" w:line="250" w:lineRule="auto"/>
        <w:rPr>
          <w:sz w:val="20"/>
          <w:szCs w:val="20"/>
          <w:color w:val="auto"/>
        </w:rPr>
      </w:pPr>
      <w:r>
        <w:rPr>
          <w:rFonts w:ascii="Times New Roman" w:cs="Times New Roman" w:eastAsia="Times New Roman" w:hAnsi="Times New Roman"/>
          <w:sz w:val="18"/>
          <w:szCs w:val="18"/>
          <w:color w:val="auto"/>
        </w:rPr>
        <w:t>advancement of our preclinical programs, such as our targeted oncology programs, into clinical testing; results of clinical trials of our product candidates or those of our competitors;</w:t>
      </w:r>
    </w:p>
    <w:p>
      <w:pPr>
        <w:spacing w:after="0"/>
        <w:rPr>
          <w:sz w:val="20"/>
          <w:szCs w:val="20"/>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9" w:lineRule="exact"/>
        <w:rPr>
          <w:sz w:val="20"/>
          <w:szCs w:val="20"/>
          <w:color w:val="auto"/>
        </w:rPr>
      </w:pPr>
    </w:p>
    <w:p>
      <w:pPr>
        <w:ind w:left="240" w:right="3840"/>
        <w:spacing w:after="0" w:line="250" w:lineRule="auto"/>
        <w:rPr>
          <w:sz w:val="20"/>
          <w:szCs w:val="20"/>
          <w:color w:val="auto"/>
        </w:rPr>
      </w:pPr>
      <w:r>
        <w:rPr>
          <w:rFonts w:ascii="Times New Roman" w:cs="Times New Roman" w:eastAsia="Times New Roman" w:hAnsi="Times New Roman"/>
          <w:sz w:val="18"/>
          <w:szCs w:val="18"/>
          <w:color w:val="auto"/>
        </w:rPr>
        <w:t>developments or disputes concerning patent applications, issued patents or other proprietary rights; the recruitment or departure of key personnel;</w:t>
      </w:r>
    </w:p>
    <w:p>
      <w:pPr>
        <w:ind w:left="240" w:right="1900"/>
        <w:spacing w:after="0" w:line="250" w:lineRule="auto"/>
        <w:rPr>
          <w:sz w:val="20"/>
          <w:szCs w:val="20"/>
          <w:color w:val="auto"/>
        </w:rPr>
      </w:pPr>
      <w:r>
        <w:rPr>
          <w:rFonts w:ascii="Times New Roman" w:cs="Times New Roman" w:eastAsia="Times New Roman" w:hAnsi="Times New Roman"/>
          <w:sz w:val="18"/>
          <w:szCs w:val="18"/>
          <w:color w:val="auto"/>
        </w:rPr>
        <w:t>the level of expenses related to any of our programs and product candidates or preclinical and clinical development programs; the results of our efforts to discover, develop, acquire or in-license additional product candidates or products;</w:t>
      </w:r>
    </w:p>
    <w:p>
      <w:pPr>
        <w:ind w:left="240" w:right="1540"/>
        <w:spacing w:after="0" w:line="250" w:lineRule="auto"/>
        <w:rPr>
          <w:sz w:val="20"/>
          <w:szCs w:val="20"/>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 variations in our financial results or those of companies that are perceived to be similar to us;</w:t>
      </w:r>
    </w:p>
    <w:p>
      <w:pPr>
        <w:ind w:left="240" w:right="4000"/>
        <w:spacing w:after="0" w:line="250" w:lineRule="auto"/>
        <w:rPr>
          <w:sz w:val="20"/>
          <w:szCs w:val="20"/>
          <w:color w:val="auto"/>
        </w:rPr>
      </w:pPr>
      <w:r>
        <w:rPr>
          <w:rFonts w:ascii="Times New Roman" w:cs="Times New Roman" w:eastAsia="Times New Roman" w:hAnsi="Times New Roman"/>
          <w:sz w:val="18"/>
          <w:szCs w:val="18"/>
          <w:color w:val="auto"/>
        </w:rPr>
        <w:t>changes in the structure of healthcare payment systems and third-party reimbursement decisions; market conditions in the pharmaceutical and biotechnology sectors;</w:t>
      </w:r>
    </w:p>
    <w:p>
      <w:pPr>
        <w:ind w:left="240" w:right="4640"/>
        <w:spacing w:after="0" w:line="250" w:lineRule="auto"/>
        <w:rPr>
          <w:sz w:val="20"/>
          <w:szCs w:val="20"/>
          <w:color w:val="auto"/>
        </w:rPr>
      </w:pPr>
      <w:r>
        <w:rPr>
          <w:rFonts w:ascii="Times New Roman" w:cs="Times New Roman" w:eastAsia="Times New Roman" w:hAnsi="Times New Roman"/>
          <w:sz w:val="18"/>
          <w:szCs w:val="18"/>
          <w:color w:val="auto"/>
        </w:rPr>
        <w:t>purchases or sales of our securities by our officers, directors or significant shareholders; limited trading volume;</w:t>
      </w:r>
    </w:p>
    <w:p>
      <w:pPr>
        <w:ind w:left="240" w:right="6860"/>
        <w:spacing w:after="0" w:line="290" w:lineRule="auto"/>
        <w:rPr>
          <w:sz w:val="20"/>
          <w:szCs w:val="20"/>
          <w:color w:val="auto"/>
        </w:rPr>
      </w:pPr>
      <w:r>
        <w:rPr>
          <w:rFonts w:ascii="Times New Roman" w:cs="Times New Roman" w:eastAsia="Times New Roman" w:hAnsi="Times New Roman"/>
          <w:sz w:val="17"/>
          <w:szCs w:val="17"/>
          <w:color w:val="auto"/>
        </w:rPr>
        <w:t>general economic, industry and market conditions; and the other factors described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w:t>
      </w:r>
    </w:p>
    <w:p>
      <w:pPr>
        <w:spacing w:after="0" w:line="15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20" w:firstLine="576"/>
        <w:spacing w:after="0" w:line="268"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83" w:name="page84"/>
    <w:bookmarkEnd w:id="83"/>
    <w:p>
      <w:pPr>
        <w:ind w:right="20" w:firstLine="576"/>
        <w:spacing w:after="0" w:line="269" w:lineRule="auto"/>
        <w:rPr>
          <w:sz w:val="20"/>
          <w:szCs w:val="20"/>
          <w:color w:val="auto"/>
        </w:rPr>
      </w:pPr>
      <w:r>
        <w:rPr>
          <w:rFonts w:ascii="Times New Roman" w:cs="Times New Roman" w:eastAsia="Times New Roman" w:hAnsi="Times New Roman"/>
          <w:sz w:val="17"/>
          <w:szCs w:val="17"/>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15" w:lineRule="exact"/>
        <w:rPr>
          <w:sz w:val="20"/>
          <w:szCs w:val="20"/>
          <w:color w:val="auto"/>
        </w:rPr>
      </w:pPr>
    </w:p>
    <w:p>
      <w:pPr>
        <w:ind w:right="22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40" w:firstLine="576"/>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00" w:firstLine="576"/>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could adversely affect our business operations, financial condition and results of operations.</w:t>
      </w:r>
    </w:p>
    <w:p>
      <w:pPr>
        <w:spacing w:after="0" w:line="51" w:lineRule="exact"/>
        <w:rPr>
          <w:sz w:val="20"/>
          <w:szCs w:val="20"/>
          <w:color w:val="auto"/>
        </w:rPr>
      </w:pPr>
    </w:p>
    <w:p>
      <w:pPr>
        <w:ind w:right="20" w:firstLine="576"/>
        <w:spacing w:after="0" w:line="253"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4" w:name="page85"/>
    <w:bookmarkEnd w:id="84"/>
    <w:p>
      <w:pPr>
        <w:ind w:right="20"/>
        <w:spacing w:after="0" w:line="261" w:lineRule="auto"/>
        <w:rPr>
          <w:sz w:val="20"/>
          <w:szCs w:val="20"/>
          <w:color w:val="auto"/>
        </w:rPr>
      </w:pPr>
      <w:r>
        <w:rPr>
          <w:rFonts w:ascii="Times New Roman" w:cs="Times New Roman" w:eastAsia="Times New Roman" w:hAnsi="Times New Roman"/>
          <w:sz w:val="18"/>
          <w:szCs w:val="18"/>
          <w:color w:val="auto"/>
        </w:rPr>
        <w:t>uninsured deposit accounts, borrowers under credit agreements, letters of credit and certain other financial instruments with SVB, Signature Bank or any other financial institution that is placed into receivership by the FDIC may be unable to access undrawn amounts thereunder. We did hold certain funds in a deposit account with SVB, and while we now have access to those funds, we did not have access for a short time leading up to the events on March 10, 2023.</w:t>
      </w:r>
    </w:p>
    <w:p>
      <w:pPr>
        <w:spacing w:after="0" w:line="180"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9" w:lineRule="exact"/>
        <w:rPr>
          <w:sz w:val="20"/>
          <w:szCs w:val="20"/>
          <w:color w:val="auto"/>
        </w:rPr>
      </w:pPr>
    </w:p>
    <w:p>
      <w:pPr>
        <w:jc w:val="both"/>
        <w:ind w:right="320" w:firstLine="576"/>
        <w:spacing w:after="0" w:line="266"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our cash resources are adequate to fund our operations into at least 2025. But if the banks in which we hold our cash and cash equivalents were to experience bankruptcy or suspend operations, in such case, the amounts above the level insured by the FDIC may not be available to us immediately, or at all.</w:t>
      </w:r>
    </w:p>
    <w:p>
      <w:pPr>
        <w:spacing w:after="0" w:line="176" w:lineRule="exact"/>
        <w:rPr>
          <w:sz w:val="20"/>
          <w:szCs w:val="20"/>
          <w:color w:val="auto"/>
        </w:rPr>
      </w:pPr>
    </w:p>
    <w:p>
      <w:pPr>
        <w:ind w:right="220" w:firstLine="576"/>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 or</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225"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9"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our business and financial condition.</w:t>
      </w:r>
    </w:p>
    <w:p>
      <w:pPr>
        <w:spacing w:after="0" w:line="121" w:lineRule="exact"/>
        <w:rPr>
          <w:sz w:val="20"/>
          <w:szCs w:val="20"/>
          <w:color w:val="auto"/>
        </w:rPr>
      </w:pPr>
    </w:p>
    <w:p>
      <w:pPr>
        <w:ind w:right="60" w:firstLine="576"/>
        <w:spacing w:after="0" w:line="254" w:lineRule="auto"/>
        <w:rPr>
          <w:sz w:val="20"/>
          <w:szCs w:val="20"/>
          <w:color w:val="auto"/>
        </w:rPr>
      </w:pPr>
      <w:r>
        <w:rPr>
          <w:rFonts w:ascii="Times New Roman" w:cs="Times New Roman" w:eastAsia="Times New Roman" w:hAnsi="Times New Roman"/>
          <w:sz w:val="18"/>
          <w:szCs w:val="18"/>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potential future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Complying with these tax laws is complex and the statutes and regulations can be subject to varying interpretation which can make compliance challenging.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right="20" w:firstLine="576"/>
        <w:spacing w:after="0" w:line="270"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For example, the United States and other countries are experiencing increased inflation and interest rates have increased in response to this inflation These conditions in the U.S. and global economy have caused significant volatility and uncertainty in U.S. and international markets. A severe or prolonged economic downturn, a marked increase in interest rates and inflation could result in a variety of risks to our business, including, weakened demand for our product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5" w:name="page86"/>
    <w:bookmarkEnd w:id="85"/>
    <w:p>
      <w:pPr>
        <w:ind w:right="20"/>
        <w:spacing w:after="0" w:line="256" w:lineRule="auto"/>
        <w:rPr>
          <w:sz w:val="20"/>
          <w:szCs w:val="20"/>
          <w:color w:val="auto"/>
        </w:rPr>
      </w:pPr>
      <w:r>
        <w:rPr>
          <w:rFonts w:ascii="Times New Roman" w:cs="Times New Roman" w:eastAsia="Times New Roman" w:hAnsi="Times New Roman"/>
          <w:sz w:val="18"/>
          <w:szCs w:val="18"/>
          <w:color w:val="auto"/>
        </w:rPr>
        <w:t>candidates (if and when approved by regulatory authorities) and our ability to raise additional capital when needed on acceptable terms, if at all. In addition, our business may be generally exposed to the impact of political or civil unrest or military action, including the current conflict between Russia and Ukraine (where a vendor that performs chemistry related work on our pre-clinical product candidates is located) and, while we do not otherwise have direct exposure to Ukraine, our business and results of operations may be impacted based upon the events taking place there. A weak or declining economy could also strain our suppliers and the global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you may not be able to resell your shares at the price you paid.</w:t>
      </w:r>
    </w:p>
    <w:p>
      <w:pPr>
        <w:spacing w:after="0" w:line="121"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60" w:firstLine="576"/>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at 201 Brookline Avenue, Boston, Massachusetts, where we lease and occupy approximately 64,805 square feet of office and laboratory space. The term of our amended lease with respect to this facility expires on January 31, 2033, however, under certain circumstances, this lease may terminate on an earlier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00" w:firstLine="576"/>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68"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8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common stock currently trades on The Nasdaq Global Market under the symbol "TNGX".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ind w:right="440" w:firstLine="576"/>
        <w:spacing w:after="0" w:line="282" w:lineRule="auto"/>
        <w:rPr>
          <w:sz w:val="20"/>
          <w:szCs w:val="20"/>
          <w:color w:val="auto"/>
        </w:rPr>
      </w:pPr>
      <w:r>
        <w:rPr>
          <w:rFonts w:ascii="Times New Roman" w:cs="Times New Roman" w:eastAsia="Times New Roman" w:hAnsi="Times New Roman"/>
          <w:sz w:val="18"/>
          <w:szCs w:val="18"/>
          <w:color w:val="auto"/>
        </w:rPr>
        <w:t>As of March 20, 2023, there were approximately 35 stockholders of record of our common stock. Certain shares are held in “street” name and accordingly, the number of beneficial owners of such shares is not known or included in the foregoing number of stockholders of record.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to fund the development and expansion of our business. We have never declared or paid cash dividends on our common stock, and we do not expect to pay any cash dividends on our common stock in the foreseeable future. Payment of future dividends, if any, on our common stock will be at the discretion of our board of directors after taking into account various factors, including our financial condition, operating results, anticipated cash needs, and other factors that the board of directors may deem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we did not issue or sell any unregistered securities not previously disclosed in an Annual Report on Form 10-K or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references in this Management’s Discussion and Analysis of Financial Condition and Results of Operations section to “Tango,” “we,” “us,” “our” and other similar terms refer to our wholly-owned subsidiary Tango Therapeutics Sub, Inc. and its subsidiary prior to the closing of the business combination with BCTG Acquisition Corp. and to Tango Therapeutics, Inc. and its consolidated subsidiaries after giving effect to the Business Combination.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tumor suppressor gene loss, killing those cancer cells while sparing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our approach will provide the ability to deliver the deep, sustained target inhibition necessary to optimize tumor response and clinical benefit as a result of the unique ability of synthetic lethal targeting to spare normal cells.</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lead program, TNG908, is an MTA-cooperative inhibitor of PRMT5 designed to work selectively in cancer cells with an MTAP deletion. MTAP-deletion occurs in approximately 10% to 15% of all human tumors including NSCLC, mesothelioma, pancreatic cancer, cholangiocarcinoma and GBM. In preclinical studies, TNG908 demonstrated 15-fold greater potency in MTAP-deleted cancer cells versus normal cells and robust efficacy in vitro and in vivo. Patients are actively being enrolled in the Phase 1/2 clinical trial and we expect to provide an update on the ongoing dose escalation portion of the trial, focusing on proof-of-mechanism, in the second quarter of 2023.</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Given the large number of patients with MTAP-deleted cancers who may benefit from a PRMT5 inhibitor, and the resulting business opportunity, we also developed a next-generation PRMT5 inhibitor, TNG462, with increased potency, MTAP-deletion selectivity, as well as longer target coverage. TNG462 is 45 times more potent in cells with an MTAP deletion than those without and induces deep tumor regressions in preclinical models of multiple cancer types which is expected to significantly increase the therapeutic index. The clinical development path for TNG462 is expected to be similar to TNG908, evaluating safety and efficacy in multiple tumor types in a Phase 1/2 clinical trial. GBM will be excluded from the clinical trial as TNG462 is not expected to cross the blood-brain barrier. We expect to initiate the Phase 1/2 clinical trial for TNG462 in mid-2023.</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Discovered as part of our immune evasion target discovery platform, TNG260 is a first-in-class, CoREST inhibitor, which reverses the immune evasion effect of STK11 loss-of-function mutations. STK11 loss-of-function mutations are present in approximately 15% of NSCLC, 15% of cervical cancers, 10% of carcinoma of unknown primary, 5% of breast cancers and 3% of pancreatic cancers. In syngeneic models with an STK11 mutation and an intact immune system, the combination of TNG260 with an anti-PD-1 antibody resulted in sustained complete tumor regressions and the induction of immune memory against re-implantation of tumors. We plan to file an IND for TNG260 in the first half of 2023. We expect that TNG260 will be among the first oncology molecules to leverage the benefits of genetically-based patient selection (STK11-mutation) with checkpoint inhibitor therapy.</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developing TNG348, a novel allosteric inhibitor of USP1 for treatment of BRCA1, BRCA2-mutant and other HRD+ cancers. BRCA1 or BRCA 2 mutations are present in approximately 15% of ovarian, 10% of breast, 10% of prostate, 5% of endometrial and 5% of pancreatic cancers and additionally, BRCA wild-type HRD+ mutations are present in approximately 40% of ovarian, 15% of breast, 3% of prostate and 2% of pancreatic cancers. In vivo preclinical studies for TNG348 have shown single agent efficacy and combination benefit with PARP inhibitors in BRCA1, BRCA2-mutant and</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88" w:name="page89"/>
    <w:bookmarkEnd w:id="88"/>
    <w:p>
      <w:pPr>
        <w:ind w:right="140"/>
        <w:spacing w:after="0" w:line="261" w:lineRule="auto"/>
        <w:rPr>
          <w:sz w:val="20"/>
          <w:szCs w:val="20"/>
          <w:color w:val="auto"/>
        </w:rPr>
      </w:pPr>
      <w:r>
        <w:rPr>
          <w:rFonts w:ascii="Times New Roman" w:cs="Times New Roman" w:eastAsia="Times New Roman" w:hAnsi="Times New Roman"/>
          <w:sz w:val="18"/>
          <w:szCs w:val="18"/>
          <w:color w:val="auto"/>
        </w:rPr>
        <w:t>other HRD+ cell-line and patient derived xenografts, including those that are intrinsically resistant to PARP inhibition. These preclinical data further demonstrate that TNG348 is synergistic with PARP inhibition across a panel of human ovarian and breast cancer cell lines, including both PARP inhibitor sensitive and resistant lines. Clinically, we expect TNG348 to have single agent activity in PARP inhibitor -naïve and PARP inhibitor-resistant BRCA1/2 mutant and other HRD+ cancers, and to synergize with PARP inhibitors. We expect to file an IND for this program in mid-2023.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April 13, 2021, the Company, BCTG Merger Sub Inc., a Delaware corporation, and Tango Therapeutics, Inc. (now known as Tango Therapeutics Sub, Inc., or Old Tango) signed a definitive merger agreement, or the Merger Agreement, memorializing the terms of BCTG’s acquisition of 100% of Old Tango’s issued and outstanding equity securities in exchange for $550.0 million worth of consideration in the form of BCTG common stock, or the Business Combination. The Business Combination was approved on August 9, 2021 by shareholders of BCTG, resulting in BCTG acquiring 100% of our issued and outstanding equity securities on August 10, 2021. Upon the closing of the Business Combination, BCTG Merger Sub Inc. merged with and into Tango, with Tango as the surviving company in the Merger, and BCTG changed its name to “Tango Therapeutics, Inc.”, or New Tango. For additional information on the Business Combination, see Note 3 to the audited consolidated financial statements included elsewhere in this Annual Report on Form 10-K.</w:t>
      </w:r>
    </w:p>
    <w:p>
      <w:pPr>
        <w:spacing w:after="0" w:line="19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received gross proceeds of $167.1 million upon the closing of the Business Combination. Simultaneous with the closing of the Business Combination, Tango entered into agreements with certain investors, the PIPE Investors, pursuant to which these PIPE Investors purchased 18,610,000 shares of our common stock at $10.00 per share, for aggregate gross proceeds of $186.1 million, upon the closing of the PIPE financing. Total transaction costs and redemptions totaled $26.9 million, resulting in total net proceeds of $326.3 million.</w:t>
      </w:r>
    </w:p>
    <w:p>
      <w:pPr>
        <w:spacing w:after="0" w:line="1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conversion ratio of 0.34. At the effective time of the Business Combination, each option to purchase Old Tango common stock became an option to purchase shares of New Tango common stock, subject to adjustment in accordance with the exchange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Since the Company's (Old Tango)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through the closing of the Business Combination and PIPE Financing transactions (as described above) and another $220.1 million through our collaboration with Gilead.</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December 31, 2022 of $366.1 million will enable us to fund our operating expenses and capital expenditure requirements at least into 2025. Since inception, we have incurred significant operating losses. For the years ended December 31, 2022 and 2021, our net losses were $108.2 million and $58.2 million, respectively. We had an accumulated deficit of $269.5 million as of December 31, 2022.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ind w:right="20"/>
        <w:spacing w:after="0" w:line="261" w:lineRule="auto"/>
        <w:rPr>
          <w:sz w:val="20"/>
          <w:szCs w:val="20"/>
          <w:color w:val="auto"/>
        </w:rPr>
      </w:pPr>
      <w:r>
        <w:rPr>
          <w:rFonts w:ascii="Times New Roman" w:cs="Times New Roman" w:eastAsia="Times New Roman" w:hAnsi="Times New Roman"/>
          <w:sz w:val="18"/>
          <w:szCs w:val="18"/>
          <w:color w:val="auto"/>
        </w:rPr>
        <w:t>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2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October 2018, we entered into a collaboration agreement with Gilead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2020, the 2018 Gilead Agreement was expanded into a broader collaboration via an amended and restated research collaboration and license agreement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2020 and September 2021, Gilead elected to extend two programs for research extension fees totaling $24.0 million, which was added to our estimate of the transaction price to total $199.0 million. A total of $2.0 million of fees related to the research extensions have not been received as of December 31, 2022 as these were determined to be conditional upon the satisfaction of additional research obligations, and thus a contract asset, however, we determined that achievement of the entire research extension fees was probable and that a significant reversal in the amount of cumulative revenue recognized would not occur.</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April 2021, Gilead licensed a program for an $11.0 million fee. The $11.0 million license fee was received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$82.6 million has been recognized as collaboration revenue related to the upfront and research extension payments from the Gilead agreements.</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we recognized $24.9 million and $26.0 million, respectively, of collaboration revenue associated with the Gilead Agreements based on performance completed during each period.</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Refer to Note 2 and Note 4 to our audited consolidated financial statements included elsewhere in this Annual Report on Form 10-K for additional information regarding our revenue recognition accounting policy and our collaboration agreement with Gilead.</w:t>
      </w: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54" w:lineRule="exact"/>
        <w:rPr>
          <w:sz w:val="20"/>
          <w:szCs w:val="20"/>
          <w:color w:val="auto"/>
        </w:rPr>
      </w:pPr>
    </w:p>
    <w:p>
      <w:pPr>
        <w:ind w:left="1140" w:right="60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140" w:right="78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utilities and insurance.</w:t>
      </w:r>
    </w:p>
    <w:p>
      <w:pPr>
        <w:spacing w:after="0" w:line="225"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8"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130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9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28,185</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105,906</w:t>
            </w:r>
          </w:p>
        </w:tc>
        <w:tc>
          <w:tcPr>
            <w:tcW w:w="3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77,636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1" w:name="page92"/>
    <w:bookmarkEnd w:id="91"/>
    <w:p>
      <w:pPr>
        <w:ind w:right="160"/>
        <w:spacing w:after="0" w:line="258" w:lineRule="auto"/>
        <w:rPr>
          <w:sz w:val="20"/>
          <w:szCs w:val="20"/>
          <w:color w:val="auto"/>
        </w:rPr>
      </w:pPr>
      <w:r>
        <w:rPr>
          <w:rFonts w:ascii="Times New Roman" w:cs="Times New Roman" w:eastAsia="Times New Roman" w:hAnsi="Times New Roman"/>
          <w:sz w:val="18"/>
          <w:szCs w:val="18"/>
          <w:color w:val="auto"/>
        </w:rPr>
        <w:t>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increase significantly with the commencement and continuation of our clinical trials. We anticipate that our expenses will increase substantially, particularly due to the numerous risks and uncertainties associated with developing product candidates, including the uncertainty of:</w:t>
      </w:r>
    </w:p>
    <w:p>
      <w:pPr>
        <w:spacing w:after="0" w:line="75" w:lineRule="exact"/>
        <w:rPr>
          <w:sz w:val="20"/>
          <w:szCs w:val="20"/>
          <w:color w:val="auto"/>
        </w:rPr>
      </w:pPr>
    </w:p>
    <w:p>
      <w:pPr>
        <w:ind w:left="1140" w:right="580" w:hanging="383"/>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European Medicines Agency (EMA), or another regulatory authority were to delay our planned start of clinical trials or require us to conduct clinical trials or other testing beyond those that we currently expect or if we experience significant delays in enrollment in any of our clinical trials, we could be required to expend significant additional financial resources and time on the completion of clinical development of that product candidate.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2" w:name="page93"/>
    <w:bookmarkEnd w:id="9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consists of miscellaneous income and expense unrelated to our core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For the years ended December 31, 2022 and December 31, 2021, we recorded an income tax provision of $0.1 million and $0.3 million, respectively.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80" w:type="dxa"/>
            <w:vAlign w:val="bottom"/>
            <w:gridSpan w:val="5"/>
          </w:tcPr>
          <w:p>
            <w:pPr>
              <w:jc w:val="right"/>
              <w:ind w:right="12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440" w:type="dxa"/>
            <w:vAlign w:val="bottom"/>
            <w:gridSpan w:val="2"/>
            <w:vMerge w:val="restart"/>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(1,182 )</w:t>
            </w: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1020" w:type="dxa"/>
            <w:vAlign w:val="bottom"/>
          </w:tcPr>
          <w:p>
            <w:pPr>
              <w:spacing w:after="0"/>
              <w:rPr>
                <w:sz w:val="20"/>
                <w:szCs w:val="20"/>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(11,000 )</w:t>
            </w:r>
          </w:p>
        </w:tc>
        <w:tc>
          <w:tcPr>
            <w:tcW w:w="0" w:type="dxa"/>
            <w:vAlign w:val="bottom"/>
          </w:tcPr>
          <w:p>
            <w:pPr>
              <w:spacing w:after="0"/>
              <w:rPr>
                <w:sz w:val="1"/>
                <w:szCs w:val="1"/>
                <w:color w:val="auto"/>
              </w:rPr>
            </w:pPr>
          </w:p>
        </w:tc>
      </w:tr>
      <w:tr>
        <w:trPr>
          <w:trHeight w:val="241"/>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3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105,906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77,636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135,931</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95,232</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98"/>
              </w:rPr>
              <w:t>(111,071 )</w:t>
            </w:r>
          </w:p>
        </w:tc>
        <w:tc>
          <w:tcPr>
            <w:tcW w:w="24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(58,190 )</w:t>
            </w:r>
          </w:p>
        </w:tc>
        <w:tc>
          <w:tcPr>
            <w:tcW w:w="3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(52,881 )</w:t>
            </w:r>
          </w:p>
        </w:tc>
        <w:tc>
          <w:tcPr>
            <w:tcW w:w="0" w:type="dxa"/>
            <w:vAlign w:val="bottom"/>
          </w:tcPr>
          <w:p>
            <w:pPr>
              <w:spacing w:after="0"/>
              <w:rPr>
                <w:sz w:val="1"/>
                <w:szCs w:val="1"/>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(248 )</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0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3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(108,122</w:t>
            </w:r>
          </w:p>
        </w:tc>
        <w:tc>
          <w:tcPr>
            <w:tcW w:w="3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(57,943</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(50,179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Pr>
          <w:p>
            <w:pPr>
              <w:spacing w:after="0"/>
              <w:rPr>
                <w:sz w:val="20"/>
                <w:szCs w:val="20"/>
                <w:color w:val="auto"/>
              </w:rPr>
            </w:pPr>
          </w:p>
        </w:tc>
        <w:tc>
          <w:tcPr>
            <w:tcW w:w="1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(54 )</w:t>
            </w:r>
          </w:p>
        </w:tc>
        <w:tc>
          <w:tcPr>
            <w:tcW w:w="24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(292 )</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(108,176</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(49,941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-1276350</wp:posOffset>
            </wp:positionV>
            <wp:extent cx="7747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-1276350</wp:posOffset>
            </wp:positionV>
            <wp:extent cx="6858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-650875</wp:posOffset>
            </wp:positionV>
            <wp:extent cx="7747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-650875</wp:posOffset>
            </wp:positionV>
            <wp:extent cx="685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of $24.9 million and $26.0 million for the years ended December 31, 2022 and 2021, respectively, was derived from the Gilead collaboration. The decrease of $1.2 million is primarily due to lower research costs incurred under the collaboration during the year ended December 31, 2022 resulting in lower collaboration revenue recognized.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License revenue of $11.0 million for the year ended December 31, 2021 was derived from the Gilead collaboration. The decrease of $11.0 million is primarily due to Gilead licensing a program for $11.0 million during the second quarter of 2021 as compared to no programs licensed during the year ended December 31, 2022.</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was $105.9 million for the year ended December 31, 2022 compared to $77.6 million for the year ended December 31, 2021. The increase of $28.3 million was primarily due to a $15.9 million increase in preclinical, clinical development and manufacturing activities to advance our programs, mainly TNG462 and TNG260. Personnel-related costs increased $6.9 million primarily due to an increase of share-based compensation expense and additional headcount to support our research and development activities. Additionally, facilities costs increased by $2.3 million due to expenses incurred related to the new lease at 201 Brookline Avenue in Boston, Massachusetts.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was $30.0 million for the year ended December 31, 2022 compared to $17.6 million for the year ended December 31, 2021. The increase of $12.4 million was primarily due to a $7.4 million increase in personnel-related costs due to an increase in share-based compensation expense and additional headcount. Additionally, insurance related costs increased $1.8 million due to becoming a public company, and consulting, legal, and professional fees increased $1.7 million.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$1.5 million for the year ended December 31, 2022 compared to $0.5 million for the year ended December 31, 2021. The increase of $1.0 million was primarily due to an increase in interest rates in 2022 as compared to 2021.</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$1.5 million for the year ended December 31, 2022 compared to other expense, net of $0.2 million for the year ended December 31, 2021, with the increase being attributed to accretion on investments purchased at a discount.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Provision for income taxes was $0.1 million for the year ended December 31, 2022 compared to $0.3 million for the year ended December 31, 2021. The income tax provision amount for the period ended December 31, 2022 is primarily attributable to state taxes on interest income earned on marketable securities. The income tax provision amount for the period ended December 31, 2021 is primarily attributable to taxable deferred revenue partially offset by the utilization of federal and state net operating losses and federal and state tax credits.</w:t>
      </w:r>
    </w:p>
    <w:p>
      <w:pPr>
        <w:spacing w:after="0" w:line="176"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approximately $166.9 million of gross proceeds from the private placement of preferred shares, $342.1 million of gross proceeds from the Business Combination and PIPE Financing transactions, and $220.1 million through the collaboration and license agreement with Gilead. As of December 31, 2022, we had cash and cash equivalents and marketable securities of $366.1 million.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on hand as of December 31, 2022 of $366.1 million will enable us to fund our operating expenses and capital expenditure requirements at least into 2025. We have based this estimate on assumptions that may prove to be wrong, and we could expend our capital resources sooner than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years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0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(109,080 )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(59,527 )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(49,553 )</w:t>
            </w: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(183,434 )</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357,325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(355,710 )</w:t>
            </w: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(81,066 )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114,364</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(195,430 )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-187960</wp:posOffset>
            </wp:positionV>
            <wp:extent cx="7747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Net cash used in operating activities was $109.1 million for the year ended December 31, 2022 compared to net cash used in operating activities of $59.5 million for the year ended December 31, 2021. The net cash used in operations for the year ended December 31, 2022 was primarily driven by the net loss of $108.2 million as a direct result of higher operating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95" w:name="page96"/>
    <w:bookmarkEnd w:id="95"/>
    <w:p>
      <w:pPr>
        <w:ind w:right="240"/>
        <w:spacing w:after="0" w:line="282" w:lineRule="auto"/>
        <w:rPr>
          <w:sz w:val="20"/>
          <w:szCs w:val="20"/>
          <w:color w:val="auto"/>
        </w:rPr>
      </w:pPr>
      <w:r>
        <w:rPr>
          <w:rFonts w:ascii="Times New Roman" w:cs="Times New Roman" w:eastAsia="Times New Roman" w:hAnsi="Times New Roman"/>
          <w:sz w:val="18"/>
          <w:szCs w:val="18"/>
          <w:color w:val="auto"/>
        </w:rPr>
        <w:t>expenses related to the advancement of our programs and personnel-related costs. The net cash used in operations for the year ended December 31, 2021 was primarily driven by a net loss of $58.2 million.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$26.4 million for the year ended December 31, 2022 compared to net cash used in investing activities of $183.4 million for the year ended December 31, 2021. The increase in cash provided by investing activities was primarily due to a decrease in purchases of marketable securities and was partially offset by an increase in sales and maturities of marketable securities.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$1.6 million for the year ended December 31, 2022 compared to net cash provided by financing activities of $357.3 million for the year ended December 31, 2021. The decrease in net cash provided by financing activities was a result of net proceeds of $326.3 million received upon the closing of the Business Combination and PIPE Financing in August 2021, as well as $30.0 million in proceeds related to the issuance of shares of redeemable convertible Series B preferred stock in March 2021. The net cash provided by financing activities for the year ended December 31, 2022 was primarily a result of cash provided from the exercises of stock options and ESPP purchases.</w:t>
      </w:r>
    </w:p>
    <w:p>
      <w:pPr>
        <w:spacing w:after="0" w:line="183"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On September 1, 2022, we filed a Form S-3 Registration Statement and an accompanying prospectus for an at-the-market, or ATM, offering program and entered into a sales agreement with Jefferies LLC, relating to shares of our common stock. Pursuant to the terms of the sales agreement, we may offer and sell shares of common stock, having an aggregate price of up to $100.0 million from time to time. During the year ended December 31, 2022, we did not make any sales under the ATM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2022 and the effects that such obligations are expected to have on our liquidity and cash flows in future periods: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21"/>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9"/>
              </w:rPr>
              <w:t>1 – 3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61,247</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61,247</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22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11,725</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-170815</wp:posOffset>
            </wp:positionV>
            <wp:extent cx="7747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6858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December 31, 2022. Refer to Note 8 to our audited consolidated financial statements included elsewhere in this Annual Report on Form 10-K for additional discussion of the lease.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December 31, 2022.</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December 31, 2022 and December 31, 2021, we were unable to estimate the timing or likelihood of achieving these milestones or generating future product sales. Refer to Note 9 of our audited consolidated financial statements and related notes for the year ended December 31, 2022 included in this Annual Report on Form 10-K for a description of our license agreement.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this Annual Report on Form 10-K for the year ended December 31, 2022, we believe that the following accounting policies are those most critical to the judgments and estimates used in the preparation of our 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0"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7" w:name="page98"/>
    <w:bookmarkEnd w:id="97"/>
    <w:p>
      <w:pPr>
        <w:ind w:right="80"/>
        <w:spacing w:after="0" w:line="261" w:lineRule="auto"/>
        <w:rPr>
          <w:sz w:val="20"/>
          <w:szCs w:val="20"/>
          <w:color w:val="auto"/>
        </w:rPr>
      </w:pPr>
      <w:r>
        <w:rPr>
          <w:rFonts w:ascii="Times New Roman" w:cs="Times New Roman" w:eastAsia="Times New Roman" w:hAnsi="Times New Roman"/>
          <w:sz w:val="18"/>
          <w:szCs w:val="18"/>
          <w:color w:val="auto"/>
        </w:rPr>
        <w:t>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80"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76"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8" w:name="page99"/>
    <w:bookmarkEnd w:id="98"/>
    <w:p>
      <w:pPr>
        <w:ind w:right="140"/>
        <w:spacing w:after="0" w:line="255" w:lineRule="auto"/>
        <w:rPr>
          <w:sz w:val="20"/>
          <w:szCs w:val="20"/>
          <w:color w:val="auto"/>
        </w:rPr>
      </w:pPr>
      <w:r>
        <w:rPr>
          <w:rFonts w:ascii="Times New Roman" w:cs="Times New Roman" w:eastAsia="Times New Roman" w:hAnsi="Times New Roman"/>
          <w:sz w:val="18"/>
          <w:szCs w:val="18"/>
          <w:color w:val="auto"/>
        </w:rPr>
        <w:t>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estimate the fair value of our stock option awards using the Black 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The fair value of each share of common stock underlying stock-based awards is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18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measure stock-based awards granted to employees, non-employees and directors based on their fair value on the date of the grant using the Black Scholes option-pricing model for options or the difference between the purchase price per share of the award, if any, and the fair value of our common stock for restricted common stock awards.</w:t>
      </w:r>
    </w:p>
    <w:p>
      <w:pPr>
        <w:spacing w:after="0" w:line="17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Prior to the consummation of the Business Combination, as there was not a public market for our common stock prior to becoming publicly traded in August 2021,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Our common stock valuations were prepared using either an option pricing method, or 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 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9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in Note 2 to our audited consolidated financial statements and related notes appearing in this this Annual Report on Form 10-K for the year ended December 31, 2022.</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79" w:lineRule="exact"/>
        <w:rPr>
          <w:sz w:val="20"/>
          <w:szCs w:val="20"/>
          <w:color w:val="auto"/>
        </w:rPr>
      </w:pPr>
    </w:p>
    <w:p>
      <w:pPr>
        <w:ind w:left="1140" w:hanging="383"/>
        <w:spacing w:after="0" w:line="266"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 in our periodic reports and registration statements, including this Annual Report on Form 10-K;</w:t>
      </w:r>
    </w:p>
    <w:p>
      <w:pPr>
        <w:spacing w:after="0" w:line="13" w:lineRule="exact"/>
        <w:rPr>
          <w:rFonts w:ascii="Times New Roman" w:cs="Times New Roman" w:eastAsia="Times New Roman" w:hAnsi="Times New Roman"/>
          <w:sz w:val="18"/>
          <w:szCs w:val="18"/>
          <w:color w:val="auto"/>
        </w:rPr>
      </w:pPr>
    </w:p>
    <w:p>
      <w:pPr>
        <w:ind w:left="1140" w:right="340" w:hanging="383"/>
        <w:spacing w:after="0" w:line="281"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6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2025, (ii) the last day of the fiscal year in which we have total annual gross revenues of $1.235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7"/>
          <w:szCs w:val="17"/>
          <w:color w:val="auto"/>
        </w:rPr>
        <w:t>We had cash, cash equivalents and marketable securities of $366.1 million and $485.3 million as of December 31, 2022 and December 31, 2021, respectively, which consisted of cash, money market funds, U.S. Treasury bills and U.S. government agency bonds. Interest income is sensitive to changes in the general level of interest rates. Due to the short-term duration of our investment portfolio and the low risk profile of our investments, we believe an immediate 1% change in interest rates would not have a material effect on the fair market value of our investment portfolio. We have the ability to</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00" w:name="page101"/>
    <w:bookmarkEnd w:id="100"/>
    <w:p>
      <w:pPr>
        <w:ind w:right="200"/>
        <w:spacing w:after="0" w:line="282" w:lineRule="auto"/>
        <w:rPr>
          <w:sz w:val="20"/>
          <w:szCs w:val="20"/>
          <w:color w:val="auto"/>
        </w:rPr>
      </w:pPr>
      <w:r>
        <w:rPr>
          <w:rFonts w:ascii="Times New Roman" w:cs="Times New Roman" w:eastAsia="Times New Roman" w:hAnsi="Times New Roman"/>
          <w:sz w:val="18"/>
          <w:szCs w:val="18"/>
          <w:color w:val="auto"/>
        </w:rPr>
        <w:t>hold our investments until maturity, and therefore, we would not expect our operating results or cash flows to be affected to any significant degree by the effect of a change in market interest rates on our investment portfolio.</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Our operations may be subject to inflation in the future. 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twelve months ended December 31, 2022. However, if inflation remains at current levels for an extended period of time, or increases, our costs are likely to increase, which may negatively impact our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report of the independent registered public accounting firm, are appended to this Annual Report on Form 10-K and an index of those consolidated financial statements can be found beginning on page F-1.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December 31, 2022.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w:t>
      </w:r>
    </w:p>
    <w:p>
      <w:pPr>
        <w:spacing w:after="0" w:line="27" w:lineRule="exact"/>
        <w:rPr>
          <w:sz w:val="20"/>
          <w:szCs w:val="20"/>
          <w:color w:val="auto"/>
        </w:rPr>
      </w:pPr>
    </w:p>
    <w:p>
      <w:pPr>
        <w:ind w:right="120" w:firstLine="8"/>
        <w:spacing w:after="0" w:line="260" w:lineRule="auto"/>
        <w:tabs>
          <w:tab w:leader="none" w:pos="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occurred during the quarter ended December 31, 2022 that materially affected, or were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such term is defined in Rule 13a-15(f) under the Securities Exchange Act of 1934, as amended. Our management, including our Chief Executive Officer and Chief Financial Officer, conducted an assessment of the effectiveness of our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 of the Treadway Commission. Based on this assessment, management concluded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as of December 31, 2022, our internal control over financial reporting was effective.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1" w:name="page102"/>
    <w:bookmarkEnd w:id="101"/>
    <w:p>
      <w:pPr>
        <w:ind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independent registered public accounting firm due to an exemption established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53" w:right="519"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10 will be included in our definitive proxy statement to be filed with the Securities and Exchange Commission, or SEC, within 120 days after the end of the fiscal year ended December 31, 2022, with respect to our 2023 Annual Meeting of Stockholders and is incorporated herein by reference.</w:t>
      </w:r>
    </w:p>
    <w:p>
      <w:pPr>
        <w:spacing w:after="0" w:line="176"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directors, officers and employees, including our principal executive officer and principal financial officer. The Code of Conduct is posted on our website at https://ir.tangotx.com/corporate-governance/governance-overview.</w:t>
      </w:r>
    </w:p>
    <w:p>
      <w:pPr>
        <w:spacing w:after="0" w:line="162"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Conduct by posting such information on our website, at the address and location specified above and, to the extent required by the listing standards of The Nasdaq Global Stock Market, by filing a Current Report on Form 8-K with the SEC, disclosing such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within 120 days after the end of the fiscal year ended December 31, 2022, with respect to our 2023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within 120 days after the end of the fiscal year ended December 31, 2022, with respect to our 2023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within 120 days after the end of the fiscal year ended December 31, 2022, with respect to our 2023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within 120 days after the end of the fiscal year ended December 31, 2022, with respect to our 2023 Annual Meeting of Stockholders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Index to the Consolidated Financial Statements section beginning on page F-1 of this Annual Report on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not applicable, or the required information is included in the financial statements or notes to the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below.</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25"/>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0" w:type="dxa"/>
            <w:vAlign w:val="bottom"/>
            <w:gridSpan w:val="24"/>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800" w:type="dxa"/>
            <w:vAlign w:val="bottom"/>
            <w:tcBorders>
              <w:bottom w:val="single" w:sz="8" w:color="auto"/>
            </w:tcBorders>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Second Amended and Restated Certificate of Incorporation of Tango Therapeutics, Inc. (incorporated by reference to Exhibit 3.1 to the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Registrant’s registration statement on Form S-1 filed with the SEC on September 10,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Amended and Restated Bylaws of Tango Therapeutics, Inc. (incorporated by reference to Exhibit 4.2 to the Registrant’s registration</w:t>
              </w:r>
            </w:hyperlink>
          </w:p>
        </w:tc>
        <w:tc>
          <w:tcPr>
            <w:tcW w:w="2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statement on Form S-8 filed with the SEC on October 14,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Specimen Common Stock Certificate of the Registrant (incorporated by reference to Exhibit 4.5 to the Registration Statement on Form</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S-4/A filed by the Registrant on July 15, 2021).</w:t>
              </w:r>
            </w:hyperlink>
          </w:p>
        </w:tc>
        <w:tc>
          <w:tcPr>
            <w:tcW w:w="0" w:type="dxa"/>
            <w:vAlign w:val="bottom"/>
          </w:tcPr>
          <w:p>
            <w:pPr>
              <w:spacing w:after="0"/>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6320" w:type="dxa"/>
            <w:vAlign w:val="bottom"/>
            <w:gridSpan w:val="2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Amended and Restated Registration and Stockholder Rights Agreement, dated August 10, 2021, by and among Tango Therapeutics,</w:t>
              </w:r>
            </w:hyperlink>
          </w:p>
        </w:tc>
        <w:tc>
          <w:tcPr>
            <w:tcW w:w="1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 and the stockholders party thereto (incorporated by reference to Exhibit 10.2 to the Current Report on Form 8-K filed by the</w:t>
              </w:r>
            </w:hyperlink>
          </w:p>
        </w:tc>
        <w:tc>
          <w:tcPr>
            <w:tcW w:w="4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Tango Therapeutics, Inc. 2021 Stock Option and Incentive Plan (incorporated by reference to Exhibit 10.4 to the Current Report on</w:t>
              </w:r>
            </w:hyperlink>
          </w:p>
        </w:tc>
        <w:tc>
          <w:tcPr>
            <w:tcW w:w="2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Forms of Award Agreements under the Tango Therapeutics, Inc. 2021 Stock Option and Incentive Plan (incorporated by reference to</w:t>
              </w:r>
            </w:hyperlink>
          </w:p>
        </w:tc>
        <w:tc>
          <w:tcPr>
            <w:tcW w:w="1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Exhibit 10.5 to the Current Report on 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Tango Therapeutics, Inc. 2021 Employee Stock Purchase Plan (incorporated by reference to Exhibit 10.6 to the Current Report on</w:t>
              </w:r>
            </w:hyperlink>
          </w:p>
        </w:tc>
        <w:tc>
          <w:tcPr>
            <w:tcW w:w="34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8-K 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Amended and Restated Research Collaboration and License Agreement between Tango Therapeutics, Inc. and Gilead Sciences, Inc.,</w:t>
              </w:r>
            </w:hyperlink>
          </w:p>
        </w:tc>
        <w:tc>
          <w:tcPr>
            <w:tcW w:w="16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dated August 17, 2020 (incorporated by reference to Exhibit 10.19 to the Registration Statement on Form S-4/A filed by the Registrant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on June 17,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License Agreement between Tango Therapeutics, Inc. and Medivir AB, dated March 12, 2020 (incorporated by reference to Exhibit</w:t>
              </w:r>
            </w:hyperlink>
          </w:p>
        </w:tc>
        <w:tc>
          <w:tcPr>
            <w:tcW w:w="2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7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20</w:t>
              </w:r>
              <w:r>
                <w:rPr>
                  <w:rFonts w:ascii="Times New Roman" w:cs="Times New Roman" w:eastAsia="Times New Roman" w:hAnsi="Times New Roman"/>
                  <w:sz w:val="18"/>
                  <w:szCs w:val="18"/>
                  <w:color w:val="0000FF"/>
                  <w:w w:val="99"/>
                </w:rPr>
                <w:t xml:space="preserve"> to the Registration Statement on Form S-4/A filed by the Registrant on June 17, 2021).</w:t>
              </w:r>
            </w:hyperlink>
          </w:p>
        </w:tc>
        <w:tc>
          <w:tcPr>
            <w:tcW w:w="30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Executive Employment Agreement (incorporated by reference to Exhibit 10.7 to the Current Report on Form 8-K filed by the</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Indemnification Agreement (Directors) (incorporated by reference to Exhibit 10.9 to the Current Report on Form 8-K filed by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Form of Indemnification Agreement (Officers) (incorporated by reference to Exhibit 10.10 to the Current Report on Form 8-K filed by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Senior Executive Cash Annual Incentive Plan (incorporated by reference to Exhibit 10.11 to the Current Report on Form 8-K filed by</w:t>
              </w:r>
            </w:hyperlink>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Lease Agreement between the Company and ARE-MA Region No. 87 Tenant, LLC dated as of November 4, 2021 (incorporated by</w:t>
              </w:r>
            </w:hyperlink>
          </w:p>
        </w:tc>
        <w:tc>
          <w:tcPr>
            <w:tcW w:w="2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reference to Exhibit 10.14 to Annual Report on Form 10-K filed by the Registrant on March 28,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EE"/>
            </w:tcBorders>
            <w:gridSpan w:val="4"/>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Non-Employee Director Compensation Policy (incorporated by reference to Exhibit 10.1 to the Quarterly Report on Form 10-Q filed</w:t>
              </w:r>
            </w:hyperlink>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165">
              <w:r>
                <w:rPr>
                  <w:rFonts w:ascii="Times New Roman" w:cs="Times New Roman" w:eastAsia="Times New Roman" w:hAnsi="Times New Roman"/>
                  <w:sz w:val="18"/>
                  <w:szCs w:val="18"/>
                  <w:color w:val="0000FF"/>
                  <w:w w:val="98"/>
                </w:rPr>
                <w:t>by the Registrant on May 11, 2022).</w:t>
              </w:r>
            </w:hyperlink>
          </w:p>
        </w:tc>
        <w:tc>
          <w:tcPr>
            <w:tcW w:w="20" w:type="dxa"/>
            <w:vAlign w:val="bottom"/>
            <w:tcBorders>
              <w:bottom w:val="single" w:sz="8" w:color="0000EE"/>
            </w:tcBorders>
          </w:tcPr>
          <w:p>
            <w:pPr>
              <w:spacing w:after="0"/>
              <w:rPr>
                <w:sz w:val="17"/>
                <w:szCs w:val="17"/>
                <w:color w:val="auto"/>
              </w:rPr>
            </w:pPr>
          </w:p>
        </w:tc>
        <w:tc>
          <w:tcPr>
            <w:tcW w:w="712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Tango Therapeutics, Inc. 2023 Inducement Plan and forms of award agreements thereunder (incorporated by reference to Exhibit 99.1</w:t>
              </w:r>
            </w:hyperlink>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to the registration statement on Form S-8 filed by the Registrant on February 7,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Letter dated August 13, 2021 from Withum to the SEC (incorporated by reference to Exhibit 16.1 to the Current Report on Form 8-K</w:t>
              </w:r>
            </w:hyperlink>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filed by the Registrant on August 13, 2021).</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tcBorders>
              <w:right w:val="single" w:sz="8" w:color="0000EE"/>
            </w:tcBorders>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List of subsidiaries of Tango Therapeutics, Inc.</w:t>
            </w:r>
          </w:p>
        </w:tc>
        <w:tc>
          <w:tcPr>
            <w:tcW w:w="6300" w:type="dxa"/>
            <w:vAlign w:val="bottom"/>
            <w:gridSpan w:val="2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 of Tango Therapeutics, Inc.</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358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0" w:type="dxa"/>
            <w:vAlign w:val="bottom"/>
            <w:tcBorders>
              <w:right w:val="single" w:sz="8" w:color="0000EE"/>
            </w:tcBorders>
            <w:gridSpan w:val="6"/>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7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1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7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1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8140" w:type="dxa"/>
            <w:vAlign w:val="bottom"/>
            <w:gridSpan w:val="2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top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400" w:type="dxa"/>
            <w:vAlign w:val="bottom"/>
            <w:tcBorders>
              <w:top w:val="single" w:sz="8" w:color="0000FF"/>
            </w:tcBorders>
            <w:gridSpan w:val="2"/>
          </w:tcPr>
          <w:p>
            <w:pPr>
              <w:spacing w:after="0"/>
              <w:rPr>
                <w:sz w:val="21"/>
                <w:szCs w:val="21"/>
                <w:color w:val="auto"/>
              </w:rPr>
            </w:pPr>
          </w:p>
        </w:tc>
        <w:tc>
          <w:tcPr>
            <w:tcW w:w="3260" w:type="dxa"/>
            <w:vAlign w:val="bottom"/>
            <w:gridSpan w:val="10"/>
          </w:tcPr>
          <w:p>
            <w:pPr>
              <w:jc w:val="right"/>
              <w:ind w:right="328"/>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5" w:name="page106"/>
    <w:bookmarkEnd w:id="105"/>
    <w:tbl>
      <w:tblPr>
        <w:tblLayout w:type="fixed"/>
        <w:tblInd w:w="2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w:t>
            </w:r>
          </w:p>
        </w:tc>
      </w:tr>
      <w:tr>
        <w:trPr>
          <w:trHeight w:val="229"/>
        </w:trPr>
        <w:tc>
          <w:tcPr>
            <w:tcW w:w="1080" w:type="dxa"/>
            <w:vAlign w:val="bottom"/>
          </w:tcPr>
          <w:p>
            <w:pPr>
              <w:spacing w:after="0"/>
              <w:rPr>
                <w:sz w:val="19"/>
                <w:szCs w:val="19"/>
                <w:color w:val="auto"/>
              </w:rPr>
            </w:pPr>
          </w:p>
        </w:tc>
        <w:tc>
          <w:tcPr>
            <w:tcW w:w="9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500" w:hanging="1479"/>
        <w:spacing w:after="0"/>
        <w:tabs>
          <w:tab w:leader="none" w:pos="15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1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4230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41"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asterisks) have been omitted in accordance with Item 601(b)(10) of Regulation S-K.</w:t>
      </w:r>
    </w:p>
    <w:p>
      <w:pPr>
        <w:spacing w:after="0" w:line="264"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any compensatory plan, contract or arrangement.</w:t>
      </w:r>
    </w:p>
    <w:p>
      <w:pPr>
        <w:spacing w:after="0" w:line="61" w:lineRule="exact"/>
        <w:rPr>
          <w:sz w:val="20"/>
          <w:szCs w:val="20"/>
          <w:color w:val="auto"/>
        </w:rPr>
      </w:pPr>
    </w:p>
    <w:p>
      <w:pPr>
        <w:ind w:left="520" w:right="40" w:hanging="512"/>
        <w:spacing w:after="0" w:line="281" w:lineRule="auto"/>
        <w:tabs>
          <w:tab w:leader="none" w:pos="353"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brackets and asterisks) have been omitted because the registrant has determined that the information is both not material and is the type that the registrant treats as private or confidential.</w:t>
      </w:r>
    </w:p>
    <w:p>
      <w:pPr>
        <w:spacing w:after="0" w:line="204" w:lineRule="exact"/>
        <w:rPr>
          <w:sz w:val="20"/>
          <w:szCs w:val="20"/>
          <w:color w:val="auto"/>
        </w:rPr>
      </w:pPr>
    </w:p>
    <w:p>
      <w:pPr>
        <w:ind w:left="520" w:hanging="512"/>
        <w:spacing w:after="0" w:line="281" w:lineRule="auto"/>
        <w:tabs>
          <w:tab w:leader="none" w:pos="35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furnished in Exhibit 32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52" w:lineRule="exact"/>
        <w:rPr>
          <w:sz w:val="20"/>
          <w:szCs w:val="20"/>
          <w:color w:val="auto"/>
        </w:rPr>
      </w:pPr>
    </w:p>
    <w:p>
      <w:pPr>
        <w:ind w:left="20"/>
        <w:spacing w:after="0"/>
        <w:tabs>
          <w:tab w:leader="none" w:pos="5420" w:val="left"/>
          <w:tab w:leader="none" w:pos="7980" w:val="left"/>
        </w:tabs>
        <w:rPr>
          <w:sz w:val="20"/>
          <w:szCs w:val="20"/>
          <w:color w:val="auto"/>
        </w:rPr>
      </w:pPr>
      <w:r>
        <w:rPr>
          <w:rFonts w:ascii="Times New Roman" w:cs="Times New Roman" w:eastAsia="Times New Roman" w:hAnsi="Times New Roman"/>
          <w:sz w:val="18"/>
          <w:szCs w:val="18"/>
          <w:color w:val="auto"/>
        </w:rPr>
        <w:t>Date: March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Barbara Weber, MD</w:t>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Barbara Weber, Daniella Beckman and Douglas Barry,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9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2" w:lineRule="exact"/>
        <w:rPr>
          <w:sz w:val="20"/>
          <w:szCs w:val="20"/>
          <w:color w:val="auto"/>
        </w:rPr>
      </w:pPr>
    </w:p>
    <w:p>
      <w:pPr>
        <w:ind w:left="1680"/>
        <w:spacing w:after="0"/>
        <w:tabs>
          <w:tab w:leader="none" w:pos="6100" w:val="left"/>
          <w:tab w:leader="none" w:pos="98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Barbara Weber</w:t>
            </w:r>
          </w:p>
        </w:tc>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3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March 27,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Barbara Weber, MD</w:t>
            </w:r>
          </w:p>
        </w:tc>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180" w:type="dxa"/>
            <w:vAlign w:val="bottom"/>
          </w:tcPr>
          <w:p>
            <w:pPr>
              <w:spacing w:after="0"/>
              <w:rPr>
                <w:sz w:val="15"/>
                <w:szCs w:val="15"/>
                <w:color w:val="auto"/>
              </w:rPr>
            </w:pPr>
          </w:p>
        </w:tc>
      </w:tr>
      <w:tr>
        <w:trPr>
          <w:trHeight w:val="49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Daniella Beckman</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27,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Daniella Beckman</w:t>
            </w:r>
          </w:p>
        </w:tc>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3180" w:type="dxa"/>
            <w:vAlign w:val="bottom"/>
          </w:tcPr>
          <w:p>
            <w:pPr>
              <w:spacing w:after="0"/>
              <w:rPr>
                <w:sz w:val="15"/>
                <w:szCs w:val="15"/>
                <w:color w:val="auto"/>
              </w:rPr>
            </w:pPr>
          </w:p>
        </w:tc>
      </w:tr>
      <w:tr>
        <w:trPr>
          <w:trHeight w:val="49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Alexis Borisy</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27,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Alexis Borisy</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9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Lesley Ann Calhoun</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27,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Lesley Ann Calhoun</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9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Aaron Davis</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27,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Aaron Davis</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9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Reid Huber</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27,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Reid Huber, Ph.D.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9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Malte Peters</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27,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Malte Peters, MD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49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Mace Rothenberg</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March 27,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Mace Rothenberg, MD</w:t>
            </w:r>
          </w:p>
        </w:tc>
        <w:tc>
          <w:tcPr>
            <w:tcW w:w="43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714"/>
        </w:trPr>
        <w:tc>
          <w:tcPr>
            <w:tcW w:w="3720" w:type="dxa"/>
            <w:vAlign w:val="bottom"/>
          </w:tcPr>
          <w:p>
            <w:pPr>
              <w:spacing w:after="0"/>
              <w:rPr>
                <w:sz w:val="24"/>
                <w:szCs w:val="24"/>
                <w:color w:val="auto"/>
              </w:rPr>
            </w:pPr>
          </w:p>
        </w:tc>
        <w:tc>
          <w:tcPr>
            <w:tcW w:w="43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105</w:t>
            </w:r>
          </w:p>
        </w:tc>
        <w:tc>
          <w:tcPr>
            <w:tcW w:w="318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5"/>
                <w:szCs w:val="15"/>
                <w:color w:val="auto"/>
              </w:rPr>
            </w:pPr>
          </w:p>
        </w:tc>
      </w:tr>
      <w:tr>
        <w:trPr>
          <w:trHeight w:val="372"/>
        </w:trPr>
        <w:tc>
          <w:tcPr>
            <w:tcW w:w="556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920" w:type="dxa"/>
            <w:vAlign w:val="bottom"/>
            <w:gridSpan w:val="2"/>
          </w:tcPr>
          <w:p>
            <w:pPr>
              <w:spacing w:after="0"/>
              <w:rPr>
                <w:sz w:val="24"/>
                <w:szCs w:val="2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F-2</w:t>
            </w:r>
          </w:p>
        </w:tc>
      </w:tr>
      <w:tr>
        <w:trPr>
          <w:trHeight w:val="236"/>
        </w:trPr>
        <w:tc>
          <w:tcPr>
            <w:tcW w:w="10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37"/>
        </w:trPr>
        <w:tc>
          <w:tcPr>
            <w:tcW w:w="47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780" w:type="dxa"/>
            <w:vAlign w:val="bottom"/>
            <w:gridSpan w:val="3"/>
          </w:tcPr>
          <w:p>
            <w:pPr>
              <w:spacing w:after="0"/>
              <w:rPr>
                <w:sz w:val="20"/>
                <w:szCs w:val="20"/>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37"/>
        </w:trPr>
        <w:tc>
          <w:tcPr>
            <w:tcW w:w="6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Redeemable Convertible Preferred Stock and Stockholders’ Equity</w:t>
            </w:r>
          </w:p>
        </w:tc>
        <w:tc>
          <w:tcPr>
            <w:tcW w:w="3600" w:type="dxa"/>
            <w:vAlign w:val="bottom"/>
          </w:tcPr>
          <w:p>
            <w:pPr>
              <w:spacing w:after="0"/>
              <w:rPr>
                <w:sz w:val="20"/>
                <w:szCs w:val="20"/>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37"/>
        </w:trPr>
        <w:tc>
          <w:tcPr>
            <w:tcW w:w="29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580" w:type="dxa"/>
            <w:vAlign w:val="bottom"/>
            <w:gridSpan w:val="5"/>
          </w:tcPr>
          <w:p>
            <w:pPr>
              <w:spacing w:after="0"/>
              <w:rPr>
                <w:sz w:val="20"/>
                <w:szCs w:val="20"/>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36"/>
        </w:trPr>
        <w:tc>
          <w:tcPr>
            <w:tcW w:w="104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5"/>
              </w:rPr>
              <w:t>F-7</w:t>
            </w:r>
          </w:p>
        </w:tc>
      </w:tr>
      <w:tr>
        <w:trPr>
          <w:trHeight w:val="811"/>
        </w:trPr>
        <w:tc>
          <w:tcPr>
            <w:tcW w:w="212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Tango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Tango Therapeutics, Inc. and its subsidiaries (the “Company”) as of December 31, 2022 and 2021, and the related consolidated statements of operations and comprehensive loss, of redeemable convertible preferred stock and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40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r>
      <w:tr>
        <w:trPr>
          <w:trHeight w:val="22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shd w:val="clear" w:color="auto" w:fill="CFF0FC"/>
          </w:tcPr>
          <w:p>
            <w:pPr>
              <w:jc w:val="right"/>
              <w:ind w:right="883"/>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59,968</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142,745</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306,165</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342,510</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375,272</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492,338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10,884</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46,886</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r>
      <w:tr>
        <w:trPr>
          <w:trHeight w:val="223"/>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040" w:type="dxa"/>
            <w:vAlign w:val="bottom"/>
            <w:tcBorders>
              <w:bottom w:val="single" w:sz="8" w:color="auto"/>
            </w:tcBorders>
            <w:shd w:val="clear" w:color="auto" w:fill="CFF0FC"/>
          </w:tcPr>
          <w:p>
            <w:pPr>
              <w:jc w:val="right"/>
              <w:ind w:right="883"/>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436,470</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1"/>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tcPr>
          <w:p>
            <w:pPr>
              <w:jc w:val="right"/>
              <w:ind w:right="883"/>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w:t>
            </w:r>
          </w:p>
        </w:tc>
        <w:tc>
          <w:tcPr>
            <w:tcW w:w="30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17,495</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31,792</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26,022</w:t>
            </w:r>
          </w:p>
        </w:tc>
        <w:tc>
          <w:tcPr>
            <w:tcW w:w="100" w:type="dxa"/>
            <w:vAlign w:val="bottom"/>
            <w:shd w:val="clear" w:color="auto" w:fill="CFF0FC"/>
          </w:tcPr>
          <w:p>
            <w:pPr>
              <w:spacing w:after="0"/>
              <w:rPr>
                <w:sz w:val="20"/>
                <w:szCs w:val="20"/>
                <w:color w:val="auto"/>
              </w:rPr>
            </w:pPr>
          </w:p>
        </w:tc>
      </w:tr>
      <w:tr>
        <w:trPr>
          <w:trHeight w:val="223"/>
        </w:trPr>
        <w:tc>
          <w:tcPr>
            <w:tcW w:w="7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payable</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9"/>
                <w:szCs w:val="19"/>
                <w:color w:val="auto"/>
              </w:rPr>
            </w:pPr>
          </w:p>
        </w:tc>
      </w:tr>
      <w:tr>
        <w:trPr>
          <w:trHeight w:val="229"/>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55,545</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40,690</w:t>
            </w: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39,361</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0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92,088</w:t>
            </w:r>
          </w:p>
        </w:tc>
        <w:tc>
          <w:tcPr>
            <w:tcW w:w="3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114,718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186,994</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155,408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 shares issued</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outstanding as of December 31, 2022 and 2021, respectively</w:t>
            </w:r>
          </w:p>
        </w:tc>
        <w:tc>
          <w:tcPr>
            <w:tcW w:w="104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$0.001 par value; 200,000,000 shares</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authorized at December 31, 2022 and December 31, 2021, respectively;</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88,179,374 and 87,598,184 shares issued and outstanding as of December 31,</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 and 2021, respectively</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522,605</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506,760</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(3,705 )</w:t>
            </w:r>
          </w:p>
        </w:tc>
        <w:tc>
          <w:tcPr>
            <w:tcW w:w="4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(765 )</w:t>
            </w:r>
          </w:p>
        </w:tc>
      </w:tr>
      <w:tr>
        <w:trPr>
          <w:trHeight w:val="23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0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(269,512 )</w:t>
            </w:r>
          </w:p>
        </w:tc>
        <w:tc>
          <w:tcPr>
            <w:tcW w:w="48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(161,336 )</w:t>
            </w:r>
          </w:p>
        </w:tc>
      </w:tr>
      <w:tr>
        <w:trPr>
          <w:trHeight w:val="223"/>
        </w:trPr>
        <w:tc>
          <w:tcPr>
            <w:tcW w:w="74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249,476</w:t>
            </w:r>
          </w:p>
        </w:tc>
        <w:tc>
          <w:tcPr>
            <w:tcW w:w="300" w:type="dxa"/>
            <w:vAlign w:val="bottom"/>
            <w:tcBorders>
              <w:top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344,747</w:t>
            </w:r>
          </w:p>
        </w:tc>
        <w:tc>
          <w:tcPr>
            <w:tcW w:w="100" w:type="dxa"/>
            <w:vAlign w:val="bottom"/>
            <w:tcBorders>
              <w:top w:val="single" w:sz="8" w:color="CFF0FC"/>
            </w:tcBorders>
          </w:tcPr>
          <w:p>
            <w:pPr>
              <w:spacing w:after="0"/>
              <w:rPr>
                <w:sz w:val="19"/>
                <w:szCs w:val="19"/>
                <w:color w:val="auto"/>
              </w:rPr>
            </w:pPr>
          </w:p>
        </w:tc>
      </w:tr>
      <w:tr>
        <w:trPr>
          <w:trHeight w:val="263"/>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40" w:type="dxa"/>
            <w:vAlign w:val="bottom"/>
            <w:tcBorders>
              <w:bottom w:val="single" w:sz="8" w:color="auto"/>
            </w:tcBorders>
            <w:shd w:val="clear" w:color="auto" w:fill="CFF0FC"/>
          </w:tcPr>
          <w:p>
            <w:pPr>
              <w:jc w:val="right"/>
              <w:ind w:right="883"/>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436,470</w:t>
            </w:r>
          </w:p>
        </w:tc>
        <w:tc>
          <w:tcPr>
            <w:tcW w:w="3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500,155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-4388485</wp:posOffset>
            </wp:positionV>
            <wp:extent cx="6858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-4388485</wp:posOffset>
            </wp:positionV>
            <wp:extent cx="6858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-3496945</wp:posOffset>
            </wp:positionV>
            <wp:extent cx="6858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-2022475</wp:posOffset>
            </wp:positionV>
            <wp:extent cx="6858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-333375</wp:posOffset>
            </wp:positionV>
            <wp:extent cx="68580" cy="16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4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3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26,042</w:t>
            </w: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400" w:type="dxa"/>
            <w:vAlign w:val="bottom"/>
          </w:tcPr>
          <w:p>
            <w:pPr>
              <w:spacing w:after="0"/>
              <w:rPr>
                <w:sz w:val="20"/>
                <w:szCs w:val="20"/>
                <w:color w:val="auto"/>
              </w:rPr>
            </w:pPr>
          </w:p>
        </w:tc>
        <w:tc>
          <w:tcPr>
            <w:tcW w:w="1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20"/>
                <w:szCs w:val="20"/>
                <w:color w:val="auto"/>
              </w:rPr>
            </w:pPr>
          </w:p>
        </w:tc>
      </w:tr>
      <w:tr>
        <w:trPr>
          <w:trHeight w:val="237"/>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w:t>
            </w:r>
          </w:p>
        </w:tc>
        <w:tc>
          <w:tcPr>
            <w:tcW w:w="3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105,906</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77,636</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30,025</w:t>
            </w: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17,596</w:t>
            </w:r>
          </w:p>
        </w:tc>
        <w:tc>
          <w:tcPr>
            <w:tcW w:w="100" w:type="dxa"/>
            <w:vAlign w:val="bottom"/>
          </w:tcPr>
          <w:p>
            <w:pPr>
              <w:spacing w:after="0"/>
              <w:rPr>
                <w:sz w:val="20"/>
                <w:szCs w:val="20"/>
                <w:color w:val="auto"/>
              </w:rPr>
            </w:pPr>
          </w:p>
        </w:tc>
      </w:tr>
      <w:tr>
        <w:trPr>
          <w:trHeight w:val="237"/>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135,931</w:t>
            </w:r>
          </w:p>
        </w:tc>
        <w:tc>
          <w:tcPr>
            <w:tcW w:w="3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Pr>
          <w:p>
            <w:pPr>
              <w:spacing w:after="0"/>
              <w:rPr>
                <w:sz w:val="20"/>
                <w:szCs w:val="20"/>
                <w:color w:val="auto"/>
              </w:rPr>
            </w:pP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(111,071 )</w:t>
            </w:r>
          </w:p>
        </w:tc>
        <w:tc>
          <w:tcPr>
            <w:tcW w:w="6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(58,190 )</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r>
      <w:tr>
        <w:trPr>
          <w:trHeight w:val="243"/>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37"/>
        </w:trPr>
        <w:tc>
          <w:tcPr>
            <w:tcW w:w="74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300" w:type="dxa"/>
            <w:vAlign w:val="bottom"/>
            <w:tcBorders>
              <w:top w:val="single" w:sz="8" w:color="CFF0FC"/>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FF0FC"/>
            </w:tcBorders>
          </w:tcPr>
          <w:p>
            <w:pPr>
              <w:spacing w:after="0"/>
              <w:rPr>
                <w:sz w:val="20"/>
                <w:szCs w:val="20"/>
                <w:color w:val="auto"/>
              </w:rPr>
            </w:pPr>
          </w:p>
        </w:tc>
      </w:tr>
      <w:tr>
        <w:trPr>
          <w:trHeight w:val="24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(108,122</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Pr>
          <w:p>
            <w:pPr>
              <w:spacing w:after="0"/>
              <w:rPr>
                <w:sz w:val="20"/>
                <w:szCs w:val="20"/>
                <w:color w:val="auto"/>
              </w:rPr>
            </w:pP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(54 )</w:t>
            </w:r>
          </w:p>
        </w:tc>
        <w:tc>
          <w:tcPr>
            <w:tcW w:w="6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(292 )</w:t>
            </w:r>
          </w:p>
        </w:tc>
      </w:tr>
      <w:tr>
        <w:trPr>
          <w:trHeight w:val="236"/>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(108,176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1"/>
        </w:trPr>
        <w:tc>
          <w:tcPr>
            <w:tcW w:w="7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(1.23 )</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(0.94 )</w:t>
            </w: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87,820,037</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62,108,032</w:t>
            </w:r>
          </w:p>
        </w:tc>
        <w:tc>
          <w:tcPr>
            <w:tcW w:w="100" w:type="dxa"/>
            <w:vAlign w:val="bottom"/>
          </w:tcPr>
          <w:p>
            <w:pPr>
              <w:spacing w:after="0"/>
              <w:rPr>
                <w:sz w:val="20"/>
                <w:szCs w:val="20"/>
                <w:color w:val="auto"/>
              </w:rPr>
            </w:pPr>
          </w:p>
        </w:tc>
      </w:tr>
      <w:tr>
        <w:trPr>
          <w:trHeight w:val="247"/>
        </w:trPr>
        <w:tc>
          <w:tcPr>
            <w:tcW w:w="74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(108,176 )</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(58,235 )</w:t>
            </w:r>
          </w:p>
        </w:tc>
      </w:tr>
      <w:tr>
        <w:trPr>
          <w:trHeight w:val="24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400" w:type="dxa"/>
            <w:vAlign w:val="bottom"/>
          </w:tcPr>
          <w:p>
            <w:pPr>
              <w:spacing w:after="0"/>
              <w:rPr>
                <w:sz w:val="20"/>
                <w:szCs w:val="20"/>
                <w:color w:val="auto"/>
              </w:rPr>
            </w:pP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(2,940 )</w:t>
            </w:r>
          </w:p>
        </w:tc>
        <w:tc>
          <w:tcPr>
            <w:tcW w:w="6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(782 )</w:t>
            </w:r>
          </w:p>
        </w:tc>
      </w:tr>
      <w:tr>
        <w:trPr>
          <w:trHeight w:val="277"/>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(111,116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-3188335</wp:posOffset>
            </wp:positionV>
            <wp:extent cx="6858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-2553970</wp:posOffset>
            </wp:positionV>
            <wp:extent cx="685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-1928495</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-1285240</wp:posOffset>
            </wp:positionV>
            <wp:extent cx="6858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EQUITY</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6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122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2"/>
                <w:szCs w:val="12"/>
                <w:b w:val="1"/>
                <w:bCs w:val="1"/>
                <w:color w:val="auto"/>
              </w:rPr>
              <w:t>Series B</w:t>
            </w:r>
          </w:p>
        </w:tc>
        <w:tc>
          <w:tcPr>
            <w:tcW w:w="640" w:type="dxa"/>
            <w:vAlign w:val="bottom"/>
            <w:tcBorders>
              <w:bottom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48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98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9"/>
              </w:rPr>
              <w:t>Income</w:t>
            </w:r>
          </w:p>
        </w:tc>
        <w:tc>
          <w:tcPr>
            <w:tcW w:w="100" w:type="dxa"/>
            <w:vAlign w:val="bottom"/>
          </w:tcPr>
          <w:p>
            <w:pPr>
              <w:spacing w:after="0"/>
              <w:rPr>
                <w:sz w:val="11"/>
                <w:szCs w:val="11"/>
                <w:color w:val="auto"/>
              </w:rPr>
            </w:pPr>
          </w:p>
        </w:tc>
        <w:tc>
          <w:tcPr>
            <w:tcW w:w="980" w:type="dxa"/>
            <w:vAlign w:val="bottom"/>
            <w:gridSpan w:val="2"/>
          </w:tcPr>
          <w:p>
            <w:pPr>
              <w:jc w:val="right"/>
              <w:ind w:right="237"/>
              <w:spacing w:after="0" w:line="132" w:lineRule="exact"/>
              <w:rPr>
                <w:sz w:val="20"/>
                <w:szCs w:val="20"/>
                <w:color w:val="auto"/>
              </w:rPr>
            </w:pPr>
            <w:r>
              <w:rPr>
                <w:rFonts w:ascii="Times New Roman" w:cs="Times New Roman" w:eastAsia="Times New Roman" w:hAnsi="Times New Roman"/>
                <w:sz w:val="12"/>
                <w:szCs w:val="12"/>
                <w:b w:val="1"/>
                <w:bCs w:val="1"/>
                <w:color w:val="auto"/>
                <w:w w:val="96"/>
              </w:rPr>
              <w:t>Accumulated</w:t>
            </w:r>
          </w:p>
        </w:tc>
        <w:tc>
          <w:tcPr>
            <w:tcW w:w="940" w:type="dxa"/>
            <w:vAlign w:val="bottom"/>
            <w:gridSpan w:val="3"/>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3"/>
                <w:szCs w:val="13"/>
                <w:color w:val="auto"/>
              </w:rPr>
            </w:pPr>
          </w:p>
        </w:tc>
        <w:tc>
          <w:tcPr>
            <w:tcW w:w="880" w:type="dxa"/>
            <w:vAlign w:val="bottom"/>
            <w:tcBorders>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3"/>
                <w:szCs w:val="13"/>
                <w:color w:val="auto"/>
              </w:rPr>
            </w:pPr>
          </w:p>
        </w:tc>
        <w:tc>
          <w:tcPr>
            <w:tcW w:w="880" w:type="dxa"/>
            <w:vAlign w:val="bottom"/>
          </w:tcPr>
          <w:p>
            <w:pPr>
              <w:jc w:val="right"/>
              <w:ind w:right="21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5"/>
              </w:rPr>
              <w:t>(Loss)</w:t>
            </w:r>
          </w:p>
        </w:tc>
        <w:tc>
          <w:tcPr>
            <w:tcW w:w="100" w:type="dxa"/>
            <w:vAlign w:val="bottom"/>
          </w:tcPr>
          <w:p>
            <w:pPr>
              <w:spacing w:after="0"/>
              <w:rPr>
                <w:sz w:val="13"/>
                <w:szCs w:val="13"/>
                <w:color w:val="auto"/>
              </w:rPr>
            </w:pPr>
          </w:p>
        </w:tc>
        <w:tc>
          <w:tcPr>
            <w:tcW w:w="980" w:type="dxa"/>
            <w:vAlign w:val="bottom"/>
            <w:gridSpan w:val="2"/>
          </w:tcPr>
          <w:p>
            <w:pPr>
              <w:jc w:val="right"/>
              <w:ind w:right="397"/>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6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2"/>
              </w:rPr>
              <w:t>Equity</w:t>
            </w:r>
          </w:p>
        </w:tc>
        <w:tc>
          <w:tcPr>
            <w:tcW w:w="0" w:type="dxa"/>
            <w:vAlign w:val="bottom"/>
          </w:tcPr>
          <w:p>
            <w:pPr>
              <w:spacing w:after="0"/>
              <w:rPr>
                <w:sz w:val="1"/>
                <w:szCs w:val="1"/>
                <w:color w:val="auto"/>
              </w:rPr>
            </w:pPr>
          </w:p>
        </w:tc>
      </w:tr>
      <w:tr>
        <w:trPr>
          <w:trHeight w:val="159"/>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40,372,133</w:t>
            </w:r>
          </w:p>
        </w:tc>
        <w:tc>
          <w:tcPr>
            <w:tcW w:w="200" w:type="dxa"/>
            <w:vAlign w:val="bottom"/>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40</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141,644</w:t>
            </w: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w:t>
            </w: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(103,101</w:t>
            </w:r>
          </w:p>
        </w:tc>
        <w:tc>
          <w:tcPr>
            <w:tcW w:w="2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Series B redeemable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convertible preferred stock, net</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of issuance costs of $0.1 million</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22,686,025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29,990</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Retroactive application of recapitalization</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(22,686,025 )</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(29,990 )</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7,706,861</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29,982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Shares issued in Business Combination and PIPE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Financing, net of issuance costs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$15.8 million</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38,880,436</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326,238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326,277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638,754</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Vesting of restricted common</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7,833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(782 )</w:t>
            </w:r>
          </w:p>
        </w:tc>
        <w:tc>
          <w:tcPr>
            <w:tcW w:w="100" w:type="dxa"/>
            <w:vAlign w:val="bottom"/>
          </w:tcPr>
          <w:p>
            <w:pPr>
              <w:spacing w:after="0"/>
              <w:rPr>
                <w:sz w:val="14"/>
                <w:szCs w:val="14"/>
                <w:color w:val="auto"/>
              </w:rPr>
            </w:pPr>
          </w:p>
        </w:tc>
        <w:tc>
          <w:tcPr>
            <w:tcW w:w="9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(782 )</w:t>
            </w:r>
          </w:p>
        </w:tc>
        <w:tc>
          <w:tcPr>
            <w:tcW w:w="0" w:type="dxa"/>
            <w:vAlign w:val="bottom"/>
          </w:tcPr>
          <w:p>
            <w:pPr>
              <w:spacing w:after="0"/>
              <w:rPr>
                <w:sz w:val="1"/>
                <w:szCs w:val="1"/>
                <w:color w:val="auto"/>
              </w:rPr>
            </w:pPr>
          </w:p>
        </w:tc>
      </w:tr>
      <w:tr>
        <w:trPr>
          <w:trHeight w:val="162"/>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(58,235 )</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(58,235 )</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87,598,184</w:t>
            </w:r>
          </w:p>
        </w:tc>
        <w:tc>
          <w:tcPr>
            <w:tcW w:w="200" w:type="dxa"/>
            <w:vAlign w:val="bottom"/>
          </w:tcPr>
          <w:p>
            <w:pPr>
              <w:spacing w:after="0"/>
              <w:rPr>
                <w:sz w:val="13"/>
                <w:szCs w:val="13"/>
                <w:color w:val="auto"/>
              </w:rPr>
            </w:pPr>
          </w:p>
        </w:tc>
        <w:tc>
          <w:tcPr>
            <w:tcW w:w="700" w:type="dxa"/>
            <w:vAlign w:val="bottom"/>
          </w:tcPr>
          <w:p>
            <w:pPr>
              <w:jc w:val="right"/>
              <w:ind w:right="55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506,760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(765 )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(161,336 )</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344,747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66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common stock from exercise of</w:t>
            </w: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options and employee stock purchase plan</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581,190</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based compensation expense</w:t>
            </w: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14,230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14,230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6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Business combination and PIPE financing,</w:t>
            </w:r>
          </w:p>
        </w:tc>
        <w:tc>
          <w:tcPr>
            <w:tcW w:w="8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costs</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(2,940 )</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(2,940 )</w:t>
            </w:r>
          </w:p>
        </w:tc>
        <w:tc>
          <w:tcPr>
            <w:tcW w:w="0" w:type="dxa"/>
            <w:vAlign w:val="bottom"/>
          </w:tcPr>
          <w:p>
            <w:pPr>
              <w:spacing w:after="0"/>
              <w:rPr>
                <w:sz w:val="1"/>
                <w:szCs w:val="1"/>
                <w:color w:val="auto"/>
              </w:rPr>
            </w:pPr>
          </w:p>
        </w:tc>
      </w:tr>
      <w:tr>
        <w:trPr>
          <w:trHeight w:val="94"/>
        </w:trPr>
        <w:tc>
          <w:tcPr>
            <w:tcW w:w="266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vMerge w:val="restart"/>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(108,176 )</w:t>
            </w:r>
          </w:p>
        </w:tc>
        <w:tc>
          <w:tcPr>
            <w:tcW w:w="160" w:type="dxa"/>
            <w:vAlign w:val="bottom"/>
            <w:shd w:val="clear" w:color="auto" w:fill="CFF0FC"/>
          </w:tcPr>
          <w:p>
            <w:pPr>
              <w:spacing w:after="0"/>
              <w:rPr>
                <w:sz w:val="15"/>
                <w:szCs w:val="15"/>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(108,176 )</w:t>
            </w:r>
          </w:p>
        </w:tc>
        <w:tc>
          <w:tcPr>
            <w:tcW w:w="0" w:type="dxa"/>
            <w:vAlign w:val="bottom"/>
          </w:tcPr>
          <w:p>
            <w:pPr>
              <w:spacing w:after="0"/>
              <w:rPr>
                <w:sz w:val="1"/>
                <w:szCs w:val="1"/>
                <w:color w:val="auto"/>
              </w:rPr>
            </w:pPr>
          </w:p>
        </w:tc>
      </w:tr>
      <w:tr>
        <w:trPr>
          <w:trHeight w:val="80"/>
        </w:trPr>
        <w:tc>
          <w:tcPr>
            <w:tcW w:w="2660" w:type="dxa"/>
            <w:vAlign w:val="bottom"/>
            <w:shd w:val="clear" w:color="auto" w:fill="CFF0FC"/>
          </w:tcPr>
          <w:p>
            <w:pPr>
              <w:spacing w:after="0"/>
              <w:rPr>
                <w:sz w:val="6"/>
                <w:szCs w:val="6"/>
                <w:color w:val="auto"/>
              </w:rPr>
            </w:pPr>
          </w:p>
        </w:tc>
        <w:tc>
          <w:tcPr>
            <w:tcW w:w="860" w:type="dxa"/>
            <w:vAlign w:val="bottom"/>
            <w:vMerge w:val="continue"/>
            <w:shd w:val="clear" w:color="auto" w:fill="CFF0FC"/>
          </w:tcPr>
          <w:p>
            <w:pPr>
              <w:spacing w:after="0"/>
              <w:rPr>
                <w:sz w:val="6"/>
                <w:szCs w:val="6"/>
                <w:color w:val="auto"/>
              </w:rPr>
            </w:pPr>
          </w:p>
        </w:tc>
        <w:tc>
          <w:tcPr>
            <w:tcW w:w="220" w:type="dxa"/>
            <w:vAlign w:val="bottom"/>
            <w:vMerge w:val="continue"/>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240" w:type="dxa"/>
            <w:vAlign w:val="bottom"/>
            <w:tcBorders>
              <w:right w:val="single" w:sz="8" w:color="auto"/>
            </w:tcBorders>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18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0" w:type="dxa"/>
            <w:vAlign w:val="bottom"/>
            <w:vMerge w:val="continue"/>
            <w:shd w:val="clear" w:color="auto" w:fill="CFF0FC"/>
          </w:tcPr>
          <w:p>
            <w:pPr>
              <w:spacing w:after="0"/>
              <w:rPr>
                <w:sz w:val="6"/>
                <w:szCs w:val="6"/>
                <w:color w:val="auto"/>
              </w:rPr>
            </w:pPr>
          </w:p>
        </w:tc>
        <w:tc>
          <w:tcPr>
            <w:tcW w:w="2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vMerge w:val="continue"/>
            <w:shd w:val="clear" w:color="auto" w:fill="CFF0FC"/>
          </w:tcPr>
          <w:p>
            <w:pPr>
              <w:spacing w:after="0"/>
              <w:rPr>
                <w:sz w:val="6"/>
                <w:szCs w:val="6"/>
                <w:color w:val="auto"/>
              </w:rPr>
            </w:pPr>
          </w:p>
        </w:tc>
        <w:tc>
          <w:tcPr>
            <w:tcW w:w="2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980" w:type="dxa"/>
            <w:vAlign w:val="bottom"/>
            <w:gridSpan w:val="2"/>
            <w:vMerge w:val="continue"/>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88,179,374</w:t>
            </w:r>
          </w:p>
        </w:tc>
        <w:tc>
          <w:tcPr>
            <w:tcW w:w="200" w:type="dxa"/>
            <w:vAlign w:val="bottom"/>
          </w:tcPr>
          <w:p>
            <w:pPr>
              <w:spacing w:after="0"/>
              <w:rPr>
                <w:sz w:val="13"/>
                <w:szCs w:val="13"/>
                <w:color w:val="auto"/>
              </w:rPr>
            </w:pPr>
          </w:p>
        </w:tc>
        <w:tc>
          <w:tcPr>
            <w:tcW w:w="700" w:type="dxa"/>
            <w:vAlign w:val="bottom"/>
          </w:tcPr>
          <w:p>
            <w:pPr>
              <w:jc w:val="right"/>
              <w:ind w:right="55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522,605</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(3,705 )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(269,512 )</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249,476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-1190625</wp:posOffset>
            </wp:positionV>
            <wp:extent cx="76835"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-1190625</wp:posOffset>
            </wp:positionV>
            <wp:extent cx="7683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-1190625</wp:posOffset>
            </wp:positionV>
            <wp:extent cx="6858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-1190625</wp:posOffset>
            </wp:positionV>
            <wp:extent cx="6858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-1190625</wp:posOffset>
            </wp:positionV>
            <wp:extent cx="6858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-1190625</wp:posOffset>
            </wp:positionV>
            <wp:extent cx="6858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-1190625</wp:posOffset>
            </wp:positionV>
            <wp:extent cx="6858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-136525</wp:posOffset>
            </wp:positionV>
            <wp:extent cx="76835"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-136525</wp:posOffset>
            </wp:positionV>
            <wp:extent cx="76835"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-136525</wp:posOffset>
            </wp:positionV>
            <wp:extent cx="6858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-136525</wp:posOffset>
            </wp:positionV>
            <wp:extent cx="6858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-136525</wp:posOffset>
            </wp:positionV>
            <wp:extent cx="6858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-136525</wp:posOffset>
            </wp:positionV>
            <wp:extent cx="6858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-136525</wp:posOffset>
            </wp:positionV>
            <wp:extent cx="6858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3"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(108,176 )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(58,235 )</w:t>
            </w:r>
          </w:p>
        </w:tc>
      </w:tr>
      <w:tr>
        <w:trPr>
          <w:trHeight w:val="215"/>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from</w:t>
            </w: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0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10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(669 )</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(2,056 )</w:t>
            </w:r>
          </w:p>
        </w:tc>
        <w:tc>
          <w:tcPr>
            <w:tcW w:w="4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(3,159 )</w:t>
            </w:r>
          </w:p>
        </w:tc>
      </w:tr>
      <w:tr>
        <w:trPr>
          <w:trHeight w:val="239"/>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w:t>
            </w:r>
          </w:p>
        </w:tc>
        <w:tc>
          <w:tcPr>
            <w:tcW w:w="10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(10,125 )</w:t>
            </w:r>
          </w:p>
        </w:tc>
        <w:tc>
          <w:tcPr>
            <w:tcW w:w="400" w:type="dxa"/>
            <w:vAlign w:val="bottom"/>
          </w:tcPr>
          <w:p>
            <w:pPr>
              <w:spacing w:after="0"/>
              <w:rPr>
                <w:sz w:val="20"/>
                <w:szCs w:val="20"/>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10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39"/>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(1,066 )</w:t>
            </w:r>
          </w:p>
        </w:tc>
      </w:tr>
      <w:tr>
        <w:trPr>
          <w:trHeight w:val="243"/>
        </w:trPr>
        <w:tc>
          <w:tcPr>
            <w:tcW w:w="7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(16,860 )</w:t>
            </w:r>
          </w:p>
        </w:tc>
        <w:tc>
          <w:tcPr>
            <w:tcW w:w="40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(12,042 )</w:t>
            </w:r>
          </w:p>
        </w:tc>
      </w:tr>
      <w:tr>
        <w:trPr>
          <w:trHeight w:val="20"/>
        </w:trPr>
        <w:tc>
          <w:tcPr>
            <w:tcW w:w="74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(109,080 )</w:t>
            </w:r>
          </w:p>
        </w:tc>
        <w:tc>
          <w:tcPr>
            <w:tcW w:w="4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(59,527 )</w:t>
            </w: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(7,692 )</w:t>
            </w:r>
          </w:p>
        </w:tc>
        <w:tc>
          <w:tcPr>
            <w:tcW w:w="4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(1,837 )</w:t>
            </w: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0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242,595</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190,764</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0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(208,504 )</w:t>
            </w:r>
          </w:p>
        </w:tc>
        <w:tc>
          <w:tcPr>
            <w:tcW w:w="4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(372,361 )</w:t>
            </w:r>
          </w:p>
        </w:tc>
      </w:tr>
      <w:tr>
        <w:trPr>
          <w:trHeight w:val="241"/>
        </w:trPr>
        <w:tc>
          <w:tcPr>
            <w:tcW w:w="7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26,399</w:t>
            </w:r>
          </w:p>
        </w:tc>
        <w:tc>
          <w:tcPr>
            <w:tcW w:w="3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(183,434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1"/>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preferred stock, net of issuance costs</w:t>
            </w:r>
          </w:p>
        </w:tc>
        <w:tc>
          <w:tcPr>
            <w:tcW w:w="10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00" w:type="dxa"/>
            <w:vAlign w:val="bottom"/>
            <w:shd w:val="clear" w:color="auto" w:fill="CFF0FC"/>
          </w:tcPr>
          <w:p>
            <w:pPr>
              <w:spacing w:after="0"/>
              <w:rPr>
                <w:sz w:val="21"/>
                <w:szCs w:val="21"/>
                <w:color w:val="auto"/>
              </w:rPr>
            </w:pPr>
          </w:p>
        </w:tc>
      </w:tr>
      <w:tr>
        <w:trPr>
          <w:trHeight w:val="211"/>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 purchase of shares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 ESPP</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20"/>
                <w:szCs w:val="20"/>
                <w:color w:val="auto"/>
              </w:rPr>
            </w:pPr>
          </w:p>
        </w:tc>
      </w:tr>
      <w:tr>
        <w:trPr>
          <w:trHeight w:val="250"/>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Business Combination and PIPE Financing, gross proceeds</w:t>
            </w:r>
          </w:p>
        </w:tc>
        <w:tc>
          <w:tcPr>
            <w:tcW w:w="10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342,113</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Business Combination and PIPE Financing transaction costs</w:t>
            </w:r>
          </w:p>
        </w:tc>
        <w:tc>
          <w:tcPr>
            <w:tcW w:w="10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(8 )</w:t>
            </w:r>
          </w:p>
        </w:tc>
        <w:tc>
          <w:tcPr>
            <w:tcW w:w="4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(15,836 )</w:t>
            </w:r>
          </w:p>
        </w:tc>
      </w:tr>
      <w:tr>
        <w:trPr>
          <w:trHeight w:val="241"/>
        </w:trPr>
        <w:tc>
          <w:tcPr>
            <w:tcW w:w="7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3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357,325</w:t>
            </w: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0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(81,066 )</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114,364</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145,024</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0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3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145,024</w:t>
            </w:r>
          </w:p>
        </w:tc>
        <w:tc>
          <w:tcPr>
            <w:tcW w:w="100" w:type="dxa"/>
            <w:vAlign w:val="bottom"/>
          </w:tcPr>
          <w:p>
            <w:pPr>
              <w:spacing w:after="0"/>
              <w:rPr>
                <w:sz w:val="20"/>
                <w:szCs w:val="20"/>
                <w:color w:val="auto"/>
              </w:rPr>
            </w:pPr>
          </w:p>
        </w:tc>
      </w:tr>
      <w:tr>
        <w:trPr>
          <w:trHeight w:val="23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10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Conversion of Preferred Shares to Common Shares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166,534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Revaluation of right-of-use asset and lease liability upon lease modification</w:t>
            </w:r>
          </w:p>
        </w:tc>
        <w:tc>
          <w:tcPr>
            <w:tcW w:w="102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shd w:val="clear" w:color="auto" w:fill="CFF0FC"/>
          </w:tcPr>
          <w:p>
            <w:pPr>
              <w:spacing w:after="0"/>
              <w:rPr>
                <w:sz w:val="21"/>
                <w:szCs w:val="21"/>
                <w:color w:val="auto"/>
              </w:rPr>
            </w:pPr>
          </w:p>
        </w:tc>
      </w:tr>
      <w:tr>
        <w:trPr>
          <w:trHeight w:val="211"/>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r>
      <w:tr>
        <w:trPr>
          <w:trHeight w:val="250"/>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 obtained in exchange for a lease liability</w:t>
            </w:r>
          </w:p>
        </w:tc>
        <w:tc>
          <w:tcPr>
            <w:tcW w:w="102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48,352</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-3402330</wp:posOffset>
            </wp:positionV>
            <wp:extent cx="6858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1631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-1079500</wp:posOffset>
            </wp:positionV>
            <wp:extent cx="6858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Tango Therapeutics, Inc. (Tango or the Company) is a precision oncology company committed to the discovery and development of novel drugs in defined patient populations with high unmet medical need.</w:t>
      </w:r>
    </w:p>
    <w:p>
      <w:pPr>
        <w:spacing w:after="0" w:line="162"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(U.S. GAAP). The accompanying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for evaluation by the chief operating decision maker in deciding how to allocate resources and in assessing performance. The Company operates in one operating segment, the business of discovering and developing precision oncology therapies.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All highly liquid marketable securities purchased with an original maturity date of 90 days or less at the date of purchase are considered to be cash equivalents. Cash equivalents consisted of money market funds and U.S. Treasury bills as of December 31, 2022 and 2021.</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are reported as a component of accumulated other comprehensive income in stockholders’ equity. Amortization and accretion of premiums and discounts are recorded in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interest income. Realized gains and losses are included as a component of other income, net in the consolidated statements of operations.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credit losses were recorded during the periods presented.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9" w:lineRule="exact"/>
        <w:rPr>
          <w:sz w:val="20"/>
          <w:szCs w:val="20"/>
          <w:color w:val="auto"/>
        </w:rPr>
      </w:pPr>
    </w:p>
    <w:p>
      <w:pPr>
        <w:ind w:left="1140" w:right="140" w:hanging="383"/>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values are determined utilizing prices (unadjusted) in active markets for identical assets or liabilities that the Company has the ability to access.</w:t>
      </w:r>
    </w:p>
    <w:p>
      <w:pPr>
        <w:spacing w:after="0" w:line="53"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17"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Company’s cash equivalents and marketable securities are determined according to the fair value hierarchy described below (see Note 5). The carrying values of the Company’s accounts receivable, accounts payable and accrued expenses approximate their fair values due to the short-term nature of these assets and liabilities.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Suppliers</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2022 and 2021. At times, the Company’s cash deposits may exceed the amount of federal insurance provided on such deposits. The Company has not experienced any losses in such accounts and believes it is not exposed to significant credit risk beyond the normal credit risk associated with commercial banking relationships.</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perform research activities and clinical trial activities that continue to progress its product candidates for its development programs. These programs could be adversely affected by a significant interruption in the related processes of these vendors.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Cash accounts with any type of restriction are considered restricted cash and are classified on the balance sheet based on the length of the restrictive obligation. As of December 31, 2022 and 2021, the Company recorded restricted cash of $4.0 million and $2.3 million, respectively, all of which was related to security deposits associated with the Company’s facility leases in Boston, Massachusetts and Cambridge, Massachusetts. The security deposit associated with the Company's facility lease in Boston, Massachusetts is recorded as non-current in its balance sheet as of December 31, 2022 and December 31, 2021 because the deposit is required for the duration of the lease which is greater than a year. The security deposit associated with the Company's previous facility lease in Cambridge, Massachusetts is recorded as current in its balance sheet as of</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5" w:name="page116"/>
    <w:bookmarkEnd w:id="115"/>
    <w:p>
      <w:pPr>
        <w:ind w:right="200"/>
        <w:spacing w:after="0" w:line="282" w:lineRule="auto"/>
        <w:rPr>
          <w:sz w:val="20"/>
          <w:szCs w:val="20"/>
          <w:color w:val="auto"/>
        </w:rPr>
      </w:pPr>
      <w:r>
        <w:rPr>
          <w:rFonts w:ascii="Times New Roman" w:cs="Times New Roman" w:eastAsia="Times New Roman" w:hAnsi="Times New Roman"/>
          <w:sz w:val="18"/>
          <w:szCs w:val="18"/>
          <w:color w:val="auto"/>
        </w:rPr>
        <w:t>December 31, 2022 and December 31, 2021 because the deposit associated with the terminated lease was expected to be returned in less than a year from the balance sheet dates. The security deposit was released to the Company in March 2023.</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cash and cash equivalents and restricted cash to amounts presented in the consolidated statements of cash flows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59,968</w:t>
            </w:r>
          </w:p>
        </w:tc>
        <w:tc>
          <w:tcPr>
            <w:tcW w:w="7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142,745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20" w:type="dxa"/>
            <w:vAlign w:val="bottom"/>
          </w:tcPr>
          <w:p>
            <w:pPr>
              <w:spacing w:after="0"/>
              <w:rPr>
                <w:sz w:val="16"/>
                <w:szCs w:val="16"/>
                <w:color w:val="auto"/>
              </w:rPr>
            </w:pPr>
          </w:p>
        </w:tc>
        <w:tc>
          <w:tcPr>
            <w:tcW w:w="6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FF0FC"/>
          </w:tcPr>
          <w:p>
            <w:pPr>
              <w:spacing w:after="0"/>
              <w:rPr>
                <w:sz w:val="20"/>
                <w:szCs w:val="20"/>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20" w:type="dxa"/>
            <w:vAlign w:val="bottom"/>
          </w:tcPr>
          <w:p>
            <w:pPr>
              <w:spacing w:after="0"/>
              <w:rPr>
                <w:sz w:val="20"/>
                <w:szCs w:val="20"/>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FF0FC"/>
          </w:tcPr>
          <w:p>
            <w:pPr>
              <w:spacing w:after="0"/>
              <w:rPr>
                <w:sz w:val="21"/>
                <w:szCs w:val="21"/>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3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Pr>
          <w:p>
            <w:pPr>
              <w:spacing w:after="0"/>
              <w:rPr>
                <w:sz w:val="20"/>
                <w:szCs w:val="20"/>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21"/>
                <w:szCs w:val="21"/>
                <w:color w:val="auto"/>
              </w:rPr>
            </w:pPr>
          </w:p>
        </w:tc>
        <w:tc>
          <w:tcPr>
            <w:tcW w:w="6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Shorter of remaining lease term or 10 years</w:t>
            </w:r>
          </w:p>
        </w:tc>
      </w:tr>
    </w:tbl>
    <w:p>
      <w:pPr>
        <w:spacing w:after="0" w:line="19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 initial term of 12 months or less are not recorded on the balance sheet. Lease expense is recognized over the expected term on a straight-line basis.</w:t>
      </w:r>
    </w:p>
    <w:p>
      <w:pPr>
        <w:spacing w:after="0" w:line="183"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Lease payments are discounted at the lease commencement date using the interest rate implicit in the lease contract. As this rate is typically not readily determinable, the Company determines an incremental borrowing 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16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6" w:name="page117"/>
    <w:bookmarkEnd w:id="116"/>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Company’s right-of-use assets and lease liabilities generally do not assume that any renewal options or any early-termination provisions, if any, are exercised, unless it is reasonably certain that the Company will exercise such options.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(as described below).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w:t>
      </w:r>
    </w:p>
    <w:p>
      <w:pPr>
        <w:spacing w:after="0" w:line="19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Company’s revenues are generated through its license and collaboration agreements with Gilead. Refer to Note 4, “Collaboration Agreements” elsewhere in these notes to the Company's consolidated financial statements.</w:t>
      </w:r>
    </w:p>
    <w:p>
      <w:pPr>
        <w:spacing w:after="0" w:line="16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Revenue from Contracts with Customers.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performance obligations are satisfied. The Company only applies this framework to contracts when it is probable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w:t>
      </w:r>
    </w:p>
    <w:p>
      <w:pPr>
        <w:spacing w:after="0" w:line="197" w:lineRule="exact"/>
        <w:rPr>
          <w:sz w:val="20"/>
          <w:szCs w:val="20"/>
          <w:color w:val="auto"/>
        </w:rPr>
      </w:pPr>
    </w:p>
    <w:p>
      <w:pPr>
        <w:jc w:val="both"/>
        <w:ind w:right="220" w:firstLine="509"/>
        <w:spacing w:after="0" w:line="269" w:lineRule="auto"/>
        <w:rPr>
          <w:sz w:val="20"/>
          <w:szCs w:val="20"/>
          <w:color w:val="auto"/>
        </w:rPr>
      </w:pPr>
      <w:r>
        <w:rPr>
          <w:rFonts w:ascii="Times New Roman" w:cs="Times New Roman" w:eastAsia="Times New Roman" w:hAnsi="Times New Roman"/>
          <w:sz w:val="17"/>
          <w:szCs w:val="17"/>
          <w:color w:val="auto"/>
        </w:rPr>
        <w:t>In determining the appropriate amount of revenue to be recognized as the Company fulfills its obligations under active agreements,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transaction price is allocated to the identified performance obligations on a relative stand-alone selling price basis, for which the Company recognizes revenue as or when the performance obligations under the 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18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7" w:name="page118"/>
    <w:bookmarkEnd w:id="117"/>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Exclusive License Rights </w:t>
      </w:r>
      <w:r>
        <w:rPr>
          <w:rFonts w:ascii="Times New Roman" w:cs="Times New Roman" w:eastAsia="Times New Roman" w:hAnsi="Times New Roman"/>
          <w:sz w:val="18"/>
          <w:szCs w:val="18"/>
          <w:color w:val="auto"/>
        </w:rPr>
        <w:t>— If the license to the Company’s intellectual property is determined to be distinct from the other promises or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 The obligations under the Company’s collaboration agreements may include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 No collaborative arrangements existed that would result in such reimbursements for the periods presented.</w:t>
      </w:r>
    </w:p>
    <w:p>
      <w:pPr>
        <w:spacing w:after="0" w:line="18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 The Company’s arrangements may provide a collaborator with the right to acquire additional goods or services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 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an arrangement that includes development milestone payments,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likely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18" w:name="page119"/>
    <w:bookmarkEnd w:id="118"/>
    <w:p>
      <w:pPr>
        <w:ind w:right="60"/>
        <w:spacing w:after="0" w:line="282" w:lineRule="auto"/>
        <w:rPr>
          <w:sz w:val="20"/>
          <w:szCs w:val="20"/>
          <w:color w:val="auto"/>
        </w:rPr>
      </w:pPr>
      <w:r>
        <w:rPr>
          <w:rFonts w:ascii="Times New Roman" w:cs="Times New Roman" w:eastAsia="Times New Roman" w:hAnsi="Times New Roman"/>
          <w:sz w:val="18"/>
          <w:szCs w:val="18"/>
          <w:color w:val="auto"/>
        </w:rPr>
        <w:t>outcome from satisfying the performance obligation, the Company generally allocates the milestone amount entirely to that performance obligation once it is probable that a significant revenue reversal would not occur.</w:t>
      </w:r>
    </w:p>
    <w:p>
      <w:pPr>
        <w:spacing w:after="0" w:line="16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For arrangements that include sales-based royalties, including milestone payments based on a level of sales, where the license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licensing agreements.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These expenses include salaries, employee benefits, and stock-based compensation expense for our research and development personnel, materials, supplies, depreciation on and maintenance of research equipment, the cost of services provided by outside CROs and consultants to conduct research and development activities including costs of clinical trials and manufacturing, and the allocable portions of facility costs, such as rent, utilities, and general support services. All costs incurred to fulfill the Company’s obligations under the collaboration with Gilead are classified as research and development expenses. All costs associated with research and development are expensed as incurred.</w:t>
      </w:r>
    </w:p>
    <w:p>
      <w:pPr>
        <w:spacing w:after="0" w:line="18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are deferred and recognized as expense in the period that the related goods are consumed or services are performed.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and recognizes the cumulative effect of current and prior period changes in the period of change.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Prior to the consummation of the Business Combination transaction in August 2021, as there was not a public market for the common stock of the Company prior to becoming publicly traded, the fair value of common stock underlying stock-based awards was based on a valuation provided by the board of directors as derived from a recommendation by an unrelated third-party valuation firm. The Company determined the estimated per share fair value of its common stock at various dates considering contemporaneous and retrospective valuations that incorporated objective and subjective factors, including actual and forecasted financial results, market conditions and performance of comparable publicly traded companies, developments and milestones of the Company, the rights and preferences of common and redeemable convertible preferred stock, advice from the third-party valuation specialists, and transactions involving the Company’s stock. The estimated per share fair value of the Company’s common stock was determined in accordance with the guidance outlined in the American Institute of Certified Public Accountants Practice Aid, </w:t>
      </w:r>
      <w:r>
        <w:rPr>
          <w:rFonts w:ascii="Times New Roman" w:cs="Times New Roman" w:eastAsia="Times New Roman" w:hAnsi="Times New Roman"/>
          <w:sz w:val="18"/>
          <w:szCs w:val="18"/>
          <w:i w:val="1"/>
          <w:iCs w:val="1"/>
          <w:color w:val="auto"/>
        </w:rPr>
        <w:t>Valuation of Privately-Held 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 The fair value of each restricted common stock award was estimated on the date of grant based on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common stock on that same date.</w:t>
      </w:r>
    </w:p>
    <w:p>
      <w:pPr>
        <w:spacing w:after="0" w:line="194" w:lineRule="exact"/>
        <w:rPr>
          <w:sz w:val="20"/>
          <w:szCs w:val="20"/>
          <w:color w:val="auto"/>
        </w:rPr>
      </w:pPr>
    </w:p>
    <w:p>
      <w:pPr>
        <w:jc w:val="both"/>
        <w:ind w:right="240" w:firstLine="509"/>
        <w:spacing w:after="0" w:line="257" w:lineRule="auto"/>
        <w:rPr>
          <w:sz w:val="20"/>
          <w:szCs w:val="20"/>
          <w:color w:val="auto"/>
        </w:rPr>
      </w:pPr>
      <w:r>
        <w:rPr>
          <w:rFonts w:ascii="Times New Roman" w:cs="Times New Roman" w:eastAsia="Times New Roman" w:hAnsi="Times New Roman"/>
          <w:sz w:val="18"/>
          <w:szCs w:val="18"/>
          <w:color w:val="auto"/>
        </w:rPr>
        <w:t>Subsequent to becoming a publicly traded Company upon the consummation of the Business Combination transaction, the fair value of common stock underlying stock-based awards is based on an estimate at each grant date using the market price of our common stock and each of the assumptions discussed below.</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9" w:name="page120"/>
    <w:bookmarkEnd w:id="119"/>
    <w:p>
      <w:pPr>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of the stock options is estimated using the “simplified method,” as prescribed in SEC’s Staff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Bulletin (SAB) No. 107,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w:t>
      </w:r>
    </w:p>
    <w:p>
      <w:pPr>
        <w:spacing w:after="0" w:line="180" w:lineRule="exact"/>
        <w:rPr>
          <w:sz w:val="20"/>
          <w:szCs w:val="20"/>
          <w:color w:val="auto"/>
        </w:rPr>
      </w:pPr>
    </w:p>
    <w:p>
      <w:pPr>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Since there is limited historical data for the Company’s common stock and limited company-specific historical volatility,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73" w:lineRule="exact"/>
        <w:rPr>
          <w:sz w:val="20"/>
          <w:szCs w:val="20"/>
          <w:color w:val="auto"/>
        </w:rPr>
      </w:pPr>
    </w:p>
    <w:p>
      <w:pPr>
        <w:ind w:left="520"/>
        <w:spacing w:after="0"/>
        <w:tabs>
          <w:tab w:leader="none" w:pos="2340" w:val="left"/>
        </w:tabs>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risk-free rate is based on the U.S. Treasury yield curve commensurate with the expected life of the option.</w:t>
      </w:r>
    </w:p>
    <w:p>
      <w:pPr>
        <w:spacing w:after="0" w:line="225" w:lineRule="exact"/>
        <w:rPr>
          <w:sz w:val="20"/>
          <w:szCs w:val="20"/>
          <w:color w:val="auto"/>
        </w:rPr>
      </w:pPr>
    </w:p>
    <w:p>
      <w:pPr>
        <w:ind w:left="52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expected dividend is assumed to be zero as the Company has never paid dividends and has no current plans to do so.</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shareholders’ equity as a reduction of additional paid-in capital generated as a result of the offering.</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w:t>
      </w:r>
    </w:p>
    <w:p>
      <w:pPr>
        <w:spacing w:after="0" w:line="187"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Penalties and interest expense related to income taxes are included as components of income tax expense and interest expense, respectively, as necessary.</w:t>
      </w: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20" w:name="page121"/>
    <w:bookmarkEnd w:id="1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stockholders. The Company’s only element of other comprehensive loss for the years ended December 31, 2022 and 2021 was unrealized losses on investments in marketable securities.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attributable to 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unvested restricted stock have no obligation to fund losses.</w:t>
      </w:r>
    </w:p>
    <w:p>
      <w:pPr>
        <w:spacing w:after="0" w:line="188"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before the financial statements are issued to provide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evidence relative to certain estimates or to identify matters that require additional disclosure. Subsequent events have been evaluated as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all subsequent events and determined there are no material recognized or unrecognized subsequent events requiring disclosure.</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(JOBS Act), and may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 However, the Company has not yet delayed the adoption of any new accounting standards.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(ASC 740). The ASU enhances and simplifies various aspects of the income tax accounting guidance in ASC 740, including requirements related to hybrid tax regimes, the tax basis step-up in goodwill obtained in a transaction that is not a business combination,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1" w:name="page122"/>
    <w:bookmarkEnd w:id="121"/>
    <w:p>
      <w:pPr>
        <w:ind w:right="40"/>
        <w:spacing w:after="0" w:line="261" w:lineRule="auto"/>
        <w:rPr>
          <w:sz w:val="20"/>
          <w:szCs w:val="20"/>
          <w:color w:val="auto"/>
        </w:rPr>
      </w:pPr>
      <w:r>
        <w:rPr>
          <w:rFonts w:ascii="Times New Roman" w:cs="Times New Roman" w:eastAsia="Times New Roman" w:hAnsi="Times New Roman"/>
          <w:sz w:val="18"/>
          <w:szCs w:val="18"/>
          <w:color w:val="auto"/>
        </w:rPr>
        <w:t>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became effective for the Company's fiscal year beginning January 1, 2021. The adoption of this guidance did not have a material impact on the Company’s consolidated financial statements.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 and Derivatives and Hedging</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Contracts in Entity’s Own Equity (Subtopic 815 — 40)</w:t>
      </w:r>
      <w:r>
        <w:rPr>
          <w:rFonts w:ascii="Times New Roman" w:cs="Times New Roman" w:eastAsia="Times New Roman" w:hAnsi="Times New Roman"/>
          <w:sz w:val="18"/>
          <w:szCs w:val="18"/>
          <w:color w:val="auto"/>
        </w:rPr>
        <w:t>. The amendments in this update affect entities that issue convertible instruments and/or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indexed to and potentially settled in an entity’s own equity. The new ASU eliminates the beneficial conversion and cash conversion accounting models for convertible instruments. It also amends the accounting for certain contracts in an entity’s own equity that are currently accounted for as derivatives because of specific settlement provisions. In addition, the new guidance modifies how particular convertible instruments and certain contracts that may be settled in cash or shares impact the diluted EPS computation. Early adoption is permitted, but no earlier than fiscal years beginning after December 15, 2020, including interim periods within those fiscal years. The Company elected to early adopt this guidance on January 1, 2021. Adoption of the ASU 2020-06 guidance as of January 1, 2021 had no impact on its consolidated financial statements for the year ended December 31, 2020. The Company issued the second tranche of its redeemable convertible Series B preferred stock in March 2021 at an original issue price of $1.32 per share, which would have resulted in the recognition of a beneficial conversion feature of $28.4 million prior to the adoption of ASU 2020-06. However, the consummation of the Business Combination and the application of a retroactive adjustment to historical redeemable convertible preferred stock in all periods presented under the reverse recapitalization accounting treatment have resulted in the adoption of this guidance not resulting in a material impact on the Company’s financial statements.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April 2021, the Company, BCTG Merger Sub Inc., a Delaware corporation, and Tango Therapeutics, Inc. (now known as Tango Therapeutics Sub, Inc. or Old Tango) signed a definitive merger agreement (the Merger Agreement) memorializing the terms of BCTG’s acquisition of 100% of Old Tango's issued and outstanding equity securities in exchange for $550.0 million worth of consideration in the form of BCTG common stock (the Business Combination). The Business Combination was approved in August 2021 by shareholders of BCTG, resulting in BCTG acquiring 100% of Old Tango's issued and outstanding equity securities in August 2021. The Business Combination was accounted for as a “reverse recapitalization” in accordance with U.S. GAAP. As a result of the Business Combination, BCTG was renamed Tango Therapeutics, Inc. The Company's common stock is trading on The Nasdaq Global Market under the ticker symbol TNGX.</w:t>
      </w:r>
    </w:p>
    <w:p>
      <w:pPr>
        <w:spacing w:after="0" w:line="18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Tango received gross proceeds of $167.1 million upon the closing of the Business Combination. Tango continues to operate under the Old Tango management team. Simultaneous with the closing of the Business Combination, an aggregate of 18,610,000 shares of common stock (the PIPE Financing) were issued, resulting in gross proceeds of an additional $186.1 million upon the closing of the PIPE Financing. Total transaction costs and redemptions approximated $26.9 million, resulting in total net proceeds of $326.3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BCTG Acquisition Corporation IPO</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registration statement for BCTG’s initial public offering (IPO)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Upon the closing of the Initial Public Offering and the Private Placement, the net proceeds of the Initial Public Offering and certain of the proceeds of the Private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2" w:name="page123"/>
    <w:bookmarkEnd w:id="122"/>
    <w:p>
      <w:pPr>
        <w:ind w:right="200"/>
        <w:spacing w:after="0" w:line="261" w:lineRule="auto"/>
        <w:rPr>
          <w:sz w:val="20"/>
          <w:szCs w:val="20"/>
          <w:color w:val="auto"/>
        </w:rPr>
      </w:pPr>
      <w:r>
        <w:rPr>
          <w:rFonts w:ascii="Times New Roman" w:cs="Times New Roman" w:eastAsia="Times New Roman" w:hAnsi="Times New Roman"/>
          <w:sz w:val="18"/>
          <w:szCs w:val="18"/>
          <w:color w:val="auto"/>
        </w:rPr>
        <w:t>Placement was placed in a trust account (Trust Account) in the United States maintained by Continental Stock Transfer &amp; Trust Company, as trustee, and remained invested only in U.S. government treasury bills, notes and bonds with a maturity of 185 days or less or in money market funds meeting certain conditions under Rule 2a-7 under the Investment Company Act and which invest solely in U.S. Treasuries, until the completion of the Business Combination as described below.</w:t>
      </w:r>
    </w:p>
    <w:p>
      <w:pPr>
        <w:spacing w:after="0" w:line="18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August 10, 2021 (the Closing Date), BCTG, a Delaware corporation and now predecessor of the Company, consummated the Business Combination, pursuant to the Merger Agreement, by and among BCTG, BCTG Merger Sub Inc., a Delaware corporation (BCTG Merger Sub), and Old Tango. Prior to consummation of the Business Combination, Old Tango changed its name from “Tango Therapeutics, Inc.” to “Tango Therapeutics Sub, Inc.” and in connection with the Business Combination, BCTG changed its name to “Tango Therapeutics, Inc.” (the former name of Old Tango). Pursuant to the Merger Agreement, on the Closing Date, BCTG Merger Sub merged with and into Old Tango, or the Merger, with Old Tango surviving the Merger as a wholly-owned subsidiary of BCTG, and (as noted above) BCTG changed its name to “Tango Therapeutics, Inc.”, or New Tango.</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and conditions of the Merger Agreement, the aggregate consideration paid to Old Tango equity holders upon the closing of the Merger was 55,000,000 shares of New Tango common stock. Subsequent to the closing of the Business Combination, New Tango entered into subscription agreements with certain investors (PIPE Investors) pursuant to which the PIPE Investors purchased 18,610,000 shares of New Tango common stock at $10.00 per share, for aggregate gross proceeds of $186.1 million, under the PIPE Financing.</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elements of the net proceeds from the Business Combination and PIPE Financing transaction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Recapitalization</w:t>
            </w:r>
          </w:p>
        </w:tc>
      </w:tr>
      <w:tr>
        <w:trPr>
          <w:trHeight w:val="237"/>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BCTG's Trust Account and cash (net of redemptions)</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156,013</w:t>
            </w:r>
          </w:p>
        </w:tc>
        <w:tc>
          <w:tcPr>
            <w:tcW w:w="100" w:type="dxa"/>
            <w:vAlign w:val="bottom"/>
            <w:shd w:val="clear" w:color="auto" w:fill="CFF0FC"/>
          </w:tcPr>
          <w:p>
            <w:pPr>
              <w:spacing w:after="0"/>
              <w:rPr>
                <w:sz w:val="20"/>
                <w:szCs w:val="20"/>
                <w:color w:val="auto"/>
              </w:rPr>
            </w:pP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PIPE Financing</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186,100</w:t>
            </w:r>
          </w:p>
        </w:tc>
        <w:tc>
          <w:tcPr>
            <w:tcW w:w="100" w:type="dxa"/>
            <w:vAlign w:val="bottom"/>
          </w:tcPr>
          <w:p>
            <w:pPr>
              <w:spacing w:after="0"/>
              <w:rPr>
                <w:sz w:val="20"/>
                <w:szCs w:val="20"/>
                <w:color w:val="auto"/>
              </w:rPr>
            </w:pPr>
          </w:p>
        </w:tc>
      </w:tr>
      <w:tr>
        <w:trPr>
          <w:trHeight w:val="24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transaction costs and advisory fees paid</w:t>
            </w:r>
          </w:p>
        </w:tc>
        <w:tc>
          <w:tcPr>
            <w:tcW w:w="3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(15,844 )</w:t>
            </w:r>
          </w:p>
        </w:tc>
      </w:tr>
      <w:tr>
        <w:trPr>
          <w:trHeight w:val="236"/>
        </w:trPr>
        <w:tc>
          <w:tcPr>
            <w:tcW w:w="8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proceeds from the Business Combination and PIPE Financing</w:t>
            </w: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326,269</w:t>
            </w:r>
          </w:p>
        </w:tc>
        <w:tc>
          <w:tcPr>
            <w:tcW w:w="100" w:type="dxa"/>
            <w:vAlign w:val="bottom"/>
            <w:tcBorders>
              <w:top w:val="single" w:sz="8" w:color="CCEEFF"/>
            </w:tcBorders>
          </w:tcPr>
          <w:p>
            <w:pPr>
              <w:spacing w:after="0"/>
              <w:rPr>
                <w:sz w:val="20"/>
                <w:szCs w:val="20"/>
                <w:color w:val="auto"/>
              </w:rPr>
            </w:pPr>
          </w:p>
        </w:tc>
      </w:tr>
      <w:tr>
        <w:trPr>
          <w:trHeight w:val="243"/>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non-cash net assets assumed from BCTG</w:t>
            </w:r>
          </w:p>
        </w:tc>
        <w:tc>
          <w:tcPr>
            <w:tcW w:w="34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1"/>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contributions from Business Combination and PIPE Financing</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326,272</w:t>
            </w:r>
          </w:p>
        </w:tc>
        <w:tc>
          <w:tcPr>
            <w:tcW w:w="100" w:type="dxa"/>
            <w:vAlign w:val="bottom"/>
          </w:tcPr>
          <w:p>
            <w:pPr>
              <w:spacing w:after="0"/>
              <w:rPr>
                <w:sz w:val="20"/>
                <w:szCs w:val="20"/>
                <w:color w:val="auto"/>
              </w:rPr>
            </w:pPr>
          </w:p>
        </w:tc>
      </w:tr>
      <w:tr>
        <w:trPr>
          <w:trHeight w:val="20"/>
        </w:trPr>
        <w:tc>
          <w:tcPr>
            <w:tcW w:w="8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outstanding immediately following the consummation of the Business Combination and PIPE Financing transaction: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60" w:type="dxa"/>
            <w:vAlign w:val="bottom"/>
          </w:tcPr>
          <w:p>
            <w:pPr>
              <w:spacing w:after="0"/>
              <w:rPr>
                <w:sz w:val="16"/>
                <w:szCs w:val="16"/>
                <w:color w:val="auto"/>
              </w:rPr>
            </w:pP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3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BCTG common shares outstanding prior to the Business Combination</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21,377,250</w:t>
            </w:r>
          </w:p>
        </w:tc>
        <w:tc>
          <w:tcPr>
            <w:tcW w:w="100" w:type="dxa"/>
            <w:vAlign w:val="bottom"/>
            <w:shd w:val="clear" w:color="auto" w:fill="CCEEFF"/>
          </w:tcPr>
          <w:p>
            <w:pPr>
              <w:spacing w:after="0"/>
              <w:rPr>
                <w:sz w:val="20"/>
                <w:szCs w:val="20"/>
                <w:color w:val="auto"/>
              </w:rPr>
            </w:pP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redemption of BCTG shares</w:t>
            </w: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(1,106,814 )</w:t>
            </w:r>
          </w:p>
        </w:tc>
      </w:tr>
      <w:tr>
        <w:trPr>
          <w:trHeight w:val="241"/>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of BCTG outstanding as of the Business Combination</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20,270,436</w:t>
            </w:r>
          </w:p>
        </w:tc>
        <w:tc>
          <w:tcPr>
            <w:tcW w:w="100" w:type="dxa"/>
            <w:vAlign w:val="bottom"/>
            <w:shd w:val="clear" w:color="auto" w:fill="CCEEFF"/>
          </w:tcPr>
          <w:p>
            <w:pPr>
              <w:spacing w:after="0"/>
              <w:rPr>
                <w:sz w:val="20"/>
                <w:szCs w:val="20"/>
                <w:color w:val="auto"/>
              </w:rPr>
            </w:pP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pursuant to the PIPE Financing</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18,610,000</w:t>
            </w:r>
          </w:p>
        </w:tc>
        <w:tc>
          <w:tcPr>
            <w:tcW w:w="100" w:type="dxa"/>
            <w:vAlign w:val="bottom"/>
          </w:tcPr>
          <w:p>
            <w:pPr>
              <w:spacing w:after="0"/>
              <w:rPr>
                <w:sz w:val="20"/>
                <w:szCs w:val="20"/>
                <w:color w:val="auto"/>
              </w:rPr>
            </w:pPr>
          </w:p>
        </w:tc>
      </w:tr>
      <w:tr>
        <w:trPr>
          <w:trHeight w:val="241"/>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 and PIPE Financing shares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38,880,436</w:t>
            </w:r>
          </w:p>
        </w:tc>
        <w:tc>
          <w:tcPr>
            <w:tcW w:w="100" w:type="dxa"/>
            <w:vAlign w:val="bottom"/>
            <w:shd w:val="clear" w:color="auto" w:fill="CCEEFF"/>
          </w:tcPr>
          <w:p>
            <w:pPr>
              <w:spacing w:after="0"/>
              <w:rPr>
                <w:sz w:val="20"/>
                <w:szCs w:val="20"/>
                <w:color w:val="auto"/>
              </w:rPr>
            </w:pPr>
          </w:p>
        </w:tc>
      </w:tr>
      <w:tr>
        <w:trPr>
          <w:trHeight w:val="239"/>
        </w:trPr>
        <w:tc>
          <w:tcPr>
            <w:tcW w:w="9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Old Tango common shares (after preferred shares were converted 1-for-1 for common shares)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48,593,803</w:t>
            </w:r>
          </w:p>
        </w:tc>
        <w:tc>
          <w:tcPr>
            <w:tcW w:w="100" w:type="dxa"/>
            <w:vAlign w:val="bottom"/>
          </w:tcPr>
          <w:p>
            <w:pPr>
              <w:spacing w:after="0"/>
              <w:rPr>
                <w:sz w:val="20"/>
                <w:szCs w:val="20"/>
                <w:color w:val="auto"/>
              </w:rPr>
            </w:pPr>
          </w:p>
        </w:tc>
      </w:tr>
      <w:tr>
        <w:trPr>
          <w:trHeight w:val="281"/>
        </w:trPr>
        <w:tc>
          <w:tcPr>
            <w:tcW w:w="9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immediately after Business Combination consummation</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87,474,239</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merger consideration of 55,000,0000 shares of New Tango common stock issued to Old Tango equity holders consists of 48,593,803 shares issued in exchange for Old Tango common and preferred shares outstanding, included in the table above, as well as 6,406,197 shares issued in exchange for the Old Tango unvested restricted stock awards and unexercised stock options outstanding immediately prior to the effective time of the Business Combination.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Retrospective Application of Recapitalization</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discussed above, the Business Combination with BCTG, which was consummated on August 10, 2021, is accounted for as a reverse recapitalization of equity structure. Under the reverse recapitalization model, the Business Combination was treated as Old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Old Tango’s stockholders possess a majority of the voting power of the combined company, the Company comprises all of the ongoing operations of Old Tango,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3" w:name="page124"/>
    <w:bookmarkEnd w:id="123"/>
    <w:p>
      <w:pPr>
        <w:ind w:right="300"/>
        <w:spacing w:after="0" w:line="282" w:lineRule="auto"/>
        <w:rPr>
          <w:sz w:val="20"/>
          <w:szCs w:val="20"/>
          <w:color w:val="auto"/>
        </w:rPr>
      </w:pPr>
      <w:r>
        <w:rPr>
          <w:rFonts w:ascii="Times New Roman" w:cs="Times New Roman" w:eastAsia="Times New Roman" w:hAnsi="Times New Roman"/>
          <w:sz w:val="18"/>
          <w:szCs w:val="18"/>
          <w:color w:val="auto"/>
        </w:rPr>
        <w:t>Company comprises a majority of the governing body of Old Tango, and the Company’s senior management comprises all of the senior management of Old Tango.</w:t>
      </w:r>
    </w:p>
    <w:p>
      <w:pPr>
        <w:spacing w:after="0" w:line="162"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contain recasted stockholders' equity balances resulting from the retroactive application of reverse recapitalization accounting in accordance with U.S. GAAP.</w:t>
      </w:r>
    </w:p>
    <w:p>
      <w:pPr>
        <w:spacing w:after="0" w:line="16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upon the closing of the Business Combination on August 10, 2021 (the Effective Time), each share of Old Tango’s redeemable convertible preferred stock (the Preferred Stock) issued and outstanding immediately prior to the Effective Time was converted into a share of the Company’s common stock using the exchange ratio of 0.34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24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to Common</w:t>
            </w:r>
          </w:p>
        </w:tc>
        <w:tc>
          <w:tcPr>
            <w:tcW w:w="220" w:type="dxa"/>
            <w:vAlign w:val="bottom"/>
          </w:tcPr>
          <w:p>
            <w:pPr>
              <w:spacing w:after="0"/>
              <w:rPr>
                <w:sz w:val="13"/>
                <w:szCs w:val="13"/>
                <w:color w:val="auto"/>
              </w:rPr>
            </w:pPr>
          </w:p>
        </w:tc>
        <w:tc>
          <w:tcPr>
            <w:tcW w:w="1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8/10/2021 Merger</w:t>
            </w:r>
          </w:p>
        </w:tc>
        <w:tc>
          <w:tcPr>
            <w:tcW w:w="220" w:type="dxa"/>
            <w:vAlign w:val="bottom"/>
          </w:tcPr>
          <w:p>
            <w:pPr>
              <w:spacing w:after="0"/>
              <w:rPr>
                <w:sz w:val="13"/>
                <w:szCs w:val="13"/>
                <w:color w:val="auto"/>
              </w:rPr>
            </w:pPr>
          </w:p>
        </w:tc>
        <w:tc>
          <w:tcPr>
            <w:tcW w:w="14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Recapitalization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2"/>
                <w:szCs w:val="12"/>
                <w:color w:val="auto"/>
              </w:rPr>
            </w:pPr>
          </w:p>
        </w:tc>
        <w:tc>
          <w:tcPr>
            <w:tcW w:w="1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Recapitalization</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6"/>
                <w:szCs w:val="16"/>
                <w:color w:val="auto"/>
              </w:rPr>
            </w:pPr>
          </w:p>
        </w:tc>
        <w:tc>
          <w:tcPr>
            <w:tcW w:w="13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220" w:type="dxa"/>
            <w:vAlign w:val="bottom"/>
          </w:tcPr>
          <w:p>
            <w:pPr>
              <w:spacing w:after="0"/>
              <w:rPr>
                <w:sz w:val="16"/>
                <w:szCs w:val="16"/>
                <w:color w:val="auto"/>
              </w:rPr>
            </w:pPr>
          </w:p>
        </w:tc>
        <w:tc>
          <w:tcPr>
            <w:tcW w:w="12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Ratio</w:t>
            </w:r>
          </w:p>
        </w:tc>
        <w:tc>
          <w:tcPr>
            <w:tcW w:w="220" w:type="dxa"/>
            <w:vAlign w:val="bottom"/>
          </w:tcPr>
          <w:p>
            <w:pPr>
              <w:spacing w:after="0"/>
              <w:rPr>
                <w:sz w:val="16"/>
                <w:szCs w:val="16"/>
                <w:color w:val="auto"/>
              </w:rPr>
            </w:pPr>
          </w:p>
        </w:tc>
        <w:tc>
          <w:tcPr>
            <w:tcW w:w="14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12/31/2019</w:t>
            </w:r>
          </w:p>
        </w:tc>
        <w:tc>
          <w:tcPr>
            <w:tcW w:w="14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Series A</w:t>
            </w: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55,700,000</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55,700,000</w:t>
            </w:r>
          </w:p>
        </w:tc>
        <w:tc>
          <w:tcPr>
            <w:tcW w:w="2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18,922,317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4/7/2020</w:t>
            </w:r>
          </w:p>
        </w:tc>
        <w:tc>
          <w:tcPr>
            <w:tcW w:w="14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(tranche 1)</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8/17/2020</w:t>
            </w:r>
          </w:p>
        </w:tc>
        <w:tc>
          <w:tcPr>
            <w:tcW w:w="14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Series B-1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27,152,255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27,152,255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9,224,122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3/18/2021</w:t>
            </w:r>
          </w:p>
        </w:tc>
        <w:tc>
          <w:tcPr>
            <w:tcW w:w="14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B (tranche 2)</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22,686,025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7,706,861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All common shares, as well as previously issued share options and restricted stock awards (RSAs), presented in the accompanying recasted consolidated statements of redeemable convertible preferred stock and stockholders' equity and/or in the related notes are presented on an as-converted basis, converted at the ratio of 0.34.</w:t>
      </w:r>
    </w:p>
    <w:p>
      <w:pPr>
        <w:spacing w:after="0" w:line="280" w:lineRule="exact"/>
        <w:rPr>
          <w:sz w:val="20"/>
          <w:szCs w:val="20"/>
          <w:color w:val="auto"/>
        </w:rPr>
      </w:pPr>
    </w:p>
    <w:p>
      <w:pPr>
        <w:jc w:val="right"/>
        <w:ind w:left="520" w:right="8980" w:hanging="512"/>
        <w:spacing w:after="0" w:line="532" w:lineRule="auto"/>
        <w:tabs>
          <w:tab w:leader="none" w:pos="191"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Collaboration Agreements </w:t>
      </w:r>
      <w:r>
        <w:rPr>
          <w:rFonts w:ascii="Times New Roman" w:cs="Times New Roman" w:eastAsia="Times New Roman" w:hAnsi="Times New Roman"/>
          <w:sz w:val="17"/>
          <w:szCs w:val="17"/>
          <w:b w:val="1"/>
          <w:bCs w:val="1"/>
          <w:i w:val="1"/>
          <w:iCs w:val="1"/>
          <w:color w:val="auto"/>
        </w:rPr>
        <w:t>2018 Gilead Agreement</w:t>
      </w:r>
    </w:p>
    <w:p>
      <w:pPr>
        <w:spacing w:after="0" w:line="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 research term, Gilead had the option to obtain exclusive, worldwide licenses to develop and commercialize up to five validated programs (Gilead Program License).</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78"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assessed this arrangement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Amended Gilead Agreement</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August 2020, Gilead made an equity investment of $20.0 million into the Company as a participant in the Company’s Series B-1 preferred stock offering. At the time of the original investment, as well as of the December 31, 2022 balance sheet date, Gilead maintains an ownership of less than 10% of the Company's common stock and is thus not considered to be a related party to the Company.</w:t>
      </w:r>
    </w:p>
    <w:p>
      <w:pPr>
        <w:spacing w:after="0" w:line="17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68" w:lineRule="exact"/>
        <w:rPr>
          <w:sz w:val="20"/>
          <w:szCs w:val="20"/>
          <w:color w:val="auto"/>
        </w:rPr>
      </w:pPr>
    </w:p>
    <w:p>
      <w:pPr>
        <w:ind w:left="1140" w:right="26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3"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53" w:lineRule="exact"/>
        <w:rPr>
          <w:rFonts w:ascii="Times New Roman" w:cs="Times New Roman" w:eastAsia="Times New Roman" w:hAnsi="Times New Roman"/>
          <w:sz w:val="18"/>
          <w:szCs w:val="18"/>
          <w:color w:val="auto"/>
        </w:rPr>
      </w:pPr>
    </w:p>
    <w:p>
      <w:pPr>
        <w:ind w:left="1140" w:right="64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53" w:lineRule="exact"/>
        <w:rPr>
          <w:rFonts w:ascii="Times New Roman" w:cs="Times New Roman" w:eastAsia="Times New Roman" w:hAnsi="Times New Roman"/>
          <w:sz w:val="18"/>
          <w:szCs w:val="18"/>
          <w:color w:val="auto"/>
        </w:rPr>
      </w:pPr>
    </w:p>
    <w:p>
      <w:pPr>
        <w:jc w:val="both"/>
        <w:ind w:left="1140" w:right="460" w:hanging="383"/>
        <w:spacing w:after="0" w:line="266"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67" w:lineRule="exact"/>
        <w:rPr>
          <w:rFonts w:ascii="Times New Roman" w:cs="Times New Roman" w:eastAsia="Times New Roman" w:hAnsi="Times New Roman"/>
          <w:sz w:val="18"/>
          <w:szCs w:val="18"/>
          <w:color w:val="auto"/>
        </w:rPr>
      </w:pPr>
    </w:p>
    <w:p>
      <w:pPr>
        <w:ind w:left="1140" w:hanging="383"/>
        <w:spacing w:after="0" w:line="261"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71"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option-extension, and clinical, regulatory, and commercial milestones and royalties on future sales of commercialized products, if any.</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Although future research installment payments are not payable in the event of scientific failure, the Company determined that the variable consideration of $12.0 million for each of the extensions should not be constrained as the potential for a significant reversal of cumulative revenue recognized at the contract level is remote, and therefore the research option-extension consideration was added to the transaction price under the Gilead Agreement.</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April 2021, Gilead licensed a program for an $11.0 million license fee. The $11.0 million license fee was received and recognized as revenue in the second quarter of 2021 since Tango has no continued involvement in the advancement of</w:t>
      </w: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the program, Gilead can benefit from the license on its own and the license is separately identifiable from the research services.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December 31, 2022. The total transaction price was comprised of the $50.0 million upfront payment pursuant to the 2018 Gilead Agreement, the $125.0 million upfront payment pursuant to the Gilead Agreement, the $12.0 million payment pursuant to the research option-extension fee in December 2020, and the $12.0 million payment pursuant to the research option-extension fee in September 2021. During the years ended December 31, 2022 and 2021, the Company recognized $24.9 million and $26.0 million, respectively, of collaboration revenue associated with the Gilead agreements based on performance completed during each period.</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December 31, 2022 and 2021, the Company had short-term deferred revenue of $31.8 million and $26.0 million, respectively, and long-term deferred revenue of $92.1 million and $114.7 million, respectively, related to the Gilead collaboration. The remaining long-term deferred revenue is expected to be recognized proportionally to the completed obligations over an expected remaining contractual term of approximately 4.6 years.</w:t>
      </w:r>
    </w:p>
    <w:p>
      <w:pPr>
        <w:spacing w:after="0" w:line="187" w:lineRule="exact"/>
        <w:rPr>
          <w:sz w:val="20"/>
          <w:szCs w:val="20"/>
          <w:color w:val="auto"/>
        </w:rPr>
      </w:pPr>
    </w:p>
    <w:p>
      <w:pPr>
        <w:jc w:val="both"/>
        <w:ind w:right="320" w:firstLine="509"/>
        <w:spacing w:after="0" w:line="261"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consolidated balance sheets. As of December 31, 2022, $10.0 million of the $12.0 million ongoing research option-extension fee total from September 2021 had been received and the remaining $2.0 million had been recorded as accounts receivable.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Agreements are recorded as research and development expense.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7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199,245</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199,245</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106,920</w:t>
            </w:r>
          </w:p>
        </w:tc>
        <w:tc>
          <w:tcPr>
            <w:tcW w:w="100" w:type="dxa"/>
            <w:vAlign w:val="bottom"/>
          </w:tcPr>
          <w:p>
            <w:pPr>
              <w:spacing w:after="0"/>
              <w:rPr>
                <w:sz w:val="20"/>
                <w:szCs w:val="20"/>
                <w:color w:val="auto"/>
              </w:rPr>
            </w:pPr>
          </w:p>
        </w:tc>
      </w:tr>
      <w:tr>
        <w:trPr>
          <w:trHeight w:val="27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322,195</w:t>
            </w: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gridSpan w:val="2"/>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5"/>
        </w:trPr>
        <w:tc>
          <w:tcPr>
            <w:tcW w:w="5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62,244</w:t>
            </w:r>
          </w:p>
        </w:tc>
        <w:tc>
          <w:tcPr>
            <w:tcW w:w="2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38,433</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100" w:type="dxa"/>
            <w:vAlign w:val="bottom"/>
          </w:tcPr>
          <w:p>
            <w:pPr>
              <w:spacing w:after="0"/>
              <w:rPr>
                <w:sz w:val="20"/>
                <w:szCs w:val="20"/>
                <w:color w:val="auto"/>
              </w:rPr>
            </w:pPr>
          </w:p>
        </w:tc>
      </w:tr>
      <w:tr>
        <w:trPr>
          <w:trHeight w:val="27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62,244</w:t>
            </w:r>
          </w:p>
        </w:tc>
        <w:tc>
          <w:tcPr>
            <w:tcW w:w="2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380,943</w:t>
            </w:r>
          </w:p>
        </w:tc>
        <w:tc>
          <w:tcPr>
            <w:tcW w:w="2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2"/>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-1739265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-1722755</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-1739265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-1722755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-1739265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-1722755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-1722755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years ended December 31, 2022 and 2021.</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6. Marketable Securities</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16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as of December 31, 2022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9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left="26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201,834</w:t>
            </w:r>
          </w:p>
        </w:tc>
        <w:tc>
          <w:tcPr>
            <w:tcW w:w="1300" w:type="dxa"/>
            <w:vAlign w:val="bottom"/>
            <w:gridSpan w:val="2"/>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(2,610 )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108,036</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(1,116 )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309,870</w:t>
            </w:r>
          </w:p>
        </w:tc>
        <w:tc>
          <w:tcPr>
            <w:tcW w:w="280" w:type="dxa"/>
            <w:vAlign w:val="bottom"/>
          </w:tcPr>
          <w:p>
            <w:pPr>
              <w:spacing w:after="0"/>
              <w:rPr>
                <w:sz w:val="20"/>
                <w:szCs w:val="20"/>
                <w:color w:val="auto"/>
              </w:rPr>
            </w:pPr>
          </w:p>
        </w:tc>
        <w:tc>
          <w:tcPr>
            <w:tcW w:w="1020" w:type="dxa"/>
            <w:vAlign w:val="bottom"/>
          </w:tcPr>
          <w:p>
            <w:pPr>
              <w:jc w:val="right"/>
              <w:ind w:right="84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(3,726 )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20" w:type="dxa"/>
            <w:vAlign w:val="bottom"/>
          </w:tcPr>
          <w:p>
            <w:pPr>
              <w:jc w:val="center"/>
              <w:ind w:left="26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14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287,699</w:t>
            </w:r>
          </w:p>
        </w:tc>
        <w:tc>
          <w:tcPr>
            <w:tcW w:w="1300" w:type="dxa"/>
            <w:vAlign w:val="bottom"/>
            <w:gridSpan w:val="2"/>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(577 )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55,576</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(189 )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343,275</w:t>
            </w:r>
          </w:p>
        </w:tc>
        <w:tc>
          <w:tcPr>
            <w:tcW w:w="280" w:type="dxa"/>
            <w:vAlign w:val="bottom"/>
          </w:tcPr>
          <w:p>
            <w:pPr>
              <w:spacing w:after="0"/>
              <w:rPr>
                <w:sz w:val="20"/>
                <w:szCs w:val="20"/>
                <w:color w:val="auto"/>
              </w:rPr>
            </w:pPr>
          </w:p>
        </w:tc>
        <w:tc>
          <w:tcPr>
            <w:tcW w:w="1020" w:type="dxa"/>
            <w:vAlign w:val="bottom"/>
          </w:tcPr>
          <w:p>
            <w:pPr>
              <w:jc w:val="right"/>
              <w:ind w:right="84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(766 )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-1610995</wp:posOffset>
            </wp:positionV>
            <wp:extent cx="7747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-1610995</wp:posOffset>
            </wp:positionV>
            <wp:extent cx="7747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-1610995</wp:posOffset>
            </wp:positionV>
            <wp:extent cx="6858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-187960</wp:posOffset>
            </wp:positionV>
            <wp:extent cx="77470"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77470"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marketable debt securities with an aggregate fair value of $31.2 million as of December 31, 2022 with contractual maturity dates greater than one year.</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an unrealized loss 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2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40" w:type="dxa"/>
            <w:vAlign w:val="bottom"/>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280" w:type="dxa"/>
            <w:vAlign w:val="bottom"/>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21"/>
                <w:szCs w:val="21"/>
                <w:color w:val="auto"/>
              </w:rPr>
            </w:pPr>
          </w:p>
        </w:tc>
      </w:tr>
      <w:tr>
        <w:trPr>
          <w:trHeight w:val="250"/>
        </w:trPr>
        <w:tc>
          <w:tcPr>
            <w:tcW w:w="28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2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84,997</w:t>
            </w:r>
          </w:p>
        </w:tc>
        <w:tc>
          <w:tcPr>
            <w:tcW w:w="800" w:type="dxa"/>
            <w:vAlign w:val="bottom"/>
            <w:gridSpan w:val="3"/>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(1,970 )</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129,210</w:t>
            </w:r>
          </w:p>
        </w:tc>
        <w:tc>
          <w:tcPr>
            <w:tcW w:w="700" w:type="dxa"/>
            <w:vAlign w:val="bottom"/>
            <w:gridSpan w:val="3"/>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(1,116 )</w:t>
            </w:r>
          </w:p>
        </w:tc>
      </w:tr>
      <w:tr>
        <w:trPr>
          <w:trHeight w:val="277"/>
        </w:trPr>
        <w:tc>
          <w:tcPr>
            <w:tcW w:w="28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113,132</w:t>
            </w:r>
          </w:p>
        </w:tc>
        <w:tc>
          <w:tcPr>
            <w:tcW w:w="34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122,997</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236,129</w:t>
            </w:r>
          </w:p>
        </w:tc>
        <w:tc>
          <w:tcPr>
            <w:tcW w:w="340" w:type="dxa"/>
            <w:vAlign w:val="bottom"/>
            <w:tcBorders>
              <w:bottom w:val="single" w:sz="8" w:color="CFF0FC"/>
            </w:tcBorders>
            <w:gridSpan w:val="2"/>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-24765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29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4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21"/>
                <w:szCs w:val="21"/>
                <w:color w:val="auto"/>
              </w:rPr>
            </w:pPr>
          </w:p>
        </w:tc>
      </w:tr>
      <w:tr>
        <w:trPr>
          <w:trHeight w:val="250"/>
        </w:trPr>
        <w:tc>
          <w:tcPr>
            <w:tcW w:w="29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2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bills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274,318</w:t>
            </w:r>
          </w:p>
        </w:tc>
        <w:tc>
          <w:tcPr>
            <w:tcW w:w="1040" w:type="dxa"/>
            <w:vAlign w:val="bottom"/>
            <w:gridSpan w:val="3"/>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274,318</w:t>
            </w:r>
          </w:p>
        </w:tc>
        <w:tc>
          <w:tcPr>
            <w:tcW w:w="780" w:type="dxa"/>
            <w:vAlign w:val="bottom"/>
            <w:gridSpan w:val="3"/>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77"/>
        </w:trPr>
        <w:tc>
          <w:tcPr>
            <w:tcW w:w="29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329,705</w:t>
            </w:r>
          </w:p>
        </w:tc>
        <w:tc>
          <w:tcPr>
            <w:tcW w:w="340" w:type="dxa"/>
            <w:vAlign w:val="bottom"/>
            <w:tcBorders>
              <w:bottom w:val="single" w:sz="8" w:color="CFF0FC"/>
            </w:tcBorders>
            <w:gridSpan w:val="2"/>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329,705</w:t>
            </w:r>
          </w:p>
        </w:tc>
        <w:tc>
          <w:tcPr>
            <w:tcW w:w="340" w:type="dxa"/>
            <w:vAlign w:val="bottom"/>
            <w:tcBorders>
              <w:bottom w:val="single" w:sz="8" w:color="CFF0FC"/>
            </w:tcBorders>
            <w:gridSpan w:val="2"/>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-24765</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-7620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holds investment grade marketable securities considered to be in an unrealized loss position. Although these marketable securities are held at an unrealized loss position at December 31, 2022, the Company does not intend to sell</w:t>
      </w: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7" w:name="page128"/>
    <w:bookmarkEnd w:id="127"/>
    <w:p>
      <w:pPr>
        <w:spacing w:after="0" w:line="258" w:lineRule="auto"/>
        <w:rPr>
          <w:sz w:val="20"/>
          <w:szCs w:val="20"/>
          <w:color w:val="auto"/>
        </w:rPr>
      </w:pPr>
      <w:r>
        <w:rPr>
          <w:rFonts w:ascii="Times New Roman" w:cs="Times New Roman" w:eastAsia="Times New Roman" w:hAnsi="Times New Roman"/>
          <w:sz w:val="18"/>
          <w:szCs w:val="18"/>
          <w:color w:val="auto"/>
        </w:rPr>
        <w:t>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$0.5 million and $0.2 million in accrued interest at December 31, 2022 and December 31, 2021, respectively.</w:t>
      </w:r>
    </w:p>
    <w:p>
      <w:pPr>
        <w:spacing w:after="0" w:line="179" w:lineRule="exact"/>
        <w:rPr>
          <w:sz w:val="20"/>
          <w:szCs w:val="20"/>
          <w:color w:val="auto"/>
        </w:rPr>
      </w:pPr>
    </w:p>
    <w:p>
      <w:pPr>
        <w:ind w:left="520" w:right="7820" w:hanging="512"/>
        <w:spacing w:after="0" w:line="503" w:lineRule="auto"/>
        <w:tabs>
          <w:tab w:leader="none" w:pos="191"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as of December 31, 2022 and 2021 consists of the following:</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r>
      <w:tr>
        <w:trPr>
          <w:trHeight w:val="241"/>
        </w:trPr>
        <w:tc>
          <w:tcPr>
            <w:tcW w:w="68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14,565</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shd w:val="clear" w:color="auto" w:fill="CFF0FC"/>
          </w:tcPr>
          <w:p>
            <w:pPr>
              <w:spacing w:after="0"/>
              <w:rPr>
                <w:sz w:val="20"/>
                <w:szCs w:val="20"/>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Pr>
          <w:p>
            <w:pPr>
              <w:spacing w:after="0"/>
              <w:rPr>
                <w:sz w:val="20"/>
                <w:szCs w:val="20"/>
                <w:color w:val="auto"/>
              </w:rPr>
            </w:pPr>
          </w:p>
        </w:tc>
        <w:tc>
          <w:tcPr>
            <w:tcW w:w="13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(3,681 )</w:t>
            </w:r>
          </w:p>
        </w:tc>
        <w:tc>
          <w:tcPr>
            <w:tcW w:w="4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(2,529 )</w:t>
            </w:r>
          </w:p>
        </w:tc>
      </w:tr>
      <w:tr>
        <w:trPr>
          <w:trHeight w:val="276"/>
        </w:trPr>
        <w:tc>
          <w:tcPr>
            <w:tcW w:w="6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$1.6 million and $0.9 million for the years ended December 31, 2022 and 2021,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as of December 31, 2022 and 2021 include the following:</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7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00" w:type="dxa"/>
            <w:vAlign w:val="bottom"/>
          </w:tcPr>
          <w:p>
            <w:pPr>
              <w:spacing w:after="0"/>
              <w:rPr>
                <w:sz w:val="20"/>
                <w:szCs w:val="20"/>
                <w:color w:val="auto"/>
              </w:rPr>
            </w:pPr>
          </w:p>
        </w:tc>
      </w:tr>
      <w:tr>
        <w:trPr>
          <w:trHeight w:val="243"/>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-187960</wp:posOffset>
            </wp:positionV>
            <wp:extent cx="68580"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July 2017, the Company entered into a lease of office and laboratory space at 100 Binney Street in Cambridge, Massachusetts. The lease commenced in March 2018 and lease payments commenced in June 2018. This lease had an original term of eight years with an option to extend for one additional three-year period. The lease agreement required the Company to provide a letter of credit for $0.6 million that is collateralized with cash that is recorded as long-term restricted cash in the accompanying balance sheets.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November 2021, the Company entered into a lease termination agreement for the leased office and laboratory space at 100 Binney Street in Cambridge, Massachusetts. The lease termination agreement is a modification of the original lease agreement that provides for, among other things, the acceleration of the expiration of the original term of the lease from June 30, 2026 to an earlier lease termination date of September 30, 2022. The execution of the lease termination agreement resulted in reductions to the associated lease liability and right-of-use asset balances of $5.3 million and $5.2 million, respectively, in the fourth quarter of 2021. The $0.6 million letter of credit associated with the lease and recorded as short-term restricted cash on the balance sheet as of December 31, 2022 was released to the Company in March 2023.</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28" w:name="page129"/>
    <w:bookmarkEnd w:id="128"/>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September 2019, the Company entered into a new lease for office and laboratory space at 201 Brookline Avenue in Boston, Massachusetts. The lease, as amended and restated in November 2021, has a non-cancelable term of ten years with an option to extend for up to two additional five-year periods. The lease commenced in August 2022, when the Company obtained access to the space for its' intended use. The lease agreement provides for initial tenant improvement allowances.</w:t>
      </w:r>
    </w:p>
    <w:p>
      <w:pPr>
        <w:spacing w:after="0" w:line="1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August 2022, upon commencement of the 201 Brookline Avenue lease, the Company recorded an operating lease liability in the amount of $37.9 million and related operating lease right-of-use asset in the amount of $48.0 million. Payments totaling $10.1 million for tenant improvements, and net of tenant improvement allowance reimbursements, made prior to the lease commencement date were reclassified as an increase to the right-of-use asset upon the commencement of the lease. Additional estimated future tenant improvement allowance reimbursements of $1.0 million are expected to result in an increase to the lease liability balance in future periods, upon receipt. The fixed annual rent payable under the lease is $5.1 million, increasing by 3% annually from the rent commencement date. The minimum rent payments to be paid over the 10-year term of the lease total $61.0 million. The additional rental payments associated with the renewal option were not included in the calculation of the operating lease right-of-use asset and associated operating lease liability as the renewal was not considered probable of occurring. The discount rate applied to the lease payments is 8.0%.</w:t>
      </w:r>
    </w:p>
    <w:p>
      <w:pPr>
        <w:spacing w:after="0" w:line="192" w:lineRule="exact"/>
        <w:rPr>
          <w:sz w:val="20"/>
          <w:szCs w:val="20"/>
          <w:color w:val="auto"/>
        </w:rPr>
      </w:pPr>
    </w:p>
    <w:p>
      <w:pPr>
        <w:ind w:right="280" w:firstLine="554"/>
        <w:spacing w:after="0" w:line="261" w:lineRule="auto"/>
        <w:rPr>
          <w:sz w:val="20"/>
          <w:szCs w:val="20"/>
          <w:color w:val="auto"/>
        </w:rPr>
      </w:pPr>
      <w:r>
        <w:rPr>
          <w:rFonts w:ascii="Times New Roman" w:cs="Times New Roman" w:eastAsia="Times New Roman" w:hAnsi="Times New Roman"/>
          <w:sz w:val="18"/>
          <w:szCs w:val="18"/>
          <w:color w:val="auto"/>
        </w:rPr>
        <w:t>In December 2022, the Company entered into an operating lease agreement to sublease a portion of the 201 Brookline Avenue premise to an unrelated third party. The sublease will expire on December 31, 2024, with a sublessee option to extend the term for six months. Sublease income recognized under the sublease agreement for the years ended December 31, 2022 was approximately $0.1 million, and was recorded as a reduction of the related lease expense. There was no sublease income recognized during the year ended December 31, 2021.</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Company’s rent payments for facility leases during the years ended December 31, 2022 and 2021 are classified as operating lease costs in the chart below. The leases are both considered net leases and therefore the non-lease components, such as common area maintenance, are paid separately from rent based on actual costs incurred; therefore, the non-lease components are not included in the right-of-use asset and lease liability and are reflected as an expense in the period incurred. The non-lease components are classified as variable costs in the chart below. As of December 31, 2022 and 2021, right-of-use assets under operating leases totaled $46.9 million and $1.3 million, respectively. The elements of lease cost were as follows (in thousands, unless otherwise noted):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40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Pr>
          <w:p>
            <w:pPr>
              <w:spacing w:after="0"/>
              <w:rPr>
                <w:sz w:val="20"/>
                <w:szCs w:val="20"/>
                <w:color w:val="auto"/>
              </w:rPr>
            </w:pPr>
          </w:p>
        </w:tc>
        <w:tc>
          <w:tcPr>
            <w:tcW w:w="16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600" w:type="dxa"/>
            <w:vAlign w:val="bottom"/>
            <w:tcBorders>
              <w:bottom w:val="single" w:sz="8" w:color="CFF0FC"/>
            </w:tcBorders>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60" w:type="dxa"/>
            <w:vAlign w:val="bottom"/>
            <w:tcBorders>
              <w:top w:val="single" w:sz="8" w:color="auto"/>
              <w:bottom w:val="single" w:sz="8" w:color="auto"/>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160" w:type="dxa"/>
            <w:vAlign w:val="bottom"/>
          </w:tcPr>
          <w:p>
            <w:pPr>
              <w:spacing w:after="0"/>
              <w:rPr>
                <w:sz w:val="24"/>
                <w:szCs w:val="24"/>
                <w:color w:val="auto"/>
              </w:rPr>
            </w:pPr>
          </w:p>
        </w:tc>
        <w:tc>
          <w:tcPr>
            <w:tcW w:w="168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24"/>
                <w:szCs w:val="24"/>
                <w:color w:val="auto"/>
              </w:rPr>
            </w:pPr>
          </w:p>
        </w:tc>
        <w:tc>
          <w:tcPr>
            <w:tcW w:w="178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7"/>
        </w:trPr>
        <w:tc>
          <w:tcPr>
            <w:tcW w:w="740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tcPr>
          <w:p>
            <w:pPr>
              <w:spacing w:after="0"/>
              <w:rPr>
                <w:sz w:val="20"/>
                <w:szCs w:val="20"/>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445"/>
        </w:trPr>
        <w:tc>
          <w:tcPr>
            <w:tcW w:w="76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due under operating leases are as follows (in thousands):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Future minimum lease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1"/>
                <w:szCs w:val="21"/>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1"/>
                <w:szCs w:val="21"/>
                <w:color w:val="auto"/>
              </w:rPr>
            </w:pPr>
          </w:p>
        </w:tc>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0"/>
                <w:szCs w:val="20"/>
                <w:color w:val="auto"/>
              </w:rPr>
            </w:pPr>
          </w:p>
        </w:tc>
        <w:tc>
          <w:tcPr>
            <w:tcW w:w="1480" w:type="dxa"/>
            <w:vAlign w:val="bottom"/>
            <w:gridSpan w:val="3"/>
          </w:tcPr>
          <w:p>
            <w:pPr>
              <w:jc w:val="right"/>
              <w:ind w:right="5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33,397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61,247</w:t>
            </w: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(20,116 )</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4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gridSpan w:val="2"/>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41,131</w:t>
            </w:r>
          </w:p>
        </w:tc>
        <w:tc>
          <w:tcPr>
            <w:tcW w:w="8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6460" w:type="dxa"/>
            <w:vAlign w:val="bottom"/>
            <w:gridSpan w:val="2"/>
          </w:tcPr>
          <w:p>
            <w:pPr>
              <w:ind w:left="4320"/>
              <w:spacing w:after="0"/>
              <w:rPr>
                <w:sz w:val="20"/>
                <w:szCs w:val="20"/>
                <w:color w:val="auto"/>
              </w:rPr>
            </w:pPr>
            <w:r>
              <w:rPr>
                <w:rFonts w:ascii="Times New Roman" w:cs="Times New Roman" w:eastAsia="Times New Roman" w:hAnsi="Times New Roman"/>
                <w:sz w:val="18"/>
                <w:szCs w:val="18"/>
                <w:color w:val="auto"/>
              </w:rPr>
              <w:t>F-22</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6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-3222625</wp:posOffset>
            </wp:positionV>
            <wp:extent cx="1268730" cy="3429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126873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-367665</wp:posOffset>
            </wp:positionV>
            <wp:extent cx="514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129" w:name="page130"/>
    <w:bookmarkEnd w:id="129"/>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future minimum lease payments have not been reduced by minimum net sublease receivables of $2.5 million due in the future under the Company’s non-cancelable subleases for office and laboratory space located at 201 Brookline Ave in Boston, Massachusetts.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94"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Upfront fees paid pursuant to the Medivir License Agreement were recorded to research and development expense. No milestones have been achieved to date.</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ongoing preclinical and clinical studies. The Company enters into contracts in the normal course of business with contract research organizations in connection with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December 31, 2022,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0" w:name="page131"/>
    <w:bookmarkEnd w:id="130"/>
    <w:p>
      <w:pPr>
        <w:ind w:right="560"/>
        <w:spacing w:after="0" w:line="282" w:lineRule="auto"/>
        <w:rPr>
          <w:sz w:val="20"/>
          <w:szCs w:val="20"/>
          <w:color w:val="auto"/>
        </w:rPr>
      </w:pPr>
      <w:r>
        <w:rPr>
          <w:rFonts w:ascii="Times New Roman" w:cs="Times New Roman" w:eastAsia="Times New Roman" w:hAnsi="Times New Roman"/>
          <w:sz w:val="18"/>
          <w:szCs w:val="18"/>
          <w:color w:val="auto"/>
        </w:rPr>
        <w:t>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Convertible Preferred Stock</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March 2021, Old Tango sold 22,686,025 additional shares of Series B stock at a price of $1.32 per share upon the achievement of specified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milestones in connection with the second tranche of the Series B stock purchase agreement. Proceeds from this issuance totaled $30.0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issuance costs associated with the March 2021 issuance of Series B preferred stock was less than $0.1 million.</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Redeemable Convertible Preferred Stock</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Pursuant to the terms of the Merger Agreement, upon the Effective Time, each share of Old Tango’s Preferred Stock issued and outstanding immediately prior to the Effective Time was converted into a share of Old Tango’s common stock and subsequently converted into shares of New Tango common stock using an exchange ratio of 0.34. A retroactive adjustment has been applied to all periods presented to reflect the Business Combination and reverse recapitalization, therefore, resulting in no outstanding Preferred Stock as of December 31, 2022 and 2021. Refer to Note 3 for additional discussion.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December 31, 2022. The shares of preferred stock are currently undesignated and no shares are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common stock with a par value of $0.001 per share. The holder of each share of common stock is entitled to one vote in respect of each share of stock held. In the event of any voluntary or involuntary liquidation, dissolution or winding up of the Company, the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No dividends have been declared as of December 31, 2022.</w:t>
      </w:r>
    </w:p>
    <w:p>
      <w:pPr>
        <w:spacing w:after="0" w:line="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increased the number of shares of common stock authorized to be issued to 200,000,000 shares in August 2021, at the time in which the Certificate of Incorporation was amended and restated. As of December 31, 2022 and 2021, there were 88,179,374 and 87,598,184 shares of common stock issued and outstanding, respectively, as adjusted to reflect the Business Combination and reverse recapitalization through the application of a retroactive adjustment.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Incentive Plans</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Pursuant to the terms of the Business Combination, upon the Closing Date, each option to purchase Old Tango’s common stock became an option to purchase shares of common stock of the surviving entity and was subsequently adjusted using an exchange ratio of 0.34. A retroactive adjustment has been applied to all periods presented to reflect the Business Combination and reverse recapitalization as discussed further in Note 3.</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Founder and Advisor Awards</w:t>
      </w:r>
    </w:p>
    <w:p>
      <w:pPr>
        <w:spacing w:after="0" w:line="229"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During 2017, the Company issued 4,690,000 shares of restricted common stock outside of the Company’s 2017 Stock Option and Grant Plan to nonemployee founders and advisors (the Founders and Advisors). The shares were issued under the terms of the respective restricted common stock agreements and were subject to repurchase by the Company at the original purchase price per share upon the termination of the grantee’s service relationship with the Company. As the restrictions were released and the awards vested, the value was recorded as common stock and excess of par value was recorded as additional paid in capital on the accompanying balance sheet. As of December 31, 2021, all founder and advisor restricted stock awards (RSAs) had vested.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1" w:name="page132"/>
    <w:bookmarkEnd w:id="13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March 2017, the Company’s stockholders approved the 2017 Stock Option and Grant Plan (the 2017 Plan), under which stock options and RSAs were granted to eligible employees, officers, directors, consultants, or other key persons who provide services to the Company. Such issuances under the 2017 Plan were subject to vesting, forfeiture and other restrictions as deemed appropriate by the board of directors (Board of Directors) at the time of issuance.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Stock Option and Incentive Plan</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Upon the closing of the Business Combination in August 2021, the Company's stockholders approved the 2021 Plan under which stock options, RSAs, unrestricted stock awards, restricted stock units, or any combination of the forgoing may be granted to eligible employees, officers, directors, consultants, or other key persons who provide services to the Company. Such issuances are subject to vesting, forfeiture and other restrictions as deemed appropriate by the Board of Directors at the time of issuance.</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Upon approval, the maximum number of shares of stock reserved and available for issuance under the 2021 Plan was 9,498,725 shares. The number of shares available for future grant will automatically increase on the first day of each fiscal year by an amount equal to the least of: (i) five percent of the number of shares of Stock issued and outstanding on the immediately preceding December 31 or (ii) such lesser number of shares as determined by the 2021 Plan Administrator, as appointed by the Board of Directors. Awards that are returned to the Company's equity plan as a result of forfeiture, cancellation, are reacquired by the Company prior to vesting, expiration, or any other form of termination (other than by exercise) are automatically made available for issuance under the 2021 Plan. As of December 31, 2022, there were 6,336,537 shares available for future grant under the 2021 Plan and on January 1, 2023, the number of shares available for future grant under the 2021 Plan increased by 4,408,969 shares.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upon the closing of the Business Combination in August 2021. An aggregate of 949,873 shares were reserved for issuance. The 2021 ESPP provides that the number of shares reserved and available for issuance will automatically increase each January 1, beginning on January 1, 2022 and each January 1 thereafter, by the least of (i) 1% of the outstanding number of shares of the Company’s common stock on the immediately preceding December 31, (ii) 949,873 shares or (iii) such number of shares as determined by the administrator. The 2021 ESPP was increased by 881,793 shares on January 1, 2023. During the year ended December 31, 2022, the Company issued 116,077 shares of common stock under the 2021 ESPP.</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2023 Inducement Plan</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February 2023, the Company's Board of Directors approved the 2023 Inducement Plan (the Inducement Plan), under which the Company reserved 3,000,000 shares of Common Stock, to be used exclusively for grants of equity-based awards to individuals who were not previously employees or directors of the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RSA activity of the Company’s plans as of and for the year ended December 31, 2021: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32" w:name="page133"/>
    <w:bookmarkEnd w:id="132"/>
    <w:tbl>
      <w:tblPr>
        <w:tblLayout w:type="fixed"/>
        <w:tblInd w:w="12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6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16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3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restricted common stock outstanding as of December 31, 2020</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256,811</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(256,598 </w:t>
            </w:r>
            <w:r>
              <w:rPr>
                <w:rFonts w:ascii="Times New Roman" w:cs="Times New Roman" w:eastAsia="Times New Roman" w:hAnsi="Times New Roman"/>
                <w:sz w:val="18"/>
                <w:szCs w:val="18"/>
                <w:color w:val="auto"/>
                <w:highlight w:val="white"/>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restricted common stock outstanding as of December 31, 2021</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7000240</wp:posOffset>
            </wp:positionH>
            <wp:positionV relativeFrom="paragraph">
              <wp:posOffset>-488315</wp:posOffset>
            </wp:positionV>
            <wp:extent cx="68580" cy="1631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RSAs represent an unsecured promise to grant at no cost a set number of shares of common stock upon vesting. RSA recipients are not entitled to cash dividends and have no voting rights during the vesting period. The RSAs are issued under the terms of the respective RSA agreements and are subject to repurchase upon the holder’s termination of their service relationship with the Company. The award restrictions are released as the awards vest. Upon vesting, the value is recorded as common stock and excess of par value as is recorded as additional paid in capital on the accompanying balance sheets. The common stock is subject to the Company’s right to repurchase at the original purchase price per share.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no unvested RSAs are outstanding.</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of the Company’s plans as of and for the years ended December 31, 2022 and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06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9,372,993</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51,415,394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5,065,100</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(465,113 )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(1,048,894 )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2022</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12,924,086</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24,267,448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exercisable as of December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4,678,164</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15,676,954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totaled $3.1 million and $4.8 million for the years ended December 31, 2022 and 2021, respectively. The weighted-average grant date fair value per share of stock options granted was $5.48 and $5.40 for the years ended December 31, 2022 and 2021, respectively.</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total unrecognized compensation expense related to stock options was $37.0 million, which the Company expects to recognize over a remaining weighted-average period of 2.6 years. Substantially all options outstanding as of December 31, 2022 are expected to vest.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assumptions used to estimate the grant date fair value of the stock options using the Black-Scholes option pricing model were as follows: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6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15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16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72%</w:t>
            </w:r>
          </w:p>
        </w:tc>
        <w:tc>
          <w:tcPr>
            <w:tcW w:w="1660" w:type="dxa"/>
            <w:vAlign w:val="bottom"/>
            <w:gridSpan w:val="2"/>
          </w:tcPr>
          <w:p>
            <w:pPr>
              <w:jc w:val="center"/>
              <w:ind w:left="56"/>
              <w:spacing w:after="0"/>
              <w:rPr>
                <w:sz w:val="20"/>
                <w:szCs w:val="20"/>
                <w:color w:val="auto"/>
              </w:rPr>
            </w:pPr>
            <w:r>
              <w:rPr>
                <w:rFonts w:ascii="Times New Roman" w:cs="Times New Roman" w:eastAsia="Times New Roman" w:hAnsi="Times New Roman"/>
                <w:sz w:val="18"/>
                <w:szCs w:val="18"/>
                <w:color w:val="auto"/>
                <w:w w:val="96"/>
              </w:rPr>
              <w:t>72%</w:t>
            </w: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660" w:type="dxa"/>
            <w:vAlign w:val="bottom"/>
            <w:gridSpan w:val="2"/>
            <w:shd w:val="clear" w:color="auto" w:fill="CFF0FC"/>
          </w:tcPr>
          <w:p>
            <w:pPr>
              <w:jc w:val="center"/>
              <w:ind w:left="76"/>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bl>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3" w:name="page134"/>
    <w:bookmarkEnd w:id="133"/>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10"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7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shd w:val="clear" w:color="auto" w:fill="CFF0FC"/>
          </w:tcPr>
          <w:p>
            <w:pPr>
              <w:spacing w:after="0"/>
              <w:rPr>
                <w:sz w:val="21"/>
                <w:szCs w:val="21"/>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20"/>
                <w:szCs w:val="20"/>
                <w:color w:val="auto"/>
              </w:rPr>
            </w:pPr>
          </w:p>
        </w:tc>
      </w:tr>
      <w:tr>
        <w:trPr>
          <w:trHeight w:val="237"/>
        </w:trPr>
        <w:tc>
          <w:tcPr>
            <w:tcW w:w="6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14,230</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2022, the Company recorded a total tax provision of $0.1 million. During the year ended December 31, 2021, the Company recorded a total tax provision of $0.3 million. All of the Company’s operating losses since inception have been generated in the United States.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32"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2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at U.S. federal statutory rate</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research and development tax credits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(1.5 )</w:t>
            </w:r>
          </w:p>
        </w:tc>
        <w:tc>
          <w:tcPr>
            <w:tcW w:w="3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Nondeductible/nontaxable permanent items</w:t>
            </w:r>
          </w:p>
        </w:tc>
        <w:tc>
          <w:tcPr>
            <w:tcW w:w="7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(29.1 )</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8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line="20" w:lineRule="exact"/>
              <w:rPr>
                <w:sz w:val="1"/>
                <w:szCs w:val="1"/>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(0.4 </w:t>
            </w:r>
            <w:r>
              <w:rPr>
                <w:rFonts w:ascii="Times New Roman" w:cs="Times New Roman" w:eastAsia="Times New Roman" w:hAnsi="Times New Roman"/>
                <w:sz w:val="18"/>
                <w:szCs w:val="18"/>
                <w:color w:val="auto"/>
                <w:highlight w:val="white"/>
              </w:rPr>
              <w:t>)</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-1236980</wp:posOffset>
            </wp:positionV>
            <wp:extent cx="6412230"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the deferred tax assets and liabilities are as follows:</w:t>
      </w:r>
    </w:p>
    <w:p>
      <w:pPr>
        <w:spacing w:after="0" w:line="232"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8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8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31,628</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34,625</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28,173</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FF0FC"/>
          </w:tcPr>
          <w:p>
            <w:pPr>
              <w:spacing w:after="0"/>
              <w:rPr>
                <w:sz w:val="21"/>
                <w:szCs w:val="21"/>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20"/>
                <w:szCs w:val="20"/>
                <w:color w:val="auto"/>
              </w:rPr>
            </w:pPr>
          </w:p>
        </w:tc>
      </w:tr>
      <w:tr>
        <w:trPr>
          <w:trHeight w:val="241"/>
        </w:trPr>
        <w:tc>
          <w:tcPr>
            <w:tcW w:w="68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8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96,077</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50,682</w:t>
            </w:r>
          </w:p>
        </w:tc>
        <w:tc>
          <w:tcPr>
            <w:tcW w:w="100" w:type="dxa"/>
            <w:vAlign w:val="bottom"/>
            <w:shd w:val="clear" w:color="auto" w:fill="CFF0FC"/>
          </w:tcPr>
          <w:p>
            <w:pPr>
              <w:spacing w:after="0"/>
              <w:rPr>
                <w:sz w:val="20"/>
                <w:szCs w:val="20"/>
                <w:color w:val="auto"/>
              </w:rPr>
            </w:pP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80" w:type="dxa"/>
            <w:vAlign w:val="bottom"/>
          </w:tcPr>
          <w:p>
            <w:pPr>
              <w:spacing w:after="0"/>
              <w:rPr>
                <w:sz w:val="20"/>
                <w:szCs w:val="20"/>
                <w:color w:val="auto"/>
              </w:rPr>
            </w:pPr>
          </w:p>
        </w:tc>
        <w:tc>
          <w:tcPr>
            <w:tcW w:w="8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w w:val="93"/>
              </w:rPr>
              <w:t>(81,044 )</w:t>
            </w:r>
          </w:p>
        </w:tc>
        <w:tc>
          <w:tcPr>
            <w:tcW w:w="4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(49,568 )</w:t>
            </w:r>
          </w:p>
        </w:tc>
      </w:tr>
      <w:tr>
        <w:trPr>
          <w:trHeight w:val="23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880" w:type="dxa"/>
            <w:vAlign w:val="bottom"/>
            <w:tcBorders>
              <w:top w:val="single" w:sz="8" w:color="auto"/>
              <w:bottom w:val="single" w:sz="8" w:color="auto"/>
            </w:tcBorders>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880" w:type="dxa"/>
            <w:vAlign w:val="bottom"/>
            <w:shd w:val="clear" w:color="auto" w:fill="CFF0FC"/>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(2,310 )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(771 )</w:t>
            </w: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880" w:type="dxa"/>
            <w:vAlign w:val="bottom"/>
          </w:tcPr>
          <w:p>
            <w:pPr>
              <w:spacing w:after="0"/>
              <w:rPr>
                <w:sz w:val="20"/>
                <w:szCs w:val="20"/>
                <w:color w:val="auto"/>
              </w:rPr>
            </w:pPr>
          </w:p>
        </w:tc>
        <w:tc>
          <w:tcPr>
            <w:tcW w:w="8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w w:val="93"/>
              </w:rPr>
              <w:t>(12,723 )</w:t>
            </w:r>
          </w:p>
        </w:tc>
        <w:tc>
          <w:tcPr>
            <w:tcW w:w="4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(343 )</w:t>
            </w:r>
          </w:p>
        </w:tc>
      </w:tr>
      <w:tr>
        <w:trPr>
          <w:trHeight w:val="237"/>
        </w:trPr>
        <w:tc>
          <w:tcPr>
            <w:tcW w:w="6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880" w:type="dxa"/>
            <w:vAlign w:val="bottom"/>
            <w:tcBorders>
              <w:top w:val="single" w:sz="8" w:color="auto"/>
              <w:bottom w:val="single" w:sz="8" w:color="auto"/>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(15,033</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-805180</wp:posOffset>
            </wp:positionV>
            <wp:extent cx="68580" cy="162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-805180</wp:posOffset>
            </wp:positionV>
            <wp:extent cx="60325" cy="162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9">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858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1">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78"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U.S. federal and state net operating loss (NOL) carryforwards of $33.1 million and $22.2 million, respectively, which may be available to offset future taxable income. The federal NOLs include</w:t>
      </w: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4" w:name="page135"/>
    <w:bookmarkEnd w:id="134"/>
    <w:p>
      <w:pPr>
        <w:ind w:right="280"/>
        <w:spacing w:after="0" w:line="266" w:lineRule="auto"/>
        <w:rPr>
          <w:sz w:val="20"/>
          <w:szCs w:val="20"/>
          <w:color w:val="auto"/>
        </w:rPr>
      </w:pPr>
      <w:r>
        <w:rPr>
          <w:rFonts w:ascii="Times New Roman" w:cs="Times New Roman" w:eastAsia="Times New Roman" w:hAnsi="Times New Roman"/>
          <w:sz w:val="18"/>
          <w:szCs w:val="18"/>
          <w:color w:val="auto"/>
        </w:rPr>
        <w:t>$2.8 million which expire at various dates beginning in 2036 and $30.3 million which carry forward indefinitely. The state NOLs expire at various dates beginning in 2036. As of December 31, 2022, the Company also had U.S. federal and state research and development tax credit carryforwards of $8.7 million and $3.0 million, respectively, which may be available to offset future taxable income.</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2022 and 2021. Management reevaluates the positive and negative evidence at each reporting period. The Company recorded an increase to the valuation allowance of $31.5 million during 2022 related primarily to the increase in net operating loss carryforwards, research and development tax credit carryforwards, and capitalized research costs.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Beginning in 2022, the Tax Cuts and Jobs Act of 2017 eliminates the option to deduct research and development expenditures currently and requires taxpayers to amortize them over five years for domestically incurred expenditures and over fifteen years for foreign incurred expenditures, pursuant to Internal Revenue Code Section 174. As of December 31, 2022, the Company has recorded a gross deferred tax asset of $96.3 million related to the capitalized IRC Section 174 expenditures.</w:t>
      </w:r>
    </w:p>
    <w:p>
      <w:pPr>
        <w:spacing w:after="0" w:line="18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had not recorded any amounts for unrecognized tax benefits. The Company’s policy is to record interest and penalties related to income taxes as part of its income tax provision. As of December 31, 2022 and 2021, the Company had no accrued interest or penalties related to uncertain tax positions in the consolidated statements of operations and comprehensive loss.</w:t>
      </w:r>
    </w:p>
    <w:p>
      <w:pPr>
        <w:spacing w:after="0" w:line="176"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Massachusetts and California jurisdictions, as prescribed by tax laws. In the normal course of business, the Company is subject to examination by federal and state jurisdictions, where applicable. The statute of limitations for federal and state tax authorities is generally closed for years prior to December 31, 2019, although carryforward attributes that were generated prior to 2019 may still be subject to change upon examination if they are utilized to offset taxable income in subsequent tax years. There are currently no federal or state income tax audits in progress.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401(K) Savings Plan</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Company maintains a 401(k) retirement savings plan for employees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The Company made matching contributions to participants in the 401(k) plan of $0.7 million during the year ended December 31, 2022. The Company did not make any matching contributions to participants during the year ended December 31, 2021.</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1"/>
        </w:trPr>
        <w:tc>
          <w:tcPr>
            <w:tcW w:w="68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840" w:type="dxa"/>
            <w:vAlign w:val="bottom"/>
            <w:tcBorders>
              <w:top w:val="single" w:sz="8" w:color="auto"/>
            </w:tcBorders>
            <w:gridSpan w:val="4"/>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100" w:type="dxa"/>
            <w:vAlign w:val="bottom"/>
          </w:tcPr>
          <w:p>
            <w:pPr>
              <w:spacing w:after="0"/>
              <w:rPr>
                <w:sz w:val="11"/>
                <w:szCs w:val="11"/>
                <w:color w:val="auto"/>
              </w:rPr>
            </w:pPr>
          </w:p>
        </w:tc>
      </w:tr>
      <w:tr>
        <w:trPr>
          <w:trHeight w:val="187"/>
        </w:trPr>
        <w:tc>
          <w:tcPr>
            <w:tcW w:w="6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680"/>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(108,176 )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(58,235 )</w:t>
            </w:r>
          </w:p>
        </w:tc>
      </w:tr>
      <w:tr>
        <w:trPr>
          <w:trHeight w:val="24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87,820,037</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62,108,032</w:t>
            </w:r>
          </w:p>
        </w:tc>
        <w:tc>
          <w:tcPr>
            <w:tcW w:w="100" w:type="dxa"/>
            <w:vAlign w:val="bottom"/>
          </w:tcPr>
          <w:p>
            <w:pPr>
              <w:spacing w:after="0"/>
              <w:rPr>
                <w:sz w:val="20"/>
                <w:szCs w:val="20"/>
                <w:color w:val="auto"/>
              </w:rPr>
            </w:pPr>
          </w:p>
        </w:tc>
      </w:tr>
      <w:tr>
        <w:trPr>
          <w:trHeight w:val="236"/>
        </w:trPr>
        <w:tc>
          <w:tcPr>
            <w:tcW w:w="6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2"/>
        </w:trPr>
        <w:tc>
          <w:tcPr>
            <w:tcW w:w="580" w:type="dxa"/>
            <w:vAlign w:val="bottom"/>
          </w:tcPr>
          <w:p>
            <w:pPr>
              <w:spacing w:after="0"/>
              <w:rPr>
                <w:sz w:val="20"/>
                <w:szCs w:val="20"/>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30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12,924,086</w:t>
            </w: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9,372,993</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12,924,086</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9,372,993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0"/>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440" w:type="dxa"/>
            <w:vAlign w:val="bottom"/>
            <w:gridSpan w:val="2"/>
          </w:tcPr>
          <w:p>
            <w:pPr>
              <w:jc w:val="right"/>
              <w:ind w:right="3059"/>
              <w:spacing w:after="0"/>
              <w:rPr>
                <w:sz w:val="20"/>
                <w:szCs w:val="20"/>
                <w:color w:val="auto"/>
              </w:rPr>
            </w:pPr>
            <w:r>
              <w:rPr>
                <w:rFonts w:ascii="Times New Roman" w:cs="Times New Roman" w:eastAsia="Times New Roman" w:hAnsi="Times New Roman"/>
                <w:sz w:val="18"/>
                <w:szCs w:val="18"/>
                <w:color w:val="auto"/>
              </w:rPr>
              <w:t>F-29</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-530860</wp:posOffset>
            </wp:positionV>
            <wp:extent cx="6858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-530860</wp:posOffset>
            </wp:positionV>
            <wp:extent cx="60325" cy="1714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provisions of Tango Therapeutics, Inc.’s (“Tango”, “we”, “our”) securities does not purport to be complete and is subject to the Second Amended and Restated Certificate of Incorporation (the “Certificate of Incorporation” or “Charter”), the Amended and Restated Bylaws (the “Bylaws”) and the provisions of applicable law. The Certificate of Incorporation and the Bylaws are incorporated by reference to our most recent Annual Report on Form 10-K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Stock</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Charter authorizes the issuance of 210,000,000 shares, consisting of 200,000,000 shares of common stock, $0.001 par value per share, and 10,000,000 shares of preferred stock, $0.001 par value, all of which shares of preferred stock are undesignated.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the common stock.</w:t>
      </w:r>
    </w:p>
    <w:p>
      <w:pPr>
        <w:spacing w:after="0" w:line="223" w:lineRule="exact"/>
        <w:rPr>
          <w:sz w:val="20"/>
          <w:szCs w:val="20"/>
          <w:color w:val="auto"/>
        </w:rPr>
      </w:pPr>
    </w:p>
    <w:p>
      <w:pPr>
        <w:ind w:left="760" w:right="40" w:hanging="378"/>
        <w:spacing w:after="0" w:line="267"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Power. </w:t>
      </w: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common stock possess all voting power for the election of Tango’s directors and all other matters requiring stockholder action. Holders of common stock are entitled to one vote per share on matters to be voted on by stockholders.</w:t>
      </w:r>
    </w:p>
    <w:p>
      <w:pPr>
        <w:spacing w:after="0" w:line="173" w:lineRule="exact"/>
        <w:rPr>
          <w:rFonts w:ascii="Times New Roman" w:cs="Times New Roman" w:eastAsia="Times New Roman" w:hAnsi="Times New Roman"/>
          <w:sz w:val="18"/>
          <w:szCs w:val="18"/>
          <w:color w:val="auto"/>
        </w:rPr>
      </w:pPr>
    </w:p>
    <w:p>
      <w:pPr>
        <w:ind w:left="760" w:right="160" w:hanging="378"/>
        <w:spacing w:after="0" w:line="267"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common stock will be entitled to receive such dividends, if any, as may be declared from time to time by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3" w:lineRule="exact"/>
        <w:rPr>
          <w:rFonts w:ascii="Times New Roman" w:cs="Times New Roman" w:eastAsia="Times New Roman" w:hAnsi="Times New Roman"/>
          <w:sz w:val="18"/>
          <w:szCs w:val="18"/>
          <w:color w:val="auto"/>
        </w:rPr>
      </w:pPr>
    </w:p>
    <w:p>
      <w:pPr>
        <w:jc w:val="both"/>
        <w:ind w:left="760" w:right="440" w:hanging="378"/>
        <w:spacing w:after="0" w:line="267"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Dissolution and Winding Up. </w:t>
      </w:r>
      <w:r>
        <w:rPr>
          <w:rFonts w:ascii="Times New Roman" w:cs="Times New Roman" w:eastAsia="Times New Roman" w:hAnsi="Times New Roman"/>
          <w:sz w:val="18"/>
          <w:szCs w:val="18"/>
          <w:color w:val="auto"/>
        </w:rPr>
        <w:t>In the event of Tango’s voluntary or involuntary liquidation, dissolution, distribution of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winding-up, 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73" w:lineRule="exact"/>
        <w:rPr>
          <w:rFonts w:ascii="Times New Roman" w:cs="Times New Roman" w:eastAsia="Times New Roman" w:hAnsi="Times New Roman"/>
          <w:sz w:val="18"/>
          <w:szCs w:val="18"/>
          <w:color w:val="auto"/>
        </w:rPr>
      </w:pPr>
    </w:p>
    <w:p>
      <w:pPr>
        <w:ind w:left="760" w:right="60" w:hanging="378"/>
        <w:spacing w:after="0" w:line="284"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Preemptive or Other Rights. </w:t>
      </w:r>
      <w:r>
        <w:rPr>
          <w:rFonts w:ascii="Times New Roman" w:cs="Times New Roman" w:eastAsia="Times New Roman" w:hAnsi="Times New Roman"/>
          <w:sz w:val="18"/>
          <w:szCs w:val="18"/>
          <w:color w:val="auto"/>
        </w:rPr>
        <w:t>Our common stock has no preemptive rights, conversion rights or other subscription rights or redemption or sinking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provisions.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“TNGX”.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ACTIVE/115585734.3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ind w:right="40"/>
        <w:spacing w:after="0" w:line="261" w:lineRule="auto"/>
        <w:rPr>
          <w:sz w:val="20"/>
          <w:szCs w:val="20"/>
          <w:color w:val="auto"/>
        </w:rPr>
      </w:pPr>
      <w:r>
        <w:rPr>
          <w:rFonts w:ascii="Times New Roman" w:cs="Times New Roman" w:eastAsia="Times New Roman" w:hAnsi="Times New Roman"/>
          <w:sz w:val="18"/>
          <w:szCs w:val="18"/>
          <w:color w:val="auto"/>
        </w:rPr>
        <w:t>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Certain of our stockholders (“Holders”) hold registration rights pursuant to an amended and restated registration and stockholder rights agreement (the “Amended and Restated Registration and Stockholder Rights Agreement”). Stockholders holding a majority-in-interest of such registrable securities are entitled to make a written demand for registration under the Securities Act of 1933, as amended (the “Securities Act”), of all or part of their registrable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the Amended and Restated Registration and Stockholder Rights Agreement provides for the following registration rights:</w:t>
      </w:r>
    </w:p>
    <w:p>
      <w:pPr>
        <w:spacing w:after="0" w:line="223" w:lineRule="exact"/>
        <w:rPr>
          <w:sz w:val="20"/>
          <w:szCs w:val="20"/>
          <w:color w:val="auto"/>
        </w:rPr>
      </w:pPr>
    </w:p>
    <w:p>
      <w:pPr>
        <w:ind w:left="760" w:hanging="378"/>
        <w:spacing w:after="0" w:line="257"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registration/demand registration rights</w:t>
      </w:r>
      <w:r>
        <w:rPr>
          <w:rFonts w:ascii="Times New Roman" w:cs="Times New Roman" w:eastAsia="Times New Roman" w:hAnsi="Times New Roman"/>
          <w:sz w:val="18"/>
          <w:szCs w:val="18"/>
          <w:color w:val="auto"/>
        </w:rPr>
        <w:t>. At any time and from time to time when an effective shelf registration statement is on file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209"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Subject to exceptions for certain offerings and registration statements, if at any time, we propose to file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206"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The Amended and Restated Registration and Stockholder Rights Agreement contains customary cross-indemnification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Expiration of Registration Rights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registration rights granted under the Amended and Restated Registration and Stockholder Rights Agreement will terminate on the earlier of (i) the 10th anniversary of the date of the agreement and (ii) with respect to any Holder, on the date that such Holder no longer holds any Registrable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and Bylaws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Charter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76" w:lineRule="exact"/>
        <w:rPr>
          <w:sz w:val="20"/>
          <w:szCs w:val="20"/>
          <w:color w:val="auto"/>
        </w:rPr>
      </w:pPr>
    </w:p>
    <w:p>
      <w:pPr>
        <w:ind w:left="760" w:right="660" w:hanging="378"/>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ACTIVE/115585734.3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8" w:name="page139"/>
    <w:bookmarkEnd w:id="138"/>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two thirds (2/3) of all of our then-outstanding shares of the capital stock entitled to vote generally at an election of directors;</w:t>
      </w:r>
    </w:p>
    <w:p>
      <w:pPr>
        <w:spacing w:after="0" w:line="16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175"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by our board of directors pursuant to a resolution adopted by a majority of the total number of authorized directors;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divided into three classes of directors, with the classes to be as nearly equal as possible, and with the directors serving three-year terms, therefore making it more difficult for stockholders to change the composition of our board of directors;</w:t>
      </w:r>
    </w:p>
    <w:p>
      <w:pPr>
        <w:spacing w:after="0" w:line="188" w:lineRule="exact"/>
        <w:rPr>
          <w:rFonts w:ascii="Times New Roman" w:cs="Times New Roman" w:eastAsia="Times New Roman" w:hAnsi="Times New Roman"/>
          <w:sz w:val="18"/>
          <w:szCs w:val="18"/>
          <w:color w:val="auto"/>
        </w:rPr>
      </w:pPr>
    </w:p>
    <w:p>
      <w:pPr>
        <w:ind w:left="760" w:hanging="378"/>
        <w:spacing w:after="0" w:line="255"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amendment of our Charter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and</w:t>
      </w:r>
    </w:p>
    <w:p>
      <w:pPr>
        <w:spacing w:after="0" w:line="188"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the Certificate of Incorporation or the Bylaws, actions to interpret, apply, enforce or determine the validity of the Certificate of Incorporation or the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Any person or entity purchasing or otherwise acquiring 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ACTIVE/115585734.3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color w:val="auto"/>
        </w:rPr>
        <w:t>interest in shares of capital stock of Tango shall be deemed to have notice of and consented to this choice of forum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ACTIVE/115585734.3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0" w:name="page141"/>
    <w:bookmarkEnd w:id="140"/>
    <w:p>
      <w:pPr>
        <w:jc w:val="right"/>
        <w:spacing w:after="0"/>
        <w:rPr>
          <w:sz w:val="20"/>
          <w:szCs w:val="20"/>
          <w:color w:val="auto"/>
        </w:rPr>
      </w:pPr>
      <w:r>
        <w:rPr>
          <w:rFonts w:ascii="Calibri" w:cs="Calibri" w:eastAsia="Calibri" w:hAnsi="Calibri"/>
          <w:sz w:val="20"/>
          <w:szCs w:val="20"/>
          <w:b w:val="1"/>
          <w:bCs w:val="1"/>
          <w:color w:val="auto"/>
        </w:rPr>
        <w:t>Exhibit 21.1</w:t>
      </w:r>
    </w:p>
    <w:p>
      <w:pPr>
        <w:jc w:val="right"/>
        <w:spacing w:after="0" w:line="238" w:lineRule="auto"/>
        <w:rPr>
          <w:sz w:val="20"/>
          <w:szCs w:val="20"/>
          <w:color w:val="auto"/>
        </w:rPr>
      </w:pPr>
      <w:r>
        <w:rPr>
          <w:rFonts w:ascii="Calibri" w:cs="Calibri" w:eastAsia="Calibri" w:hAnsi="Calibri"/>
          <w:sz w:val="20"/>
          <w:szCs w:val="20"/>
          <w:b w:val="1"/>
          <w:bCs w:val="1"/>
          <w:color w:val="auto"/>
        </w:rPr>
        <w:t>Exhibit 21.1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List of Subsidiaries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 Therapeutics Sub,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 Securities Corporation, a Massachusetts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333-259448 and 333-267224) and Form S-8 (Nos. 333-269620, 333-263893 and 333-260258) of Tango Therapeutics, Inc. of our report dated March 27, 2023 relating to the financial statements,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ind w:left="10260"/>
        <w:spacing w:after="0"/>
        <w:rPr>
          <w:sz w:val="20"/>
          <w:szCs w:val="20"/>
          <w:color w:val="auto"/>
        </w:rPr>
      </w:pPr>
      <w:r>
        <w:rPr>
          <w:rFonts w:ascii="Times New Roman" w:cs="Times New Roman" w:eastAsia="Times New Roman" w:hAnsi="Times New Roman"/>
          <w:sz w:val="19"/>
          <w:szCs w:val="19"/>
          <w:color w:val="auto"/>
        </w:rPr>
        <w:t>Exhibit 31.1</w:t>
      </w:r>
    </w:p>
    <w:p>
      <w:pPr>
        <w:spacing w:after="0" w:line="236"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29"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9"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1"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both"/>
        <w:ind w:left="372" w:hanging="372"/>
        <w:spacing w:after="0" w:line="253" w:lineRule="auto"/>
        <w:tabs>
          <w:tab w:leader="none" w:pos="37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20"/>
          <w:szCs w:val="20"/>
          <w:color w:val="auto"/>
        </w:rPr>
      </w:pPr>
    </w:p>
    <w:p>
      <w:pPr>
        <w:jc w:val="both"/>
        <w:ind w:left="1012" w:hanging="368"/>
        <w:spacing w:after="0" w:line="254" w:lineRule="auto"/>
        <w:tabs>
          <w:tab w:leader="none" w:pos="101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12" w:right="20" w:hanging="368"/>
        <w:spacing w:after="0" w:line="269" w:lineRule="auto"/>
        <w:tabs>
          <w:tab w:leader="none" w:pos="101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512"/>
        <w:spacing w:after="0"/>
        <w:tabs>
          <w:tab w:leader="none" w:pos="3312" w:val="left"/>
        </w:tabs>
        <w:rPr>
          <w:sz w:val="20"/>
          <w:szCs w:val="20"/>
          <w:color w:val="auto"/>
        </w:rPr>
      </w:pPr>
      <w:r>
        <w:rPr>
          <w:rFonts w:ascii="Times New Roman" w:cs="Times New Roman" w:eastAsia="Times New Roman" w:hAnsi="Times New Roman"/>
          <w:sz w:val="20"/>
          <w:szCs w:val="20"/>
          <w:color w:val="auto"/>
        </w:rPr>
        <w:t>Dated: March 27, 2023</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35"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20"/>
          <w:szCs w:val="20"/>
          <w:color w:val="auto"/>
        </w:rPr>
        <w:t>Chief Executive Officer</w:t>
      </w:r>
    </w:p>
    <w:p>
      <w:pPr>
        <w:ind w:left="3512"/>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219075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144" w:name="page145"/>
    <w:bookmarkEnd w:id="144"/>
    <w:p>
      <w:pPr>
        <w:ind w:left="10260"/>
        <w:spacing w:after="0"/>
        <w:rPr>
          <w:sz w:val="20"/>
          <w:szCs w:val="20"/>
          <w:color w:val="auto"/>
        </w:rPr>
      </w:pPr>
      <w:r>
        <w:rPr>
          <w:rFonts w:ascii="Times New Roman" w:cs="Times New Roman" w:eastAsia="Times New Roman" w:hAnsi="Times New Roman"/>
          <w:sz w:val="19"/>
          <w:szCs w:val="19"/>
          <w:color w:val="auto"/>
        </w:rPr>
        <w:t>Exhibit 31.2</w:t>
      </w:r>
    </w:p>
    <w:p>
      <w:pPr>
        <w:spacing w:after="0" w:line="236"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9"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21"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jc w:val="both"/>
        <w:ind w:left="372" w:hanging="372"/>
        <w:spacing w:after="0" w:line="253" w:lineRule="auto"/>
        <w:tabs>
          <w:tab w:leader="none" w:pos="37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Times New Roman" w:cs="Times New Roman" w:eastAsia="Times New Roman" w:hAnsi="Times New Roman"/>
          <w:sz w:val="20"/>
          <w:szCs w:val="20"/>
          <w:color w:val="auto"/>
        </w:rPr>
      </w:pPr>
    </w:p>
    <w:p>
      <w:pPr>
        <w:jc w:val="both"/>
        <w:ind w:left="1012" w:hanging="368"/>
        <w:spacing w:after="0" w:line="254" w:lineRule="auto"/>
        <w:tabs>
          <w:tab w:leader="none" w:pos="101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12" w:right="20" w:hanging="368"/>
        <w:spacing w:after="0" w:line="269" w:lineRule="auto"/>
        <w:tabs>
          <w:tab w:leader="none" w:pos="101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512"/>
        <w:spacing w:after="0"/>
        <w:tabs>
          <w:tab w:leader="none" w:pos="3312" w:val="left"/>
        </w:tabs>
        <w:rPr>
          <w:sz w:val="20"/>
          <w:szCs w:val="20"/>
          <w:color w:val="auto"/>
        </w:rPr>
      </w:pPr>
      <w:r>
        <w:rPr>
          <w:rFonts w:ascii="Times New Roman" w:cs="Times New Roman" w:eastAsia="Times New Roman" w:hAnsi="Times New Roman"/>
          <w:sz w:val="20"/>
          <w:szCs w:val="20"/>
          <w:color w:val="auto"/>
        </w:rPr>
        <w:t>Dated: March 27, 2023</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35"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3512"/>
        <w:spacing w:after="0"/>
        <w:rPr>
          <w:sz w:val="20"/>
          <w:szCs w:val="20"/>
          <w:color w:val="auto"/>
        </w:rPr>
      </w:pPr>
      <w:r>
        <w:rPr>
          <w:rFonts w:ascii="Times New Roman" w:cs="Times New Roman" w:eastAsia="Times New Roman" w:hAnsi="Times New Roman"/>
          <w:sz w:val="20"/>
          <w:szCs w:val="20"/>
          <w:color w:val="auto"/>
        </w:rPr>
        <w:t>Chief Financial Officer</w:t>
      </w:r>
    </w:p>
    <w:p>
      <w:pPr>
        <w:ind w:left="3512"/>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on Form 10-K of Tango Therapeutics, Inc. (the “Company”) for the fiscal year ended December 31, 2022 as filed with the Securities and Exchange Commission (the “Report”), I, Barbara Weber, M.D., Chief Executive Officer of the Company, certify, pursuant to 18 U.S.C. § 1350, as adopted pursuant to § 906 of the Sarbanes-Oxley Act of 2002, to my knowledge, that:</w:t>
      </w:r>
    </w:p>
    <w:p>
      <w:pPr>
        <w:spacing w:after="0" w:line="193" w:lineRule="exact"/>
        <w:rPr>
          <w:sz w:val="20"/>
          <w:szCs w:val="20"/>
          <w:color w:val="auto"/>
        </w:rPr>
      </w:pPr>
    </w:p>
    <w:p>
      <w:pPr>
        <w:ind w:left="760" w:hanging="378"/>
        <w:spacing w:after="0"/>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March 27, 2023</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Chief Executive Officer</w:t>
      </w:r>
    </w:p>
    <w:p>
      <w:pPr>
        <w:ind w:left="278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6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Annual Report on Form 10-K of Tango Therapeutics, Inc. (the “Company”) for the fiscal year ended December 31, 2022 as filed with the Securities and Exchange Commission (the “Report”), I, Daniella Beckman, Chief Financial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  March 27, 2023</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0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Chief Financial Officer</w:t>
      </w:r>
    </w:p>
    <w:p>
      <w:pPr>
        <w:ind w:left="278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lowerRoman"/>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amp;"/>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o"/>
      <w:numFmt w:val="bullet"/>
      <w:start w:val="1"/>
    </w:lvl>
  </w:abstractNum>
  <w:abstractNum w:abstractNumId="19">
    <w:nsid w:val="1D4ED43B"/>
    <w:multiLevelType w:val="hybridMultilevel"/>
    <w:lvl w:ilvl="0">
      <w:lvlJc w:val="left"/>
      <w:lvlText w:val=" "/>
      <w:numFmt w:val="bullet"/>
      <w:start w:val="1"/>
    </w:lvl>
  </w:abstractNum>
  <w:abstractNum w:abstractNumId="20">
    <w:nsid w:val="725A06FB"/>
    <w:multiLevelType w:val="hybridMultilevel"/>
    <w:lvl w:ilvl="0">
      <w:lvlJc w:val="left"/>
      <w:lvlText w:val=" "/>
      <w:numFmt w:val="bullet"/>
      <w:start w:val="1"/>
    </w:lvl>
  </w:abstractNum>
  <w:abstractNum w:abstractNumId="21">
    <w:nsid w:val="2CD89A32"/>
    <w:multiLevelType w:val="hybridMultilevel"/>
    <w:lvl w:ilvl="0">
      <w:lvlJc w:val="left"/>
      <w:lvlText w:val=" "/>
      <w:numFmt w:val="bullet"/>
      <w:start w:val="1"/>
    </w:lvl>
  </w:abstractNum>
  <w:abstractNum w:abstractNumId="22">
    <w:nsid w:val="57E4CCAF"/>
    <w:multiLevelType w:val="hybridMultilevel"/>
    <w:lvl w:ilvl="0">
      <w:lvlJc w:val="left"/>
      <w:lvlText w:val=" "/>
      <w:numFmt w:val="bullet"/>
      <w:start w:val="1"/>
    </w:lvl>
  </w:abstractNum>
  <w:abstractNum w:abstractNumId="23">
    <w:nsid w:val="7A6D8D3C"/>
    <w:multiLevelType w:val="hybridMultilevel"/>
    <w:lvl w:ilvl="0">
      <w:lvlJc w:val="left"/>
      <w:lvlText w:val=" "/>
      <w:numFmt w:val="bullet"/>
      <w:start w:val="1"/>
    </w:lvl>
  </w:abstractNum>
  <w:abstractNum w:abstractNumId="24">
    <w:nsid w:val="4B588F54"/>
    <w:multiLevelType w:val="hybridMultilevel"/>
    <w:lvl w:ilvl="0">
      <w:lvlJc w:val="left"/>
      <w:lvlText w:val=" "/>
      <w:numFmt w:val="bullet"/>
      <w:start w:val="1"/>
    </w:lvl>
  </w:abstractNum>
  <w:abstractNum w:abstractNumId="25">
    <w:nsid w:val="542289EC"/>
    <w:multiLevelType w:val="hybridMultilevel"/>
    <w:lvl w:ilvl="0">
      <w:lvlJc w:val="left"/>
      <w:lvlText w:val=" "/>
      <w:numFmt w:val="bullet"/>
      <w:start w:val="1"/>
    </w:lvl>
  </w:abstractNum>
  <w:abstractNum w:abstractNumId="26">
    <w:nsid w:val="6DE91B18"/>
    <w:multiLevelType w:val="hybridMultilevel"/>
    <w:lvl w:ilvl="0">
      <w:lvlJc w:val="left"/>
      <w:lvlText w:val=" "/>
      <w:numFmt w:val="bullet"/>
      <w:start w:val="1"/>
    </w:lvl>
  </w:abstractNum>
  <w:abstractNum w:abstractNumId="27">
    <w:nsid w:val="38437FDB"/>
    <w:multiLevelType w:val="hybridMultilevel"/>
    <w:lvl w:ilvl="0">
      <w:lvlJc w:val="left"/>
      <w:lvlText w:val=" "/>
      <w:numFmt w:val="bullet"/>
      <w:start w:val="1"/>
    </w:lvl>
  </w:abstractNum>
  <w:abstractNum w:abstractNumId="28">
    <w:nsid w:val="7644A45C"/>
    <w:multiLevelType w:val="hybridMultilevel"/>
    <w:lvl w:ilvl="0">
      <w:lvlJc w:val="left"/>
      <w:lvlText w:val=" "/>
      <w:numFmt w:val="bullet"/>
      <w:start w:val="1"/>
    </w:lvl>
  </w:abstractNum>
  <w:abstractNum w:abstractNumId="29">
    <w:nsid w:val="32FFF902"/>
    <w:multiLevelType w:val="hybridMultilevel"/>
    <w:lvl w:ilvl="0">
      <w:lvlJc w:val="left"/>
      <w:lvlText w:val=" "/>
      <w:numFmt w:val="bullet"/>
      <w:start w:val="1"/>
    </w:lvl>
  </w:abstractNum>
  <w:abstractNum w:abstractNumId="30">
    <w:nsid w:val="684A481A"/>
    <w:multiLevelType w:val="hybridMultilevel"/>
    <w:lvl w:ilvl="0">
      <w:lvlJc w:val="left"/>
      <w:lvlText w:val=" "/>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
      <w:numFmt w:val="bullet"/>
      <w:start w:val="1"/>
    </w:lvl>
  </w:abstractNum>
  <w:abstractNum w:abstractNumId="33">
    <w:nsid w:val="3DC240FB"/>
    <w:multiLevelType w:val="hybridMultilevel"/>
    <w:lvl w:ilvl="0">
      <w:lvlJc w:val="left"/>
      <w:lvlText w:val=" "/>
      <w:numFmt w:val="bullet"/>
      <w:start w:val="1"/>
    </w:lvl>
  </w:abstractNum>
  <w:abstractNum w:abstractNumId="34">
    <w:nsid w:val="1BA026FA"/>
    <w:multiLevelType w:val="hybridMultilevel"/>
    <w:lvl w:ilvl="0">
      <w:lvlJc w:val="left"/>
      <w:lvlText w:val=" "/>
      <w:numFmt w:val="bullet"/>
      <w:start w:val="1"/>
    </w:lvl>
  </w:abstractNum>
  <w:abstractNum w:abstractNumId="35">
    <w:nsid w:val="79A1DEAA"/>
    <w:multiLevelType w:val="hybridMultilevel"/>
    <w:lvl w:ilvl="0">
      <w:lvlJc w:val="left"/>
      <w:lvlText w:val=" "/>
      <w:numFmt w:val="bullet"/>
      <w:start w:val="1"/>
    </w:lvl>
  </w:abstractNum>
  <w:abstractNum w:abstractNumId="36">
    <w:nsid w:val="75C6C33A"/>
    <w:multiLevelType w:val="hybridMultilevel"/>
    <w:lvl w:ilvl="0">
      <w:lvlJc w:val="left"/>
      <w:lvlText w:val=" "/>
      <w:numFmt w:val="bullet"/>
      <w:start w:val="1"/>
    </w:lvl>
  </w:abstractNum>
  <w:abstractNum w:abstractNumId="37">
    <w:nsid w:val="12E685FB"/>
    <w:multiLevelType w:val="hybridMultilevel"/>
    <w:lvl w:ilvl="0">
      <w:lvlJc w:val="left"/>
      <w:lvlText w:val=" "/>
      <w:numFmt w:val="bullet"/>
      <w:start w:val="1"/>
    </w:lvl>
  </w:abstractNum>
  <w:abstractNum w:abstractNumId="38">
    <w:nsid w:val="70C6A529"/>
    <w:multiLevelType w:val="hybridMultilevel"/>
    <w:lvl w:ilvl="0">
      <w:lvlJc w:val="left"/>
      <w:lvlText w:val=" "/>
      <w:numFmt w:val="bullet"/>
      <w:start w:val="1"/>
    </w:lvl>
  </w:abstractNum>
  <w:abstractNum w:abstractNumId="39">
    <w:nsid w:val="520EEDD1"/>
    <w:multiLevelType w:val="hybridMultilevel"/>
    <w:lvl w:ilvl="0">
      <w:lvlJc w:val="left"/>
      <w:lvlText w:val=" "/>
      <w:numFmt w:val="bullet"/>
      <w:start w:val="1"/>
    </w:lvl>
  </w:abstractNum>
  <w:abstractNum w:abstractNumId="40">
    <w:nsid w:val="374A3FE6"/>
    <w:multiLevelType w:val="hybridMultilevel"/>
    <w:lvl w:ilvl="0">
      <w:lvlJc w:val="left"/>
      <w:lvlText w:val=" "/>
      <w:numFmt w:val="bullet"/>
      <w:start w:val="1"/>
    </w:lvl>
  </w:abstractNum>
  <w:abstractNum w:abstractNumId="41">
    <w:nsid w:val="4F4EF005"/>
    <w:multiLevelType w:val="hybridMultilevel"/>
    <w:lvl w:ilvl="0">
      <w:lvlJc w:val="left"/>
      <w:lvlText w:val=" "/>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1)"/>
      <w:numFmt w:val="lowerLetter"/>
      <w:start w:val="4"/>
    </w:lvl>
  </w:abstractNum>
  <w:abstractNum w:abstractNumId="47">
    <w:nsid w:val="180115BE"/>
    <w:multiLevelType w:val="hybridMultilevel"/>
    <w:lvl w:ilvl="0">
      <w:lvlJc w:val="left"/>
      <w:lvlText w:val="*"/>
      <w:numFmt w:val="bullet"/>
      <w:start w:val="1"/>
    </w:lvl>
    <w:lvl w:ilvl="1">
      <w:lvlJc w:val="left"/>
      <w:lvlText w:val="%2"/>
      <w:numFmt w:val="decimal"/>
      <w:start w:val="104"/>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emdash "/>
      <w:numFmt w:val="bullet"/>
      <w:start w:val="1"/>
    </w:lvl>
  </w:abstractNum>
  <w:abstractNum w:abstractNumId="54">
    <w:nsid w:val="10233C99"/>
    <w:multiLevelType w:val="hybridMultilevel"/>
    <w:lvl w:ilvl="0">
      <w:lvlJc w:val="left"/>
      <w:lvlText w:val="%1."/>
      <w:numFmt w:val="decimal"/>
      <w:start w:val="4"/>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decimal"/>
      <w:start w:val="7"/>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1."/>
      <w:numFmt w:val="decimal"/>
      <w:start w:val="1"/>
    </w:lvl>
    <w:lvl w:ilvl="1">
      <w:lvlJc w:val="left"/>
      <w:lvlText w:val="(%2)"/>
      <w:numFmt w:val="lowerLetter"/>
      <w:start w:val="1"/>
    </w:lvl>
  </w:abstractNum>
  <w:abstractNum w:abstractNumId="62">
    <w:nsid w:val="2F305DEF"/>
    <w:multiLevelType w:val="hybridMultilevel"/>
    <w:lvl w:ilvl="0">
      <w:lvlJc w:val="left"/>
      <w:lvlText w:val="%1."/>
      <w:numFmt w:val="decimal"/>
      <w:start w:val="5"/>
    </w:lvl>
    <w:lvl w:ilvl="1">
      <w:lvlJc w:val="left"/>
      <w:lvlText w:val="(%2)"/>
      <w:numFmt w:val="lowerLetter"/>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5"/>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59" Type="http://schemas.openxmlformats.org/officeDocument/2006/relationships/image" Target="media/image244.png"/><Relationship Id="rId260" Type="http://schemas.openxmlformats.org/officeDocument/2006/relationships/image" Target="media/image245.png"/><Relationship Id="rId261" Type="http://schemas.openxmlformats.org/officeDocument/2006/relationships/image" Target="media/image246.png"/><Relationship Id="rId262" Type="http://schemas.openxmlformats.org/officeDocument/2006/relationships/image" Target="media/image247.png"/><Relationship Id="rId263" Type="http://schemas.openxmlformats.org/officeDocument/2006/relationships/image" Target="media/image248.png"/><Relationship Id="rId264" Type="http://schemas.openxmlformats.org/officeDocument/2006/relationships/image" Target="media/image249.png"/><Relationship Id="rId265" Type="http://schemas.openxmlformats.org/officeDocument/2006/relationships/image" Target="media/image250.png"/><Relationship Id="rId266" Type="http://schemas.openxmlformats.org/officeDocument/2006/relationships/image" Target="media/image251.png"/><Relationship Id="rId267" Type="http://schemas.openxmlformats.org/officeDocument/2006/relationships/image" Target="media/image252.png"/><Relationship Id="rId268" Type="http://schemas.openxmlformats.org/officeDocument/2006/relationships/image" Target="media/image253.png"/><Relationship Id="rId269" Type="http://schemas.openxmlformats.org/officeDocument/2006/relationships/image" Target="media/image254.png"/><Relationship Id="rId270" Type="http://schemas.openxmlformats.org/officeDocument/2006/relationships/image" Target="media/image255.png"/><Relationship Id="rId271" Type="http://schemas.openxmlformats.org/officeDocument/2006/relationships/image" Target="media/image256.png"/><Relationship Id="rId272" Type="http://schemas.openxmlformats.org/officeDocument/2006/relationships/image" Target="media/image257.png"/><Relationship Id="rId273" Type="http://schemas.openxmlformats.org/officeDocument/2006/relationships/image" Target="media/image258.png"/><Relationship Id="rId274" Type="http://schemas.openxmlformats.org/officeDocument/2006/relationships/image" Target="media/image259.png"/><Relationship Id="rId275" Type="http://schemas.openxmlformats.org/officeDocument/2006/relationships/image" Target="media/image260.png"/><Relationship Id="rId276" Type="http://schemas.openxmlformats.org/officeDocument/2006/relationships/image" Target="media/image261.png"/><Relationship Id="rId277" Type="http://schemas.openxmlformats.org/officeDocument/2006/relationships/image" Target="media/image262.png"/><Relationship Id="rId278" Type="http://schemas.openxmlformats.org/officeDocument/2006/relationships/image" Target="media/image263.png"/><Relationship Id="rId279" Type="http://schemas.openxmlformats.org/officeDocument/2006/relationships/image" Target="media/image264.png"/><Relationship Id="rId280" Type="http://schemas.openxmlformats.org/officeDocument/2006/relationships/image" Target="media/image265.png"/><Relationship Id="rId281" Type="http://schemas.openxmlformats.org/officeDocument/2006/relationships/image" Target="media/image266.png"/><Relationship Id="rId282" Type="http://schemas.openxmlformats.org/officeDocument/2006/relationships/image" Target="media/image267.png"/><Relationship Id="rId283" Type="http://schemas.openxmlformats.org/officeDocument/2006/relationships/image" Target="media/image268.png"/><Relationship Id="rId284" Type="http://schemas.openxmlformats.org/officeDocument/2006/relationships/image" Target="media/image269.png"/><Relationship Id="rId285" Type="http://schemas.openxmlformats.org/officeDocument/2006/relationships/image" Target="media/image270.png"/><Relationship Id="rId286" Type="http://schemas.openxmlformats.org/officeDocument/2006/relationships/image" Target="media/image271.png"/><Relationship Id="rId287" Type="http://schemas.openxmlformats.org/officeDocument/2006/relationships/image" Target="media/image272.png"/><Relationship Id="rId288" Type="http://schemas.openxmlformats.org/officeDocument/2006/relationships/image" Target="media/image273.png"/><Relationship Id="rId289" Type="http://schemas.openxmlformats.org/officeDocument/2006/relationships/image" Target="media/image274.png"/><Relationship Id="rId290" Type="http://schemas.openxmlformats.org/officeDocument/2006/relationships/image" Target="media/image275.png"/><Relationship Id="rId291" Type="http://schemas.openxmlformats.org/officeDocument/2006/relationships/image" Target="media/image276.png"/><Relationship Id="rId292" Type="http://schemas.openxmlformats.org/officeDocument/2006/relationships/image" Target="media/image277.png"/><Relationship Id="rId293" Type="http://schemas.openxmlformats.org/officeDocument/2006/relationships/image" Target="media/image278.png"/><Relationship Id="rId294" Type="http://schemas.openxmlformats.org/officeDocument/2006/relationships/image" Target="media/image279.png"/><Relationship Id="rId295" Type="http://schemas.openxmlformats.org/officeDocument/2006/relationships/image" Target="media/image280.png"/><Relationship Id="rId296" Type="http://schemas.openxmlformats.org/officeDocument/2006/relationships/image" Target="media/image281.png"/><Relationship Id="rId297" Type="http://schemas.openxmlformats.org/officeDocument/2006/relationships/image" Target="media/image282.png"/><Relationship Id="rId298" Type="http://schemas.openxmlformats.org/officeDocument/2006/relationships/image" Target="media/image283.png"/><Relationship Id="rId299" Type="http://schemas.openxmlformats.org/officeDocument/2006/relationships/image" Target="media/image284.png"/><Relationship Id="rId300" Type="http://schemas.openxmlformats.org/officeDocument/2006/relationships/image" Target="media/image285.png"/><Relationship Id="rId301" Type="http://schemas.openxmlformats.org/officeDocument/2006/relationships/image" Target="media/image286.png"/><Relationship Id="rId302"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pn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2" Type="http://schemas.openxmlformats.org/officeDocument/2006/relationships/image" Target="media/image297.png"/><Relationship Id="rId313" Type="http://schemas.openxmlformats.org/officeDocument/2006/relationships/image" Target="media/image298.png"/><Relationship Id="rId314" Type="http://schemas.openxmlformats.org/officeDocument/2006/relationships/image" Target="media/image299.png"/><Relationship Id="rId315" Type="http://schemas.openxmlformats.org/officeDocument/2006/relationships/image" Target="media/image300.png"/><Relationship Id="rId316" Type="http://schemas.openxmlformats.org/officeDocument/2006/relationships/image" Target="media/image301.png"/><Relationship Id="rId317" Type="http://schemas.openxmlformats.org/officeDocument/2006/relationships/image" Target="media/image302.png"/><Relationship Id="rId318" Type="http://schemas.openxmlformats.org/officeDocument/2006/relationships/image" Target="media/image303.png"/><Relationship Id="rId319" Type="http://schemas.openxmlformats.org/officeDocument/2006/relationships/image" Target="media/image304.png"/><Relationship Id="rId320" Type="http://schemas.openxmlformats.org/officeDocument/2006/relationships/image" Target="media/image305.png"/><Relationship Id="rId321" Type="http://schemas.openxmlformats.org/officeDocument/2006/relationships/image" Target="media/image306.png"/><Relationship Id="rId322" Type="http://schemas.openxmlformats.org/officeDocument/2006/relationships/image" Target="media/image307.png"/><Relationship Id="rId323" Type="http://schemas.openxmlformats.org/officeDocument/2006/relationships/image" Target="media/image308.png"/><Relationship Id="rId324" Type="http://schemas.openxmlformats.org/officeDocument/2006/relationships/image" Target="media/image309.png"/><Relationship Id="rId325" Type="http://schemas.openxmlformats.org/officeDocument/2006/relationships/image" Target="media/image310.png"/><Relationship Id="rId326" Type="http://schemas.openxmlformats.org/officeDocument/2006/relationships/image" Target="media/image311.png"/><Relationship Id="rId327" Type="http://schemas.openxmlformats.org/officeDocument/2006/relationships/image" Target="media/image312.png"/><Relationship Id="rId328" Type="http://schemas.openxmlformats.org/officeDocument/2006/relationships/image" Target="media/image313.png"/><Relationship Id="rId329" Type="http://schemas.openxmlformats.org/officeDocument/2006/relationships/image" Target="media/image314.png"/><Relationship Id="rId330" Type="http://schemas.openxmlformats.org/officeDocument/2006/relationships/image" Target="media/image315.png"/><Relationship Id="rId331"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5" Type="http://schemas.openxmlformats.org/officeDocument/2006/relationships/image" Target="media/image320.png"/><Relationship Id="rId336" Type="http://schemas.openxmlformats.org/officeDocument/2006/relationships/image" Target="media/image321.png"/><Relationship Id="rId337" Type="http://schemas.openxmlformats.org/officeDocument/2006/relationships/image" Target="media/image322.png"/><Relationship Id="rId338" Type="http://schemas.openxmlformats.org/officeDocument/2006/relationships/image" Target="media/image323.png"/><Relationship Id="rId339" Type="http://schemas.openxmlformats.org/officeDocument/2006/relationships/image" Target="media/image324.png"/><Relationship Id="rId340" Type="http://schemas.openxmlformats.org/officeDocument/2006/relationships/image" Target="media/image325.png"/><Relationship Id="rId341" Type="http://schemas.openxmlformats.org/officeDocument/2006/relationships/image" Target="media/image326.png"/><Relationship Id="rId159" Type="http://schemas.openxmlformats.org/officeDocument/2006/relationships/hyperlink" Target="https://www.sec.gov/ix?doc=/Archives/edgar/data/0001819133/000119312521269987/d118907ds1.htm" TargetMode="External"/><Relationship Id="rId160" Type="http://schemas.openxmlformats.org/officeDocument/2006/relationships/hyperlink" Target="https://www.sec.gov/Archives/edgar/data/1819133/000119312521298942/d211731ds8.htm" TargetMode="External"/><Relationship Id="rId161" Type="http://schemas.openxmlformats.org/officeDocument/2006/relationships/hyperlink" Target="https://www.sec.gov/Archives/edgar/data/1819133/000121390021037131/ea144230-s4a3_bctgacq.htm" TargetMode="External"/><Relationship Id="rId162" Type="http://schemas.openxmlformats.org/officeDocument/2006/relationships/hyperlink" Target="https://www.sec.gov/ix?doc=/Archives/edgar/data/0001819133/000119312521246234/d203347d8k.htm" TargetMode="External"/><Relationship Id="rId163" Type="http://schemas.openxmlformats.org/officeDocument/2006/relationships/hyperlink" Target="https://www.sec.gov/Archives/edgar/data/1819133/000121390021032845/fs42021a1_bctgacquisition.htm" TargetMode="External"/><Relationship Id="rId164" Type="http://schemas.openxmlformats.org/officeDocument/2006/relationships/hyperlink" Target="https://www.sec.gov/ix?doc=/Archives/edgar/data/0001819133/000095017022004721/tngx-20211231.htm" TargetMode="External"/><Relationship Id="rId165" Type="http://schemas.openxmlformats.org/officeDocument/2006/relationships/hyperlink" Target="https://www.sec.gov/ix?doc=/Archives/edgar/data/0001819133/000095017022009139/tngx-20220331.htm" TargetMode="External"/><Relationship Id="rId166" Type="http://schemas.openxmlformats.org/officeDocument/2006/relationships/hyperlink" Target="https://www.sec.gov/Archives/edgar/data/1819133/000119312523026914/d644136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2023-03-27T06:40:45Z</dcterms:created>
  <dcterms:modified xsi:type="dcterms:W3CDTF">2023-03-27T06:40:45Z</dcterms:modified>
</cp:coreProperties>
</file>