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96520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EXCHANGEACT OF 1934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November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239395</wp:posOffset>
            </wp:positionV>
            <wp:extent cx="1465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TANGO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103505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1160" w:type="dxa"/>
        <w:tblCellMar>
          <w:top w:w="0" w:type="dxa"/>
          <w:left w:w="0" w:type="dxa"/>
          <w:bottom w:w="0" w:type="dxa"/>
          <w:right w:w="0" w:type="dxa"/>
        </w:tblCellMar>
      </w:tblPr>
      <w:tr>
        <w:trPr>
          <w:trHeight w:val="210"/>
        </w:trPr>
        <w:tc>
          <w:tcPr>
            <w:tcW w:w="2760" w:type="dxa"/>
            <w:vAlign w:val="bottom"/>
          </w:tcPr>
          <w:p>
            <w:pPr>
              <w:jc w:val="center"/>
              <w:ind w:right="1231"/>
              <w:spacing w:after="0"/>
              <w:rPr>
                <w:sz w:val="20"/>
                <w:szCs w:val="20"/>
                <w:color w:val="auto"/>
              </w:rPr>
            </w:pPr>
            <w:r>
              <w:rPr>
                <w:rFonts w:ascii="Arial" w:cs="Arial" w:eastAsia="Arial" w:hAnsi="Arial"/>
                <w:sz w:val="16"/>
                <w:szCs w:val="16"/>
                <w:b w:val="1"/>
                <w:bCs w:val="1"/>
                <w:color w:val="auto"/>
                <w:w w:val="93"/>
              </w:rPr>
              <w:t>Delaware</w:t>
            </w:r>
          </w:p>
        </w:tc>
        <w:tc>
          <w:tcPr>
            <w:tcW w:w="3520" w:type="dxa"/>
            <w:vAlign w:val="bottom"/>
          </w:tcPr>
          <w:p>
            <w:pPr>
              <w:ind w:left="1360"/>
              <w:spacing w:after="0"/>
              <w:rPr>
                <w:sz w:val="20"/>
                <w:szCs w:val="20"/>
                <w:color w:val="auto"/>
              </w:rPr>
            </w:pPr>
            <w:r>
              <w:rPr>
                <w:rFonts w:ascii="Arial" w:cs="Arial" w:eastAsia="Arial" w:hAnsi="Arial"/>
                <w:sz w:val="16"/>
                <w:szCs w:val="16"/>
                <w:b w:val="1"/>
                <w:bCs w:val="1"/>
                <w:color w:val="auto"/>
              </w:rPr>
              <w:t>001-39485</w:t>
            </w:r>
          </w:p>
        </w:tc>
        <w:tc>
          <w:tcPr>
            <w:tcW w:w="2420" w:type="dxa"/>
            <w:vAlign w:val="bottom"/>
          </w:tcPr>
          <w:p>
            <w:pPr>
              <w:jc w:val="center"/>
              <w:ind w:left="1371"/>
              <w:spacing w:after="0"/>
              <w:rPr>
                <w:sz w:val="20"/>
                <w:szCs w:val="20"/>
                <w:color w:val="auto"/>
              </w:rPr>
            </w:pPr>
            <w:r>
              <w:rPr>
                <w:rFonts w:ascii="Arial" w:cs="Arial" w:eastAsia="Arial" w:hAnsi="Arial"/>
                <w:sz w:val="16"/>
                <w:szCs w:val="16"/>
                <w:b w:val="1"/>
                <w:bCs w:val="1"/>
                <w:color w:val="auto"/>
                <w:w w:val="91"/>
              </w:rPr>
              <w:t>85-1195036</w:t>
            </w:r>
          </w:p>
        </w:tc>
      </w:tr>
      <w:tr>
        <w:trPr>
          <w:trHeight w:val="136"/>
        </w:trPr>
        <w:tc>
          <w:tcPr>
            <w:tcW w:w="2760" w:type="dxa"/>
            <w:vAlign w:val="bottom"/>
          </w:tcPr>
          <w:p>
            <w:pPr>
              <w:jc w:val="center"/>
              <w:ind w:right="1271"/>
              <w:spacing w:after="0" w:line="136" w:lineRule="exact"/>
              <w:rPr>
                <w:sz w:val="20"/>
                <w:szCs w:val="20"/>
                <w:color w:val="auto"/>
              </w:rPr>
            </w:pPr>
            <w:r>
              <w:rPr>
                <w:rFonts w:ascii="Arial" w:cs="Arial" w:eastAsia="Arial" w:hAnsi="Arial"/>
                <w:sz w:val="13"/>
                <w:szCs w:val="13"/>
                <w:b w:val="1"/>
                <w:bCs w:val="1"/>
                <w:color w:val="auto"/>
                <w:w w:val="87"/>
              </w:rPr>
              <w:t>(State or other jurisdiction</w:t>
            </w:r>
          </w:p>
        </w:tc>
        <w:tc>
          <w:tcPr>
            <w:tcW w:w="3520" w:type="dxa"/>
            <w:vAlign w:val="bottom"/>
          </w:tcPr>
          <w:p>
            <w:pPr>
              <w:ind w:left="1360"/>
              <w:spacing w:after="0" w:line="136" w:lineRule="exact"/>
              <w:rPr>
                <w:sz w:val="20"/>
                <w:szCs w:val="20"/>
                <w:color w:val="auto"/>
              </w:rPr>
            </w:pPr>
            <w:r>
              <w:rPr>
                <w:rFonts w:ascii="Arial" w:cs="Arial" w:eastAsia="Arial" w:hAnsi="Arial"/>
                <w:sz w:val="13"/>
                <w:szCs w:val="13"/>
                <w:b w:val="1"/>
                <w:bCs w:val="1"/>
                <w:color w:val="auto"/>
              </w:rPr>
              <w:t>(Commission</w:t>
            </w:r>
          </w:p>
        </w:tc>
        <w:tc>
          <w:tcPr>
            <w:tcW w:w="2420" w:type="dxa"/>
            <w:vAlign w:val="bottom"/>
          </w:tcPr>
          <w:p>
            <w:pPr>
              <w:jc w:val="center"/>
              <w:ind w:left="1371"/>
              <w:spacing w:after="0" w:line="13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60" w:type="dxa"/>
            <w:vAlign w:val="bottom"/>
          </w:tcPr>
          <w:p>
            <w:pPr>
              <w:jc w:val="center"/>
              <w:ind w:right="1251"/>
              <w:spacing w:after="0"/>
              <w:rPr>
                <w:sz w:val="20"/>
                <w:szCs w:val="20"/>
                <w:color w:val="auto"/>
              </w:rPr>
            </w:pPr>
            <w:r>
              <w:rPr>
                <w:rFonts w:ascii="Arial" w:cs="Arial" w:eastAsia="Arial" w:hAnsi="Arial"/>
                <w:sz w:val="13"/>
                <w:szCs w:val="13"/>
                <w:b w:val="1"/>
                <w:bCs w:val="1"/>
                <w:color w:val="auto"/>
                <w:w w:val="88"/>
              </w:rPr>
              <w:t>of incorporation)</w:t>
            </w:r>
          </w:p>
        </w:tc>
        <w:tc>
          <w:tcPr>
            <w:tcW w:w="3520" w:type="dxa"/>
            <w:vAlign w:val="bottom"/>
          </w:tcPr>
          <w:p>
            <w:pPr>
              <w:ind w:left="1340"/>
              <w:spacing w:after="0"/>
              <w:rPr>
                <w:sz w:val="20"/>
                <w:szCs w:val="20"/>
                <w:color w:val="auto"/>
              </w:rPr>
            </w:pPr>
            <w:r>
              <w:rPr>
                <w:rFonts w:ascii="Arial" w:cs="Arial" w:eastAsia="Arial" w:hAnsi="Arial"/>
                <w:sz w:val="13"/>
                <w:szCs w:val="13"/>
                <w:b w:val="1"/>
                <w:bCs w:val="1"/>
                <w:color w:val="auto"/>
              </w:rPr>
              <w:t>File Number)</w:t>
            </w:r>
          </w:p>
        </w:tc>
        <w:tc>
          <w:tcPr>
            <w:tcW w:w="2420" w:type="dxa"/>
            <w:vAlign w:val="bottom"/>
          </w:tcPr>
          <w:p>
            <w:pPr>
              <w:jc w:val="center"/>
              <w:ind w:left="1371"/>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200" w:lineRule="exact"/>
        <w:rPr>
          <w:sz w:val="24"/>
          <w:szCs w:val="24"/>
          <w:color w:val="auto"/>
        </w:rPr>
      </w:pPr>
    </w:p>
    <w:p>
      <w:pPr>
        <w:sectPr>
          <w:pgSz w:w="11900" w:h="16838" w:orient="portrait"/>
          <w:cols w:equalWidth="0" w:num="1">
            <w:col w:w="11240"/>
          </w:cols>
          <w:pgMar w:left="320" w:top="890" w:right="339" w:bottom="1440" w:gutter="0" w:footer="0" w:header="0"/>
        </w:sectPr>
      </w:pPr>
    </w:p>
    <w:p>
      <w:pPr>
        <w:spacing w:after="0" w:line="5" w:lineRule="exact"/>
        <w:rPr>
          <w:sz w:val="24"/>
          <w:szCs w:val="24"/>
          <w:color w:val="auto"/>
        </w:rPr>
      </w:pPr>
    </w:p>
    <w:p>
      <w:pPr>
        <w:jc w:val="center"/>
        <w:ind w:left="920"/>
        <w:spacing w:after="0"/>
        <w:rPr>
          <w:sz w:val="20"/>
          <w:szCs w:val="20"/>
          <w:color w:val="auto"/>
        </w:rPr>
      </w:pPr>
      <w:r>
        <w:rPr>
          <w:rFonts w:ascii="Arial" w:cs="Arial" w:eastAsia="Arial" w:hAnsi="Arial"/>
          <w:sz w:val="14"/>
          <w:szCs w:val="14"/>
          <w:b w:val="1"/>
          <w:bCs w:val="1"/>
          <w:color w:val="auto"/>
        </w:rPr>
        <w:t>201 Brookline Ave., Suite 901</w:t>
      </w:r>
    </w:p>
    <w:p>
      <w:pPr>
        <w:spacing w:after="0" w:line="49" w:lineRule="exact"/>
        <w:rPr>
          <w:sz w:val="24"/>
          <w:szCs w:val="24"/>
          <w:color w:val="auto"/>
        </w:rPr>
      </w:pPr>
    </w:p>
    <w:p>
      <w:pPr>
        <w:jc w:val="center"/>
        <w:ind w:left="920"/>
        <w:spacing w:after="0"/>
        <w:rPr>
          <w:sz w:val="20"/>
          <w:szCs w:val="20"/>
          <w:color w:val="auto"/>
        </w:rPr>
      </w:pPr>
      <w:r>
        <w:rPr>
          <w:rFonts w:ascii="Arial" w:cs="Arial" w:eastAsia="Arial" w:hAnsi="Arial"/>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02215</w:t>
      </w:r>
    </w:p>
    <w:p>
      <w:pPr>
        <w:spacing w:after="0" w:line="39" w:lineRule="exact"/>
        <w:rPr>
          <w:sz w:val="24"/>
          <w:szCs w:val="24"/>
          <w:color w:val="auto"/>
        </w:rPr>
      </w:pPr>
    </w:p>
    <w:p>
      <w:pPr>
        <w:sectPr>
          <w:pgSz w:w="11900" w:h="16838" w:orient="portrait"/>
          <w:cols w:equalWidth="0" w:num="2">
            <w:col w:w="6580" w:space="720"/>
            <w:col w:w="3940"/>
          </w:cols>
          <w:pgMar w:left="320" w:top="890" w:right="339" w:bottom="1440" w:gutter="0" w:footer="0" w:header="0"/>
          <w:type w:val="continuous"/>
        </w:sectPr>
      </w:pPr>
    </w:p>
    <w:p>
      <w:pPr>
        <w:jc w:val="center"/>
        <w:ind w:left="96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200" w:lineRule="exact"/>
        <w:rPr>
          <w:sz w:val="24"/>
          <w:szCs w:val="24"/>
          <w:color w:val="auto"/>
        </w:rPr>
      </w:pPr>
    </w:p>
    <w:p>
      <w:pPr>
        <w:sectPr>
          <w:pgSz w:w="11900" w:h="16838" w:orient="portrait"/>
          <w:cols w:equalWidth="0" w:num="2">
            <w:col w:w="6520" w:space="720"/>
            <w:col w:w="4000"/>
          </w:cols>
          <w:pgMar w:left="320" w:top="890" w:right="339" w:bottom="1440" w:gutter="0" w:footer="0" w:header="0"/>
          <w:type w:val="continuous"/>
        </w:sectPr>
      </w:pP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857-320-4900</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114935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14d-2(b)under the Exchange Act (17 CFR 240.14d-2(b))</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13e-4(c)under the Exchange Act (17 CFR 240.13e-4(c))</w:t>
      </w: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45"/>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8"/>
              </w:rPr>
              <w:t>Trading</w:t>
            </w:r>
          </w:p>
        </w:tc>
        <w:tc>
          <w:tcPr>
            <w:tcW w:w="100" w:type="dxa"/>
            <w:vAlign w:val="bottom"/>
          </w:tcPr>
          <w:p>
            <w:pPr>
              <w:spacing w:after="0"/>
              <w:rPr>
                <w:sz w:val="12"/>
                <w:szCs w:val="12"/>
                <w:color w:val="auto"/>
              </w:rPr>
            </w:pPr>
          </w:p>
        </w:tc>
        <w:tc>
          <w:tcPr>
            <w:tcW w:w="36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5"/>
              </w:rPr>
              <w:t>Name of each exchange</w:t>
            </w:r>
          </w:p>
        </w:tc>
      </w:tr>
      <w:tr>
        <w:trPr>
          <w:trHeight w:val="16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12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Symbol(s)</w:t>
            </w:r>
          </w:p>
        </w:tc>
        <w:tc>
          <w:tcPr>
            <w:tcW w:w="10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on which registered</w:t>
            </w:r>
          </w:p>
        </w:tc>
      </w:tr>
      <w:tr>
        <w:trPr>
          <w:trHeight w:val="264"/>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par value $0.001</w:t>
            </w:r>
          </w:p>
        </w:tc>
        <w:tc>
          <w:tcPr>
            <w:tcW w:w="1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TNGX</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Market</w:t>
            </w:r>
          </w:p>
        </w:tc>
      </w:tr>
      <w:tr>
        <w:trPr>
          <w:trHeight w:val="210"/>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88"/>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226" w:lineRule="exact"/>
        <w:rPr>
          <w:sz w:val="24"/>
          <w:szCs w:val="24"/>
          <w:color w:val="auto"/>
        </w:rPr>
      </w:pPr>
    </w:p>
    <w:p>
      <w:pPr>
        <w:ind w:right="100"/>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37" w:lineRule="exact"/>
        <w:rPr>
          <w:sz w:val="24"/>
          <w:szCs w:val="24"/>
          <w:color w:val="auto"/>
        </w:rPr>
      </w:pPr>
    </w:p>
    <w:p>
      <w:pPr>
        <w:ind w:left="9320"/>
        <w:spacing w:after="0" w:line="161" w:lineRule="exact"/>
        <w:rPr>
          <w:sz w:val="20"/>
          <w:szCs w:val="20"/>
          <w:color w:val="auto"/>
        </w:rPr>
      </w:pPr>
      <w:r>
        <w:rPr>
          <w:rFonts w:ascii="Arial" w:cs="Arial" w:eastAsia="Arial" w:hAnsi="Arial"/>
          <w:sz w:val="14"/>
          <w:szCs w:val="14"/>
          <w:color w:val="auto"/>
        </w:rPr>
        <w:t>Emerging growth company</w:t>
      </w:r>
      <w:r>
        <w:rPr>
          <w:rFonts w:ascii="MS PGothic" w:cs="MS PGothic" w:eastAsia="MS PGothic" w:hAnsi="MS PGothic"/>
          <w:sz w:val="14"/>
          <w:szCs w:val="14"/>
          <w:color w:val="auto"/>
        </w:rPr>
        <w:t>☒</w:t>
      </w:r>
    </w:p>
    <w:p>
      <w:pPr>
        <w:spacing w:after="0" w:line="271" w:lineRule="exact"/>
        <w:rPr>
          <w:sz w:val="24"/>
          <w:szCs w:val="24"/>
          <w:color w:val="auto"/>
        </w:rPr>
      </w:pPr>
    </w:p>
    <w:p>
      <w:pPr>
        <w:ind w:right="580"/>
        <w:spacing w:after="0" w:line="22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9"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20"/>
          <w:szCs w:val="20"/>
          <w:color w:val="auto"/>
        </w:rPr>
        <w:t>On November 8, 2023, Tango Therapeutics, Inc. (Tango or the Company) issued a press release relating to its results of operations and financial condition for the quarter ended September 30, 2023. A copy of the press release is furnished as Exhibit 99.1 to this Current Report on Form 8-K.</w:t>
      </w:r>
    </w:p>
    <w:p>
      <w:pPr>
        <w:spacing w:after="0" w:line="19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296"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r>
              <w:rPr>
                <w:rFonts w:ascii="Arial" w:cs="Arial" w:eastAsia="Arial" w:hAnsi="Arial"/>
                <w:sz w:val="19"/>
                <w:szCs w:val="19"/>
                <w:color w:val="auto"/>
              </w:rPr>
              <w:t>.</w:t>
            </w:r>
          </w:p>
        </w:tc>
        <w:tc>
          <w:tcPr>
            <w:tcW w:w="720" w:type="dxa"/>
            <w:vAlign w:val="bottom"/>
          </w:tcPr>
          <w:p>
            <w:pPr>
              <w:spacing w:after="0"/>
              <w:rPr>
                <w:sz w:val="18"/>
                <w:szCs w:val="18"/>
                <w:color w:val="auto"/>
              </w:rPr>
            </w:pPr>
          </w:p>
        </w:tc>
        <w:tc>
          <w:tcPr>
            <w:tcW w:w="940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20"/>
                <w:szCs w:val="20"/>
                <w:color w:val="auto"/>
              </w:rPr>
              <w:t>99.1</w:t>
            </w:r>
          </w:p>
        </w:tc>
        <w:tc>
          <w:tcPr>
            <w:tcW w:w="2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20"/>
                <w:szCs w:val="20"/>
                <w:color w:val="0000FF"/>
                <w:w w:val="94"/>
              </w:rPr>
              <w:t>Press Release issued by Tango Therapeutics, Inc. on November 8, 2023 relating to its results of operations and financial</w:t>
            </w: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5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20" w:type="dxa"/>
            <w:vAlign w:val="bottom"/>
            <w:gridSpan w:val="5"/>
          </w:tcPr>
          <w:p>
            <w:pPr>
              <w:spacing w:after="0" w:line="209" w:lineRule="exact"/>
              <w:rPr>
                <w:sz w:val="20"/>
                <w:szCs w:val="20"/>
                <w:color w:val="auto"/>
              </w:rPr>
            </w:pPr>
            <w:r>
              <w:rPr>
                <w:rFonts w:ascii="Arial" w:cs="Arial" w:eastAsia="Arial" w:hAnsi="Arial"/>
                <w:sz w:val="20"/>
                <w:szCs w:val="20"/>
                <w:color w:val="0000FF"/>
              </w:rPr>
              <w:t>condition for the quarter ended September 30, 2023.</w:t>
            </w:r>
          </w:p>
        </w:tc>
      </w:tr>
      <w:tr>
        <w:trPr>
          <w:trHeight w:val="20"/>
        </w:trPr>
        <w:tc>
          <w:tcPr>
            <w:tcW w:w="8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r>
      <w:tr>
        <w:trPr>
          <w:trHeight w:val="403"/>
        </w:trPr>
        <w:tc>
          <w:tcPr>
            <w:tcW w:w="840" w:type="dxa"/>
            <w:vAlign w:val="bottom"/>
          </w:tcPr>
          <w:p>
            <w:pPr>
              <w:ind w:left="20"/>
              <w:spacing w:after="0"/>
              <w:rPr>
                <w:sz w:val="20"/>
                <w:szCs w:val="20"/>
                <w:color w:val="auto"/>
              </w:rPr>
            </w:pPr>
            <w:r>
              <w:rPr>
                <w:rFonts w:ascii="Arial" w:cs="Arial" w:eastAsia="Arial" w:hAnsi="Arial"/>
                <w:sz w:val="20"/>
                <w:szCs w:val="20"/>
                <w:color w:val="auto"/>
              </w:rPr>
              <w:t>104</w:t>
            </w:r>
          </w:p>
        </w:tc>
        <w:tc>
          <w:tcPr>
            <w:tcW w:w="2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556"/>
        </w:trPr>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180" w:lineRule="exact"/>
        <w:rPr>
          <w:sz w:val="20"/>
          <w:szCs w:val="20"/>
          <w:color w:val="auto"/>
        </w:rPr>
      </w:pPr>
    </w:p>
    <w:p>
      <w:pPr>
        <w:ind w:right="500" w:firstLine="509"/>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920" w:type="dxa"/>
            <w:vAlign w:val="bottom"/>
          </w:tcPr>
          <w:p>
            <w:pPr>
              <w:spacing w:after="0"/>
              <w:rPr>
                <w:sz w:val="23"/>
                <w:szCs w:val="23"/>
                <w:color w:val="auto"/>
              </w:rPr>
            </w:pPr>
          </w:p>
        </w:tc>
        <w:tc>
          <w:tcPr>
            <w:tcW w:w="8320" w:type="dxa"/>
            <w:vAlign w:val="bottom"/>
            <w:gridSpan w:val="3"/>
          </w:tcPr>
          <w:p>
            <w:pPr>
              <w:ind w:left="620"/>
              <w:spacing w:after="0"/>
              <w:rPr>
                <w:sz w:val="20"/>
                <w:szCs w:val="20"/>
                <w:color w:val="auto"/>
              </w:rPr>
            </w:pPr>
            <w:r>
              <w:rPr>
                <w:rFonts w:ascii="Arial" w:cs="Arial" w:eastAsia="Arial" w:hAnsi="Arial"/>
                <w:sz w:val="22"/>
                <w:szCs w:val="22"/>
                <w:color w:val="auto"/>
              </w:rPr>
              <w:t>TANGO THERAPEUTICS, INC.</w:t>
            </w:r>
          </w:p>
        </w:tc>
      </w:tr>
      <w:tr>
        <w:trPr>
          <w:trHeight w:val="435"/>
        </w:trPr>
        <w:tc>
          <w:tcPr>
            <w:tcW w:w="2920" w:type="dxa"/>
            <w:vAlign w:val="bottom"/>
          </w:tcPr>
          <w:p>
            <w:pPr>
              <w:spacing w:after="0"/>
              <w:rPr>
                <w:sz w:val="20"/>
                <w:szCs w:val="20"/>
                <w:color w:val="auto"/>
              </w:rPr>
            </w:pPr>
            <w:r>
              <w:rPr>
                <w:rFonts w:ascii="Arial" w:cs="Arial" w:eastAsia="Arial" w:hAnsi="Arial"/>
                <w:sz w:val="22"/>
                <w:szCs w:val="22"/>
                <w:color w:val="auto"/>
              </w:rPr>
              <w:t>Dated: November 8, 2023</w:t>
            </w:r>
          </w:p>
        </w:tc>
        <w:tc>
          <w:tcPr>
            <w:tcW w:w="8320" w:type="dxa"/>
            <w:vAlign w:val="bottom"/>
            <w:gridSpan w:val="3"/>
          </w:tcPr>
          <w:p>
            <w:pPr>
              <w:ind w:left="1140"/>
              <w:spacing w:after="0"/>
              <w:rPr>
                <w:sz w:val="20"/>
                <w:szCs w:val="20"/>
                <w:color w:val="auto"/>
              </w:rPr>
            </w:pPr>
            <w:r>
              <w:rPr>
                <w:rFonts w:ascii="Arial" w:cs="Arial" w:eastAsia="Arial" w:hAnsi="Arial"/>
                <w:sz w:val="22"/>
                <w:szCs w:val="22"/>
                <w:color w:val="auto"/>
              </w:rPr>
              <w:t>By: /s/ Douglas Barry</w:t>
            </w:r>
          </w:p>
        </w:tc>
      </w:tr>
      <w:tr>
        <w:trPr>
          <w:trHeight w:val="20"/>
        </w:trPr>
        <w:tc>
          <w:tcPr>
            <w:tcW w:w="2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42"/>
        </w:trPr>
        <w:tc>
          <w:tcPr>
            <w:tcW w:w="2920" w:type="dxa"/>
            <w:vAlign w:val="bottom"/>
          </w:tcPr>
          <w:p>
            <w:pPr>
              <w:spacing w:after="0"/>
              <w:rPr>
                <w:sz w:val="21"/>
                <w:szCs w:val="21"/>
                <w:color w:val="auto"/>
              </w:rPr>
            </w:pPr>
          </w:p>
        </w:tc>
        <w:tc>
          <w:tcPr>
            <w:tcW w:w="8320" w:type="dxa"/>
            <w:vAlign w:val="bottom"/>
            <w:gridSpan w:val="3"/>
          </w:tcPr>
          <w:p>
            <w:pPr>
              <w:ind w:left="620"/>
              <w:spacing w:after="0" w:line="242" w:lineRule="exact"/>
              <w:rPr>
                <w:sz w:val="20"/>
                <w:szCs w:val="20"/>
                <w:color w:val="auto"/>
              </w:rPr>
            </w:pPr>
            <w:r>
              <w:rPr>
                <w:rFonts w:ascii="Arial" w:cs="Arial" w:eastAsia="Arial" w:hAnsi="Arial"/>
                <w:sz w:val="22"/>
                <w:szCs w:val="22"/>
                <w:color w:val="auto"/>
              </w:rPr>
              <w:t>Name: Douglas Barry</w:t>
            </w:r>
          </w:p>
        </w:tc>
      </w:tr>
      <w:tr>
        <w:trPr>
          <w:trHeight w:val="274"/>
        </w:trPr>
        <w:tc>
          <w:tcPr>
            <w:tcW w:w="2920" w:type="dxa"/>
            <w:vAlign w:val="bottom"/>
          </w:tcPr>
          <w:p>
            <w:pPr>
              <w:spacing w:after="0"/>
              <w:rPr>
                <w:sz w:val="23"/>
                <w:szCs w:val="23"/>
                <w:color w:val="auto"/>
              </w:rPr>
            </w:pPr>
          </w:p>
        </w:tc>
        <w:tc>
          <w:tcPr>
            <w:tcW w:w="8320" w:type="dxa"/>
            <w:vAlign w:val="bottom"/>
            <w:gridSpan w:val="3"/>
          </w:tcPr>
          <w:p>
            <w:pPr>
              <w:ind w:left="620"/>
              <w:spacing w:after="0"/>
              <w:rPr>
                <w:sz w:val="20"/>
                <w:szCs w:val="20"/>
                <w:color w:val="auto"/>
              </w:rPr>
            </w:pPr>
            <w:r>
              <w:rPr>
                <w:rFonts w:ascii="Arial" w:cs="Arial" w:eastAsia="Arial" w:hAnsi="Arial"/>
                <w:sz w:val="22"/>
                <w:szCs w:val="22"/>
                <w:color w:val="auto"/>
              </w:rPr>
              <w:t>Title: General Counsel</w:t>
            </w:r>
          </w:p>
        </w:tc>
      </w:tr>
      <w:tr>
        <w:trPr>
          <w:trHeight w:val="321"/>
        </w:trPr>
        <w:tc>
          <w:tcPr>
            <w:tcW w:w="29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t>Tango Therapeutcs Reports Third Quarter 2023 Financial Results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Provides Business Highlights</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 Dose escalaton ongoing in phase 1/2 trials of lead PRMT5 inhibitors TNG908 and TNG462; additonal TNG908 clinical data</w:t>
      </w:r>
    </w:p>
    <w:p>
      <w:pPr>
        <w:spacing w:after="0" w:line="53" w:lineRule="exact"/>
        <w:rPr>
          <w:sz w:val="20"/>
          <w:szCs w:val="20"/>
          <w:color w:val="auto"/>
        </w:rPr>
      </w:pPr>
    </w:p>
    <w:p>
      <w:pPr>
        <w:ind w:left="4920"/>
        <w:spacing w:after="0"/>
        <w:rPr>
          <w:sz w:val="20"/>
          <w:szCs w:val="20"/>
          <w:color w:val="auto"/>
        </w:rPr>
      </w:pPr>
      <w:r>
        <w:rPr>
          <w:rFonts w:ascii="Arial" w:cs="Arial" w:eastAsia="Arial" w:hAnsi="Arial"/>
          <w:sz w:val="22"/>
          <w:szCs w:val="22"/>
          <w:i w:val="1"/>
          <w:iCs w:val="1"/>
          <w:color w:val="auto"/>
        </w:rPr>
        <w:t>expected 2024 –</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Dose escalaton ongoing in phase 1/2 trial of CoREST inhibitor TNG260 and pembrolizumab in patents with STK11 mutant solid</w:t>
      </w:r>
    </w:p>
    <w:p>
      <w:pPr>
        <w:spacing w:after="0" w:line="53" w:lineRule="exact"/>
        <w:rPr>
          <w:sz w:val="20"/>
          <w:szCs w:val="20"/>
          <w:color w:val="auto"/>
        </w:rPr>
      </w:pPr>
    </w:p>
    <w:p>
      <w:pPr>
        <w:ind w:left="5240"/>
        <w:spacing w:after="0"/>
        <w:rPr>
          <w:sz w:val="20"/>
          <w:szCs w:val="20"/>
          <w:color w:val="auto"/>
        </w:rPr>
      </w:pPr>
      <w:r>
        <w:rPr>
          <w:rFonts w:ascii="Arial" w:cs="Arial" w:eastAsia="Arial" w:hAnsi="Arial"/>
          <w:sz w:val="22"/>
          <w:szCs w:val="22"/>
          <w:i w:val="1"/>
          <w:iCs w:val="1"/>
          <w:color w:val="auto"/>
        </w:rPr>
        <w:t>tumors –</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9"/>
          <w:szCs w:val="19"/>
          <w:i w:val="1"/>
          <w:iCs w:val="1"/>
          <w:color w:val="auto"/>
        </w:rPr>
        <w:t>– FDA Fast Track designaton granted for TNG348, a novel USP1 inhibitor, for the treatment of BRCA1/2-mutant breast and</w:t>
      </w:r>
    </w:p>
    <w:p>
      <w:pPr>
        <w:spacing w:after="0" w:line="53" w:lineRule="exact"/>
        <w:rPr>
          <w:sz w:val="20"/>
          <w:szCs w:val="20"/>
          <w:color w:val="auto"/>
        </w:rPr>
      </w:pPr>
    </w:p>
    <w:p>
      <w:pPr>
        <w:ind w:left="3520"/>
        <w:spacing w:after="0"/>
        <w:rPr>
          <w:sz w:val="20"/>
          <w:szCs w:val="20"/>
          <w:color w:val="auto"/>
        </w:rPr>
      </w:pPr>
      <w:r>
        <w:rPr>
          <w:rFonts w:ascii="Arial" w:cs="Arial" w:eastAsia="Arial" w:hAnsi="Arial"/>
          <w:sz w:val="22"/>
          <w:szCs w:val="22"/>
          <w:i w:val="1"/>
          <w:iCs w:val="1"/>
          <w:color w:val="auto"/>
        </w:rPr>
        <w:t>ovarian cancer; phase 1/2 clinical trial initaton</w:t>
      </w:r>
    </w:p>
    <w:p>
      <w:pPr>
        <w:spacing w:after="0" w:line="17" w:lineRule="exact"/>
        <w:rPr>
          <w:sz w:val="20"/>
          <w:szCs w:val="20"/>
          <w:color w:val="auto"/>
        </w:rPr>
      </w:pPr>
    </w:p>
    <w:p>
      <w:pPr>
        <w:ind w:left="4760"/>
        <w:spacing w:after="0"/>
        <w:rPr>
          <w:sz w:val="20"/>
          <w:szCs w:val="20"/>
          <w:color w:val="auto"/>
        </w:rPr>
      </w:pPr>
      <w:r>
        <w:rPr>
          <w:rFonts w:ascii="Arial" w:cs="Arial" w:eastAsia="Arial" w:hAnsi="Arial"/>
          <w:sz w:val="22"/>
          <w:szCs w:val="22"/>
          <w:i w:val="1"/>
          <w:iCs w:val="1"/>
          <w:color w:val="auto"/>
        </w:rPr>
        <w:t>expected 1H 2024 –</w:t>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9"/>
          <w:szCs w:val="19"/>
          <w:i w:val="1"/>
          <w:iCs w:val="1"/>
          <w:color w:val="auto"/>
        </w:rPr>
        <w:t>– Kanishka Pothula, partner at Nextech Ventures, appointed to Board of Directors, replacing Reid Huber, Ph.D., partner at Third</w:t>
      </w:r>
    </w:p>
    <w:p>
      <w:pPr>
        <w:spacing w:after="0" w:line="53" w:lineRule="exact"/>
        <w:rPr>
          <w:sz w:val="20"/>
          <w:szCs w:val="20"/>
          <w:color w:val="auto"/>
        </w:rPr>
      </w:pPr>
    </w:p>
    <w:p>
      <w:pPr>
        <w:ind w:left="4940"/>
        <w:spacing w:after="0"/>
        <w:rPr>
          <w:sz w:val="20"/>
          <w:szCs w:val="20"/>
          <w:color w:val="auto"/>
        </w:rPr>
      </w:pPr>
      <w:r>
        <w:rPr>
          <w:rFonts w:ascii="Arial" w:cs="Arial" w:eastAsia="Arial" w:hAnsi="Arial"/>
          <w:sz w:val="22"/>
          <w:szCs w:val="22"/>
          <w:i w:val="1"/>
          <w:iCs w:val="1"/>
          <w:color w:val="auto"/>
        </w:rPr>
        <w:t>Rock Ventures –</w:t>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9"/>
          <w:szCs w:val="19"/>
          <w:i w:val="1"/>
          <w:iCs w:val="1"/>
          <w:color w:val="auto"/>
        </w:rPr>
        <w:t>– Strong cash positon of $360 million; cash runway into 2026 expected to fund all clinical programs through proof-of-concept –</w:t>
      </w:r>
    </w:p>
    <w:p>
      <w:pPr>
        <w:spacing w:after="0" w:line="200" w:lineRule="exact"/>
        <w:rPr>
          <w:sz w:val="20"/>
          <w:szCs w:val="20"/>
          <w:color w:val="auto"/>
        </w:rPr>
      </w:pPr>
    </w:p>
    <w:p>
      <w:pPr>
        <w:spacing w:after="0" w:line="390" w:lineRule="exact"/>
        <w:rPr>
          <w:sz w:val="20"/>
          <w:szCs w:val="20"/>
          <w:color w:val="auto"/>
        </w:rPr>
      </w:pPr>
    </w:p>
    <w:p>
      <w:pPr>
        <w:ind w:right="80"/>
        <w:spacing w:after="0" w:line="266" w:lineRule="auto"/>
        <w:rPr>
          <w:sz w:val="20"/>
          <w:szCs w:val="20"/>
          <w:color w:val="auto"/>
        </w:rPr>
      </w:pPr>
      <w:r>
        <w:rPr>
          <w:rFonts w:ascii="Arial" w:cs="Arial" w:eastAsia="Arial" w:hAnsi="Arial"/>
          <w:sz w:val="22"/>
          <w:szCs w:val="22"/>
          <w:b w:val="1"/>
          <w:bCs w:val="1"/>
          <w:color w:val="auto"/>
        </w:rPr>
        <w:t xml:space="preserve">BOSTON, Mass. – November 8, 2023 </w:t>
      </w:r>
      <w:r>
        <w:rPr>
          <w:rFonts w:ascii="Arial" w:cs="Arial" w:eastAsia="Arial" w:hAnsi="Arial"/>
          <w:sz w:val="22"/>
          <w:szCs w:val="22"/>
          <w:color w:val="auto"/>
        </w:rPr>
        <w:t>– Tango Therapeutcs, Inc. (NASDAQ: TNGX), a clinical-stage biotechnology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commited to discovering and delivering the next generaton of precision cancer medicines, reported its fnancial results for the third quarter ended September 30, 2023, and provided business highlights.</w:t>
      </w:r>
    </w:p>
    <w:p>
      <w:pPr>
        <w:spacing w:after="0" w:line="187" w:lineRule="exact"/>
        <w:rPr>
          <w:sz w:val="20"/>
          <w:szCs w:val="20"/>
          <w:color w:val="auto"/>
        </w:rPr>
      </w:pPr>
    </w:p>
    <w:p>
      <w:pPr>
        <w:ind w:right="240"/>
        <w:spacing w:after="0" w:line="271" w:lineRule="auto"/>
        <w:rPr>
          <w:sz w:val="20"/>
          <w:szCs w:val="20"/>
          <w:color w:val="auto"/>
        </w:rPr>
      </w:pPr>
      <w:r>
        <w:rPr>
          <w:rFonts w:ascii="Arial" w:cs="Arial" w:eastAsia="Arial" w:hAnsi="Arial"/>
          <w:sz w:val="21"/>
          <w:szCs w:val="21"/>
          <w:color w:val="auto"/>
        </w:rPr>
        <w:t>“We contnue to make excellent progress across our precision oncology pipeline, led by our two MTA-cooperatve PRMT5 inhibitors for MTAP-deleted cancers. For TNG462, we dosed the frst patent in the phase 1/2 trial in July 2023. TNG908 is also actvely enrolling patents and remains on track for a clinical update in 2024. Both molecules have the potental to become important treatments for the broad range of patents with MTAP-deleted cancers,” said Barbara Weber, M.D., President and Chief Executve Ofcer of Tango Therapeutcs. “In additon, in June 2023, we initated the phase 1/2 trial of TNG260, a frst-in-class inhibitor of the CoREST complex for the treatment of STK11-mutant cancers. In September 2023, we received FDA clearance of our IND applicaton for TNG348, a USP1 inhibitor for BRCA1/2 mutant and other HRD+ cancers, and we plan to initate the clinical trial in the frst half of next year. With additonal capital resources following our August private placement fnancing and our dedicated team, we believe we are well-positoned to deliver proof-of-concept data on our four clinical programs."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Business Highlights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Update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TNG908 phase 1 dose escalaton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4" w:name="page5"/>
    <w:bookmarkEnd w:id="4"/>
    <w:p>
      <w:pPr>
        <w:ind w:left="1020" w:right="180" w:hanging="503"/>
        <w:spacing w:after="0" w:line="297" w:lineRule="auto"/>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Dose escalaton and patent enrollment is ongoing in the phase 1/2 clinical trial evaluatng TNG908 in patents with MTAP-deleted solid tumors, including glioblastoma. Safety, tolerability and pharmacokinetcs are favorable.</w:t>
      </w:r>
    </w:p>
    <w:p>
      <w:pPr>
        <w:spacing w:after="0" w:line="1" w:lineRule="exact"/>
        <w:rPr>
          <w:rFonts w:ascii="Arial" w:cs="Arial" w:eastAsia="Arial" w:hAnsi="Arial"/>
          <w:sz w:val="19"/>
          <w:szCs w:val="19"/>
          <w:color w:val="auto"/>
        </w:rPr>
      </w:pPr>
    </w:p>
    <w:p>
      <w:pPr>
        <w:ind w:left="1020" w:hanging="503"/>
        <w:spacing w:after="0"/>
        <w:tabs>
          <w:tab w:leader="none" w:pos="1020" w:val="left"/>
        </w:tabs>
        <w:numPr>
          <w:ilvl w:val="0"/>
          <w:numId w:val="3"/>
        </w:numPr>
        <w:rPr>
          <w:rFonts w:ascii="Arial" w:cs="Arial" w:eastAsia="Arial" w:hAnsi="Arial"/>
          <w:sz w:val="21"/>
          <w:szCs w:val="21"/>
          <w:color w:val="auto"/>
        </w:rPr>
      </w:pPr>
      <w:r>
        <w:rPr>
          <w:rFonts w:ascii="Arial" w:cs="Arial" w:eastAsia="Arial" w:hAnsi="Arial"/>
          <w:sz w:val="21"/>
          <w:szCs w:val="21"/>
          <w:color w:val="auto"/>
        </w:rPr>
        <w:t>MTAP deletons occur in approximately 10%-15% of all human cancers, including 40% of glioblastoma (GBM).</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TNG462, a potentally best-in-class MTA-cooperatve PRMT5 inhibitor</w:t>
      </w:r>
    </w:p>
    <w:p>
      <w:pPr>
        <w:spacing w:after="0" w:line="25"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21"/>
          <w:szCs w:val="21"/>
          <w:color w:val="auto"/>
        </w:rPr>
      </w:pPr>
      <w:r>
        <w:rPr>
          <w:rFonts w:ascii="Arial" w:cs="Arial" w:eastAsia="Arial" w:hAnsi="Arial"/>
          <w:sz w:val="21"/>
          <w:szCs w:val="21"/>
          <w:color w:val="auto"/>
        </w:rPr>
        <w:t>Dose escalaton is ongoing in the TNG462 phase 1/2 clinical trial in patents with MTAP-deleted solid tumors.</w:t>
      </w:r>
    </w:p>
    <w:p>
      <w:pPr>
        <w:spacing w:after="0" w:line="34" w:lineRule="exact"/>
        <w:rPr>
          <w:rFonts w:ascii="Arial" w:cs="Arial" w:eastAsia="Arial" w:hAnsi="Arial"/>
          <w:sz w:val="21"/>
          <w:szCs w:val="21"/>
          <w:color w:val="auto"/>
        </w:rPr>
      </w:pPr>
    </w:p>
    <w:p>
      <w:pPr>
        <w:ind w:left="1020" w:hanging="503"/>
        <w:spacing w:after="0" w:line="259" w:lineRule="auto"/>
        <w:tabs>
          <w:tab w:leader="none" w:pos="1020" w:val="left"/>
        </w:tabs>
        <w:numPr>
          <w:ilvl w:val="0"/>
          <w:numId w:val="4"/>
        </w:numPr>
        <w:rPr>
          <w:rFonts w:ascii="Arial" w:cs="Arial" w:eastAsia="Arial" w:hAnsi="Arial"/>
          <w:sz w:val="22"/>
          <w:szCs w:val="22"/>
          <w:color w:val="auto"/>
        </w:rPr>
      </w:pPr>
      <w:r>
        <w:rPr>
          <w:rFonts w:ascii="Arial" w:cs="Arial" w:eastAsia="Arial" w:hAnsi="Arial"/>
          <w:sz w:val="22"/>
          <w:szCs w:val="22"/>
          <w:color w:val="auto"/>
        </w:rPr>
        <w:t>TNG462 has the same mechanism of acton as TNG908, but with enhanced potency and selectvity in MTAP-deleted cell lines and patent-derived xenografs. In preclinical studies, TNG462 is 45X selectve for MTAP-deleted cancer cells versus normal cells and ~30X more potent than TNG908.</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TNG260, a frst-in-class, highly selectve CoREST complex inhibitor</w:t>
      </w:r>
    </w:p>
    <w:p>
      <w:pPr>
        <w:spacing w:after="0" w:line="25" w:lineRule="exact"/>
        <w:rPr>
          <w:sz w:val="20"/>
          <w:szCs w:val="20"/>
          <w:color w:val="auto"/>
        </w:rPr>
      </w:pPr>
    </w:p>
    <w:p>
      <w:pPr>
        <w:ind w:left="1020" w:right="60" w:hanging="503"/>
        <w:spacing w:after="0" w:line="254" w:lineRule="auto"/>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color w:val="auto"/>
        </w:rPr>
        <w:t>Dose escalaton is ongoing in the TNG260 phase 1/2 clinical trial evaluatng the safety, pharmacokinetcs, pharmacodynamics and efcacy of TNG260 in combinaton with pembrolizumab in patents with locally advanced or metastatc solid tumors with an STK11 loss-of-functon mutaton.</w:t>
      </w:r>
    </w:p>
    <w:p>
      <w:pPr>
        <w:spacing w:after="0" w:line="2" w:lineRule="exact"/>
        <w:rPr>
          <w:rFonts w:ascii="Arial" w:cs="Arial" w:eastAsia="Arial" w:hAnsi="Arial"/>
          <w:sz w:val="22"/>
          <w:szCs w:val="22"/>
          <w:color w:val="auto"/>
        </w:rPr>
      </w:pPr>
    </w:p>
    <w:p>
      <w:pPr>
        <w:ind w:left="1020" w:right="160" w:hanging="503"/>
        <w:spacing w:after="0" w:line="272" w:lineRule="auto"/>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color w:val="auto"/>
        </w:rPr>
        <w:t>STK11 mutatons occur in approximately 15% of NSCLC, 15% of cervical, 10% of carcinoma of unknown primary, 5% of breast and 3% of pancreatc cancers.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TNG348, a novel USP1 inhibitor</w:t>
      </w:r>
    </w:p>
    <w:p>
      <w:pPr>
        <w:spacing w:after="0" w:line="25" w:lineRule="exact"/>
        <w:rPr>
          <w:sz w:val="20"/>
          <w:szCs w:val="20"/>
          <w:color w:val="auto"/>
        </w:rPr>
      </w:pPr>
    </w:p>
    <w:p>
      <w:pPr>
        <w:ind w:left="1020" w:right="160" w:hanging="503"/>
        <w:spacing w:after="0" w:line="295" w:lineRule="auto"/>
        <w:tabs>
          <w:tab w:leader="none" w:pos="102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FDA granted Fast Track designaton (FTD) for TNG348 in September 2023 for the treatment of BRCA1/2-mutant breast and ovarian cancer. FTD is designed to facilitate the development and expedite the review of drugs to treat serious conditons and fulfll an unmet need, with the potental to allow drugs to reach more patents faster.</w:t>
      </w:r>
    </w:p>
    <w:p>
      <w:pPr>
        <w:ind w:left="1020" w:right="880" w:hanging="503"/>
        <w:spacing w:after="0" w:line="256" w:lineRule="auto"/>
        <w:tabs>
          <w:tab w:leader="none" w:pos="102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September 2023, the Company announced FDA clearance of the TNG348 Investgatonal New Drug (IND) applicaton.</w:t>
      </w:r>
    </w:p>
    <w:p>
      <w:pPr>
        <w:jc w:val="both"/>
        <w:ind w:left="1020" w:right="120" w:hanging="503"/>
        <w:spacing w:after="0" w:line="296" w:lineRule="auto"/>
        <w:tabs>
          <w:tab w:leader="none" w:pos="1020" w:val="left"/>
        </w:tabs>
        <w:numPr>
          <w:ilvl w:val="0"/>
          <w:numId w:val="6"/>
        </w:numPr>
        <w:rPr>
          <w:rFonts w:ascii="Arial" w:cs="Arial" w:eastAsia="Arial" w:hAnsi="Arial"/>
          <w:sz w:val="19"/>
          <w:szCs w:val="19"/>
          <w:color w:val="auto"/>
        </w:rPr>
      </w:pPr>
      <w:r>
        <w:rPr>
          <w:rFonts w:ascii="Arial" w:cs="Arial" w:eastAsia="Arial" w:hAnsi="Arial"/>
          <w:sz w:val="19"/>
          <w:szCs w:val="19"/>
          <w:color w:val="auto"/>
        </w:rPr>
        <w:t>Initaton of the TNG348 phase 1/2 clinical trial is planned for the frst half of 2024. The trial will evaluate the safety, pharmacokinetcs, pharmacodynamics and efcacy of TNG348 as a single agent and in combinaton with olaparib, a PARP inhibitor, in patents with BRCA1/2-mutant and other HRD+ (homologous recombinaton defcient) cancers.</w:t>
      </w:r>
    </w:p>
    <w:p>
      <w:pPr>
        <w:spacing w:after="0" w:line="1" w:lineRule="exact"/>
        <w:rPr>
          <w:rFonts w:ascii="Arial" w:cs="Arial" w:eastAsia="Arial" w:hAnsi="Arial"/>
          <w:sz w:val="19"/>
          <w:szCs w:val="19"/>
          <w:color w:val="auto"/>
        </w:rPr>
      </w:pPr>
    </w:p>
    <w:p>
      <w:pPr>
        <w:ind w:left="1020" w:right="100" w:hanging="503"/>
        <w:spacing w:after="0" w:line="272" w:lineRule="auto"/>
        <w:tabs>
          <w:tab w:leader="none" w:pos="1020" w:val="left"/>
        </w:tabs>
        <w:numPr>
          <w:ilvl w:val="0"/>
          <w:numId w:val="6"/>
        </w:numPr>
        <w:rPr>
          <w:rFonts w:ascii="Arial" w:cs="Arial" w:eastAsia="Arial" w:hAnsi="Arial"/>
          <w:sz w:val="22"/>
          <w:szCs w:val="22"/>
          <w:color w:val="auto"/>
        </w:rPr>
      </w:pPr>
      <w:r>
        <w:rPr>
          <w:rFonts w:ascii="Arial" w:cs="Arial" w:eastAsia="Arial" w:hAnsi="Arial"/>
          <w:sz w:val="22"/>
          <w:szCs w:val="22"/>
          <w:color w:val="auto"/>
        </w:rPr>
        <w:t>HRD+ cancers, including BRCA1/2 mutatons, represent up to 50% of ovarian cancers, 25% of breast cancers, 10% of prostate cancers and 5% of pancreatc cancers.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Upcoming Milestones</w:t>
      </w:r>
    </w:p>
    <w:p>
      <w:pPr>
        <w:spacing w:after="0" w:line="289"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TNG348 phase 1/2 clinical trial initaton expected 1H 2024.</w:t>
      </w:r>
    </w:p>
    <w:p>
      <w:pPr>
        <w:spacing w:after="0" w:line="29" w:lineRule="exact"/>
        <w:rPr>
          <w:rFonts w:ascii="Arial" w:cs="Arial" w:eastAsia="Arial" w:hAnsi="Arial"/>
          <w:sz w:val="22"/>
          <w:szCs w:val="22"/>
          <w:color w:val="auto"/>
        </w:rPr>
      </w:pPr>
    </w:p>
    <w:p>
      <w:pPr>
        <w:ind w:left="1020" w:hanging="503"/>
        <w:spacing w:after="0"/>
        <w:tabs>
          <w:tab w:leader="none" w:pos="10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Additonal data from the ongoing TNG908 clinical trial expected 2024.</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5" w:name="page6"/>
    <w:bookmarkEnd w:id="5"/>
    <w:p>
      <w:pPr>
        <w:ind w:left="1020" w:right="300" w:hanging="503"/>
        <w:spacing w:after="0" w:line="256" w:lineRule="auto"/>
        <w:tabs>
          <w:tab w:leader="none" w:pos="102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November 2023, Kanishka Pothula, a partner at Nextech Ventures, was appointed to the Company's Board of Directors. Previously, Mr. Pothula spent over 10 years with BVF Partners, a biotechnology-focused hedge fund. He holds a B.S. in bioengineering from the University of California San Diego and an M.S. in biotechnology from Georgetown University.</w:t>
      </w:r>
    </w:p>
    <w:p>
      <w:pPr>
        <w:spacing w:after="0" w:line="2" w:lineRule="exact"/>
        <w:rPr>
          <w:rFonts w:ascii="Arial" w:cs="Arial" w:eastAsia="Arial" w:hAnsi="Arial"/>
          <w:sz w:val="22"/>
          <w:szCs w:val="22"/>
          <w:color w:val="auto"/>
        </w:rPr>
      </w:pPr>
    </w:p>
    <w:p>
      <w:pPr>
        <w:ind w:left="1020" w:right="80" w:hanging="503"/>
        <w:spacing w:after="0" w:line="256" w:lineRule="auto"/>
        <w:tabs>
          <w:tab w:leader="none" w:pos="102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November 2023, Reid Huber, Ph.D., a partner at Third Rock Ventures, stepped down from his role on the Board of Directors.</w:t>
      </w:r>
    </w:p>
    <w:p>
      <w:pPr>
        <w:ind w:left="1020" w:right="460" w:hanging="503"/>
        <w:spacing w:after="0" w:line="256" w:lineRule="auto"/>
        <w:tabs>
          <w:tab w:leader="none" w:pos="102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October 2023, Jannik Andersen, Ph.D., was promoted to Chief Scientfc Ofcer. Dr. Andersen, who joined the Company as Head of Biology in January 2019, led the drug discovery eforts of TNG908, TNG462, TNG260 and TNG348.</w:t>
      </w:r>
    </w:p>
    <w:p>
      <w:pPr>
        <w:ind w:left="1020" w:right="680" w:hanging="503"/>
        <w:spacing w:after="0" w:line="256" w:lineRule="auto"/>
        <w:tabs>
          <w:tab w:leader="none" w:pos="102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August 2023, the Company announced the appointment of John Ketchum to its Board of Directors and the resignaton of Aaron Davis.</w:t>
      </w:r>
    </w:p>
    <w:p>
      <w:pPr>
        <w:ind w:left="1020" w:right="1140" w:hanging="503"/>
        <w:spacing w:after="0" w:line="272" w:lineRule="auto"/>
        <w:tabs>
          <w:tab w:leader="none" w:pos="102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August 2023, the Company announced the closing of an $80 million private placement fnancing with partcipaton from new and existng healthcare investors.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Scientfc Presentatons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Society for NeuroOncology (SNO) 28</w:t>
      </w:r>
      <w:r>
        <w:rPr>
          <w:rFonts w:ascii="Arial" w:cs="Arial" w:eastAsia="Arial" w:hAnsi="Arial"/>
          <w:sz w:val="28"/>
          <w:szCs w:val="28"/>
          <w:b w:val="1"/>
          <w:bCs w:val="1"/>
          <w:color w:val="auto"/>
          <w:vertAlign w:val="superscript"/>
        </w:rPr>
        <w:t>th</w:t>
      </w:r>
      <w:r>
        <w:rPr>
          <w:rFonts w:ascii="Arial" w:cs="Arial" w:eastAsia="Arial" w:hAnsi="Arial"/>
          <w:sz w:val="22"/>
          <w:szCs w:val="22"/>
          <w:b w:val="1"/>
          <w:bCs w:val="1"/>
          <w:color w:val="auto"/>
        </w:rPr>
        <w:t xml:space="preserve"> Annual Meetng, November 15-19, 2023, Vancouver, Canada</w:t>
      </w:r>
    </w:p>
    <w:p>
      <w:pPr>
        <w:spacing w:after="0" w:line="58" w:lineRule="exact"/>
        <w:rPr>
          <w:sz w:val="20"/>
          <w:szCs w:val="20"/>
          <w:color w:val="auto"/>
        </w:rPr>
      </w:pPr>
    </w:p>
    <w:p>
      <w:pPr>
        <w:ind w:left="1020" w:right="340" w:hanging="503"/>
        <w:spacing w:after="0" w:line="355" w:lineRule="auto"/>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 November 2023, preclinical data will be presented in two poster presentatons supportng the development of PRMT5 inhibitors in MTAP-deleted glioblastoma and malignant peripheral nerve sheath tumors.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Society for Immunotherapy of Cancer (SITC) 38</w:t>
      </w:r>
      <w:r>
        <w:rPr>
          <w:rFonts w:ascii="Arial" w:cs="Arial" w:eastAsia="Arial" w:hAnsi="Arial"/>
          <w:sz w:val="28"/>
          <w:szCs w:val="28"/>
          <w:b w:val="1"/>
          <w:bCs w:val="1"/>
          <w:color w:val="auto"/>
          <w:vertAlign w:val="superscript"/>
        </w:rPr>
        <w:t>th</w:t>
      </w:r>
      <w:r>
        <w:rPr>
          <w:rFonts w:ascii="Arial" w:cs="Arial" w:eastAsia="Arial" w:hAnsi="Arial"/>
          <w:sz w:val="22"/>
          <w:szCs w:val="22"/>
          <w:b w:val="1"/>
          <w:bCs w:val="1"/>
          <w:color w:val="auto"/>
        </w:rPr>
        <w:t xml:space="preserve"> Annual Meetng, November 1-5, 2023, San Diego, CA</w:t>
      </w:r>
    </w:p>
    <w:p>
      <w:pPr>
        <w:spacing w:after="0" w:line="58" w:lineRule="exact"/>
        <w:rPr>
          <w:sz w:val="20"/>
          <w:szCs w:val="20"/>
          <w:color w:val="auto"/>
        </w:rPr>
      </w:pPr>
    </w:p>
    <w:p>
      <w:pPr>
        <w:ind w:left="1020" w:right="40" w:hanging="503"/>
        <w:spacing w:after="0" w:line="257" w:lineRule="auto"/>
        <w:tabs>
          <w:tab w:leader="none" w:pos="10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In November 2023, Tango scientsts presented preclinical data highlightng the potental of TNG260 in STK11-mutant cancers.</w:t>
      </w:r>
    </w:p>
    <w:p>
      <w:pPr>
        <w:ind w:left="1020" w:right="280" w:hanging="503"/>
        <w:spacing w:after="0" w:line="256" w:lineRule="auto"/>
        <w:tabs>
          <w:tab w:leader="none" w:pos="10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Preclinically, TNG260 combined with ant-PD1 therapy drives tumor regression in STK11-defcient models that are resistant to ant-PD1 monotherapy.</w:t>
      </w:r>
    </w:p>
    <w:p>
      <w:pPr>
        <w:ind w:left="1020" w:hanging="503"/>
        <w:spacing w:after="0" w:line="264" w:lineRule="auto"/>
        <w:tabs>
          <w:tab w:leader="none" w:pos="10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These data further demonstrate the ability of TNG260 to alter the expression of immunomodulatory genes in STK11-defcient cancer cells, restoring sensitvity to ant-PD1 therapy, and support the ongoing phase 1/2 clinical trial of TNG260 in combinaton with pembrolizumab.</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AACR-NCI-EORTC Internatonal Conference on Molecular Targets and Cancer Therapeutcs, October 11-15, 2023, Boston, MA</w:t>
      </w:r>
    </w:p>
    <w:p>
      <w:pPr>
        <w:spacing w:after="0" w:line="162" w:lineRule="exact"/>
        <w:rPr>
          <w:sz w:val="20"/>
          <w:szCs w:val="20"/>
          <w:color w:val="auto"/>
        </w:rPr>
      </w:pPr>
    </w:p>
    <w:p>
      <w:pPr>
        <w:ind w:left="1020" w:right="360" w:hanging="503"/>
        <w:spacing w:after="0" w:line="274" w:lineRule="auto"/>
        <w:tabs>
          <w:tab w:leader="none" w:pos="10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In October 2023, Tango scientsts presented fve posters highlightng preclinical data from the precision oncology pipeline and synthetc lethality discovery platorm.</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394970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1" w:right="359" w:bottom="1440" w:gutter="0" w:footer="0" w:header="0"/>
        </w:sectPr>
      </w:pPr>
    </w:p>
    <w:bookmarkStart w:id="6" w:name="page7"/>
    <w:bookmarkEnd w:id="6"/>
    <w:p>
      <w:pPr>
        <w:ind w:right="500"/>
        <w:spacing w:after="0" w:line="274" w:lineRule="auto"/>
        <w:rPr>
          <w:sz w:val="20"/>
          <w:szCs w:val="20"/>
          <w:color w:val="auto"/>
        </w:rPr>
      </w:pPr>
      <w:r>
        <w:rPr>
          <w:rFonts w:ascii="Arial" w:cs="Arial" w:eastAsia="Arial" w:hAnsi="Arial"/>
          <w:sz w:val="22"/>
          <w:szCs w:val="22"/>
          <w:color w:val="auto"/>
        </w:rPr>
        <w:t>As of September 30, 2023, the Company held $359.9 million in cash, cash equivalents and marketable securites, which the Company believes to be sufcient to fund operatons into 2026.</w:t>
      </w:r>
    </w:p>
    <w:p>
      <w:pPr>
        <w:spacing w:after="0" w:line="232" w:lineRule="exact"/>
        <w:rPr>
          <w:sz w:val="20"/>
          <w:szCs w:val="20"/>
          <w:color w:val="auto"/>
        </w:rPr>
      </w:pPr>
    </w:p>
    <w:p>
      <w:pPr>
        <w:ind w:right="80"/>
        <w:spacing w:after="0" w:line="262" w:lineRule="auto"/>
        <w:rPr>
          <w:sz w:val="20"/>
          <w:szCs w:val="20"/>
          <w:color w:val="auto"/>
        </w:rPr>
      </w:pPr>
      <w:r>
        <w:rPr>
          <w:rFonts w:ascii="Arial" w:cs="Arial" w:eastAsia="Arial" w:hAnsi="Arial"/>
          <w:sz w:val="22"/>
          <w:szCs w:val="22"/>
          <w:color w:val="auto"/>
        </w:rPr>
        <w:t>Collaboraton revenue was $10.7 million for the three months ended September 30, 2023, compared to $6.9 million for the same period in 2022, and $26.1 million for the nine months ended September 30, 2023 compared to $18.4 million for the same period in 2022. The increase was due to higher research costs incurred under the collaboraton resultng in higher collaboraton revenue recognized.</w:t>
      </w:r>
    </w:p>
    <w:p>
      <w:pPr>
        <w:spacing w:after="0" w:line="245" w:lineRule="exact"/>
        <w:rPr>
          <w:sz w:val="20"/>
          <w:szCs w:val="20"/>
          <w:color w:val="auto"/>
        </w:rPr>
      </w:pPr>
    </w:p>
    <w:p>
      <w:pPr>
        <w:ind w:right="240"/>
        <w:spacing w:after="0" w:line="265" w:lineRule="auto"/>
        <w:rPr>
          <w:sz w:val="20"/>
          <w:szCs w:val="20"/>
          <w:color w:val="auto"/>
        </w:rPr>
      </w:pPr>
      <w:r>
        <w:rPr>
          <w:rFonts w:ascii="Arial" w:cs="Arial" w:eastAsia="Arial" w:hAnsi="Arial"/>
          <w:sz w:val="22"/>
          <w:szCs w:val="22"/>
          <w:color w:val="auto"/>
        </w:rPr>
        <w:t>License revenue was $0 and $5.0 million for the three and nine months ended September 30, 2023, respectvely, compared to $0 for both the three and nine months ended September 30, 2022. The year-to-date increase is the result of out-licensing a program to Gilead for $5.0 million during the second quarter of 2023.</w:t>
      </w:r>
    </w:p>
    <w:p>
      <w:pPr>
        <w:spacing w:after="0" w:line="242" w:lineRule="exact"/>
        <w:rPr>
          <w:sz w:val="20"/>
          <w:szCs w:val="20"/>
          <w:color w:val="auto"/>
        </w:rPr>
      </w:pPr>
    </w:p>
    <w:p>
      <w:pPr>
        <w:ind w:right="240"/>
        <w:spacing w:after="0" w:line="262" w:lineRule="auto"/>
        <w:rPr>
          <w:sz w:val="20"/>
          <w:szCs w:val="20"/>
          <w:color w:val="auto"/>
        </w:rPr>
      </w:pPr>
      <w:r>
        <w:rPr>
          <w:rFonts w:ascii="Arial" w:cs="Arial" w:eastAsia="Arial" w:hAnsi="Arial"/>
          <w:sz w:val="22"/>
          <w:szCs w:val="22"/>
          <w:color w:val="auto"/>
        </w:rPr>
        <w:t>Research and development expenses were $27.1 million for the three months ended September 30, 2023, compared to $28.7 million for the same period in 2022, and $83.9 million for the nine months ended September 30, 2023 compared to $76.8 million for the same period in 2022. The change is primarily due to increased personnel-related costs to support our research and development actvites.</w:t>
      </w:r>
    </w:p>
    <w:p>
      <w:pPr>
        <w:spacing w:after="0" w:line="245" w:lineRule="exact"/>
        <w:rPr>
          <w:sz w:val="20"/>
          <w:szCs w:val="20"/>
          <w:color w:val="auto"/>
        </w:rPr>
      </w:pPr>
    </w:p>
    <w:p>
      <w:pPr>
        <w:ind w:right="480"/>
        <w:spacing w:after="0" w:line="325" w:lineRule="auto"/>
        <w:rPr>
          <w:sz w:val="20"/>
          <w:szCs w:val="20"/>
          <w:color w:val="auto"/>
        </w:rPr>
      </w:pPr>
      <w:r>
        <w:rPr>
          <w:rFonts w:ascii="Arial" w:cs="Arial" w:eastAsia="Arial" w:hAnsi="Arial"/>
          <w:sz w:val="19"/>
          <w:szCs w:val="19"/>
          <w:color w:val="auto"/>
        </w:rPr>
        <w:t>General and administratve expenses were $9.2 million for the three months ended September 30, 2023, compared to $8.1 million for the same period in 2022, and $26.4 million for the nine months ended September 30, 2023 compared to $22.1 million for the same period in 2022. The change was primarily due to increases in personnel-related costs.</w:t>
      </w:r>
    </w:p>
    <w:p>
      <w:pPr>
        <w:spacing w:after="0" w:line="192" w:lineRule="exact"/>
        <w:rPr>
          <w:sz w:val="20"/>
          <w:szCs w:val="20"/>
          <w:color w:val="auto"/>
        </w:rPr>
      </w:pPr>
    </w:p>
    <w:p>
      <w:pPr>
        <w:ind w:right="80"/>
        <w:spacing w:after="0" w:line="325" w:lineRule="auto"/>
        <w:rPr>
          <w:sz w:val="20"/>
          <w:szCs w:val="20"/>
          <w:color w:val="auto"/>
        </w:rPr>
      </w:pPr>
      <w:r>
        <w:rPr>
          <w:rFonts w:ascii="Arial" w:cs="Arial" w:eastAsia="Arial" w:hAnsi="Arial"/>
          <w:sz w:val="19"/>
          <w:szCs w:val="19"/>
          <w:color w:val="auto"/>
        </w:rPr>
        <w:t>Net loss for the three months ended September 30, 2023 was $22.3 million, or $0.23 per share, compared to a net loss of $29.1 million, or $0.33 per share, in the same period in 2022. Net loss for the nine months ended September 30, 2023 was $71.0 million, or $0.78 per share, compared to a net loss of $79.1 million, or $0.90 per share, in the same period in 2022.</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Tango Therapeutcs</w:t>
      </w:r>
    </w:p>
    <w:p>
      <w:pPr>
        <w:spacing w:after="0" w:line="289" w:lineRule="exact"/>
        <w:rPr>
          <w:sz w:val="20"/>
          <w:szCs w:val="20"/>
          <w:color w:val="auto"/>
        </w:rPr>
      </w:pPr>
    </w:p>
    <w:p>
      <w:pPr>
        <w:spacing w:after="0" w:line="311" w:lineRule="auto"/>
        <w:rPr>
          <w:sz w:val="20"/>
          <w:szCs w:val="20"/>
          <w:color w:val="auto"/>
        </w:rPr>
      </w:pPr>
      <w:r>
        <w:rPr>
          <w:rFonts w:ascii="Arial" w:cs="Arial" w:eastAsia="Arial" w:hAnsi="Arial"/>
          <w:sz w:val="19"/>
          <w:szCs w:val="19"/>
          <w:color w:val="auto"/>
        </w:rPr>
        <w:t>Tango Therapeutcs is a clinical-stage biotechnology company dedicated to discovering novel drug targets and delivering the next generaton of precision medicine for the treatment of cancer. Using an approach that starts and ends with patents, Tango leverages the genetc principle of synthetc lethality to discover and develop therapies that take aim at critcal targets in cancer. This includes expanding the universe of precision oncology targets into novel areas such as tumor suppressor gene loss and their contributon to the ability of cancer cells to evade immune cell killing. For more informaton, please visit www.tangotx.com.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7" w:name="page8"/>
    <w:bookmarkEnd w:id="7"/>
    <w:p>
      <w:pPr>
        <w:spacing w:after="0" w:line="298" w:lineRule="auto"/>
        <w:rPr>
          <w:sz w:val="20"/>
          <w:szCs w:val="20"/>
          <w:color w:val="auto"/>
        </w:rPr>
      </w:pPr>
      <w:r>
        <w:rPr>
          <w:rFonts w:ascii="Arial" w:cs="Arial" w:eastAsia="Arial" w:hAnsi="Arial"/>
          <w:sz w:val="19"/>
          <w:szCs w:val="19"/>
          <w:color w:val="auto"/>
        </w:rPr>
        <w:t>Certain statements in this press release may be considered forward-looking statements. Forward-looking statements generally relate to future events, Tango’s future operatng performance and goals, the antcipated benefts of therapies and combinaton therapies (that include a Tango pipeline product), as well as the expectatons, beliefs and development objectves for Tango’s product pipeline and clinical trials. In some cases, you can identfy forward-looking statements by terminology such as “may”, “should”, “expect”, “intend”, “will”, “goal”, “estmate”, “antcipate”, “believe”, “predict”, “designed,” “potental” or “contnue”, or the negatves of these terms or variatons of them or similar terminology. For example, implicit or explicit statements concerning the following include or consttute forward-looking statements: dose escalaton is ongoing in certain Tango clinical trials; additonal data from the TNG908 clinical trial is expected in 2024; phase 1/2 clinical trial initaton for TNG348 expected in the frst half of 2024 (and the endpoints that the trial will evaluate); cash runway into 2026 expected to fund all clinical programs through proof-of-concept (and cash, cash equivalents and marketable securites are believed to be sufcient to fund operatons into 2026); Tango is commited to discovering and delivering the next generaton of precision cancer medicines; the Company contnues to make excellent progress across its precision oncology pipeline; TNG908 is actvely enrolling patents and remains on track for a clinical update in 2024; TNG908 and TNG462 have the potental to become important treatments for the broad range of patents with MTAP-deleted cancers; Tango is well-positoned to deliver proof-of-concept data on its four clinical programs; TNG462 is a potentally best-in-class MTA-cooperatve PRMT5 inhibitor; certain pre-clinical data support the ongoing phase 1/2 clinical trial of TNG260 in combinaton with pembrolizumab; the Fast Track designaton of TNG348 and potental benefts resultng from such designaton; Tango’s growth as a company and expectatons regarding its expected cash runway, uses of capital, expenses, and fnancial results; and the expected tming of: (i) development candidate declaraton for certain targets, (ii) initatng IND-enabling studies; (iii) fling INDs; (iv) clinical trial initaton and (v) disclosing inital, interim and fnal clinical trial results; and the expected benefts of the Company's development candidates and other product candidates. Such forward-looking statements are subject to risks, uncertaintes, and other factors which could cause actual results to difer materially from those expressed or implied by such forward-looking statements. These forward-looking statements are based upon estmates and assumptons that, while considered reasonable by Tango and its management, are inherently uncertain. New risks and uncertaintes may emerge from tme to tme, and it is not possible to predict all risks and uncertaintes. Factors that may cause actual results to difer materially from current expectatons include, but are not limited to: benefts of product candidates seen in preclinical analyses may not be evident when tested in later preclinical studies or in clinical trials or when used in broader patent populatons (if approved for commercial sale); Tango has limited experience conductng clinical trials (and will rely on a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8" w:name="page9"/>
    <w:bookmarkEnd w:id="8"/>
    <w:p>
      <w:pPr>
        <w:spacing w:after="0" w:line="298" w:lineRule="auto"/>
        <w:rPr>
          <w:sz w:val="20"/>
          <w:szCs w:val="20"/>
          <w:color w:val="auto"/>
        </w:rPr>
      </w:pPr>
      <w:r>
        <w:rPr>
          <w:rFonts w:ascii="Arial" w:cs="Arial" w:eastAsia="Arial" w:hAnsi="Arial"/>
          <w:sz w:val="19"/>
          <w:szCs w:val="19"/>
          <w:color w:val="auto"/>
        </w:rPr>
        <w:t>party to operate its clinical trials) and may not be able to commence the clinical trial (including opening clinical trial sites, dosing the frst patent, and enrolling and dosing of an adequate number of clinical trial partcipants) when expected, may not be able to contnue dosing (and dose escalaton) on antcipated tmelines, and may not generate results (including fnal or inital safety, efcacy data and proof-of-mechanism and proof-of-concept) in the antcipated tmeframe (or at all); Tango’s pipeline products may not be safe and/or efectve in humans; Tango has a limited operatng history and has not generated any revenue to date from product sales, and may never become proftable; other companies may be able to identfy and develop product candidates more quickly than the Company and commercially introduce the product prior to the Company; the Company’s proprietary discovery platorm is novel and may not identfy any synthetc lethal targets for future development; the Company may not be able to identfy development candidates on the schedule it antcipates due to technical, fnancial or other reasons; the Company may not be able to fle INDs for development candidates on tme, or at all, due to technical or fnancial reasons or otherwise; the Company may utlize cash resources more quickly than antcipated; Tango will need to raise capital in the future and if we are unable to raise capital when needed or on atractve terms, we would be forced to delay, scale back or discontnue some of our development programs or future commercializaton eforts (which may delay fling of INDs, dosing patents, reportng clinical trial results and fling new drug applicatons); Tango’s approach to the discovery and development of product candidates is novel and unproven, which makes it difcult to predict the tme, cost of development, and likelihood of successfully developing any products; the Company may be unable to advance our preclinical development programs into and through the clinic for safety or efcacy reasons or commercialize our product candidates or we may experience signifcant delays in doing so as a result of factors beyond Tango’s control; the Company may not be able to realize the benefts of Fast Track designaton (and such designaton may not advance any antcipated approval tmelines); Tango may not identfy or discover additonal product candidates or may expend limited resources to pursue a partcular product candidate or indicaton and fail to capitalize on product candidates or indicatons that may be more proftable or for which there is a greater likelihood of success; the Company’s product candidates may cause adverse or other undesirable side efects (or may not show requisite efcacy) that could, among other things, delay or prevent regulatory approval; our dependence on third partes for conductng clinical trials and producing drug product; our ability to obtain and maintain patent and other intellectual property protecton for our technology and product candidates or the scope of intellectual property protecton obtained is not sufciently broad; and delays and other impacts on product development and clinical trials from the COVID-19 pandemic. Additonal informaton concerning risks, uncertaintes and assumptons can be found in Tango’s flings with the SEC, including the risk factors referenced in Tango’s Annual Report on Form 10-K for the fscal year ended December 31, 2022, as supplemented and/or modifed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394970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0" w:right="359" w:bottom="1440" w:gutter="0" w:footer="0" w:header="0"/>
        </w:sectPr>
      </w:pPr>
    </w:p>
    <w:bookmarkStart w:id="9" w:name="page10"/>
    <w:bookmarkEnd w:id="9"/>
    <w:p>
      <w:pPr>
        <w:spacing w:after="0" w:line="283" w:lineRule="auto"/>
        <w:rPr>
          <w:sz w:val="20"/>
          <w:szCs w:val="20"/>
          <w:color w:val="auto"/>
        </w:rPr>
      </w:pPr>
      <w:r>
        <w:rPr>
          <w:rFonts w:ascii="Arial" w:cs="Arial" w:eastAsia="Arial" w:hAnsi="Arial"/>
          <w:sz w:val="21"/>
          <w:szCs w:val="21"/>
          <w:color w:val="auto"/>
        </w:rPr>
        <w:t>its most recent Quarterly Report on Form 10-Q. You should not place undue reliance on forward-looking statements in this press release, which speak only as of the date they are made and are qualifed in their entrety by reference to the cautonary statements herein. Tango specifcally disclaims any duty to update these forward-looking statements.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Sam Martn/Andrew Vulis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Argot Partners</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tango@argotpartners.com</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Amanda Galgay</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SVP, Corporate Communicatons, Tango Therapeutcs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media@tangotx.com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0"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Consolidated Statements of Operatons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jc w:val="right"/>
              <w:ind w:right="39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6"/>
                <w:szCs w:val="16"/>
                <w:color w:val="auto"/>
              </w:rPr>
            </w:pPr>
          </w:p>
        </w:tc>
        <w:tc>
          <w:tcPr>
            <w:tcW w:w="2440" w:type="dxa"/>
            <w:vAlign w:val="bottom"/>
            <w:gridSpan w:val="5"/>
          </w:tcPr>
          <w:p>
            <w:pPr>
              <w:jc w:val="right"/>
              <w:ind w:right="20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50"/>
        </w:trPr>
        <w:tc>
          <w:tcPr>
            <w:tcW w:w="58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1"/>
                <w:szCs w:val="21"/>
                <w:color w:val="auto"/>
              </w:rPr>
            </w:pPr>
          </w:p>
        </w:tc>
      </w:tr>
      <w:tr>
        <w:trPr>
          <w:trHeight w:val="237"/>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10,732</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6,920</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18,449</w:t>
            </w:r>
          </w:p>
        </w:tc>
        <w:tc>
          <w:tcPr>
            <w:tcW w:w="100" w:type="dxa"/>
            <w:vAlign w:val="bottom"/>
            <w:shd w:val="clear" w:color="auto" w:fill="CFF0FC"/>
          </w:tcPr>
          <w:p>
            <w:pPr>
              <w:spacing w:after="0"/>
              <w:rPr>
                <w:sz w:val="20"/>
                <w:szCs w:val="20"/>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License revenue</w:t>
            </w:r>
          </w:p>
        </w:tc>
        <w:tc>
          <w:tcPr>
            <w:tcW w:w="120" w:type="dxa"/>
            <w:vAlign w:val="bottom"/>
          </w:tcPr>
          <w:p>
            <w:pPr>
              <w:spacing w:after="0"/>
              <w:rPr>
                <w:sz w:val="20"/>
                <w:szCs w:val="20"/>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25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r>
      <w:tr>
        <w:trPr>
          <w:trHeight w:val="236"/>
        </w:trPr>
        <w:tc>
          <w:tcPr>
            <w:tcW w:w="5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10,732</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6,920</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31,096</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28,744</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83,859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76,815</w:t>
            </w:r>
          </w:p>
        </w:tc>
        <w:tc>
          <w:tcPr>
            <w:tcW w:w="100" w:type="dxa"/>
            <w:vAlign w:val="bottom"/>
            <w:shd w:val="clear" w:color="auto" w:fill="CFF0FC"/>
          </w:tcPr>
          <w:p>
            <w:pPr>
              <w:spacing w:after="0"/>
              <w:rPr>
                <w:sz w:val="21"/>
                <w:szCs w:val="21"/>
                <w:color w:val="auto"/>
              </w:rPr>
            </w:pPr>
          </w:p>
        </w:tc>
      </w:tr>
      <w:tr>
        <w:trPr>
          <w:trHeight w:val="237"/>
        </w:trPr>
        <w:tc>
          <w:tcPr>
            <w:tcW w:w="58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9,209</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8,099</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22,138</w:t>
            </w:r>
          </w:p>
        </w:tc>
        <w:tc>
          <w:tcPr>
            <w:tcW w:w="100" w:type="dxa"/>
            <w:vAlign w:val="bottom"/>
          </w:tcPr>
          <w:p>
            <w:pPr>
              <w:spacing w:after="0"/>
              <w:rPr>
                <w:sz w:val="20"/>
                <w:szCs w:val="20"/>
                <w:color w:val="auto"/>
              </w:rPr>
            </w:pPr>
          </w:p>
        </w:tc>
      </w:tr>
      <w:tr>
        <w:trPr>
          <w:trHeight w:val="237"/>
        </w:trPr>
        <w:tc>
          <w:tcPr>
            <w:tcW w:w="5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36,358</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36,843</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110,256</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98,953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0"/>
                <w:szCs w:val="20"/>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(25,626 )</w:t>
            </w:r>
          </w:p>
        </w:tc>
        <w:tc>
          <w:tcPr>
            <w:tcW w:w="220" w:type="dxa"/>
            <w:vAlign w:val="bottom"/>
          </w:tcPr>
          <w:p>
            <w:pPr>
              <w:spacing w:after="0"/>
              <w:rPr>
                <w:sz w:val="20"/>
                <w:szCs w:val="20"/>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(29,923 )</w:t>
            </w:r>
          </w:p>
        </w:tc>
        <w:tc>
          <w:tcPr>
            <w:tcW w:w="14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(79,160 )</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(80,504 )</w:t>
            </w:r>
          </w:p>
        </w:tc>
      </w:tr>
      <w:tr>
        <w:trPr>
          <w:trHeight w:val="243"/>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income, net</w:t>
            </w: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3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8,266</w:t>
            </w: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FF0FC"/>
          </w:tcPr>
          <w:p>
            <w:pPr>
              <w:spacing w:after="0"/>
              <w:rPr>
                <w:sz w:val="21"/>
                <w:szCs w:val="21"/>
                <w:color w:val="auto"/>
              </w:rPr>
            </w:pPr>
          </w:p>
        </w:tc>
      </w:tr>
      <w:tr>
        <w:trPr>
          <w:trHeight w:val="237"/>
        </w:trPr>
        <w:tc>
          <w:tcPr>
            <w:tcW w:w="580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0"/>
                <w:szCs w:val="20"/>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(23 )</w:t>
            </w:r>
          </w:p>
        </w:tc>
        <w:tc>
          <w:tcPr>
            <w:tcW w:w="220" w:type="dxa"/>
            <w:vAlign w:val="bottom"/>
          </w:tcPr>
          <w:p>
            <w:pPr>
              <w:spacing w:after="0"/>
              <w:rPr>
                <w:sz w:val="20"/>
                <w:szCs w:val="20"/>
                <w:color w:val="auto"/>
              </w:rPr>
            </w:pPr>
          </w:p>
        </w:tc>
        <w:tc>
          <w:tcPr>
            <w:tcW w:w="12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(87 )</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7"/>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(29,050</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(70,981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479"/>
        </w:trPr>
        <w:tc>
          <w:tcPr>
            <w:tcW w:w="5800" w:type="dxa"/>
            <w:vAlign w:val="bottom"/>
          </w:tcPr>
          <w:p>
            <w:pPr>
              <w:ind w:left="20"/>
              <w:spacing w:after="0"/>
              <w:rPr>
                <w:sz w:val="20"/>
                <w:szCs w:val="20"/>
                <w:color w:val="auto"/>
              </w:rPr>
            </w:pPr>
            <w:r>
              <w:rPr>
                <w:rFonts w:ascii="Arial" w:cs="Arial" w:eastAsia="Arial" w:hAnsi="Arial"/>
                <w:sz w:val="18"/>
                <w:szCs w:val="18"/>
                <w:color w:val="auto"/>
              </w:rPr>
              <w:t>Net loss per common share –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(0.23 )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(0.33 )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(0.78 )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(0.90 )</w:t>
            </w:r>
          </w:p>
        </w:tc>
      </w:tr>
      <w:tr>
        <w:trPr>
          <w:trHeight w:val="250"/>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Weighted average number of common shares outstanding – basic and diluted</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97,033,273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87,892,195</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91,268,133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87,868,081</w:t>
            </w:r>
          </w:p>
        </w:tc>
        <w:tc>
          <w:tcPr>
            <w:tcW w:w="100" w:type="dxa"/>
            <w:vAlign w:val="bottom"/>
            <w:shd w:val="clear" w:color="auto" w:fill="CFF0FC"/>
          </w:tcPr>
          <w:p>
            <w:pPr>
              <w:spacing w:after="0"/>
              <w:rPr>
                <w:sz w:val="21"/>
                <w:szCs w:val="21"/>
                <w:color w:val="auto"/>
              </w:rPr>
            </w:pPr>
          </w:p>
        </w:tc>
      </w:tr>
      <w:tr>
        <w:trPr>
          <w:trHeight w:val="3031"/>
        </w:trPr>
        <w:tc>
          <w:tcPr>
            <w:tcW w:w="5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-3685540</wp:posOffset>
            </wp:positionV>
            <wp:extent cx="7747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-3685540</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-3685540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-3051175</wp:posOffset>
            </wp:positionV>
            <wp:extent cx="7747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-3051175</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-3051175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-2407920</wp:posOffset>
            </wp:positionV>
            <wp:extent cx="77470" cy="316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31686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-2407920</wp:posOffset>
            </wp:positionV>
            <wp:extent cx="68580" cy="316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-2407920</wp:posOffset>
            </wp:positionV>
            <wp:extent cx="68580" cy="316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316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7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8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58,533</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59,968</w:t>
            </w:r>
          </w:p>
        </w:tc>
        <w:tc>
          <w:tcPr>
            <w:tcW w:w="100" w:type="dxa"/>
            <w:vAlign w:val="bottom"/>
            <w:shd w:val="clear" w:color="auto" w:fill="CFF0FC"/>
          </w:tcPr>
          <w:p>
            <w:pPr>
              <w:spacing w:after="0"/>
              <w:rPr>
                <w:sz w:val="20"/>
                <w:szCs w:val="20"/>
                <w:color w:val="auto"/>
              </w:rPr>
            </w:pPr>
          </w:p>
        </w:tc>
      </w:tr>
      <w:tr>
        <w:trPr>
          <w:trHeight w:val="220"/>
        </w:trPr>
        <w:tc>
          <w:tcPr>
            <w:tcW w:w="780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301,347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306,165</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FF0FC"/>
          </w:tcPr>
          <w:p>
            <w:pPr>
              <w:spacing w:after="0"/>
              <w:rPr>
                <w:sz w:val="20"/>
                <w:szCs w:val="20"/>
                <w:color w:val="auto"/>
              </w:rPr>
            </w:pPr>
          </w:p>
        </w:tc>
      </w:tr>
      <w:tr>
        <w:trPr>
          <w:trHeight w:val="220"/>
        </w:trPr>
        <w:tc>
          <w:tcPr>
            <w:tcW w:w="780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9"/>
                <w:szCs w:val="19"/>
                <w:color w:val="auto"/>
              </w:rPr>
            </w:pPr>
          </w:p>
        </w:tc>
      </w:tr>
      <w:tr>
        <w:trPr>
          <w:trHeight w:val="233"/>
        </w:trPr>
        <w:tc>
          <w:tcPr>
            <w:tcW w:w="7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10,155</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6,572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8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370,891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375,272</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10,261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10,884</w:t>
            </w:r>
          </w:p>
        </w:tc>
        <w:tc>
          <w:tcPr>
            <w:tcW w:w="100" w:type="dxa"/>
            <w:vAlign w:val="bottom"/>
            <w:shd w:val="clear" w:color="auto" w:fill="CFF0FC"/>
          </w:tcPr>
          <w:p>
            <w:pPr>
              <w:spacing w:after="0"/>
              <w:rPr>
                <w:sz w:val="20"/>
                <w:szCs w:val="20"/>
                <w:color w:val="auto"/>
              </w:rPr>
            </w:pPr>
          </w:p>
        </w:tc>
      </w:tr>
      <w:tr>
        <w:trPr>
          <w:trHeight w:val="220"/>
        </w:trPr>
        <w:tc>
          <w:tcPr>
            <w:tcW w:w="78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44,422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46,886</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cash, net of current portion</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3,423</w:t>
            </w:r>
          </w:p>
        </w:tc>
        <w:tc>
          <w:tcPr>
            <w:tcW w:w="100" w:type="dxa"/>
            <w:vAlign w:val="bottom"/>
            <w:shd w:val="clear" w:color="auto" w:fill="CFF0FC"/>
          </w:tcPr>
          <w:p>
            <w:pPr>
              <w:spacing w:after="0"/>
              <w:rPr>
                <w:sz w:val="20"/>
                <w:szCs w:val="20"/>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r>
      <w:tr>
        <w:trPr>
          <w:trHeight w:val="223"/>
        </w:trPr>
        <w:tc>
          <w:tcPr>
            <w:tcW w:w="7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assets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428,189</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436,470</w:t>
            </w:r>
          </w:p>
        </w:tc>
        <w:tc>
          <w:tcPr>
            <w:tcW w:w="100" w:type="dxa"/>
            <w:vAlign w:val="bottom"/>
            <w:shd w:val="clear" w:color="auto" w:fill="CFF0FC"/>
          </w:tcPr>
          <w:p>
            <w:pPr>
              <w:spacing w:after="0"/>
              <w:rPr>
                <w:sz w:val="19"/>
                <w:szCs w:val="19"/>
                <w:color w:val="auto"/>
              </w:rPr>
            </w:pPr>
          </w:p>
        </w:tc>
      </w:tr>
      <w:tr>
        <w:trPr>
          <w:trHeight w:val="220"/>
        </w:trPr>
        <w:tc>
          <w:tcPr>
            <w:tcW w:w="780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8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2,837</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4,453</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17,495</w:t>
            </w:r>
          </w:p>
        </w:tc>
        <w:tc>
          <w:tcPr>
            <w:tcW w:w="100" w:type="dxa"/>
            <w:vAlign w:val="bottom"/>
            <w:shd w:val="clear" w:color="auto" w:fill="CFF0FC"/>
          </w:tcPr>
          <w:p>
            <w:pPr>
              <w:spacing w:after="0"/>
              <w:rPr>
                <w:sz w:val="20"/>
                <w:szCs w:val="20"/>
                <w:color w:val="auto"/>
              </w:rPr>
            </w:pPr>
          </w:p>
        </w:tc>
      </w:tr>
      <w:tr>
        <w:trPr>
          <w:trHeight w:val="220"/>
        </w:trPr>
        <w:tc>
          <w:tcPr>
            <w:tcW w:w="780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2,040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1,770</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revenue</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27,072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31,792</w:t>
            </w:r>
          </w:p>
        </w:tc>
        <w:tc>
          <w:tcPr>
            <w:tcW w:w="100" w:type="dxa"/>
            <w:vAlign w:val="bottom"/>
            <w:shd w:val="clear" w:color="auto" w:fill="CFF0FC"/>
          </w:tcPr>
          <w:p>
            <w:pPr>
              <w:spacing w:after="0"/>
              <w:rPr>
                <w:sz w:val="20"/>
                <w:szCs w:val="20"/>
                <w:color w:val="auto"/>
              </w:rPr>
            </w:pPr>
          </w:p>
        </w:tc>
      </w:tr>
      <w:tr>
        <w:trPr>
          <w:trHeight w:val="223"/>
        </w:trPr>
        <w:tc>
          <w:tcPr>
            <w:tcW w:w="7800" w:type="dxa"/>
            <w:vAlign w:val="bottom"/>
          </w:tcPr>
          <w:p>
            <w:pPr>
              <w:ind w:left="200"/>
              <w:spacing w:after="0"/>
              <w:rPr>
                <w:sz w:val="20"/>
                <w:szCs w:val="20"/>
                <w:color w:val="auto"/>
              </w:rPr>
            </w:pPr>
            <w:r>
              <w:rPr>
                <w:rFonts w:ascii="Arial" w:cs="Arial" w:eastAsia="Arial" w:hAnsi="Arial"/>
                <w:sz w:val="16"/>
                <w:szCs w:val="16"/>
                <w:color w:val="auto"/>
              </w:rPr>
              <w:t>Income tax payable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r>
      <w:tr>
        <w:trPr>
          <w:trHeight w:val="229"/>
        </w:trPr>
        <w:tc>
          <w:tcPr>
            <w:tcW w:w="7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43,416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55,545</w:t>
            </w:r>
          </w:p>
        </w:tc>
        <w:tc>
          <w:tcPr>
            <w:tcW w:w="100" w:type="dxa"/>
            <w:vAlign w:val="bottom"/>
            <w:shd w:val="clear" w:color="auto" w:fill="CFF0FC"/>
          </w:tcPr>
          <w:p>
            <w:pPr>
              <w:spacing w:after="0"/>
              <w:rPr>
                <w:sz w:val="19"/>
                <w:szCs w:val="19"/>
                <w:color w:val="auto"/>
              </w:rPr>
            </w:pPr>
          </w:p>
        </w:tc>
      </w:tr>
      <w:tr>
        <w:trPr>
          <w:trHeight w:val="220"/>
        </w:trPr>
        <w:tc>
          <w:tcPr>
            <w:tcW w:w="7800" w:type="dxa"/>
            <w:vAlign w:val="bottom"/>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37,466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39,361</w:t>
            </w:r>
          </w:p>
        </w:tc>
        <w:tc>
          <w:tcPr>
            <w:tcW w:w="100" w:type="dxa"/>
            <w:vAlign w:val="bottom"/>
          </w:tcPr>
          <w:p>
            <w:pPr>
              <w:spacing w:after="0"/>
              <w:rPr>
                <w:sz w:val="19"/>
                <w:szCs w:val="19"/>
                <w:color w:val="auto"/>
              </w:rPr>
            </w:pPr>
          </w:p>
        </w:tc>
      </w:tr>
      <w:tr>
        <w:trPr>
          <w:trHeight w:val="233"/>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70,712</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92,088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8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151,594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186,994</w:t>
            </w:r>
          </w:p>
        </w:tc>
        <w:tc>
          <w:tcPr>
            <w:tcW w:w="100" w:type="dxa"/>
            <w:vAlign w:val="bottom"/>
          </w:tcPr>
          <w:p>
            <w:pPr>
              <w:spacing w:after="0"/>
              <w:rPr>
                <w:sz w:val="19"/>
                <w:szCs w:val="19"/>
                <w:color w:val="auto"/>
              </w:rPr>
            </w:pPr>
          </w:p>
        </w:tc>
      </w:tr>
      <w:tr>
        <w:trPr>
          <w:trHeight w:val="233"/>
        </w:trPr>
        <w:tc>
          <w:tcPr>
            <w:tcW w:w="7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276,595</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249,476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80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428,189</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436,470</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7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-3239770</wp:posOffset>
            </wp:positionV>
            <wp:extent cx="7747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-2348230</wp:posOffset>
            </wp:positionV>
            <wp:extent cx="7747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-873760</wp:posOffset>
            </wp:positionV>
            <wp:extent cx="7747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-574040</wp:posOffset>
            </wp:positionV>
            <wp:extent cx="7747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2023-11-08T06:13:30Z</dcterms:created>
  <dcterms:modified xsi:type="dcterms:W3CDTF">2023-11-08T06:13:30Z</dcterms:modified>
</cp:coreProperties>
</file>