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TANGO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4" w:type="dxa"/>
        <w:tblCellMar>
          <w:top w:w="0" w:type="dxa"/>
          <w:left w:w="0" w:type="dxa"/>
          <w:bottom w:w="0" w:type="dxa"/>
          <w:right w:w="0" w:type="dxa"/>
        </w:tblCellMar>
      </w:tblPr>
      <w:tr>
        <w:trPr>
          <w:trHeight w:val="212"/>
        </w:trPr>
        <w:tc>
          <w:tcPr>
            <w:tcW w:w="3520" w:type="dxa"/>
            <w:vAlign w:val="bottom"/>
          </w:tcPr>
          <w:p>
            <w:pPr>
              <w:jc w:val="center"/>
              <w:ind w:right="1819"/>
              <w:spacing w:after="0"/>
              <w:rPr>
                <w:sz w:val="20"/>
                <w:szCs w:val="20"/>
                <w:color w:val="auto"/>
              </w:rPr>
            </w:pPr>
            <w:r>
              <w:rPr>
                <w:rFonts w:ascii="Arial" w:cs="Arial" w:eastAsia="Arial" w:hAnsi="Arial"/>
                <w:sz w:val="18"/>
                <w:szCs w:val="18"/>
                <w:b w:val="1"/>
                <w:bCs w:val="1"/>
                <w:color w:val="auto"/>
                <w:w w:val="93"/>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001-39485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85-1195036</w:t>
            </w:r>
          </w:p>
        </w:tc>
      </w:tr>
      <w:tr>
        <w:trPr>
          <w:trHeight w:val="148"/>
        </w:trPr>
        <w:tc>
          <w:tcPr>
            <w:tcW w:w="352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2"/>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2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201 Brookline Ave., Suite 901</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Boston,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02215</w:t>
            </w:r>
          </w:p>
        </w:tc>
      </w:tr>
      <w:tr>
        <w:trPr>
          <w:trHeight w:val="186"/>
        </w:trPr>
        <w:tc>
          <w:tcPr>
            <w:tcW w:w="352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857-320-4900</w:t>
      </w:r>
    </w:p>
    <w:p>
      <w:pPr>
        <w:spacing w:after="0" w:line="356"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TNGX</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4"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85"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The 2023 annual meeting of stockholders (the “Annual Meeting”) of Tango Therapeutics, Inc. (the “Company”) was held in a virtual-only format on June 6, 2023 at 10:00 a.m., Eastern Time via live webcast. Proxies were solicited pursuant to the Company’s proxy statement filed on April 24, 2023 with the Securities and Exchange Commission under Section 14(a) of the Securities Exchange Act of 1934, as amended (the “Proxy Statement”). As of April 10, 2023, the record date for the Annual Meeting, the number of shares of the Company’s common stock, $0.001 par value per share (“Common Stock”), outstanding and entitled to vote at the Annual Meeting was 88,209,964. The number of shares of Common Stock present or represented by valid proxy at the Annual Meeting was 84,622,031 representing 95.93% of the total number of shares of Common Stock entitled to vote at the Annual Meeting, thus establishing a quorum for the Annual Meeting. Shares present virtually during the Annual Meeting were considered shares of Common Stock represented in person at the Annual Meeting. Each share of Common Stock was entitled to one vote with respect to matters submitted to the Company’s stockholders at the Annual Meeting.</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color w:val="auto"/>
        </w:rPr>
        <w:t>At the Annual Meeting, the Company’s stockholders were asked to vote on the following matters, which are described in detail in the Proxy Statement:</w:t>
      </w:r>
    </w:p>
    <w:p>
      <w:pPr>
        <w:spacing w:after="0" w:line="46" w:lineRule="exact"/>
        <w:rPr>
          <w:sz w:val="20"/>
          <w:szCs w:val="20"/>
          <w:color w:val="auto"/>
        </w:rPr>
      </w:pPr>
    </w:p>
    <w:p>
      <w:pPr>
        <w:ind w:left="4" w:right="60" w:hanging="4"/>
        <w:spacing w:after="0" w:line="253"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two Class II director nominees to the Company’s Board of Directors (the “Board”), each to hold office until the 2026 annual meeting of stockholders and until his or her successor is duly elected and qualified, or until his or her earlier resignation or removal (“Proposal 1”), and (ii) to ratify the selection of PricewaterhouseCoopers, LLP as the Company’s independent registered public accounting firm for the fiscal year ending December 31, 2023 (“Proposal 2”).</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voting results reported below are final.</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 xml:space="preserve">Proposal 1 </w:t>
      </w:r>
      <w:r>
        <w:rPr>
          <w:rFonts w:ascii="Arial" w:cs="Arial" w:eastAsia="Arial" w:hAnsi="Arial"/>
          <w:sz w:val="18"/>
          <w:szCs w:val="18"/>
          <w:b w:val="1"/>
          <w:bCs w:val="1"/>
          <w:u w:val="single" w:color="auto"/>
          <w:color w:val="auto"/>
        </w:rPr>
        <w:t>–</w:t>
      </w:r>
      <w:r>
        <w:rPr>
          <w:rFonts w:ascii="Arial" w:cs="Arial" w:eastAsia="Arial" w:hAnsi="Arial"/>
          <w:sz w:val="18"/>
          <w:szCs w:val="18"/>
          <w:u w:val="single" w:color="auto"/>
          <w:color w:val="auto"/>
        </w:rPr>
        <w:t xml:space="preserve"> Election of Directors</w:t>
      </w:r>
    </w:p>
    <w:p>
      <w:pPr>
        <w:spacing w:after="0" w:line="121"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Malte Peters, M.D. and Mace Rothenberg M.D. were duly elected to the Company’s Board as Class II directors. The results of the election were as follows:</w:t>
      </w:r>
    </w:p>
    <w:p>
      <w:pPr>
        <w:spacing w:after="0" w:line="176"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CLASS II DIRECTOR NOMINEE</w:t>
            </w:r>
          </w:p>
        </w:tc>
        <w:tc>
          <w:tcPr>
            <w:tcW w:w="3880" w:type="dxa"/>
            <w:vAlign w:val="bottom"/>
            <w:vMerge w:val="restart"/>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320" w:type="dxa"/>
            <w:vAlign w:val="bottom"/>
            <w:vMerge w:val="restart"/>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WITHHELD</w:t>
            </w:r>
          </w:p>
        </w:tc>
        <w:tc>
          <w:tcPr>
            <w:tcW w:w="3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3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Malte Peters, M.D.</w:t>
            </w:r>
          </w:p>
        </w:tc>
        <w:tc>
          <w:tcPr>
            <w:tcW w:w="38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75,943,817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3,532,483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5,145,731</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Mace Rothenberg, M.D.</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76,746,614</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2,729,682</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5,145,731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 xml:space="preserve">Proposal 2 </w:t>
      </w:r>
      <w:r>
        <w:rPr>
          <w:rFonts w:ascii="Arial" w:cs="Arial" w:eastAsia="Arial" w:hAnsi="Arial"/>
          <w:sz w:val="18"/>
          <w:szCs w:val="18"/>
          <w:b w:val="1"/>
          <w:bCs w:val="1"/>
          <w:u w:val="single" w:color="auto"/>
          <w:color w:val="auto"/>
        </w:rPr>
        <w:t>–</w:t>
      </w:r>
      <w:r>
        <w:rPr>
          <w:rFonts w:ascii="Arial" w:cs="Arial" w:eastAsia="Arial" w:hAnsi="Arial"/>
          <w:sz w:val="18"/>
          <w:szCs w:val="18"/>
          <w:u w:val="single" w:color="auto"/>
          <w:color w:val="auto"/>
        </w:rPr>
        <w:t xml:space="preserve"> Ratify the Selection of Independent Registered Public Accounting Firm</w:t>
      </w:r>
    </w:p>
    <w:p>
      <w:pPr>
        <w:spacing w:after="0" w:line="229"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The selection of PricewaterhouseCoopers, LLP as the Company’s independent registered public accounting firm for the fiscal year ending December 31, 2023 was ratified. The results of the ratification were as follows:</w:t>
      </w:r>
    </w:p>
    <w:p>
      <w:pPr>
        <w:spacing w:after="0" w:line="189" w:lineRule="exact"/>
        <w:rPr>
          <w:sz w:val="20"/>
          <w:szCs w:val="20"/>
          <w:color w:val="auto"/>
        </w:rPr>
      </w:pPr>
    </w:p>
    <w:tbl>
      <w:tblPr>
        <w:tblLayout w:type="fixed"/>
        <w:tblInd w:w="884" w:type="dxa"/>
        <w:tblCellMar>
          <w:top w:w="0" w:type="dxa"/>
          <w:left w:w="0" w:type="dxa"/>
          <w:bottom w:w="0" w:type="dxa"/>
          <w:right w:w="0" w:type="dxa"/>
        </w:tblCellMar>
      </w:tblPr>
      <w:tr>
        <w:trPr>
          <w:trHeight w:val="185"/>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AGAINST</w:t>
            </w:r>
          </w:p>
        </w:tc>
        <w:tc>
          <w:tcPr>
            <w:tcW w:w="80" w:type="dxa"/>
            <w:vAlign w:val="bottom"/>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210"/>
        </w:trPr>
        <w:tc>
          <w:tcPr>
            <w:tcW w:w="314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rPr>
              <w:t>84,619,141</w:t>
            </w:r>
          </w:p>
        </w:tc>
        <w:tc>
          <w:tcPr>
            <w:tcW w:w="306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2,888</w:t>
            </w:r>
          </w:p>
        </w:tc>
        <w:tc>
          <w:tcPr>
            <w:tcW w:w="3060" w:type="dxa"/>
            <w:vAlign w:val="bottom"/>
            <w:gridSpan w:val="2"/>
            <w:shd w:val="clear" w:color="auto" w:fill="CCEEFF"/>
          </w:tcPr>
          <w:p>
            <w:pPr>
              <w:jc w:val="right"/>
              <w:ind w:right="1368"/>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other matters were submitted to or voted on by the Company’s stockholders at the Annual Meeting.</w:t>
      </w:r>
    </w:p>
    <w:p>
      <w:pPr>
        <w:sectPr>
          <w:pgSz w:w="11900" w:h="16838" w:orient="portrait"/>
          <w:cols w:equalWidth="0" w:num="1">
            <w:col w:w="11024"/>
          </w:cols>
          <w:pgMar w:left="436" w:top="513"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spacing w:after="0"/>
        <w:tabs>
          <w:tab w:leader="none" w:pos="5480" w:val="left"/>
          <w:tab w:leader="none" w:pos="6140" w:val="left"/>
        </w:tabs>
        <w:rPr>
          <w:sz w:val="20"/>
          <w:szCs w:val="20"/>
          <w:color w:val="auto"/>
        </w:rPr>
      </w:pPr>
      <w:r>
        <w:rPr>
          <w:rFonts w:ascii="Arial" w:cs="Arial" w:eastAsia="Arial" w:hAnsi="Arial"/>
          <w:sz w:val="18"/>
          <w:szCs w:val="18"/>
          <w:color w:val="auto"/>
        </w:rPr>
        <w:t>Dated: June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Name:</w:t>
        <w:tab/>
        <w:t>Douglas Barry</w:t>
      </w:r>
    </w:p>
    <w:p>
      <w:pPr>
        <w:spacing w:after="0" w:line="9"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sectPr>
      <w:pgSz w:w="11900" w:h="16838" w:orient="portrait"/>
      <w:cols w:equalWidth="0" w:num="1">
        <w:col w:w="10700"/>
      </w:cols>
      <w:pgMar w:left="440" w:top="51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2023-06-07T15:55:52Z</dcterms:created>
  <dcterms:modified xsi:type="dcterms:W3CDTF">2023-06-07T15:55:52Z</dcterms:modified>
</cp:coreProperties>
</file>