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0001468223</w:t>
            </w:r>
          </w:p>
        </w:tc>
        <w:tc>
          <w:tcPr>
            <w:tcW w:w="2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25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1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2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10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10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10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10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835"/>
        </w:trPr>
        <w:tc>
          <w:tcPr>
            <w:tcW w:w="61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25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100" w:type="dxa"/>
            <w:vAlign w:val="bottom"/>
          </w:tcPr>
          <w:p>
            <w:pPr>
              <w:spacing w:after="0"/>
              <w:rPr>
                <w:sz w:val="24"/>
                <w:szCs w:val="24"/>
                <w:color w:val="auto"/>
              </w:rPr>
            </w:pPr>
          </w:p>
        </w:tc>
        <w:tc>
          <w:tcPr>
            <w:tcW w:w="250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6"/>
              </w:rPr>
              <w:t>Tango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100" w:type="dxa"/>
            <w:vAlign w:val="bottom"/>
          </w:tcPr>
          <w:p>
            <w:pPr>
              <w:spacing w:after="0"/>
              <w:rPr>
                <w:sz w:val="24"/>
                <w:szCs w:val="24"/>
                <w:color w:val="auto"/>
              </w:rPr>
            </w:pPr>
          </w:p>
        </w:tc>
        <w:tc>
          <w:tcPr>
            <w:tcW w:w="250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001-39485</w:t>
            </w:r>
          </w:p>
        </w:tc>
      </w:tr>
      <w:tr>
        <w:trPr>
          <w:trHeight w:val="258"/>
        </w:trPr>
        <w:tc>
          <w:tcPr>
            <w:tcW w:w="300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250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201 Brookline Ave</w:t>
            </w:r>
          </w:p>
        </w:tc>
      </w:tr>
      <w:tr>
        <w:trPr>
          <w:trHeight w:val="243"/>
        </w:trPr>
        <w:tc>
          <w:tcPr>
            <w:tcW w:w="300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250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Suite 901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100" w:type="dxa"/>
            <w:vAlign w:val="bottom"/>
          </w:tcPr>
          <w:p>
            <w:pPr>
              <w:spacing w:after="0"/>
              <w:rPr>
                <w:sz w:val="21"/>
                <w:szCs w:val="21"/>
                <w:color w:val="auto"/>
              </w:rPr>
            </w:pPr>
          </w:p>
        </w:tc>
        <w:tc>
          <w:tcPr>
            <w:tcW w:w="250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Boston</w:t>
            </w:r>
          </w:p>
        </w:tc>
      </w:tr>
      <w:tr>
        <w:trPr>
          <w:trHeight w:val="243"/>
        </w:trPr>
        <w:tc>
          <w:tcPr>
            <w:tcW w:w="300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250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50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02215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100" w:type="dxa"/>
            <w:vAlign w:val="bottom"/>
          </w:tcPr>
          <w:p>
            <w:pPr>
              <w:spacing w:after="0"/>
              <w:rPr>
                <w:sz w:val="24"/>
                <w:szCs w:val="24"/>
                <w:color w:val="auto"/>
              </w:rPr>
            </w:pPr>
          </w:p>
        </w:tc>
        <w:tc>
          <w:tcPr>
            <w:tcW w:w="250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857-320-4900</w:t>
            </w:r>
          </w:p>
        </w:tc>
      </w:tr>
      <w:tr>
        <w:trPr>
          <w:trHeight w:val="297"/>
        </w:trPr>
        <w:tc>
          <w:tcPr>
            <w:tcW w:w="61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250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MVA Investors,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member of group owning over 10% of the shares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BofA Securities Inc.</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1111 Ave of the Americas</w:t>
      </w:r>
    </w:p>
    <w:p>
      <w:pPr>
        <w:ind w:left="2500" w:right="460" w:hanging="2456"/>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2"/>
          <w:szCs w:val="22"/>
          <w:color w:val="auto"/>
        </w:rPr>
        <w:t>One Bryant Park 75000 577500 New York NY 10036-</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6706</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106718315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05/01/2024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240" w:val="left"/>
          <w:tab w:leader="none" w:pos="5920" w:val="left"/>
          <w:tab w:leader="none" w:pos="6520" w:val="left"/>
          <w:tab w:leader="none" w:pos="7360" w:val="left"/>
          <w:tab w:leader="none" w:pos="8680" w:val="left"/>
          <w:tab w:leader="none" w:pos="994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 Person</w:t>
        <w:tab/>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from Whom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20"/>
            <w:col w:w="3880" w:space="300"/>
            <w:col w:w="820" w:space="46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400" w:val="left"/>
          <w:tab w:leader="none" w:pos="1740" w:val="left"/>
          <w:tab w:leader="none" w:pos="2860" w:val="left"/>
        </w:tabs>
        <w:rPr>
          <w:sz w:val="20"/>
          <w:szCs w:val="20"/>
          <w:color w:val="auto"/>
        </w:rPr>
      </w:pP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620"/>
            <w:col w:w="6680"/>
          </w:cols>
          <w:pgMar w:left="320" w:top="108" w:right="339" w:bottom="1440" w:gutter="0" w:footer="0" w:header="0"/>
          <w:type w:val="continuous"/>
        </w:sectPr>
      </w:pPr>
    </w:p>
    <w:p>
      <w:pPr>
        <w:ind w:left="5780"/>
        <w:spacing w:after="0"/>
        <w:rPr>
          <w:sz w:val="20"/>
          <w:szCs w:val="20"/>
          <w:color w:val="auto"/>
        </w:rPr>
      </w:pPr>
      <w:r>
        <w:rPr>
          <w:rFonts w:ascii="Times New Roman" w:cs="Times New Roman" w:eastAsia="Times New Roman" w:hAnsi="Times New Roman"/>
          <w:sz w:val="21"/>
          <w:szCs w:val="21"/>
          <w:b w:val="1"/>
          <w:bCs w:val="1"/>
          <w:color w:val="auto"/>
        </w:rPr>
        <w:t>Gift?</w:t>
      </w:r>
    </w:p>
    <w:p>
      <w:pPr>
        <w:sectPr>
          <w:pgSz w:w="11900" w:h="16838" w:orient="portrait"/>
          <w:cols w:equalWidth="0" w:num="1">
            <w:col w:w="11240"/>
          </w:cols>
          <w:pgMar w:left="320" w:top="108" w:right="339" w:bottom="1440" w:gutter="0" w:footer="0" w:header="0"/>
          <w:type w:val="continuous"/>
        </w:sectPr>
      </w:pPr>
    </w:p>
    <w:p>
      <w:pPr>
        <w:spacing w:after="0" w:line="3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Tango</w:t>
      </w:r>
    </w:p>
    <w:p>
      <w:pPr>
        <w:spacing w:after="0" w:line="4" w:lineRule="exact"/>
        <w:rPr>
          <w:sz w:val="20"/>
          <w:szCs w:val="20"/>
          <w:color w:val="auto"/>
        </w:rPr>
      </w:pPr>
    </w:p>
    <w:p>
      <w:pPr>
        <w:ind w:left="40"/>
        <w:spacing w:after="0"/>
        <w:tabs>
          <w:tab w:leader="none" w:pos="8520" w:val="left"/>
        </w:tabs>
        <w:rPr>
          <w:sz w:val="20"/>
          <w:szCs w:val="20"/>
          <w:color w:val="auto"/>
        </w:rPr>
      </w:pPr>
      <w:r>
        <w:rPr>
          <w:rFonts w:ascii="Times New Roman" w:cs="Times New Roman" w:eastAsia="Times New Roman" w:hAnsi="Times New Roman"/>
          <w:sz w:val="22"/>
          <w:szCs w:val="22"/>
          <w:color w:val="auto"/>
        </w:rPr>
        <w:t xml:space="preserve">Common Stock 04/07/2020 Private Financing  Therapeutics,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21082</w:t>
      </w:r>
      <w:r>
        <w:rPr>
          <w:sz w:val="20"/>
          <w:szCs w:val="20"/>
          <w:color w:val="auto"/>
        </w:rPr>
        <w:tab/>
      </w:r>
      <w:r>
        <w:rPr>
          <w:rFonts w:ascii="Times New Roman" w:cs="Times New Roman" w:eastAsia="Times New Roman" w:hAnsi="Times New Roman"/>
          <w:sz w:val="21"/>
          <w:szCs w:val="21"/>
          <w:color w:val="auto"/>
        </w:rPr>
        <w:t>04/07/2020 Cash</w:t>
      </w:r>
    </w:p>
    <w:p>
      <w:pPr>
        <w:ind w:left="4260"/>
        <w:spacing w:after="0"/>
        <w:rPr>
          <w:sz w:val="20"/>
          <w:szCs w:val="20"/>
          <w:color w:val="auto"/>
        </w:rPr>
      </w:pPr>
      <w:r>
        <w:rPr>
          <w:rFonts w:ascii="Times New Roman" w:cs="Times New Roman" w:eastAsia="Times New Roman" w:hAnsi="Times New Roman"/>
          <w:sz w:val="22"/>
          <w:szCs w:val="22"/>
          <w:color w:val="auto"/>
        </w:rPr>
        <w:t>Inc.</w:t>
      </w:r>
    </w:p>
    <w:p>
      <w:pPr>
        <w:spacing w:after="0" w:line="2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Tango</w:t>
      </w:r>
    </w:p>
    <w:p>
      <w:pPr>
        <w:spacing w:after="0" w:line="4" w:lineRule="exact"/>
        <w:rPr>
          <w:sz w:val="20"/>
          <w:szCs w:val="20"/>
          <w:color w:val="auto"/>
        </w:rPr>
      </w:pPr>
    </w:p>
    <w:p>
      <w:pPr>
        <w:ind w:left="40"/>
        <w:spacing w:after="0"/>
        <w:tabs>
          <w:tab w:leader="none" w:pos="8520" w:val="left"/>
        </w:tabs>
        <w:rPr>
          <w:sz w:val="20"/>
          <w:szCs w:val="20"/>
          <w:color w:val="auto"/>
        </w:rPr>
      </w:pPr>
      <w:r>
        <w:rPr>
          <w:rFonts w:ascii="Times New Roman" w:cs="Times New Roman" w:eastAsia="Times New Roman" w:hAnsi="Times New Roman"/>
          <w:sz w:val="22"/>
          <w:szCs w:val="22"/>
          <w:color w:val="auto"/>
        </w:rPr>
        <w:t xml:space="preserve">Common Stock 03/11/2021 Private Financing  Therapeutics,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30442</w:t>
      </w:r>
      <w:r>
        <w:rPr>
          <w:sz w:val="20"/>
          <w:szCs w:val="20"/>
          <w:color w:val="auto"/>
        </w:rPr>
        <w:tab/>
      </w:r>
      <w:r>
        <w:rPr>
          <w:rFonts w:ascii="Times New Roman" w:cs="Times New Roman" w:eastAsia="Times New Roman" w:hAnsi="Times New Roman"/>
          <w:sz w:val="21"/>
          <w:szCs w:val="21"/>
          <w:color w:val="auto"/>
        </w:rPr>
        <w:t>03/11/2021 Cash</w:t>
      </w:r>
    </w:p>
    <w:p>
      <w:pPr>
        <w:ind w:left="4260"/>
        <w:spacing w:after="0"/>
        <w:rPr>
          <w:sz w:val="20"/>
          <w:szCs w:val="20"/>
          <w:color w:val="auto"/>
        </w:rPr>
      </w:pPr>
      <w:r>
        <w:rPr>
          <w:rFonts w:ascii="Times New Roman" w:cs="Times New Roman" w:eastAsia="Times New Roman" w:hAnsi="Times New Roman"/>
          <w:sz w:val="22"/>
          <w:szCs w:val="22"/>
          <w:color w:val="auto"/>
        </w:rPr>
        <w:t>Inc.</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tcPr>
          <w:p>
            <w:pPr>
              <w:spacing w:after="0"/>
              <w:rPr>
                <w:sz w:val="22"/>
                <w:szCs w:val="22"/>
                <w:color w:val="auto"/>
              </w:rPr>
            </w:pPr>
          </w:p>
        </w:tc>
        <w:tc>
          <w:tcPr>
            <w:tcW w:w="144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Open Market</w:t>
            </w:r>
          </w:p>
        </w:tc>
        <w:tc>
          <w:tcPr>
            <w:tcW w:w="23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Tango</w:t>
            </w:r>
          </w:p>
        </w:tc>
        <w:tc>
          <w:tcPr>
            <w:tcW w:w="18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10/12/2022</w:t>
            </w:r>
          </w:p>
        </w:tc>
        <w:tc>
          <w:tcPr>
            <w:tcW w:w="1440" w:type="dxa"/>
            <w:vAlign w:val="bottom"/>
            <w:vMerge w:val="continue"/>
          </w:tcPr>
          <w:p>
            <w:pPr>
              <w:spacing w:after="0"/>
              <w:rPr>
                <w:sz w:val="10"/>
                <w:szCs w:val="10"/>
                <w:color w:val="auto"/>
              </w:rPr>
            </w:pPr>
          </w:p>
        </w:tc>
        <w:tc>
          <w:tcPr>
            <w:tcW w:w="236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Therapeutics,</w:t>
            </w:r>
          </w:p>
        </w:tc>
        <w:tc>
          <w:tcPr>
            <w:tcW w:w="182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23476</w:t>
            </w:r>
          </w:p>
        </w:tc>
        <w:tc>
          <w:tcPr>
            <w:tcW w:w="186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10/12/2022 Cash</w:t>
            </w:r>
          </w:p>
        </w:tc>
        <w:tc>
          <w:tcPr>
            <w:tcW w:w="0" w:type="dxa"/>
            <w:vAlign w:val="bottom"/>
          </w:tcPr>
          <w:p>
            <w:pPr>
              <w:spacing w:after="0"/>
              <w:rPr>
                <w:sz w:val="1"/>
                <w:szCs w:val="1"/>
                <w:color w:val="auto"/>
              </w:rPr>
            </w:pPr>
          </w:p>
        </w:tc>
      </w:tr>
      <w:tr>
        <w:trPr>
          <w:trHeight w:val="216"/>
        </w:trPr>
        <w:tc>
          <w:tcPr>
            <w:tcW w:w="2500" w:type="dxa"/>
            <w:vAlign w:val="bottom"/>
            <w:vMerge w:val="continue"/>
          </w:tcPr>
          <w:p>
            <w:pPr>
              <w:spacing w:after="0"/>
              <w:rPr>
                <w:sz w:val="18"/>
                <w:szCs w:val="18"/>
                <w:color w:val="auto"/>
              </w:rPr>
            </w:pPr>
          </w:p>
        </w:tc>
        <w:tc>
          <w:tcPr>
            <w:tcW w:w="144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Purchases</w:t>
            </w:r>
          </w:p>
        </w:tc>
        <w:tc>
          <w:tcPr>
            <w:tcW w:w="2360" w:type="dxa"/>
            <w:vAlign w:val="bottom"/>
            <w:vMerge w:val="continue"/>
          </w:tcPr>
          <w:p>
            <w:pPr>
              <w:spacing w:after="0"/>
              <w:rPr>
                <w:sz w:val="18"/>
                <w:szCs w:val="18"/>
                <w:color w:val="auto"/>
              </w:rPr>
            </w:pPr>
          </w:p>
        </w:tc>
        <w:tc>
          <w:tcPr>
            <w:tcW w:w="1820" w:type="dxa"/>
            <w:vAlign w:val="bottom"/>
            <w:vMerge w:val="continue"/>
          </w:tcPr>
          <w:p>
            <w:pPr>
              <w:spacing w:after="0"/>
              <w:rPr>
                <w:sz w:val="18"/>
                <w:szCs w:val="18"/>
                <w:color w:val="auto"/>
              </w:rPr>
            </w:pPr>
          </w:p>
        </w:tc>
        <w:tc>
          <w:tcPr>
            <w:tcW w:w="1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25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3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Inc.</w:t>
            </w:r>
          </w:p>
        </w:tc>
        <w:tc>
          <w:tcPr>
            <w:tcW w:w="18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-367030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type w:val="continuous"/>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Aggregate Market Value as of 4/30/2024.</w:t>
      </w:r>
    </w:p>
    <w:p>
      <w:pPr>
        <w:spacing w:after="0" w:line="56" w:lineRule="exact"/>
        <w:rPr>
          <w:sz w:val="20"/>
          <w:szCs w:val="20"/>
          <w:color w:val="auto"/>
        </w:rPr>
      </w:pPr>
    </w:p>
    <w:p>
      <w:pPr>
        <w:sectPr>
          <w:pgSz w:w="11900" w:h="16838" w:orient="portrait"/>
          <w:cols w:equalWidth="0" w:num="2">
            <w:col w:w="2320" w:space="720"/>
            <w:col w:w="820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05/01/2024</w:t>
      </w:r>
    </w:p>
    <w:p>
      <w:pPr>
        <w:spacing w:after="0" w:line="50" w:lineRule="exact"/>
        <w:rPr>
          <w:sz w:val="20"/>
          <w:szCs w:val="20"/>
          <w:color w:val="auto"/>
        </w:rPr>
      </w:pPr>
    </w:p>
    <w:p>
      <w:pPr>
        <w:sectPr>
          <w:pgSz w:w="11900" w:h="16838" w:orient="portrait"/>
          <w:cols w:equalWidth="0" w:num="2">
            <w:col w:w="2320" w:space="720"/>
            <w:col w:w="820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10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Aaron Davis, Chief Executive Officer</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2024-05-01T20:36:39Z</dcterms:created>
  <dcterms:modified xsi:type="dcterms:W3CDTF">2024-05-01T20:36:39Z</dcterms:modified>
</cp:coreProperties>
</file>