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TANGO THERAPEUTICS, INC.</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Stock, $0.001 par value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87583X109</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1200" w:hanging="213"/>
        <w:spacing w:after="0"/>
        <w:tabs>
          <w:tab w:leader="none" w:pos="12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132080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174625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0"/>
          </w:cols>
          <w:pgMar w:left="440" w:top="376" w:right="51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87583X109</w:t>
      </w:r>
    </w:p>
    <w:p>
      <w:pPr>
        <w:spacing w:after="0" w:line="148" w:lineRule="exact"/>
        <w:rPr>
          <w:sz w:val="20"/>
          <w:szCs w:val="20"/>
          <w:color w:val="auto"/>
        </w:rPr>
      </w:pPr>
    </w:p>
    <w:p>
      <w:pPr>
        <w:ind w:left="244" w:hanging="87"/>
        <w:spacing w:after="0"/>
        <w:tabs>
          <w:tab w:leader="none" w:pos="24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w:t>
      </w:r>
      <w:r>
        <w:rPr>
          <w:rFonts w:ascii="Times New Roman" w:cs="Times New Roman" w:eastAsia="Times New Roman" w:hAnsi="Times New Roman"/>
          <w:sz w:val="13"/>
          <w:szCs w:val="13"/>
          <w:color w:val="auto"/>
        </w:rPr>
        <w:t>AME OF</w:t>
      </w:r>
      <w:r>
        <w:rPr>
          <w:rFonts w:ascii="Times New Roman" w:cs="Times New Roman" w:eastAsia="Times New Roman" w:hAnsi="Times New Roman"/>
          <w:sz w:val="17"/>
          <w:szCs w:val="17"/>
          <w:color w:val="auto"/>
        </w:rPr>
        <w:t xml:space="preserve"> R</w:t>
      </w:r>
      <w:r>
        <w:rPr>
          <w:rFonts w:ascii="Times New Roman" w:cs="Times New Roman" w:eastAsia="Times New Roman" w:hAnsi="Times New Roman"/>
          <w:sz w:val="13"/>
          <w:szCs w:val="13"/>
          <w:color w:val="auto"/>
        </w:rPr>
        <w:t>EPORTING</w:t>
      </w:r>
      <w:r>
        <w:rPr>
          <w:rFonts w:ascii="Times New Roman" w:cs="Times New Roman" w:eastAsia="Times New Roman" w:hAnsi="Times New Roman"/>
          <w:sz w:val="17"/>
          <w:szCs w:val="17"/>
          <w:color w:val="auto"/>
        </w:rPr>
        <w:t xml:space="preserve"> P</w:t>
      </w:r>
      <w:r>
        <w:rPr>
          <w:rFonts w:ascii="Times New Roman" w:cs="Times New Roman" w:eastAsia="Times New Roman" w:hAnsi="Times New Roman"/>
          <w:sz w:val="13"/>
          <w:szCs w:val="13"/>
          <w:color w:val="auto"/>
        </w:rPr>
        <w:t>E</w:t>
      </w:r>
      <w:r>
        <w:rPr>
          <w:rFonts w:ascii="Times New Roman" w:cs="Times New Roman" w:eastAsia="Times New Roman" w:hAnsi="Times New Roman"/>
          <w:sz w:val="17"/>
          <w:szCs w:val="17"/>
          <w:color w:val="auto"/>
        </w:rPr>
        <w:t>RSON</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Gilead Sciences, Inc.</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w:t>
      </w:r>
      <w:r>
        <w:rPr>
          <w:rFonts w:ascii="Times New Roman" w:cs="Times New Roman" w:eastAsia="Times New Roman" w:hAnsi="Times New Roman"/>
          <w:sz w:val="13"/>
          <w:szCs w:val="13"/>
          <w:color w:val="auto"/>
        </w:rPr>
        <w:t>HECK THE</w:t>
      </w:r>
      <w:r>
        <w:rPr>
          <w:rFonts w:ascii="Times New Roman" w:cs="Times New Roman" w:eastAsia="Times New Roman" w:hAnsi="Times New Roman"/>
          <w:sz w:val="17"/>
          <w:szCs w:val="17"/>
          <w:color w:val="auto"/>
        </w:rPr>
        <w:t xml:space="preserve"> A</w:t>
      </w:r>
      <w:r>
        <w:rPr>
          <w:rFonts w:ascii="Times New Roman" w:cs="Times New Roman" w:eastAsia="Times New Roman" w:hAnsi="Times New Roman"/>
          <w:sz w:val="13"/>
          <w:szCs w:val="13"/>
          <w:color w:val="auto"/>
        </w:rPr>
        <w:t>PPROPRIATE</w:t>
      </w:r>
      <w:r>
        <w:rPr>
          <w:rFonts w:ascii="Times New Roman" w:cs="Times New Roman" w:eastAsia="Times New Roman" w:hAnsi="Times New Roman"/>
          <w:sz w:val="17"/>
          <w:szCs w:val="17"/>
          <w:color w:val="auto"/>
        </w:rPr>
        <w:t xml:space="preserve"> B</w:t>
      </w:r>
      <w:r>
        <w:rPr>
          <w:rFonts w:ascii="Times New Roman" w:cs="Times New Roman" w:eastAsia="Times New Roman" w:hAnsi="Times New Roman"/>
          <w:sz w:val="13"/>
          <w:szCs w:val="13"/>
          <w:color w:val="auto"/>
        </w:rPr>
        <w:t>OX IF A</w:t>
      </w:r>
      <w:r>
        <w:rPr>
          <w:rFonts w:ascii="Times New Roman" w:cs="Times New Roman" w:eastAsia="Times New Roman" w:hAnsi="Times New Roman"/>
          <w:sz w:val="17"/>
          <w:szCs w:val="17"/>
          <w:color w:val="auto"/>
        </w:rPr>
        <w:t xml:space="preserve"> M</w:t>
      </w:r>
      <w:r>
        <w:rPr>
          <w:rFonts w:ascii="Times New Roman" w:cs="Times New Roman" w:eastAsia="Times New Roman" w:hAnsi="Times New Roman"/>
          <w:sz w:val="13"/>
          <w:szCs w:val="13"/>
          <w:color w:val="auto"/>
        </w:rPr>
        <w:t>EMBER OF A</w:t>
      </w:r>
      <w:r>
        <w:rPr>
          <w:rFonts w:ascii="Times New Roman" w:cs="Times New Roman" w:eastAsia="Times New Roman" w:hAnsi="Times New Roman"/>
          <w:sz w:val="17"/>
          <w:szCs w:val="17"/>
          <w:color w:val="auto"/>
        </w:rPr>
        <w:t xml:space="preserve"> G</w:t>
      </w:r>
      <w:r>
        <w:rPr>
          <w:rFonts w:ascii="Times New Roman" w:cs="Times New Roman" w:eastAsia="Times New Roman" w:hAnsi="Times New Roman"/>
          <w:sz w:val="13"/>
          <w:szCs w:val="13"/>
          <w:color w:val="auto"/>
        </w:rPr>
        <w:t>ROUP</w:t>
      </w:r>
      <w:r>
        <w:rPr>
          <w:rFonts w:ascii="Times New Roman" w:cs="Times New Roman" w:eastAsia="Times New Roman" w:hAnsi="Times New Roman"/>
          <w:sz w:val="17"/>
          <w:szCs w:val="17"/>
          <w:color w:val="auto"/>
        </w:rPr>
        <w:t xml:space="preserve"> (S</w:t>
      </w:r>
      <w:r>
        <w:rPr>
          <w:rFonts w:ascii="Times New Roman" w:cs="Times New Roman" w:eastAsia="Times New Roman" w:hAnsi="Times New Roman"/>
          <w:sz w:val="13"/>
          <w:szCs w:val="13"/>
          <w:color w:val="auto"/>
        </w:rPr>
        <w:t>EE</w:t>
      </w:r>
      <w:r>
        <w:rPr>
          <w:rFonts w:ascii="Times New Roman" w:cs="Times New Roman" w:eastAsia="Times New Roman" w:hAnsi="Times New Roman"/>
          <w:sz w:val="17"/>
          <w:szCs w:val="17"/>
          <w:color w:val="auto"/>
        </w:rPr>
        <w:t xml:space="preserve"> I</w:t>
      </w:r>
      <w:r>
        <w:rPr>
          <w:rFonts w:ascii="Times New Roman" w:cs="Times New Roman" w:eastAsia="Times New Roman" w:hAnsi="Times New Roman"/>
          <w:sz w:val="13"/>
          <w:szCs w:val="13"/>
          <w:color w:val="auto"/>
        </w:rPr>
        <w:t>NSTRUCTIONS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w:t>
      </w:r>
      <w:r>
        <w:rPr>
          <w:rFonts w:ascii="Times New Roman" w:cs="Times New Roman" w:eastAsia="Times New Roman" w:hAnsi="Times New Roman"/>
          <w:sz w:val="13"/>
          <w:szCs w:val="13"/>
          <w:color w:val="auto"/>
        </w:rPr>
        <w:t>SE</w:t>
      </w:r>
      <w:r>
        <w:rPr>
          <w:rFonts w:ascii="Times New Roman" w:cs="Times New Roman" w:eastAsia="Times New Roman" w:hAnsi="Times New Roman"/>
          <w:sz w:val="17"/>
          <w:szCs w:val="17"/>
          <w:color w:val="auto"/>
        </w:rPr>
        <w:t xml:space="preserve"> O</w:t>
      </w:r>
      <w:r>
        <w:rPr>
          <w:rFonts w:ascii="Times New Roman" w:cs="Times New Roman" w:eastAsia="Times New Roman" w:hAnsi="Times New Roman"/>
          <w:sz w:val="13"/>
          <w:szCs w:val="13"/>
          <w:color w:val="auto"/>
        </w:rPr>
        <w:t>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w:t>
      </w:r>
      <w:r>
        <w:rPr>
          <w:rFonts w:ascii="Times New Roman" w:cs="Times New Roman" w:eastAsia="Times New Roman" w:hAnsi="Times New Roman"/>
          <w:sz w:val="13"/>
          <w:szCs w:val="13"/>
          <w:color w:val="auto"/>
        </w:rPr>
        <w:t>ITIZENSHIP OR</w:t>
      </w:r>
      <w:r>
        <w:rPr>
          <w:rFonts w:ascii="Times New Roman" w:cs="Times New Roman" w:eastAsia="Times New Roman" w:hAnsi="Times New Roman"/>
          <w:sz w:val="17"/>
          <w:szCs w:val="17"/>
          <w:color w:val="auto"/>
        </w:rPr>
        <w:t xml:space="preserve"> P</w:t>
      </w:r>
      <w:r>
        <w:rPr>
          <w:rFonts w:ascii="Times New Roman" w:cs="Times New Roman" w:eastAsia="Times New Roman" w:hAnsi="Times New Roman"/>
          <w:sz w:val="13"/>
          <w:szCs w:val="13"/>
          <w:color w:val="auto"/>
        </w:rPr>
        <w:t>LACE OF</w:t>
      </w:r>
      <w:r>
        <w:rPr>
          <w:rFonts w:ascii="Times New Roman" w:cs="Times New Roman" w:eastAsia="Times New Roman" w:hAnsi="Times New Roman"/>
          <w:sz w:val="17"/>
          <w:szCs w:val="17"/>
          <w:color w:val="auto"/>
        </w:rPr>
        <w:t xml:space="preserve"> O</w:t>
      </w:r>
      <w:r>
        <w:rPr>
          <w:rFonts w:ascii="Times New Roman" w:cs="Times New Roman" w:eastAsia="Times New Roman" w:hAnsi="Times New Roman"/>
          <w:sz w:val="13"/>
          <w:szCs w:val="13"/>
          <w:color w:val="auto"/>
        </w:rPr>
        <w:t>RGANIZATION</w:t>
      </w:r>
    </w:p>
    <w:p>
      <w:pPr>
        <w:spacing w:after="0" w:line="264" w:lineRule="exact"/>
        <w:rPr>
          <w:sz w:val="20"/>
          <w:szCs w:val="20"/>
          <w:color w:val="auto"/>
        </w:rPr>
      </w:pPr>
    </w:p>
    <w:p>
      <w:pPr>
        <w:ind w:left="524"/>
        <w:spacing w:after="0"/>
        <w:rPr>
          <w:sz w:val="20"/>
          <w:szCs w:val="20"/>
          <w:color w:val="auto"/>
        </w:rPr>
      </w:pPr>
      <w:r>
        <w:rPr>
          <w:rFonts w:ascii="Times New Roman" w:cs="Times New Roman" w:eastAsia="Times New Roman" w:hAnsi="Times New Roman"/>
          <w:sz w:val="18"/>
          <w:szCs w:val="18"/>
          <w:color w:val="auto"/>
        </w:rPr>
        <w:t>  Delaware</w:t>
      </w:r>
    </w:p>
    <w:p>
      <w:pPr>
        <w:spacing w:after="0" w:line="36" w:lineRule="exact"/>
        <w:rPr>
          <w:sz w:val="20"/>
          <w:szCs w:val="20"/>
          <w:color w:val="auto"/>
        </w:rPr>
      </w:pPr>
    </w:p>
    <w:tbl>
      <w:tblPr>
        <w:tblLayout w:type="fixed"/>
        <w:tblInd w:w="164"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9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w:t>
            </w:r>
            <w:r>
              <w:rPr>
                <w:rFonts w:ascii="Times New Roman" w:cs="Times New Roman" w:eastAsia="Times New Roman" w:hAnsi="Times New Roman"/>
                <w:sz w:val="14"/>
                <w:szCs w:val="14"/>
                <w:color w:val="auto"/>
              </w:rPr>
              <w:t>OLE</w:t>
            </w:r>
            <w:r>
              <w:rPr>
                <w:rFonts w:ascii="Times New Roman" w:cs="Times New Roman" w:eastAsia="Times New Roman" w:hAnsi="Times New Roman"/>
                <w:sz w:val="18"/>
                <w:szCs w:val="18"/>
                <w:color w:val="auto"/>
              </w:rPr>
              <w:t xml:space="preserve"> V</w:t>
            </w:r>
            <w:r>
              <w:rPr>
                <w:rFonts w:ascii="Times New Roman" w:cs="Times New Roman" w:eastAsia="Times New Roman" w:hAnsi="Times New Roman"/>
                <w:sz w:val="14"/>
                <w:szCs w:val="14"/>
                <w:color w:val="auto"/>
              </w:rPr>
              <w:t>OTING</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OWER</w:t>
            </w:r>
          </w:p>
        </w:tc>
        <w:tc>
          <w:tcPr>
            <w:tcW w:w="0" w:type="dxa"/>
            <w:vAlign w:val="bottom"/>
          </w:tcPr>
          <w:p>
            <w:pPr>
              <w:spacing w:after="0"/>
              <w:rPr>
                <w:sz w:val="1"/>
                <w:szCs w:val="1"/>
                <w:color w:val="auto"/>
              </w:rPr>
            </w:pPr>
          </w:p>
        </w:tc>
      </w:tr>
      <w:tr>
        <w:trPr>
          <w:trHeight w:val="473"/>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20" w:type="dxa"/>
            <w:vAlign w:val="bottom"/>
            <w:tcBorders>
              <w:bottom w:val="single" w:sz="8" w:color="auto"/>
            </w:tcBorders>
          </w:tcPr>
          <w:p>
            <w:pPr>
              <w:spacing w:after="0"/>
              <w:rPr>
                <w:sz w:val="24"/>
                <w:szCs w:val="24"/>
                <w:color w:val="auto"/>
              </w:rPr>
            </w:pPr>
          </w:p>
        </w:tc>
        <w:tc>
          <w:tcPr>
            <w:tcW w:w="90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4,854,443</w:t>
            </w:r>
          </w:p>
        </w:tc>
        <w:tc>
          <w:tcPr>
            <w:tcW w:w="0" w:type="dxa"/>
            <w:vAlign w:val="bottom"/>
          </w:tcPr>
          <w:p>
            <w:pPr>
              <w:spacing w:after="0"/>
              <w:rPr>
                <w:sz w:val="1"/>
                <w:szCs w:val="1"/>
                <w:color w:val="auto"/>
              </w:rPr>
            </w:pPr>
          </w:p>
        </w:tc>
      </w:tr>
      <w:tr>
        <w:trPr>
          <w:trHeight w:val="232"/>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9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w:t>
            </w:r>
            <w:r>
              <w:rPr>
                <w:rFonts w:ascii="Times New Roman" w:cs="Times New Roman" w:eastAsia="Times New Roman" w:hAnsi="Times New Roman"/>
                <w:sz w:val="14"/>
                <w:szCs w:val="14"/>
                <w:color w:val="auto"/>
              </w:rPr>
              <w:t>HARED</w:t>
            </w:r>
            <w:r>
              <w:rPr>
                <w:rFonts w:ascii="Times New Roman" w:cs="Times New Roman" w:eastAsia="Times New Roman" w:hAnsi="Times New Roman"/>
                <w:sz w:val="18"/>
                <w:szCs w:val="18"/>
                <w:color w:val="auto"/>
              </w:rPr>
              <w:t xml:space="preserve"> V</w:t>
            </w:r>
            <w:r>
              <w:rPr>
                <w:rFonts w:ascii="Times New Roman" w:cs="Times New Roman" w:eastAsia="Times New Roman" w:hAnsi="Times New Roman"/>
                <w:sz w:val="14"/>
                <w:szCs w:val="14"/>
                <w:color w:val="auto"/>
              </w:rPr>
              <w:t>OTING</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OWER</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320" w:type="dxa"/>
            <w:vAlign w:val="bottom"/>
          </w:tcPr>
          <w:p>
            <w:pPr>
              <w:spacing w:after="0"/>
              <w:rPr>
                <w:sz w:val="18"/>
                <w:szCs w:val="18"/>
                <w:color w:val="auto"/>
              </w:rPr>
            </w:pPr>
          </w:p>
        </w:tc>
        <w:tc>
          <w:tcPr>
            <w:tcW w:w="90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20" w:type="dxa"/>
            <w:vAlign w:val="bottom"/>
            <w:tcBorders>
              <w:bottom w:val="single" w:sz="8" w:color="auto"/>
            </w:tcBorders>
          </w:tcPr>
          <w:p>
            <w:pPr>
              <w:spacing w:after="0"/>
              <w:rPr>
                <w:sz w:val="20"/>
                <w:szCs w:val="20"/>
                <w:color w:val="auto"/>
              </w:rPr>
            </w:pPr>
          </w:p>
        </w:tc>
        <w:tc>
          <w:tcPr>
            <w:tcW w:w="9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20" w:type="dxa"/>
            <w:vAlign w:val="bottom"/>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8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w:t>
            </w:r>
            <w:r>
              <w:rPr>
                <w:rFonts w:ascii="Times New Roman" w:cs="Times New Roman" w:eastAsia="Times New Roman" w:hAnsi="Times New Roman"/>
                <w:sz w:val="14"/>
                <w:szCs w:val="14"/>
                <w:color w:val="auto"/>
              </w:rPr>
              <w:t>OLE</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ISPOSITIVE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2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20" w:type="dxa"/>
            <w:vAlign w:val="bottom"/>
          </w:tcPr>
          <w:p>
            <w:pPr>
              <w:spacing w:after="0"/>
              <w:rPr>
                <w:sz w:val="19"/>
                <w:szCs w:val="19"/>
                <w:color w:val="auto"/>
              </w:rPr>
            </w:pPr>
          </w:p>
        </w:tc>
        <w:tc>
          <w:tcPr>
            <w:tcW w:w="9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4,854,443</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20" w:type="dxa"/>
            <w:vAlign w:val="bottom"/>
            <w:tcBorders>
              <w:bottom w:val="single" w:sz="8" w:color="auto"/>
            </w:tcBorders>
          </w:tcPr>
          <w:p>
            <w:pPr>
              <w:spacing w:after="0"/>
              <w:rPr>
                <w:sz w:val="5"/>
                <w:szCs w:val="5"/>
                <w:color w:val="auto"/>
              </w:rPr>
            </w:pPr>
          </w:p>
        </w:tc>
        <w:tc>
          <w:tcPr>
            <w:tcW w:w="9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40" w:type="dxa"/>
            <w:vAlign w:val="bottom"/>
            <w:vMerge w:val="continue"/>
          </w:tcPr>
          <w:p>
            <w:pPr>
              <w:spacing w:after="0"/>
              <w:rPr>
                <w:sz w:val="12"/>
                <w:szCs w:val="12"/>
                <w:color w:val="auto"/>
              </w:rPr>
            </w:pPr>
          </w:p>
        </w:tc>
        <w:tc>
          <w:tcPr>
            <w:tcW w:w="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90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w:t>
            </w:r>
            <w:r>
              <w:rPr>
                <w:rFonts w:ascii="Times New Roman" w:cs="Times New Roman" w:eastAsia="Times New Roman" w:hAnsi="Times New Roman"/>
                <w:sz w:val="14"/>
                <w:szCs w:val="14"/>
                <w:color w:val="auto"/>
              </w:rPr>
              <w:t>HARED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ISPOSITIVE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9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4" w:hanging="94"/>
        <w:spacing w:after="0"/>
        <w:tabs>
          <w:tab w:leader="none" w:pos="2024"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w:t>
      </w:r>
      <w:r>
        <w:rPr>
          <w:rFonts w:ascii="Times New Roman" w:cs="Times New Roman" w:eastAsia="Times New Roman" w:hAnsi="Times New Roman"/>
          <w:sz w:val="13"/>
          <w:szCs w:val="13"/>
          <w:color w:val="auto"/>
        </w:rPr>
        <w:t>GGREGATE</w:t>
      </w:r>
      <w:r>
        <w:rPr>
          <w:rFonts w:ascii="Times New Roman" w:cs="Times New Roman" w:eastAsia="Times New Roman" w:hAnsi="Times New Roman"/>
          <w:sz w:val="17"/>
          <w:szCs w:val="17"/>
          <w:color w:val="auto"/>
        </w:rPr>
        <w:t xml:space="preserve"> A</w:t>
      </w:r>
      <w:r>
        <w:rPr>
          <w:rFonts w:ascii="Times New Roman" w:cs="Times New Roman" w:eastAsia="Times New Roman" w:hAnsi="Times New Roman"/>
          <w:sz w:val="13"/>
          <w:szCs w:val="13"/>
          <w:color w:val="auto"/>
        </w:rPr>
        <w:t>MOUNT</w:t>
      </w:r>
      <w:r>
        <w:rPr>
          <w:rFonts w:ascii="Times New Roman" w:cs="Times New Roman" w:eastAsia="Times New Roman" w:hAnsi="Times New Roman"/>
          <w:sz w:val="17"/>
          <w:szCs w:val="17"/>
          <w:color w:val="auto"/>
        </w:rPr>
        <w:t xml:space="preserve"> B</w:t>
      </w:r>
      <w:r>
        <w:rPr>
          <w:rFonts w:ascii="Times New Roman" w:cs="Times New Roman" w:eastAsia="Times New Roman" w:hAnsi="Times New Roman"/>
          <w:sz w:val="13"/>
          <w:szCs w:val="13"/>
          <w:color w:val="auto"/>
        </w:rPr>
        <w:t>ENEFICIALLY</w:t>
      </w:r>
      <w:r>
        <w:rPr>
          <w:rFonts w:ascii="Times New Roman" w:cs="Times New Roman" w:eastAsia="Times New Roman" w:hAnsi="Times New Roman"/>
          <w:sz w:val="17"/>
          <w:szCs w:val="17"/>
          <w:color w:val="auto"/>
        </w:rPr>
        <w:t xml:space="preserve"> O</w:t>
      </w:r>
      <w:r>
        <w:rPr>
          <w:rFonts w:ascii="Times New Roman" w:cs="Times New Roman" w:eastAsia="Times New Roman" w:hAnsi="Times New Roman"/>
          <w:sz w:val="13"/>
          <w:szCs w:val="13"/>
          <w:color w:val="auto"/>
        </w:rPr>
        <w:t>WNED BY</w:t>
      </w:r>
      <w:r>
        <w:rPr>
          <w:rFonts w:ascii="Times New Roman" w:cs="Times New Roman" w:eastAsia="Times New Roman" w:hAnsi="Times New Roman"/>
          <w:sz w:val="17"/>
          <w:szCs w:val="17"/>
          <w:color w:val="auto"/>
        </w:rPr>
        <w:t xml:space="preserve"> E</w:t>
      </w:r>
      <w:r>
        <w:rPr>
          <w:rFonts w:ascii="Times New Roman" w:cs="Times New Roman" w:eastAsia="Times New Roman" w:hAnsi="Times New Roman"/>
          <w:sz w:val="13"/>
          <w:szCs w:val="13"/>
          <w:color w:val="auto"/>
        </w:rPr>
        <w:t>ACH</w:t>
      </w:r>
      <w:r>
        <w:rPr>
          <w:rFonts w:ascii="Times New Roman" w:cs="Times New Roman" w:eastAsia="Times New Roman" w:hAnsi="Times New Roman"/>
          <w:sz w:val="17"/>
          <w:szCs w:val="17"/>
          <w:color w:val="auto"/>
        </w:rPr>
        <w:t xml:space="preserve"> R</w:t>
      </w:r>
      <w:r>
        <w:rPr>
          <w:rFonts w:ascii="Times New Roman" w:cs="Times New Roman" w:eastAsia="Times New Roman" w:hAnsi="Times New Roman"/>
          <w:sz w:val="13"/>
          <w:szCs w:val="13"/>
          <w:color w:val="auto"/>
        </w:rPr>
        <w:t>EPORTING</w:t>
      </w:r>
      <w:r>
        <w:rPr>
          <w:rFonts w:ascii="Times New Roman" w:cs="Times New Roman" w:eastAsia="Times New Roman" w:hAnsi="Times New Roman"/>
          <w:sz w:val="17"/>
          <w:szCs w:val="17"/>
          <w:color w:val="auto"/>
        </w:rPr>
        <w:t xml:space="preserve"> P</w:t>
      </w:r>
      <w:r>
        <w:rPr>
          <w:rFonts w:ascii="Times New Roman" w:cs="Times New Roman" w:eastAsia="Times New Roman" w:hAnsi="Times New Roman"/>
          <w:sz w:val="13"/>
          <w:szCs w:val="13"/>
          <w:color w:val="auto"/>
        </w:rPr>
        <w:t>ERSON</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4,854,443</w:t>
      </w:r>
    </w:p>
    <w:p>
      <w:pPr>
        <w:spacing w:after="0" w:line="36" w:lineRule="exact"/>
        <w:rPr>
          <w:sz w:val="20"/>
          <w:szCs w:val="20"/>
          <w:color w:val="auto"/>
        </w:rPr>
      </w:pPr>
    </w:p>
    <w:p>
      <w:pPr>
        <w:ind w:left="524" w:hanging="367"/>
        <w:spacing w:after="0"/>
        <w:tabs>
          <w:tab w:leader="none" w:pos="52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w:t>
      </w:r>
      <w:r>
        <w:rPr>
          <w:rFonts w:ascii="Times New Roman" w:cs="Times New Roman" w:eastAsia="Times New Roman" w:hAnsi="Times New Roman"/>
          <w:sz w:val="14"/>
          <w:szCs w:val="14"/>
          <w:color w:val="auto"/>
        </w:rPr>
        <w:t>HECK IF THE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GGREGATE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MOUNT IN</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OW</w:t>
      </w:r>
      <w:r>
        <w:rPr>
          <w:rFonts w:ascii="Times New Roman" w:cs="Times New Roman" w:eastAsia="Times New Roman" w:hAnsi="Times New Roman"/>
          <w:sz w:val="18"/>
          <w:szCs w:val="18"/>
          <w:color w:val="auto"/>
        </w:rPr>
        <w:t xml:space="preserve"> (9) E</w:t>
      </w:r>
      <w:r>
        <w:rPr>
          <w:rFonts w:ascii="Times New Roman" w:cs="Times New Roman" w:eastAsia="Times New Roman" w:hAnsi="Times New Roman"/>
          <w:sz w:val="14"/>
          <w:szCs w:val="14"/>
          <w:color w:val="auto"/>
        </w:rPr>
        <w:t>XCLUDES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ERTAIN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HARES</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NSTRUCTIONS</w:t>
      </w:r>
      <w:r>
        <w:rPr>
          <w:rFonts w:ascii="Times New Roman" w:cs="Times New Roman" w:eastAsia="Times New Roman" w:hAnsi="Times New Roman"/>
          <w:sz w:val="18"/>
          <w:szCs w:val="18"/>
          <w:color w:val="auto"/>
        </w:rPr>
        <w:t>)</w:t>
      </w:r>
    </w:p>
    <w:p>
      <w:pPr>
        <w:spacing w:after="0" w:line="21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w:t>
      </w:r>
      <w:r>
        <w:rPr>
          <w:rFonts w:ascii="Times New Roman" w:cs="Times New Roman" w:eastAsia="Times New Roman" w:hAnsi="Times New Roman"/>
          <w:sz w:val="14"/>
          <w:szCs w:val="14"/>
          <w:color w:val="auto"/>
        </w:rPr>
        <w:t>ERCENT OF</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LASS</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EPRESENTED BY</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MOUNT IN</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OW</w:t>
      </w:r>
      <w:r>
        <w:rPr>
          <w:rFonts w:ascii="Times New Roman" w:cs="Times New Roman" w:eastAsia="Times New Roman" w:hAnsi="Times New Roman"/>
          <w:sz w:val="18"/>
          <w:szCs w:val="18"/>
          <w:color w:val="auto"/>
        </w:rPr>
        <w:t xml:space="preserve"> (9)</w:t>
      </w:r>
    </w:p>
    <w:p>
      <w:pPr>
        <w:spacing w:after="0" w:line="223"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26"/>
          <w:szCs w:val="26"/>
          <w:color w:val="auto"/>
          <w:vertAlign w:val="superscript"/>
        </w:rPr>
        <w:t>(1)</w:t>
      </w:r>
    </w:p>
    <w:p>
      <w:pPr>
        <w:ind w:left="524" w:hanging="367"/>
        <w:spacing w:after="0" w:line="217" w:lineRule="auto"/>
        <w:tabs>
          <w:tab w:leader="none" w:pos="52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w:t>
      </w:r>
      <w:r>
        <w:rPr>
          <w:rFonts w:ascii="Times New Roman" w:cs="Times New Roman" w:eastAsia="Times New Roman" w:hAnsi="Times New Roman"/>
          <w:sz w:val="14"/>
          <w:szCs w:val="14"/>
          <w:color w:val="auto"/>
        </w:rPr>
        <w:t>YPE OF</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EPORTING</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ERSON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NSTRUCTIONS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279" w:lineRule="exact"/>
        <w:rPr>
          <w:rFonts w:ascii="Times New Roman" w:cs="Times New Roman" w:eastAsia="Times New Roman" w:hAnsi="Times New Roman"/>
          <w:sz w:val="18"/>
          <w:szCs w:val="18"/>
          <w:color w:val="auto"/>
        </w:rPr>
      </w:pPr>
    </w:p>
    <w:p>
      <w:pPr>
        <w:ind w:left="424" w:right="40" w:hanging="424"/>
        <w:spacing w:after="0" w:line="208" w:lineRule="auto"/>
        <w:tabs>
          <w:tab w:leader="none" w:pos="424" w:val="left"/>
        </w:tabs>
        <w:numPr>
          <w:ilvl w:val="0"/>
          <w:numId w:val="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Percentage based on 101,989,696 shares of Common Stock outstanding as of November 1, 2023, as disclosed in the Issuer’s Quarterly Report on Form 10-Q (“Form 10-Q”) filed with the U.S. Securities and Exchange Commission (“SEC”) on November 8, 2023.</w:t>
      </w:r>
    </w:p>
    <w:p>
      <w:pPr>
        <w:sectPr>
          <w:pgSz w:w="11900" w:h="16838" w:orient="portrait"/>
          <w:cols w:equalWidth="0" w:num="1">
            <w:col w:w="10904"/>
          </w:cols>
          <w:pgMar w:left="436" w:top="266"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w:t>
      </w:r>
    </w:p>
    <w:p>
      <w:pPr>
        <w:spacing w:after="0" w:line="135" w:lineRule="exact"/>
        <w:rPr>
          <w:sz w:val="20"/>
          <w:szCs w:val="20"/>
          <w:color w:val="auto"/>
        </w:rPr>
      </w:pPr>
    </w:p>
    <w:p>
      <w:pPr>
        <w:ind w:left="960" w:hanging="532"/>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11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Tango Therapeutics, Inc. (the “Issuer”)</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117" w:lineRule="exact"/>
        <w:rPr>
          <w:rFonts w:ascii="Times New Roman" w:cs="Times New Roman" w:eastAsia="Times New Roman" w:hAnsi="Times New Roman"/>
          <w:sz w:val="18"/>
          <w:szCs w:val="18"/>
          <w:color w:val="auto"/>
        </w:rPr>
      </w:pPr>
    </w:p>
    <w:p>
      <w:pPr>
        <w:ind w:left="980" w:right="75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Binney St., Suite 700 Cambridge, Massachusetts 02142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135" w:lineRule="exact"/>
        <w:rPr>
          <w:sz w:val="20"/>
          <w:szCs w:val="20"/>
          <w:color w:val="auto"/>
        </w:rPr>
      </w:pPr>
    </w:p>
    <w:p>
      <w:pPr>
        <w:ind w:left="980" w:right="8200" w:hanging="552"/>
        <w:spacing w:after="0" w:line="383" w:lineRule="auto"/>
        <w:tabs>
          <w:tab w:leader="none" w:pos="96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Persons Filing Gilead Sciences, Inc.</w:t>
      </w:r>
    </w:p>
    <w:p>
      <w:pPr>
        <w:ind w:left="960" w:hanging="532"/>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w:t>
      </w:r>
    </w:p>
    <w:p>
      <w:pPr>
        <w:spacing w:after="0" w:line="11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333 Lakeside Drive</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Foster City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California 94404</w:t>
      </w:r>
    </w:p>
    <w:p>
      <w:pPr>
        <w:spacing w:after="0" w:line="112" w:lineRule="exact"/>
        <w:rPr>
          <w:rFonts w:ascii="Times New Roman" w:cs="Times New Roman" w:eastAsia="Times New Roman" w:hAnsi="Times New Roman"/>
          <w:sz w:val="18"/>
          <w:szCs w:val="18"/>
          <w:color w:val="auto"/>
        </w:rPr>
      </w:pPr>
    </w:p>
    <w:p>
      <w:pPr>
        <w:ind w:left="980" w:right="9160" w:hanging="552"/>
        <w:spacing w:after="0" w:line="406" w:lineRule="auto"/>
        <w:tabs>
          <w:tab w:leader="none" w:pos="961"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Delaware</w:t>
      </w:r>
    </w:p>
    <w:p>
      <w:pPr>
        <w:ind w:left="980" w:right="7540" w:hanging="552"/>
        <w:spacing w:after="0" w:line="406" w:lineRule="auto"/>
        <w:tabs>
          <w:tab w:leader="none" w:pos="961"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Title of Class of Securities Common Stock, $0.001 par value</w:t>
      </w:r>
    </w:p>
    <w:p>
      <w:pPr>
        <w:ind w:left="980" w:right="8820" w:hanging="552"/>
        <w:spacing w:after="0" w:line="407" w:lineRule="auto"/>
        <w:tabs>
          <w:tab w:leader="none" w:pos="96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 87583X109</w:t>
      </w:r>
    </w:p>
    <w:p>
      <w:pPr>
        <w:spacing w:after="0" w:line="19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color w:val="auto"/>
        </w:rPr>
        <w:t>If this statement is filed pursuant to §§ 240.13d-1(b) or 240.13d-2(b) or (c), check whether the person filing is a:</w:t>
      </w:r>
    </w:p>
    <w:p>
      <w:pPr>
        <w:spacing w:after="0" w:line="215" w:lineRule="exact"/>
        <w:rPr>
          <w:sz w:val="20"/>
          <w:szCs w:val="20"/>
          <w:color w:val="auto"/>
        </w:rPr>
      </w:pPr>
    </w:p>
    <w:p>
      <w:pPr>
        <w:ind w:left="1320" w:hanging="325"/>
        <w:spacing w:after="0" w:line="207" w:lineRule="exact"/>
        <w:tabs>
          <w:tab w:leader="none" w:pos="1320"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17" w:lineRule="exact"/>
        <w:rPr>
          <w:rFonts w:ascii="Times New Roman" w:cs="Times New Roman" w:eastAsia="Times New Roman" w:hAnsi="Times New Roman"/>
          <w:sz w:val="18"/>
          <w:szCs w:val="18"/>
          <w:color w:val="auto"/>
        </w:rPr>
      </w:pPr>
    </w:p>
    <w:p>
      <w:pPr>
        <w:ind w:left="1320" w:hanging="325"/>
        <w:spacing w:after="0" w:line="207" w:lineRule="exact"/>
        <w:tabs>
          <w:tab w:leader="none" w:pos="1320"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17" w:lineRule="exact"/>
        <w:rPr>
          <w:rFonts w:ascii="Times New Roman" w:cs="Times New Roman" w:eastAsia="Times New Roman" w:hAnsi="Times New Roman"/>
          <w:sz w:val="18"/>
          <w:szCs w:val="18"/>
          <w:color w:val="auto"/>
        </w:rPr>
      </w:pPr>
    </w:p>
    <w:p>
      <w:pPr>
        <w:ind w:left="1320" w:hanging="325"/>
        <w:spacing w:after="0" w:line="207" w:lineRule="exact"/>
        <w:tabs>
          <w:tab w:leader="none" w:pos="1320"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17" w:lineRule="exact"/>
        <w:rPr>
          <w:rFonts w:ascii="Times New Roman" w:cs="Times New Roman" w:eastAsia="Times New Roman" w:hAnsi="Times New Roman"/>
          <w:sz w:val="18"/>
          <w:szCs w:val="18"/>
          <w:color w:val="auto"/>
        </w:rPr>
      </w:pPr>
    </w:p>
    <w:p>
      <w:pPr>
        <w:ind w:left="1320" w:hanging="325"/>
        <w:spacing w:after="0" w:line="207" w:lineRule="exact"/>
        <w:tabs>
          <w:tab w:leader="none" w:pos="1320"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17" w:lineRule="exact"/>
        <w:rPr>
          <w:rFonts w:ascii="Times New Roman" w:cs="Times New Roman" w:eastAsia="Times New Roman" w:hAnsi="Times New Roman"/>
          <w:sz w:val="18"/>
          <w:szCs w:val="18"/>
          <w:color w:val="auto"/>
        </w:rPr>
      </w:pPr>
    </w:p>
    <w:p>
      <w:pPr>
        <w:ind w:left="1320" w:hanging="325"/>
        <w:spacing w:after="0" w:line="207" w:lineRule="exact"/>
        <w:tabs>
          <w:tab w:leader="none" w:pos="1320"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 240.13d-1(b)(1)(ii)(E);</w:t>
      </w:r>
    </w:p>
    <w:p>
      <w:pPr>
        <w:spacing w:after="0" w:line="117" w:lineRule="exact"/>
        <w:rPr>
          <w:rFonts w:ascii="Times New Roman" w:cs="Times New Roman" w:eastAsia="Times New Roman" w:hAnsi="Times New Roman"/>
          <w:sz w:val="18"/>
          <w:szCs w:val="18"/>
          <w:color w:val="auto"/>
        </w:rPr>
      </w:pPr>
    </w:p>
    <w:p>
      <w:pPr>
        <w:ind w:left="1320" w:hanging="325"/>
        <w:spacing w:after="0" w:line="207" w:lineRule="exact"/>
        <w:tabs>
          <w:tab w:leader="none" w:pos="1320"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 240.13d-1(b)(1)(ii)(F);</w:t>
      </w:r>
    </w:p>
    <w:p>
      <w:pPr>
        <w:spacing w:after="0" w:line="117" w:lineRule="exact"/>
        <w:rPr>
          <w:rFonts w:ascii="Times New Roman" w:cs="Times New Roman" w:eastAsia="Times New Roman" w:hAnsi="Times New Roman"/>
          <w:sz w:val="18"/>
          <w:szCs w:val="18"/>
          <w:color w:val="auto"/>
        </w:rPr>
      </w:pPr>
    </w:p>
    <w:p>
      <w:pPr>
        <w:ind w:left="1320" w:hanging="325"/>
        <w:spacing w:after="0" w:line="207" w:lineRule="exact"/>
        <w:tabs>
          <w:tab w:leader="none" w:pos="1320"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 240.13d-1(b)(1)(ii)(G);</w:t>
      </w:r>
    </w:p>
    <w:p>
      <w:pPr>
        <w:spacing w:after="0" w:line="117" w:lineRule="exact"/>
        <w:rPr>
          <w:rFonts w:ascii="Times New Roman" w:cs="Times New Roman" w:eastAsia="Times New Roman" w:hAnsi="Times New Roman"/>
          <w:sz w:val="18"/>
          <w:szCs w:val="18"/>
          <w:color w:val="auto"/>
        </w:rPr>
      </w:pPr>
    </w:p>
    <w:p>
      <w:pPr>
        <w:ind w:left="1320" w:hanging="325"/>
        <w:spacing w:after="0" w:line="207" w:lineRule="exact"/>
        <w:tabs>
          <w:tab w:leader="none" w:pos="1320"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17" w:lineRule="exact"/>
        <w:rPr>
          <w:rFonts w:ascii="Times New Roman" w:cs="Times New Roman" w:eastAsia="Times New Roman" w:hAnsi="Times New Roman"/>
          <w:sz w:val="18"/>
          <w:szCs w:val="18"/>
          <w:color w:val="auto"/>
        </w:rPr>
      </w:pPr>
    </w:p>
    <w:p>
      <w:pPr>
        <w:ind w:left="1600" w:right="100" w:hanging="605"/>
        <w:spacing w:after="0" w:line="245" w:lineRule="exact"/>
        <w:tabs>
          <w:tab w:leader="none" w:pos="1317"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50" w:lineRule="exact"/>
        <w:rPr>
          <w:rFonts w:ascii="Times New Roman" w:cs="Times New Roman" w:eastAsia="Times New Roman" w:hAnsi="Times New Roman"/>
          <w:sz w:val="18"/>
          <w:szCs w:val="18"/>
          <w:color w:val="auto"/>
        </w:rPr>
      </w:pPr>
    </w:p>
    <w:p>
      <w:pPr>
        <w:ind w:left="1320" w:hanging="325"/>
        <w:spacing w:after="0" w:line="207" w:lineRule="exact"/>
        <w:tabs>
          <w:tab w:leader="none" w:pos="1320"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 240.13d-1(b)(1)(ii)(J);</w:t>
      </w:r>
    </w:p>
    <w:p>
      <w:pPr>
        <w:spacing w:after="0" w:line="117" w:lineRule="exact"/>
        <w:rPr>
          <w:rFonts w:ascii="Times New Roman" w:cs="Times New Roman" w:eastAsia="Times New Roman" w:hAnsi="Times New Roman"/>
          <w:sz w:val="18"/>
          <w:szCs w:val="18"/>
          <w:color w:val="auto"/>
        </w:rPr>
      </w:pPr>
    </w:p>
    <w:p>
      <w:pPr>
        <w:ind w:left="1600" w:hanging="605"/>
        <w:spacing w:after="0" w:line="245" w:lineRule="exact"/>
        <w:tabs>
          <w:tab w:leader="none" w:pos="1317"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 240.13d-1(b)(1)(ii)(K). If filing as a non-U.S. institution in accordance with § 240.13d-1(b)(1)(ii)(J), please specify the type of institution: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2725420</wp:posOffset>
            </wp:positionH>
            <wp:positionV relativeFrom="paragraph">
              <wp:posOffset>-24130</wp:posOffset>
            </wp:positionV>
            <wp:extent cx="4572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ectPr>
          <w:pgSz w:w="11900" w:h="16838" w:orient="portrait"/>
          <w:cols w:equalWidth="0" w:num="1">
            <w:col w:w="10940"/>
          </w:cols>
          <w:pgMar w:left="440" w:top="266" w:right="519" w:bottom="1440" w:gutter="0" w:footer="0" w:header="0"/>
        </w:sectPr>
      </w:pPr>
    </w:p>
    <w:bookmarkStart w:id="3" w:name="page4"/>
    <w:bookmarkEnd w:id="3"/>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135" w:lineRule="exact"/>
        <w:rPr>
          <w:sz w:val="20"/>
          <w:szCs w:val="20"/>
          <w:color w:val="auto"/>
        </w:rPr>
      </w:pPr>
    </w:p>
    <w:p>
      <w:pPr>
        <w:ind w:left="980" w:right="7920" w:hanging="552"/>
        <w:spacing w:after="0" w:line="383" w:lineRule="auto"/>
        <w:tabs>
          <w:tab w:leader="none" w:pos="96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4,854,443</w:t>
      </w:r>
    </w:p>
    <w:p>
      <w:pPr>
        <w:ind w:left="960" w:hanging="532"/>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11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26"/>
          <w:szCs w:val="26"/>
          <w:color w:val="auto"/>
          <w:vertAlign w:val="superscript"/>
        </w:rPr>
        <w:t>(1)</w:t>
      </w:r>
    </w:p>
    <w:p>
      <w:pPr>
        <w:spacing w:after="0" w:line="58"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Gilead Sciences, Inc. has:</w:t>
      </w:r>
    </w:p>
    <w:p>
      <w:pPr>
        <w:spacing w:after="0" w:line="110" w:lineRule="exact"/>
        <w:rPr>
          <w:rFonts w:ascii="Times New Roman" w:cs="Times New Roman" w:eastAsia="Times New Roman" w:hAnsi="Times New Roman"/>
          <w:sz w:val="18"/>
          <w:szCs w:val="18"/>
          <w:color w:val="auto"/>
        </w:rPr>
      </w:pPr>
    </w:p>
    <w:p>
      <w:pPr>
        <w:ind w:left="1420" w:right="6660" w:hanging="439"/>
        <w:spacing w:after="0" w:line="383" w:lineRule="auto"/>
        <w:tabs>
          <w:tab w:leader="none" w:pos="140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4,854,443</w:t>
      </w:r>
    </w:p>
    <w:p>
      <w:pPr>
        <w:ind w:left="1420" w:right="6480" w:hanging="439"/>
        <w:spacing w:after="0" w:line="383" w:lineRule="auto"/>
        <w:tabs>
          <w:tab w:leader="none" w:pos="140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ind w:left="1420" w:right="5760" w:hanging="439"/>
        <w:spacing w:after="0" w:line="383" w:lineRule="auto"/>
        <w:tabs>
          <w:tab w:leader="none" w:pos="140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4,854,443</w:t>
      </w:r>
    </w:p>
    <w:p>
      <w:pPr>
        <w:ind w:left="1420" w:right="5580" w:hanging="439"/>
        <w:spacing w:after="0" w:line="383" w:lineRule="auto"/>
        <w:tabs>
          <w:tab w:leader="none" w:pos="140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1" w:lineRule="exact"/>
        <w:rPr>
          <w:sz w:val="20"/>
          <w:szCs w:val="20"/>
          <w:color w:val="auto"/>
        </w:rPr>
      </w:pPr>
    </w:p>
    <w:p>
      <w:pPr>
        <w:ind w:left="1420" w:right="140" w:hanging="439"/>
        <w:spacing w:after="0" w:line="282" w:lineRule="auto"/>
        <w:tabs>
          <w:tab w:leader="none" w:pos="1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based on 101,989,696 shares of Common Stock outstanding as of November 1, 2023, as disclosed in the Issuer’s Form 10-Q filed with the SEC on November 8, 2023..</w:t>
      </w:r>
    </w:p>
    <w:p>
      <w:pPr>
        <w:sectPr>
          <w:pgSz w:w="11900" w:h="16838" w:orient="portrait"/>
          <w:cols w:equalWidth="0" w:num="1">
            <w:col w:w="10940"/>
          </w:cols>
          <w:pgMar w:left="440" w:top="266" w:right="519" w:bottom="1440" w:gutter="0" w:footer="0" w:header="0"/>
        </w:sect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Ownership of Five Percent or Less of a Class.</w:t>
      </w:r>
    </w:p>
    <w:p>
      <w:pPr>
        <w:spacing w:after="0" w:line="133" w:lineRule="exact"/>
        <w:rPr>
          <w:sz w:val="20"/>
          <w:szCs w:val="20"/>
          <w:color w:val="auto"/>
        </w:rPr>
      </w:pPr>
    </w:p>
    <w:p>
      <w:pPr>
        <w:sectPr>
          <w:pgSz w:w="11900" w:h="16838" w:orient="portrait"/>
          <w:cols w:equalWidth="0" w:num="2">
            <w:col w:w="520" w:space="460"/>
            <w:col w:w="9960"/>
          </w:cols>
          <w:pgMar w:left="440" w:top="266" w:right="519" w:bottom="1440" w:gutter="0" w:footer="0" w:header="0"/>
          <w:type w:val="continuous"/>
        </w:sectPr>
      </w:pPr>
    </w:p>
    <w:p>
      <w:pPr>
        <w:ind w:left="980" w:right="34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p>
    <w:p>
      <w:pPr>
        <w:sectPr>
          <w:pgSz w:w="11900" w:h="16838" w:orient="portrait"/>
          <w:cols w:equalWidth="0" w:num="1">
            <w:col w:w="10940"/>
          </w:cols>
          <w:pgMar w:left="440" w:top="266" w:right="519" w:bottom="1440" w:gutter="0" w:footer="0" w:header="0"/>
          <w:type w:val="continuous"/>
        </w:sect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Ownership of More than Five Percent on Behalf of Another Person.</w:t>
      </w:r>
    </w:p>
    <w:p>
      <w:pPr>
        <w:spacing w:after="0" w:line="133" w:lineRule="exact"/>
        <w:rPr>
          <w:sz w:val="20"/>
          <w:szCs w:val="20"/>
          <w:color w:val="auto"/>
        </w:rPr>
      </w:pPr>
    </w:p>
    <w:p>
      <w:pPr>
        <w:sectPr>
          <w:pgSz w:w="11900" w:h="16838" w:orient="portrait"/>
          <w:cols w:equalWidth="0" w:num="2">
            <w:col w:w="520" w:space="460"/>
            <w:col w:w="9960"/>
          </w:cols>
          <w:pgMar w:left="440" w:top="266" w:right="519"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8"/>
          <w:szCs w:val="18"/>
          <w:color w:val="auto"/>
        </w:rPr>
        <w:t>N/A</w:t>
      </w:r>
    </w:p>
    <w:p>
      <w:pPr>
        <w:sectPr>
          <w:pgSz w:w="11900" w:h="16838" w:orient="portrait"/>
          <w:cols w:equalWidth="0" w:num="1">
            <w:col w:w="10940"/>
          </w:cols>
          <w:pgMar w:left="440" w:top="266" w:right="519" w:bottom="1440" w:gutter="0" w:footer="0" w:header="0"/>
          <w:type w:val="continuous"/>
        </w:sect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51" w:lineRule="exact"/>
        <w:rPr>
          <w:sz w:val="20"/>
          <w:szCs w:val="20"/>
          <w:color w:val="auto"/>
        </w:rPr>
      </w:pPr>
    </w:p>
    <w:p>
      <w:pPr>
        <w:sectPr>
          <w:pgSz w:w="11900" w:h="16838" w:orient="portrait"/>
          <w:cols w:equalWidth="0" w:num="2">
            <w:col w:w="520" w:space="460"/>
            <w:col w:w="9960"/>
          </w:cols>
          <w:pgMar w:left="440" w:top="266" w:right="519"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8"/>
          <w:szCs w:val="18"/>
          <w:color w:val="auto"/>
        </w:rPr>
        <w:t>N/A</w:t>
      </w:r>
    </w:p>
    <w:p>
      <w:pPr>
        <w:sectPr>
          <w:pgSz w:w="11900" w:h="16838" w:orient="portrait"/>
          <w:cols w:equalWidth="0" w:num="1">
            <w:col w:w="10940"/>
          </w:cols>
          <w:pgMar w:left="440" w:top="266" w:right="519" w:bottom="1440" w:gutter="0" w:footer="0" w:header="0"/>
          <w:type w:val="continuous"/>
        </w:sect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Identification and Classification of Members of the Group.</w:t>
      </w:r>
    </w:p>
    <w:p>
      <w:pPr>
        <w:spacing w:after="0" w:line="133" w:lineRule="exact"/>
        <w:rPr>
          <w:sz w:val="20"/>
          <w:szCs w:val="20"/>
          <w:color w:val="auto"/>
        </w:rPr>
      </w:pPr>
    </w:p>
    <w:p>
      <w:pPr>
        <w:sectPr>
          <w:pgSz w:w="11900" w:h="16838" w:orient="portrait"/>
          <w:cols w:equalWidth="0" w:num="2">
            <w:col w:w="520" w:space="460"/>
            <w:col w:w="9960"/>
          </w:cols>
          <w:pgMar w:left="440" w:top="266" w:right="519"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8"/>
          <w:szCs w:val="18"/>
          <w:color w:val="auto"/>
        </w:rPr>
        <w:t>N/A</w:t>
      </w:r>
    </w:p>
    <w:p>
      <w:pPr>
        <w:sectPr>
          <w:pgSz w:w="11900" w:h="16838" w:orient="portrait"/>
          <w:cols w:equalWidth="0" w:num="1">
            <w:col w:w="10940"/>
          </w:cols>
          <w:pgMar w:left="440" w:top="266" w:right="519" w:bottom="1440" w:gutter="0" w:footer="0" w:header="0"/>
          <w:type w:val="continuous"/>
        </w:sect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Notice of Dissolution of Group.</w:t>
      </w:r>
    </w:p>
    <w:p>
      <w:pPr>
        <w:spacing w:after="0" w:line="133" w:lineRule="exact"/>
        <w:rPr>
          <w:sz w:val="20"/>
          <w:szCs w:val="20"/>
          <w:color w:val="auto"/>
        </w:rPr>
      </w:pPr>
    </w:p>
    <w:p>
      <w:pPr>
        <w:sectPr>
          <w:pgSz w:w="11900" w:h="16838" w:orient="portrait"/>
          <w:cols w:equalWidth="0" w:num="2">
            <w:col w:w="520" w:space="460"/>
            <w:col w:w="9960"/>
          </w:cols>
          <w:pgMar w:left="440" w:top="266" w:right="519"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8"/>
          <w:szCs w:val="18"/>
          <w:color w:val="auto"/>
        </w:rPr>
        <w:t>N/A</w:t>
      </w:r>
    </w:p>
    <w:p>
      <w:pPr>
        <w:sectPr>
          <w:pgSz w:w="11900" w:h="16838" w:orient="portrait"/>
          <w:cols w:equalWidth="0" w:num="1">
            <w:col w:w="10940"/>
          </w:cols>
          <w:pgMar w:left="440" w:top="266" w:right="519" w:bottom="1440" w:gutter="0" w:footer="0" w:header="0"/>
          <w:type w:val="continuous"/>
        </w:sect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21" w:lineRule="exact"/>
        <w:rPr>
          <w:sz w:val="20"/>
          <w:szCs w:val="20"/>
          <w:color w:val="auto"/>
        </w:rPr>
      </w:pPr>
    </w:p>
    <w:p>
      <w:pPr>
        <w:sectPr>
          <w:pgSz w:w="11900" w:h="16838" w:orient="portrait"/>
          <w:cols w:equalWidth="0" w:num="2">
            <w:col w:w="620" w:space="360"/>
            <w:col w:w="9960"/>
          </w:cols>
          <w:pgMar w:left="440" w:top="266" w:right="519" w:bottom="1440" w:gutter="0" w:footer="0" w:header="0"/>
          <w:type w:val="continuous"/>
        </w:sect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0940"/>
          </w:cols>
          <w:pgMar w:left="440" w:top="266" w:right="519" w:bottom="1440" w:gutter="0" w:footer="0" w:header="0"/>
          <w:type w:val="continuous"/>
        </w:sectPr>
      </w:pPr>
    </w:p>
    <w:bookmarkStart w:id="4" w:name="page5"/>
    <w:bookmarkEnd w:id="4"/>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13, 2024</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Gilead Sciences,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Andrew Dickinson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Andrew D. Dickinson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Executive Vice President and Chief Financial</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Officer</w:t>
      </w:r>
    </w:p>
    <w:sectPr>
      <w:pgSz w:w="11900" w:h="16838" w:orient="portrait"/>
      <w:cols w:equalWidth="0" w:num="1">
        <w:col w:w="10900"/>
      </w:cols>
      <w:pgMar w:left="440" w:top="266"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lvl w:ilvl="1">
      <w:lvlJc w:val="left"/>
      <w:lvlText w:val="☐"/>
      <w:numFmt w:val="bullet"/>
      <w:start w:val="1"/>
    </w:lvl>
  </w:abstractNum>
  <w:abstractNum w:abstractNumId="3">
    <w:nsid w:val="515F007C"/>
    <w:multiLevelType w:val="hybridMultilevel"/>
    <w:lvl w:ilvl="0">
      <w:lvlJc w:val="left"/>
      <w:lvlText w:val=" "/>
      <w:numFmt w:val="bullet"/>
      <w:start w:val="1"/>
    </w:lvl>
    <w:lvl w:ilvl="1">
      <w:lvlJc w:val="left"/>
      <w:lvlText w:val=" "/>
      <w:numFmt w:val="bullet"/>
      <w:start w:val="1"/>
    </w:lvl>
  </w:abstractNum>
  <w:abstractNum w:abstractNumId="4">
    <w:nsid w:val="5BD062C2"/>
    <w:multiLevelType w:val="hybridMultilevel"/>
    <w:lvl w:ilvl="0">
      <w:lvlJc w:val="left"/>
      <w:lvlText w:val=" "/>
      <w:numFmt w:val="bullet"/>
      <w:start w:val="1"/>
    </w:lvl>
  </w:abstractNum>
  <w:abstractNum w:abstractNumId="5">
    <w:nsid w:val="12200854"/>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6">
    <w:nsid w:val="4DB127F8"/>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7">
    <w:nsid w:val="216231B"/>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lvl w:ilvl="1">
      <w:lvlJc w:val="left"/>
      <w:lvlText w:val="(%2)"/>
      <w:numFmt w:val="lowerRoman"/>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2024-02-13T16:45:40Z</dcterms:created>
  <dcterms:modified xsi:type="dcterms:W3CDTF">2024-02-13T16:45:40Z</dcterms:modified>
</cp:coreProperties>
</file>