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111760</wp:posOffset>
            </wp:positionV>
            <wp:extent cx="12001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5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200" w:lineRule="exact"/>
        <w:rPr>
          <w:sz w:val="24"/>
          <w:szCs w:val="24"/>
          <w:color w:val="auto"/>
        </w:rPr>
      </w:pPr>
    </w:p>
    <w:p>
      <w:pPr>
        <w:spacing w:after="0" w:line="29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102870</wp:posOffset>
            </wp:positionV>
            <wp:extent cx="1200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19" w:lineRule="exact"/>
        <w:rPr>
          <w:sz w:val="24"/>
          <w:szCs w:val="24"/>
          <w:color w:val="auto"/>
        </w:rPr>
      </w:pPr>
    </w:p>
    <w:p>
      <w:pPr>
        <w:spacing w:after="0" w:line="184" w:lineRule="exact"/>
        <w:tabs>
          <w:tab w:leader="none" w:pos="280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0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1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13"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3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5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5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5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4" w:right="1440" w:bottom="1440" w:gutter="0" w:footer="0" w:header="0"/>
        </w:sectPr>
      </w:pPr>
    </w:p>
    <w:bookmarkStart w:id="1" w:name="page2"/>
    <w:bookmarkEnd w:id="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217805</wp:posOffset>
            </wp:positionV>
            <wp:extent cx="1731645"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940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212"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At Tango, our team of dedicated employees are working relentlessly to develop precise, effective and safe therapies for the people with cancer who need them most. We are leveraging the principle of synthetic lethality to develop medicines that take direct aim at specific tumors. Using an approach that starts and ends with patients, we’re expanding the reach of genetically targeted therapies. We achieved an important milestone in our corporate mission in January 2022 when the U.S. Food and Drug Administration (FDA) cleared the Investigational New Drug (IND) application for the Phase 1/2 clinical trial and granted Fast Track designation to TNG908. We plan to initiate a Phase 1/2 clinical trial in the second quarter of 2022.</w:t>
      </w:r>
    </w:p>
    <w:p>
      <w:pPr>
        <w:spacing w:after="0" w:line="17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 along with our Board of Directors, are pleased to invite you to attend the 2022 Annual Meeting of Stockholders (the "Annual Meeting") of Tango Therapeutics, Inc. ("Tango" or the "Company") to be held virtually on Wednesday, June 8, 2022 at 10:00 a.m. Eastern Time. Stockholders will have the ability to participate in the Annual Meeting, vote their shares and ask questions by accessing the virtual meeting.</w:t>
      </w:r>
    </w:p>
    <w:p>
      <w:pPr>
        <w:spacing w:after="0" w:line="19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At the Annual Meeting, our stockholders will be asked to: (1) elect the two nominees who are named in the Proxy Statement as Class I Directors; (2) ratify the appointment of PricewaterhouseCoopers LLP as our independent registered public accounting firm for the fiscal year ending December 31, 2022; and (3) transact any other business that properly comes before the Annual Meeting (including adjournments, continuations and postponements thereof).</w:t>
      </w:r>
    </w:p>
    <w:p>
      <w:pPr>
        <w:ind w:right="480"/>
        <w:spacing w:after="0" w:line="273" w:lineRule="auto"/>
        <w:rPr>
          <w:sz w:val="20"/>
          <w:szCs w:val="20"/>
          <w:color w:val="auto"/>
        </w:rPr>
      </w:pPr>
      <w:r>
        <w:rPr>
          <w:rFonts w:ascii="Times New Roman" w:cs="Times New Roman" w:eastAsia="Times New Roman" w:hAnsi="Times New Roman"/>
          <w:sz w:val="17"/>
          <w:szCs w:val="17"/>
          <w:color w:val="auto"/>
        </w:rPr>
        <w:t>Our Board of Directors recommends that you vote "FOR" the election of each director nominee and "FOR" the ratification of the appointment of PricewaterhouseCoopers LLP. You should carefully read our proxy materials, which contain detailed information concerning each of these proposals.</w:t>
      </w:r>
    </w:p>
    <w:p>
      <w:pPr>
        <w:spacing w:after="0" w:line="15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Under Securities and Exchange Commission rules, the Company is providing access to the proxy materials for the Annual Meeting to stockholders via the Internet. Accordingly, you can access the proxy materials and vote at www.proxyvote.com. Instructions for accessing the proxy materials and voting are described below and in the Notice of Internet Availability of Proxy Materials that you received in the mail (unless you have previously requested a paper copy of our proxy materials). The Notice of Internet Availability of Proxy Materials also contains instructions on how to request a paper copy of our proxy materials and our Annual Report on Form 10-K for the year ended December 31, 2021. This process allows us to provide our stockholders with the information they need on a more timely basis, while reducing the environmental impact and lowering the costs of printing and distributing our proxy materials.</w:t>
      </w:r>
    </w:p>
    <w:p>
      <w:pPr>
        <w:spacing w:after="0" w:line="195"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Your vote is very important. Whether or not you plan to virtually attend the meeting, please carefully review the proxy materials and then cast your vote. If you are a stockholder of record and have received our Notice of Internet Availability of Proxy Materials, then instructions regarding how you can vote are contained in that notice. If you requested to receive a printed set of the proxy materials, please vote by completing, signing, dating and mailing the accompanying proxy card in the return envelope or voting by telephone or the Internet, in accordance with the instructions set forth on the proxy card. Submitting your vote via the Internet or by telephone or proxy card will not affect your right to attend and to vote at the Annual Meeting if you decide to virtually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Tango.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16586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Weber, M.D.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217170</wp:posOffset>
            </wp:positionV>
            <wp:extent cx="1722755" cy="69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Tango Therapeutics,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 Binney Street, Suite 700</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on June 8, 2022</w:t>
      </w:r>
    </w:p>
    <w:p>
      <w:pPr>
        <w:spacing w:after="0" w:line="23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Notice is hereby given that the 2022 Annual Meeting of Stockholders, or Annual Meeting, of Tango Therapeutics, Inc., will be held online on Wednesday, June 8, 2022. This year’s Annual Meeting will be held virtually due to the continuing concerns resulting from the ongoing COVID-19 pandemic. You may attend the meeting virtually via the Internet, where you will be able to participate in the meeting, vote electronically and submit questions that are germane to the matters under consideration at the Annual Meeting. You will need the 16-digit control number included with the Notice of Internet Availability of Proxy Materials, your proxy card (if you received a printed copy of the proxy materials) or in the instructions that accompanied your proxy materials in order to attend the Annual Meeting. The purpose of the Annual Meeting is the following:</w:t>
      </w:r>
    </w:p>
    <w:p>
      <w:pPr>
        <w:spacing w:after="0" w:line="72" w:lineRule="exact"/>
        <w:rPr>
          <w:sz w:val="20"/>
          <w:szCs w:val="20"/>
          <w:color w:val="auto"/>
        </w:rPr>
      </w:pPr>
    </w:p>
    <w:p>
      <w:pPr>
        <w:ind w:left="1160" w:right="80" w:hanging="517"/>
        <w:spacing w:after="0" w:line="266" w:lineRule="auto"/>
        <w:tabs>
          <w:tab w:leader="none" w:pos="10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Lesley Ann Calhoun and Reid Huber, to our board of directors, each to serve until the 2025 annual meeting of stockholders and until his or her successor has been duly elected and qualified, or until his or her earlier death, resignation or removal;</w:t>
      </w:r>
    </w:p>
    <w:p>
      <w:pPr>
        <w:spacing w:after="0" w:line="67" w:lineRule="exact"/>
        <w:rPr>
          <w:rFonts w:ascii="Times New Roman" w:cs="Times New Roman" w:eastAsia="Times New Roman" w:hAnsi="Times New Roman"/>
          <w:sz w:val="18"/>
          <w:szCs w:val="18"/>
          <w:color w:val="auto"/>
        </w:rPr>
      </w:pPr>
    </w:p>
    <w:p>
      <w:pPr>
        <w:ind w:left="1160" w:right="260" w:hanging="517"/>
        <w:spacing w:after="0" w:line="266" w:lineRule="auto"/>
        <w:tabs>
          <w:tab w:leader="none" w:pos="10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independent registered public accounting firm for the fiscal year ending December 31, 2022; and</w:t>
      </w:r>
    </w:p>
    <w:p>
      <w:pPr>
        <w:spacing w:after="0" w:line="54" w:lineRule="exact"/>
        <w:rPr>
          <w:rFonts w:ascii="Times New Roman" w:cs="Times New Roman" w:eastAsia="Times New Roman" w:hAnsi="Times New Roman"/>
          <w:sz w:val="18"/>
          <w:szCs w:val="18"/>
          <w:color w:val="auto"/>
        </w:rPr>
      </w:pPr>
    </w:p>
    <w:p>
      <w:pPr>
        <w:ind w:left="1000" w:hanging="35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21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Annual Meeting will begin promptly at 10:00 a.m. Eastern Time. Only stockholders of record at the close of business on April 11, 2022, will be entitled to vote at the Annual Meeting and any adjournment or postponement thereof.</w:t>
      </w:r>
    </w:p>
    <w:p>
      <w:pPr>
        <w:spacing w:after="0" w:line="1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are pleased to adhere to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2021, or 2021 Annual Report. We plan to mail the Notice on or about April 26, 2022, and it contains instructions on how to access both the 2021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in this Notice.</w:t>
      </w:r>
    </w:p>
    <w:p>
      <w:pPr>
        <w:spacing w:after="0" w:line="18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To be virtually admitted to the Annual Meeting and vote your shares, you must provide the 16-digit control number as provided in the Notice, your proxy card (if you received a printed copy of the proxy materials) or in the instructions that accompanied your proxy materials. Please see the “General Information Regarding the Meeting” 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w:t>
      </w:r>
    </w:p>
    <w:p>
      <w:pPr>
        <w:spacing w:after="0" w:line="17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108902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Douglas Barry</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General Counsel, Chief Compliance Officer and Corporate</w:t>
      </w:r>
    </w:p>
    <w:p>
      <w:pPr>
        <w:ind w:left="6780"/>
        <w:spacing w:after="0"/>
        <w:rPr>
          <w:sz w:val="20"/>
          <w:szCs w:val="20"/>
          <w:color w:val="auto"/>
        </w:rPr>
      </w:pPr>
      <w:r>
        <w:rPr>
          <w:rFonts w:ascii="Times New Roman" w:cs="Times New Roman" w:eastAsia="Times New Roman" w:hAnsi="Times New Roman"/>
          <w:sz w:val="18"/>
          <w:szCs w:val="18"/>
          <w:color w:val="auto"/>
        </w:rPr>
        <w:t>Secretary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4"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Proxy Statement Summary</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9200" w:type="dxa"/>
            <w:vAlign w:val="bottom"/>
            <w:gridSpan w:val="17"/>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18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General Information Regarding the Meeting</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Overview of Proposals</w:t>
            </w:r>
          </w:p>
        </w:tc>
        <w:tc>
          <w:tcPr>
            <w:tcW w:w="1520" w:type="dxa"/>
            <w:vAlign w:val="bottom"/>
            <w:tcBorders>
              <w:top w:val="single" w:sz="8" w:color="0000FF"/>
            </w:tcBorders>
            <w:gridSpan w:val="7"/>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3"/>
        </w:trPr>
        <w:tc>
          <w:tcPr>
            <w:tcW w:w="920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Proposal No. 1 – Election of Class I Directors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6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920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General Information About the Board of Directors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198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3"/>
        </w:trPr>
        <w:tc>
          <w:tcPr>
            <w:tcW w:w="920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General Information About the Executive Officers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3"/>
        </w:trPr>
        <w:tc>
          <w:tcPr>
            <w:tcW w:w="36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Executive Compensation</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Non-Employee Director</w:t>
            </w:r>
          </w:p>
        </w:tc>
        <w:tc>
          <w:tcPr>
            <w:tcW w:w="740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Compensation</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3"/>
        </w:trPr>
        <w:tc>
          <w:tcPr>
            <w:tcW w:w="284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Proposal No. 2 – Ratification of the</w:t>
            </w:r>
          </w:p>
        </w:tc>
        <w:tc>
          <w:tcPr>
            <w:tcW w:w="636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Appointment of the Independent Registered Public Accounting Firm</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75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260" w:type="dxa"/>
            <w:vAlign w:val="bottom"/>
          </w:tcPr>
          <w:p>
            <w:pPr>
              <w:spacing w:after="0"/>
              <w:rPr>
                <w:sz w:val="15"/>
                <w:szCs w:val="15"/>
                <w:color w:val="auto"/>
              </w:rPr>
            </w:pPr>
          </w:p>
        </w:tc>
        <w:tc>
          <w:tcPr>
            <w:tcW w:w="720" w:type="dxa"/>
            <w:vAlign w:val="bottom"/>
            <w:gridSpan w:val="5"/>
          </w:tcPr>
          <w:p>
            <w:pPr>
              <w:spacing w:after="0"/>
              <w:rPr>
                <w:sz w:val="15"/>
                <w:szCs w:val="15"/>
                <w:color w:val="auto"/>
              </w:rPr>
            </w:pPr>
          </w:p>
        </w:tc>
        <w:tc>
          <w:tcPr>
            <w:tcW w:w="1040" w:type="dxa"/>
            <w:vAlign w:val="bottom"/>
          </w:tcPr>
          <w:p>
            <w:pPr>
              <w:spacing w:after="0"/>
              <w:rPr>
                <w:sz w:val="15"/>
                <w:szCs w:val="15"/>
                <w:color w:val="auto"/>
              </w:rPr>
            </w:pPr>
          </w:p>
        </w:tc>
        <w:tc>
          <w:tcPr>
            <w:tcW w:w="43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226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Security Ownership of Certain</w:t>
            </w:r>
          </w:p>
        </w:tc>
        <w:tc>
          <w:tcPr>
            <w:tcW w:w="694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Beneficial Owners and Management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488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43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384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Additional Information and Other Business</w:t>
            </w:r>
          </w:p>
        </w:tc>
        <w:tc>
          <w:tcPr>
            <w:tcW w:w="536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960" w:top="576" w:right="959" w:bottom="1440" w:gutter="0" w:footer="0" w:header="0"/>
        </w:sectPr>
      </w:pPr>
    </w:p>
    <w:bookmarkStart w:id="5" w:name="page6"/>
    <w:bookmarkEnd w:id="5"/>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260350</wp:posOffset>
            </wp:positionV>
            <wp:extent cx="174879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8790" cy="7029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PROXY STATEMENT SUMMARY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JUNE 8, 2022</w:t>
      </w:r>
    </w:p>
    <w:p>
      <w:pPr>
        <w:spacing w:after="0" w:line="20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This proxy statement contains information about the 2022 Annual Meeting of Stockholders, or the Annual Meeting, of Tango Therapeutics, Inc. which will be held online on June 8, 2022 at 10:00 a.m. Eastern Time. You may attend the Annual Meeting virtually via the Internet at www.virtualshareholdermeeting.com/TNGX2022,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100 Binney Street, Suite 700, Cambridge, Massachusetts, 02142.</w:t>
      </w:r>
    </w:p>
    <w:p>
      <w:pPr>
        <w:spacing w:after="0" w:line="18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mailing to our stockholders a Notice of Internet Availability of proxy materials and our 2021 Annual Report on or about April 26, 2022.</w:t>
      </w:r>
    </w:p>
    <w:p>
      <w:pPr>
        <w:spacing w:after="0" w:line="2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the JOBS Act, including the compensation disclosures required of a “smaller reporting company,” as that term is defined in Rule 12b-2 promulgated under the Securities Exchange Act of 1934, as amended,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(ii) the last day of the fiscal year in which our total annual gross revenue is equal to or more than $1.07 billion;</w:t>
      </w:r>
    </w:p>
    <w:p>
      <w:pPr>
        <w:spacing w:after="0" w:line="5" w:lineRule="exact"/>
        <w:rPr>
          <w:sz w:val="20"/>
          <w:szCs w:val="20"/>
          <w:color w:val="auto"/>
        </w:rPr>
      </w:pPr>
    </w:p>
    <w:p>
      <w:pPr>
        <w:ind w:firstLine="8"/>
        <w:spacing w:after="0" w:line="246"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8, 2022:</w:t>
      </w:r>
    </w:p>
    <w:p>
      <w:pPr>
        <w:spacing w:after="0" w:line="8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and our 2021 Annual Report to Stockholders are</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i w:val="1"/>
          <w:iCs w:val="1"/>
          <w:color w:val="auto"/>
        </w:rPr>
        <w:t>available for viewing, printing and downloading at www.proxyvote.com.</w:t>
      </w:r>
    </w:p>
    <w:p>
      <w:pPr>
        <w:spacing w:after="0" w:line="201"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A copy of our 2021 Annual Report on Form 10-K, as filed with the SEC, except for exhibits, will be furnished without charge to any stockholder upon written request or oral request to Tango Therapeutics, Inc., 100 Binney Street, Suite 700, Cambridge, Massachusetts 02142, (857) 320-4900, Attention: Corporate Secretary. This proxy statement and our 2021 Annual Report are also available on the SEC’s website at </w:t>
      </w:r>
      <w:r>
        <w:rPr>
          <w:rFonts w:ascii="Times New Roman" w:cs="Times New Roman" w:eastAsia="Times New Roman" w:hAnsi="Times New Roman"/>
          <w:sz w:val="17"/>
          <w:szCs w:val="17"/>
          <w:b w:val="1"/>
          <w:bCs w:val="1"/>
          <w:i w:val="1"/>
          <w:iCs w:val="1"/>
          <w:color w:val="auto"/>
        </w:rPr>
        <w:t>www.sec.gov</w:t>
      </w:r>
      <w:r>
        <w:rPr>
          <w:rFonts w:ascii="Times New Roman" w:cs="Times New Roman" w:eastAsia="Times New Roman" w:hAnsi="Times New Roman"/>
          <w:sz w:val="17"/>
          <w:szCs w:val="17"/>
          <w:b w:val="1"/>
          <w:bCs w:val="1"/>
          <w:color w:val="auto"/>
        </w:rPr>
        <w:t>.</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ind w:left="3240"/>
        <w:spacing w:after="0"/>
        <w:rPr>
          <w:sz w:val="20"/>
          <w:szCs w:val="20"/>
          <w:color w:val="auto"/>
        </w:rPr>
      </w:pPr>
      <w:r>
        <w:rPr>
          <w:rFonts w:ascii="Times New Roman" w:cs="Times New Roman" w:eastAsia="Times New Roman" w:hAnsi="Times New Roman"/>
          <w:sz w:val="18"/>
          <w:szCs w:val="18"/>
          <w:b w:val="1"/>
          <w:bCs w:val="1"/>
          <w:color w:val="auto"/>
        </w:rPr>
        <w:t>GENERAL INFORMATION REGARDING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Tango holding a virtual Annual Meeting?</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safety of our stockholders is important to us and given continuing concerns related to safety surrounding COVID-19 and group gatherings, this year’s Annual Meeting will be a “virtual meeting” of stockholders. We have implemented the virtual format in order to facilitate stockholder attendance at our Annual Meeting. While you will not be able to attend the Annual Meeting in person, stockholders will, to the extent possible, be afforded the same rights and opportunities to participate at the virtual meeting similarly to how they would participate at an in-person meeting. We have designed our virtual format to enhance, rather than constrain, stockholder access, participation and communication. For example, the virtual format allows stockholders to communicate with us during the Annual Meeting so they can ask questions of our board of directors or management that are germane to the matters under consideration at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virtually attend the Annual Meeting?</w:t>
      </w:r>
    </w:p>
    <w:p>
      <w:pPr>
        <w:spacing w:after="0" w:line="22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To attend and participate in the Annual Meeting, stockholders will need to access the live webcast of the meeting. To do so, stockholders will need to visit www.virtualshareholdermeeting.com/TNGX2022 and enter the 16-digit control number provided in the Notice of Internet Availability of Proxy Materials (or the Notice), the proxy card (if the stockholder received a printed copy of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spacing w:after="0" w:line="18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the day of the Annual Meeting, stockholders may log-in to the online virtual annual meeting platform beginning at 9:45 a.m. Eastern Time, and the meeting will begin promptly at 10:00 a.m. Eastern Time. Please allow ample time for on-line login so that you may participate in the entire Annual Meeting.</w:t>
      </w:r>
    </w:p>
    <w:p>
      <w:pPr>
        <w:spacing w:after="0" w:line="16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Questions related to substantive matters of business may be asked during the Annual Meeting by logging on to the virtual meeting platform. If you wish to submit a question during the Annual Meeting, you may do so on the virtual meeting platform www.virtualshareholdermeeting.com/TNGX2022.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21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(www.virtualshareholdermeeting.com/TNGX2022), which may be accessed beginning 15 minutes prior to the scheduled start time of the Annual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are mailing to our stockholders a Notice instead of a paper copy of the accompanying proxy statement and our 2021 Annual Report on or about April 26, 2022,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 including at any adjournments or postponements of the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229"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11, 2022. Only shareholders of record at the close of business on April 11, 2022 are entitled to notice of and to vote at the Annual Meeting and any adjournment or postponement of the meeting.</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were 87,712,630 shares of our voting common stock, par value $0.001 per share, outstanding on April 11, 2022,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11,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1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18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Note you should also be receiving a voting instruction form for you to use from your broker. Throughout this proxy statement, we refer to stockholders who hold their shares through a broker, bank or other nominee as “street name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are being voted on at the Annual Meeting?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matters are being voted on at the Annual Meeting:</w:t>
      </w:r>
    </w:p>
    <w:p>
      <w:pPr>
        <w:spacing w:after="0" w:line="117" w:lineRule="exact"/>
        <w:rPr>
          <w:sz w:val="20"/>
          <w:szCs w:val="20"/>
          <w:color w:val="auto"/>
        </w:rPr>
      </w:pPr>
    </w:p>
    <w:p>
      <w:pPr>
        <w:ind w:left="520" w:right="58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two members, Lesley Ann Calhoun and Reid Huber, as Class I Directors of the Board of Directors, each to serve until the 2025 Annual Meeting and until his or her successor has been duly elected and qualified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Tango's independent registered public accounting firm for 2022.</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00" w:lineRule="exact"/>
        <w:rPr>
          <w:sz w:val="20"/>
          <w:szCs w:val="20"/>
          <w:color w:val="auto"/>
        </w:rPr>
      </w:pPr>
    </w:p>
    <w:p>
      <w:pPr>
        <w:ind w:left="1160" w:right="240" w:hanging="517"/>
        <w:spacing w:after="0" w:line="271" w:lineRule="auto"/>
        <w:tabs>
          <w:tab w:leader="none" w:pos="10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 www.proxyvote.com, 24 hours a day, seven days a week. You will need the control number included on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or proxy card in order to vote by Internet.</w:t>
      </w:r>
    </w:p>
    <w:p>
      <w:pPr>
        <w:spacing w:after="0" w:line="45" w:lineRule="exact"/>
        <w:rPr>
          <w:rFonts w:ascii="Times New Roman" w:cs="Times New Roman" w:eastAsia="Times New Roman" w:hAnsi="Times New Roman"/>
          <w:sz w:val="18"/>
          <w:szCs w:val="18"/>
          <w:color w:val="auto"/>
        </w:rPr>
      </w:pPr>
    </w:p>
    <w:p>
      <w:pPr>
        <w:ind w:left="1160" w:right="220" w:hanging="517"/>
        <w:spacing w:after="0" w:line="260" w:lineRule="auto"/>
        <w:tabs>
          <w:tab w:leader="none" w:pos="10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You may vote in person virtually by attending the Annual Meeting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www.virtualshareholdermeeting.com/TNGX2022. To attend the Annual Meeting virtually and vote your shares, you must register for the Annual Meeting and provide the control number located on your Notice or proxy card.</w:t>
      </w:r>
    </w:p>
    <w:p>
      <w:pPr>
        <w:spacing w:after="0" w:line="56" w:lineRule="exact"/>
        <w:rPr>
          <w:rFonts w:ascii="Times New Roman" w:cs="Times New Roman" w:eastAsia="Times New Roman" w:hAnsi="Times New Roman"/>
          <w:sz w:val="18"/>
          <w:szCs w:val="18"/>
          <w:color w:val="auto"/>
        </w:rPr>
      </w:pPr>
    </w:p>
    <w:p>
      <w:pPr>
        <w:ind w:left="1160" w:right="140" w:hanging="517"/>
        <w:spacing w:after="0" w:line="286" w:lineRule="auto"/>
        <w:tabs>
          <w:tab w:leader="none" w:pos="10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You will need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number included on your Notice or proxy card to vote by telephone.</w:t>
      </w:r>
    </w:p>
    <w:p>
      <w:pPr>
        <w:spacing w:after="0" w:line="33" w:lineRule="exact"/>
        <w:rPr>
          <w:rFonts w:ascii="Times New Roman" w:cs="Times New Roman" w:eastAsia="Times New Roman" w:hAnsi="Times New Roman"/>
          <w:sz w:val="18"/>
          <w:szCs w:val="18"/>
          <w:color w:val="auto"/>
        </w:rPr>
      </w:pPr>
    </w:p>
    <w:p>
      <w:pPr>
        <w:ind w:left="1000" w:hanging="35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w:t>
      </w:r>
    </w:p>
    <w:p>
      <w:pPr>
        <w:spacing w:after="0" w:line="2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Annual Meeting, we recommend that you vote by proxy in advance of the Annual Meeting date so that your vote will be counted if you later decide not to participate in the Annual Meeting.</w:t>
      </w:r>
    </w:p>
    <w:p>
      <w:pPr>
        <w:spacing w:after="0" w:line="14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340"/>
        <w:spacing w:after="0" w:line="282" w:lineRule="auto"/>
        <w:rPr>
          <w:sz w:val="20"/>
          <w:szCs w:val="20"/>
          <w:color w:val="auto"/>
        </w:rPr>
      </w:pPr>
      <w:r>
        <w:rPr>
          <w:rFonts w:ascii="Times New Roman" w:cs="Times New Roman" w:eastAsia="Times New Roman" w:hAnsi="Times New Roman"/>
          <w:sz w:val="18"/>
          <w:szCs w:val="18"/>
          <w:color w:val="auto"/>
        </w:rPr>
        <w:t>nominee. As discussed above, if you are a street name stockholder, you may not vote your shares on your own behalf at the Annual Meeting unless you obtain a legal proxy from your broker, bank or other nominee.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by the deadline set forth on the proxy card.</w:t>
      </w:r>
    </w:p>
    <w:p>
      <w:pPr>
        <w:spacing w:after="0" w:line="14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or revoke my vote or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over the Internet or via telephone that we receive before the start of the Annual Meeting,</w:t>
      </w:r>
    </w:p>
    <w:p>
      <w:pPr>
        <w:spacing w:after="0" w:line="16" w:lineRule="exact"/>
        <w:rPr>
          <w:sz w:val="20"/>
          <w:szCs w:val="20"/>
          <w:color w:val="auto"/>
        </w:rPr>
      </w:pPr>
    </w:p>
    <w:p>
      <w:pPr>
        <w:ind w:right="40" w:firstLine="8"/>
        <w:spacing w:after="0" w:line="24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in and of itself revoke a proxy), (3) by filing an instrument in writing revoking the proxy or another duly executed proxy bearing a later date with our Corporate Secretary, or (4) voting in person at the virtual Annual Meeting.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100 Binney Street, Suite 700, Cambridge, Massachusetts 02142, Attention: Corporate Secretary. Only your latest vote will be counted at the Annual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shares entitled to vote, present or represented by proxy, will constitute a quorum for the transaction of business at the Annual Meeting.</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 There were 87,712,630 shares of common stock outstanding and entitled to vote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right="180"/>
        <w:spacing w:after="0" w:line="282" w:lineRule="auto"/>
        <w:rPr>
          <w:sz w:val="20"/>
          <w:szCs w:val="20"/>
          <w:color w:val="auto"/>
        </w:rPr>
      </w:pPr>
      <w:r>
        <w:rPr>
          <w:rFonts w:ascii="Times New Roman" w:cs="Times New Roman" w:eastAsia="Times New Roman" w:hAnsi="Times New Roman"/>
          <w:sz w:val="18"/>
          <w:szCs w:val="18"/>
          <w:color w:val="auto"/>
        </w:rPr>
        <w:t>on April 11, 2022, our record date. Therefore, a quorum will be present if 43,856,316 shares of our common stock are present in person or represented by executed proxies timely received by us at the Annual Meeting.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for each proposal?</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i w:val="1"/>
          <w:iCs w:val="1"/>
          <w:color w:val="auto"/>
        </w:rPr>
        <w:t>Board's 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Broker Discretionary Abstentions Voting Allowed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i w:val="1"/>
          <w:iCs w:val="1"/>
          <w:color w:val="auto"/>
        </w:rPr>
        <w:t>Required Vote</w:t>
      </w:r>
    </w:p>
    <w:p>
      <w:pPr>
        <w:spacing w:after="0" w:line="231" w:lineRule="exact"/>
        <w:rPr>
          <w:sz w:val="20"/>
          <w:szCs w:val="20"/>
          <w:color w:val="auto"/>
        </w:rPr>
      </w:pPr>
    </w:p>
    <w:p>
      <w:pPr>
        <w:sectPr>
          <w:pgSz w:w="11900" w:h="16838" w:orient="portrait"/>
          <w:cols w:equalWidth="0" w:num="3">
            <w:col w:w="6100" w:space="220"/>
            <w:col w:w="2560" w:space="680"/>
            <w:col w:w="1680"/>
          </w:cols>
          <w:pgMar w:left="320" w:top="58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Proposal 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Election of Class I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ALL Class I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 effect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Plurality of votes cast</w:t>
      </w:r>
    </w:p>
    <w:p>
      <w:pPr>
        <w:spacing w:after="0" w:line="1" w:lineRule="exact"/>
        <w:rPr>
          <w:sz w:val="20"/>
          <w:szCs w:val="20"/>
          <w:color w:val="auto"/>
        </w:rPr>
      </w:pPr>
    </w:p>
    <w:p>
      <w:pPr>
        <w:sectPr>
          <w:pgSz w:w="11900" w:h="16838" w:orient="portrait"/>
          <w:cols w:equalWidth="0" w:num="6">
            <w:col w:w="780" w:space="700"/>
            <w:col w:w="2040" w:space="660"/>
            <w:col w:w="1920" w:space="220"/>
            <w:col w:w="960" w:space="720"/>
            <w:col w:w="840" w:space="720"/>
            <w:col w:w="1680"/>
          </w:cols>
          <w:pgMar w:left="320" w:top="580" w:right="339" w:bottom="1440" w:gutter="0" w:footer="0" w:header="0"/>
          <w:type w:val="continuous"/>
        </w:sectPr>
      </w:pPr>
    </w:p>
    <w:p>
      <w:pPr>
        <w:ind w:left="4180"/>
        <w:spacing w:after="0" w:line="200" w:lineRule="auto"/>
        <w:rPr>
          <w:sz w:val="20"/>
          <w:szCs w:val="20"/>
          <w:color w:val="auto"/>
        </w:rPr>
      </w:pPr>
      <w:r>
        <w:rPr>
          <w:rFonts w:ascii="Times New Roman" w:cs="Times New Roman" w:eastAsia="Times New Roman" w:hAnsi="Times New Roman"/>
          <w:sz w:val="18"/>
          <w:szCs w:val="18"/>
          <w:color w:val="auto"/>
        </w:rPr>
        <w:t>Nominees</w:t>
      </w:r>
    </w:p>
    <w:p>
      <w:pPr>
        <w:ind w:left="4180"/>
        <w:spacing w:after="0" w:line="219" w:lineRule="auto"/>
        <w:rPr>
          <w:sz w:val="20"/>
          <w:szCs w:val="20"/>
          <w:color w:val="auto"/>
        </w:rPr>
      </w:pPr>
      <w:r>
        <w:rPr>
          <w:rFonts w:ascii="Times New Roman" w:cs="Times New Roman" w:eastAsia="Times New Roman" w:hAnsi="Times New Roman"/>
          <w:sz w:val="18"/>
          <w:szCs w:val="18"/>
          <w:color w:val="auto"/>
        </w:rPr>
        <w:t>(Lesley Ann Calhoun and</w:t>
      </w:r>
    </w:p>
    <w:p>
      <w:pPr>
        <w:ind w:left="4180"/>
        <w:spacing w:after="0"/>
        <w:rPr>
          <w:sz w:val="20"/>
          <w:szCs w:val="20"/>
          <w:color w:val="auto"/>
        </w:rPr>
      </w:pPr>
      <w:r>
        <w:rPr>
          <w:rFonts w:ascii="Times New Roman" w:cs="Times New Roman" w:eastAsia="Times New Roman" w:hAnsi="Times New Roman"/>
          <w:sz w:val="18"/>
          <w:szCs w:val="18"/>
          <w:color w:val="auto"/>
        </w:rPr>
        <w:t>Reid Huber)</w:t>
      </w:r>
    </w:p>
    <w:p>
      <w:pPr>
        <w:sectPr>
          <w:pgSz w:w="11900" w:h="16838" w:orient="portrait"/>
          <w:cols w:equalWidth="0" w:num="1">
            <w:col w:w="11240"/>
          </w:cols>
          <w:pgMar w:left="320" w:top="580" w:right="339" w:bottom="1440" w:gutter="0" w:footer="0" w:header="0"/>
          <w:type w:val="continuous"/>
        </w:sectPr>
      </w:pP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Proposal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Ratification of</w:t>
      </w:r>
    </w:p>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Times New Roman" w:cs="Times New Roman" w:eastAsia="Times New Roman" w:hAnsi="Times New Roman"/>
          <w:sz w:val="17"/>
          <w:szCs w:val="17"/>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 effect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Majority of votes cast</w:t>
      </w:r>
    </w:p>
    <w:p>
      <w:pPr>
        <w:spacing w:after="0" w:line="1" w:lineRule="exact"/>
        <w:rPr>
          <w:sz w:val="20"/>
          <w:szCs w:val="20"/>
          <w:color w:val="auto"/>
        </w:rPr>
      </w:pPr>
    </w:p>
    <w:p>
      <w:pPr>
        <w:sectPr>
          <w:pgSz w:w="11900" w:h="16838" w:orient="portrait"/>
          <w:cols w:equalWidth="0" w:num="6">
            <w:col w:w="780" w:space="700"/>
            <w:col w:w="1980" w:space="720"/>
            <w:col w:w="1420" w:space="720"/>
            <w:col w:w="960" w:space="720"/>
            <w:col w:w="840" w:space="720"/>
            <w:col w:w="1680"/>
          </w:cols>
          <w:pgMar w:left="320" w:top="580" w:right="339" w:bottom="1440" w:gutter="0" w:footer="0" w:header="0"/>
          <w:type w:val="continuous"/>
        </w:sectPr>
      </w:pPr>
    </w:p>
    <w:p>
      <w:pPr>
        <w:ind w:left="1480"/>
        <w:spacing w:after="0" w:line="211" w:lineRule="auto"/>
        <w:rPr>
          <w:sz w:val="20"/>
          <w:szCs w:val="20"/>
          <w:color w:val="auto"/>
        </w:rPr>
      </w:pPr>
      <w:r>
        <w:rPr>
          <w:rFonts w:ascii="Times New Roman" w:cs="Times New Roman" w:eastAsia="Times New Roman" w:hAnsi="Times New Roman"/>
          <w:sz w:val="17"/>
          <w:szCs w:val="17"/>
          <w:color w:val="auto"/>
        </w:rPr>
        <w:t>PricewaterhouseCoopers LLP as</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independent auditors for 2022</w:t>
      </w:r>
    </w:p>
    <w:p>
      <w:pPr>
        <w:sectPr>
          <w:pgSz w:w="11900" w:h="16838" w:orient="portrait"/>
          <w:cols w:equalWidth="0" w:num="1">
            <w:col w:w="11240"/>
          </w:cols>
          <w:pgMar w:left="320" w:top="580"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9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with respect to this proposal, your broker may not vote for this proposal, and those votes will be counted as broker “non-votes.” Proposal No. 2 is considered to be a discretionary item, and your brokerage firm will be able to vote on this proposal even if it does not receive instructions from you.</w:t>
      </w:r>
    </w:p>
    <w:p>
      <w:pPr>
        <w:spacing w:after="0" w:line="18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To be elected, the director nominated via Proposal No. 1 must receive a plurality of the votes cast and entitled to vote on the proposal, meaning that the director nominee receiving the most votes will be elected. You may vote for each of the director nominees or withhold authority to vote your shares with respect to any one or more of the director nominees. Shares voting “withheld” have no effect on the election of directors. Broker non-votes are not considered votes cast and will have no effect on the election of the nominees.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21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Since Tango did not hold an annual meeting in 2021, and the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Annual Meeting will be the first annual meeting, a stockholder's notice in connection with the Annual Meeting must be received not later than the close of business on May 6, 2022.</w:t>
      </w:r>
    </w:p>
    <w:p>
      <w:pPr>
        <w:spacing w:after="0" w:line="1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2023 must also satisfy the requirements of SEC Rule 14a-8 under the Securities Exchange Act of 1934, as amended, or the Exchange Act, and be received not later than December 27, 2022. In addition, to comply with the SEC’s new universal proxy rules (scheduled to become effective on August 31, 2022), stockholders who intend to solicit proxies in support of director nominees other than our nominees must provide notice that sets forth the information required by Rule 14a-19 under the Exchange Act no later than April 9, 2023.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1" w:name="page12"/>
    <w:bookmarkEnd w:id="1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OVERVIEW OF PROPOSALS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contains two proposals requiring stockholder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the election of two Class I directors, Lesley Ann Calhoun and Reid Huber, to our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 Ratification of PricewaterhouseCoopers LLP as independent auditors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are being asked to vote to ratify the appointment of PricewaterhouseCoopers LLP as our independent registered public accounting firm for the fiscal year ending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both Proposal No. 1 and Proposal No. 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proposals listed above is discussed in more detail in the pages that follow.</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0" w:right="55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w:t>
      </w:r>
    </w:p>
    <w:p>
      <w:pPr>
        <w:spacing w:after="0" w:line="16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Two directors have been nominated for election at the Annual Meeting to serve until the 2025 annual meeting of shareholders and until their successors have been duly elected and qualified. In the event any of the nominees are unable to serve as a director, the shares represented by the proxy will be voted for such other candidate, if any, who is nominated by the Board to replace the nominee. All nominees have consented to be named in the proxy statement and have indicated their intent to serve if elected. The Board has no reason to believe that any of the nominees will be unable to serve. Pursuant to our by-laws, directors are elected by plurality vote in uncontested director elections, such as this one. The number of candidates for election as Class I Directors at the Annual Meeting is the same as the number of Class I Directors to be elected at the Annual Meeting. Therefore, this is an uncontested election and directors will be elected by the affirmative vote of a plurality of the votes cast by the shares present or represented and entitled to vote at the Annual Meeting, in person or by proxy. The nominees for election as director are those identified in this proxy statement.</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current directors, their respective term on the board of directors, ages and positions as of April 11, 2022. Director service dates in the table below and elsewhere in this proxy statement reflect the periods such director commenced director service with Tango prior to the completion of the Business Combination (as described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3"/>
                <w:szCs w:val="13"/>
                <w:color w:val="auto"/>
              </w:rPr>
            </w:pPr>
          </w:p>
        </w:tc>
        <w:tc>
          <w:tcPr>
            <w:tcW w:w="338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Served as a Director</w:t>
            </w:r>
          </w:p>
        </w:tc>
        <w:tc>
          <w:tcPr>
            <w:tcW w:w="0" w:type="dxa"/>
            <w:vAlign w:val="bottom"/>
          </w:tcPr>
          <w:p>
            <w:pPr>
              <w:spacing w:after="0"/>
              <w:rPr>
                <w:sz w:val="1"/>
                <w:szCs w:val="1"/>
                <w:color w:val="auto"/>
              </w:rPr>
            </w:pPr>
          </w:p>
        </w:tc>
      </w:tr>
      <w:tr>
        <w:trPr>
          <w:trHeight w:val="187"/>
        </w:trPr>
        <w:tc>
          <w:tcPr>
            <w:tcW w:w="5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 Directors with terms that will expire at the Annual Meeting</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Lesley Ann Calhoun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Chairman of the Board</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Reid Huber, Ph.D.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2019</w:t>
            </w: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 II Directors with terms that will expire at the 2023 Annual Meeting</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Malte Peters, M.D.</w:t>
            </w:r>
          </w:p>
        </w:tc>
        <w:tc>
          <w:tcPr>
            <w:tcW w:w="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shd w:val="clear" w:color="auto" w:fill="CCEC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C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2018</w:t>
            </w: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Mace Rothenberg, M.D.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III Directors with terms that will expire at the 2024 Annual Meeting</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Alexis Borisy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Aaron Davis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2020</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 Directors</w:t>
      </w:r>
    </w:p>
    <w:p>
      <w:pPr>
        <w:spacing w:after="0" w:line="21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board of directors has nominated Lesley Ann Calhoun and Reid Huber for election as Class I Directors to serve for a three-year term ending at the 2025 annual meeting and until their successors are elected and qualified. Each of the nominees is a current member of our board of directors and has consented to serve if elected.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stockholder has one vote per share. Stockholders do not have the right to vote cumulatively in electing directors.</w:t>
      </w:r>
    </w:p>
    <w:p>
      <w:pPr>
        <w:spacing w:after="0" w:line="21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nominees for Class I Director who receive the most votes (also known as a plurality) will be elected. You may vote either FOR all the nominees, FOR any one of the nominees, WITHHOLD your vote from all the nominees or WITHHOLD your vote from any one of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w:t>
      </w:r>
    </w:p>
    <w:p>
      <w:pPr>
        <w:spacing w:after="0" w:line="17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a nominee is unable to serve or for good cause will not serve as a director, the proxies will be voted for the election of such substitute nominee as our board of directors may designate.</w:t>
      </w:r>
    </w:p>
    <w:p>
      <w:pPr>
        <w:spacing w:after="0" w:line="16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voting “FOR” the election of Lesley Ann Calhoun and Reid Huber as Class I </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irectors, to serve for a three-year term ending at the annual meeting of stockholders to be held in 2025.</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1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On August 10, 2021, BCTG Acquisition Corp., a Delaware corporation (“BCTG”) consummated a business combination (the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Commination).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Class I directors, at the annual meeting of stockholders to be held during the year 2023 for Class II directors and at the annual meeting of stockholders to be held during the year 2024 for Class III directors. Lesley Calhoun and Reid Huber currently serve as our Class I directors, Malte Peters and Mace Rothenberg currently serve as our Class II directors and Alexis Borisy, Aaron Davis and Barbara Weber currently serve as our Class III directors.</w:t>
      </w:r>
    </w:p>
    <w:p>
      <w:pPr>
        <w:spacing w:after="0" w:line="2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directors shall be fixed solely and exclusively by a resolution adopted from time to time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 Nominees for Election for a Three-Year Term Ending at the Annual Meeting</w:t>
      </w:r>
    </w:p>
    <w:p>
      <w:pPr>
        <w:spacing w:after="0" w:line="21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Lesley Ann Calhoun </w:t>
      </w:r>
      <w:r>
        <w:rPr>
          <w:rFonts w:ascii="Times New Roman" w:cs="Times New Roman" w:eastAsia="Times New Roman" w:hAnsi="Times New Roman"/>
          <w:sz w:val="18"/>
          <w:szCs w:val="18"/>
          <w:color w:val="auto"/>
        </w:rPr>
        <w:t>has served as a member of our board of directors since March 2021. Since June 2020, Ms. Calhoun has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8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Reid M. Huber, Ph.D., </w:t>
      </w:r>
      <w:r>
        <w:rPr>
          <w:rFonts w:ascii="Times New Roman" w:cs="Times New Roman" w:eastAsia="Times New Roman" w:hAnsi="Times New Roman"/>
          <w:sz w:val="18"/>
          <w:szCs w:val="18"/>
          <w:color w:val="auto"/>
        </w:rPr>
        <w:t>has served as a member of our board of directors since July 2019. Dr. Huber has served as a Partner at Third Rock Ventures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2018. From April 2014 to December 2018, 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(NASDAQ: BLCM) since October 2014 and also currently serves on the board of MOMA Therapeutics, Asher Bio, Insitro and The American Cancer Society. Dr. Huber received his Ph.D. in molecular genetics from the Washington University School of Medicine and held pre-and post-doctoral fellowships at the National Institutes of Health. We believe that Dr. Huber’s extensive background in the pharmaceutical industry and senior management experience qualify him to serve on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2023 Annual Meeting</w:t>
      </w:r>
    </w:p>
    <w:p>
      <w:pPr>
        <w:spacing w:after="0" w:line="22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Malte Peters, M.D., </w:t>
      </w:r>
      <w:r>
        <w:rPr>
          <w:rFonts w:ascii="Times New Roman" w:cs="Times New Roman" w:eastAsia="Times New Roman" w:hAnsi="Times New Roman"/>
          <w:sz w:val="18"/>
          <w:szCs w:val="18"/>
          <w:color w:val="auto"/>
        </w:rPr>
        <w:t>has served on our board of directors since September 2018. Since March 2020, Dr. Peters has served as Chief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Mace Rothenberg, M.D., </w:t>
      </w:r>
      <w:r>
        <w:rPr>
          <w:rFonts w:ascii="Times New Roman" w:cs="Times New Roman" w:eastAsia="Times New Roman" w:hAnsi="Times New Roman"/>
          <w:sz w:val="17"/>
          <w:szCs w:val="17"/>
          <w:color w:val="auto"/>
        </w:rPr>
        <w:t>has served on our board of directors since March 2021. Dr. Rothenberg was previously at Pfizer, Inc., a pharmaceutical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a biotechnology company discovering and developing drug candidates to selectively modulate the Wnt pathway, since May 2021 and Aulos Bioscience, a privately-held immuno-oncology company, since March 2021.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2024 Annual Meeting</w:t>
      </w:r>
    </w:p>
    <w:p>
      <w:pPr>
        <w:spacing w:after="0" w:line="21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Alexis Borisy </w:t>
      </w:r>
      <w:r>
        <w:rPr>
          <w:rFonts w:ascii="Times New Roman" w:cs="Times New Roman" w:eastAsia="Times New Roman" w:hAnsi="Times New Roman"/>
          <w:sz w:val="18"/>
          <w:szCs w:val="18"/>
          <w:color w:val="auto"/>
        </w:rPr>
        <w:t>has served as a member of our board of directors since our founding in 2017 and as the chairman of the board of directors since August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2019, Mr. Borisy has served as Chief Executive Officer and Chairman of EQRx, Inc., a biotechnology company.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(NASDAQ: RLAY), Revolution Medicines, Inc. (NASDAQ: RVMD),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9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Aaron Davis </w:t>
      </w:r>
      <w:r>
        <w:rPr>
          <w:rFonts w:ascii="Times New Roman" w:cs="Times New Roman" w:eastAsia="Times New Roman" w:hAnsi="Times New Roman"/>
          <w:sz w:val="18"/>
          <w:szCs w:val="18"/>
          <w:color w:val="auto"/>
        </w:rPr>
        <w:t>has served as a member of our board of directors since May 2020. Mr. Davis is Co-Founder and Chief Executive Officer of Boxer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After joining Tavistock Group as Portfolio Manager in 2005, Mr. Davis scaled Tavistock Group’s public healthcare investing activities and founded Boxer Capital, LLC. Prior to the Business Combination, Mr. Davis was the Chairman and Chief Executive Officer of BCTG Acquisition Corp., our predecessor company. Mr. Davis is a Member of the Board of Directors of iTeos Therapeutics, Inc. (NASDAQ: ITOS), Mirati Therapeutics Inc. (NASDAQ: MRTX), and Rain Therapeutics Inc. (NASDAQ: RAIN). From 2006 to 2008, Mr. Davis served as a director of Kalypsys, Inc., and from 2000 to 2004, Mr. Davis worked in the Global Healthcare Investment Banking and Private Equity Group at UBS Warburg, LLC. Mr. Davis received an M.A. degree in biotechnology from Columbia University and a B.B.A. degree in finance from Emory University. We believe that Mr. Davis is qualified to serve as a member of our board of directors because of his experience serving as a director of biotechnology companies and as a manager of funds specializing in the area of life sciences. We believe that Mr. Davis’s experience serving as a director of multiple biotechnology companies and his knowledge of funds specializing in the area of life sciences makes him qualified to serve as a member of our board of directors.</w:t>
      </w:r>
    </w:p>
    <w:p>
      <w:pPr>
        <w:spacing w:after="0" w:line="19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Barbara Weber, M.D. </w:t>
      </w:r>
      <w:r>
        <w:rPr>
          <w:rFonts w:ascii="Times New Roman" w:cs="Times New Roman" w:eastAsia="Times New Roman" w:hAnsi="Times New Roman"/>
          <w:sz w:val="18"/>
          <w:szCs w:val="18"/>
          <w:color w:val="auto"/>
        </w:rPr>
        <w:t>has served as our President and Chief Executive Officer since March 2017. Dr. Weber has been a Venture Partner at Third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Fog Pharma, a private biopharmaceutical company, since October 2018, and OPY Acquisition Corp. I (NASDAQ: OHAA), a special purpose acquisition company, since October 2021. Dr. Weber received a B.S. in Chemistry and an M.D. from the University of Washington, was a resident in internal medicine at Yale University and fellow in Medical Oncology at the Dana Farber Cancer Institute. We believe Dr. Weber qualifies to serve on our board based on her position as our President and Chief Executive Officer, her leadership experience and her extensive experience in the biopharmaceutical industry.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5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Our Board possesses a deep set of skills and experiences that are critical to providing the necessary oversight and strategic direction for a clinical stage biopharmaceutical company. Each director is individually qualified to make unique and substantial contributions to our Board based upon the experience, knowledge, background and skills that they have obtained in the course of their extensive careers. Our directors’ diverse viewpoints and independent mindedness enhance, we believe, the quality and effectiveness of the Board of Directors in carrying out its duties and responsibilities. Our Board provides an appropriate balance of executive, financial, research and clinical development necessary for oversight of a biopharmaceutical company at our stage of development.</w:t>
      </w:r>
    </w:p>
    <w:p>
      <w:pPr>
        <w:spacing w:after="0" w:line="1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composition of our board of directors currently includes two individuals who are diverse under the Nasdaq Stock Market LLC, or Nasdaq, listing rule regarding board diversity, representing gender diversity of 29% and ethnic diversity of 14%, as presented in the below Board Diversity Matrix. Under the Nasdaq listing rule, directors who self-identify as (i) female, (ii) an underrepresented minority or (iii) LGBTQ+ are defined as being diverse. The following table provides certain self-identified personal characteristics of our directors, in accordance with Rule 5605(f) of the Nasdaq listing standards: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As of April 26, 2022</w:t>
            </w:r>
          </w:p>
        </w:tc>
        <w:tc>
          <w:tcPr>
            <w:tcW w:w="0" w:type="dxa"/>
            <w:vAlign w:val="bottom"/>
          </w:tcPr>
          <w:p>
            <w:pPr>
              <w:spacing w:after="0"/>
              <w:rPr>
                <w:sz w:val="1"/>
                <w:szCs w:val="1"/>
                <w:color w:val="auto"/>
              </w:rPr>
            </w:pPr>
          </w:p>
        </w:tc>
      </w:tr>
      <w:tr>
        <w:trPr>
          <w:trHeight w:val="209"/>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00" w:type="dxa"/>
            <w:vAlign w:val="bottom"/>
            <w:tcBorders>
              <w:bottom w:val="single" w:sz="8" w:color="auto"/>
              <w:right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80" w:type="dxa"/>
            <w:vAlign w:val="bottom"/>
            <w:tcBorders>
              <w:right w:val="single" w:sz="8" w:color="auto"/>
            </w:tcBorders>
          </w:tcPr>
          <w:p>
            <w:pPr>
              <w:spacing w:after="0"/>
              <w:rPr>
                <w:sz w:val="14"/>
                <w:szCs w:val="14"/>
                <w:color w:val="auto"/>
              </w:rPr>
            </w:pPr>
          </w:p>
        </w:tc>
        <w:tc>
          <w:tcPr>
            <w:tcW w:w="592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Non-</w:t>
            </w:r>
          </w:p>
        </w:tc>
        <w:tc>
          <w:tcPr>
            <w:tcW w:w="960" w:type="dxa"/>
            <w:vAlign w:val="bottom"/>
            <w:tcBorders>
              <w:right w:val="single" w:sz="8" w:color="auto"/>
            </w:tcBorders>
          </w:tcPr>
          <w:p>
            <w:pPr>
              <w:jc w:val="center"/>
              <w:ind w:right="10"/>
              <w:spacing w:after="0" w:line="164" w:lineRule="exact"/>
              <w:rPr>
                <w:sz w:val="20"/>
                <w:szCs w:val="20"/>
                <w:color w:val="auto"/>
              </w:rPr>
            </w:pPr>
            <w:r>
              <w:rPr>
                <w:rFonts w:ascii="Times New Roman" w:cs="Times New Roman" w:eastAsia="Times New Roman" w:hAnsi="Times New Roman"/>
                <w:sz w:val="18"/>
                <w:szCs w:val="18"/>
                <w:color w:val="auto"/>
                <w:w w:val="99"/>
              </w:rPr>
              <w:t>Did Not</w:t>
            </w:r>
          </w:p>
        </w:tc>
        <w:tc>
          <w:tcPr>
            <w:tcW w:w="0" w:type="dxa"/>
            <w:vAlign w:val="bottom"/>
          </w:tcPr>
          <w:p>
            <w:pPr>
              <w:spacing w:after="0"/>
              <w:rPr>
                <w:sz w:val="1"/>
                <w:szCs w:val="1"/>
                <w:color w:val="auto"/>
              </w:rPr>
            </w:pPr>
          </w:p>
        </w:tc>
      </w:tr>
      <w:tr>
        <w:trPr>
          <w:trHeight w:val="94"/>
        </w:trPr>
        <w:tc>
          <w:tcPr>
            <w:tcW w:w="780" w:type="dxa"/>
            <w:vAlign w:val="bottom"/>
            <w:tcBorders>
              <w:right w:val="single" w:sz="8" w:color="auto"/>
            </w:tcBorders>
          </w:tcPr>
          <w:p>
            <w:pPr>
              <w:spacing w:after="0"/>
              <w:rPr>
                <w:sz w:val="8"/>
                <w:szCs w:val="8"/>
                <w:color w:val="auto"/>
              </w:rPr>
            </w:pPr>
          </w:p>
        </w:tc>
        <w:tc>
          <w:tcPr>
            <w:tcW w:w="59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Female</w:t>
            </w:r>
          </w:p>
        </w:tc>
        <w:tc>
          <w:tcPr>
            <w:tcW w:w="740" w:type="dxa"/>
            <w:vAlign w:val="bottom"/>
            <w:vMerge w:val="restart"/>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7"/>
              </w:rPr>
              <w:t>Male</w:t>
            </w:r>
          </w:p>
        </w:tc>
        <w:tc>
          <w:tcPr>
            <w:tcW w:w="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Disclose</w:t>
            </w:r>
          </w:p>
        </w:tc>
        <w:tc>
          <w:tcPr>
            <w:tcW w:w="0" w:type="dxa"/>
            <w:vAlign w:val="bottom"/>
          </w:tcPr>
          <w:p>
            <w:pPr>
              <w:spacing w:after="0"/>
              <w:rPr>
                <w:sz w:val="1"/>
                <w:szCs w:val="1"/>
                <w:color w:val="auto"/>
              </w:rPr>
            </w:pPr>
          </w:p>
        </w:tc>
      </w:tr>
      <w:tr>
        <w:trPr>
          <w:trHeight w:val="95"/>
        </w:trPr>
        <w:tc>
          <w:tcPr>
            <w:tcW w:w="780" w:type="dxa"/>
            <w:vAlign w:val="bottom"/>
            <w:tcBorders>
              <w:right w:val="single" w:sz="8" w:color="auto"/>
            </w:tcBorders>
          </w:tcPr>
          <w:p>
            <w:pPr>
              <w:spacing w:after="0"/>
              <w:rPr>
                <w:sz w:val="8"/>
                <w:szCs w:val="8"/>
                <w:color w:val="auto"/>
              </w:rPr>
            </w:pPr>
          </w:p>
        </w:tc>
        <w:tc>
          <w:tcPr>
            <w:tcW w:w="59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Binary</w:t>
            </w: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780" w:type="dxa"/>
            <w:vAlign w:val="bottom"/>
            <w:tcBorders>
              <w:right w:val="single" w:sz="8" w:color="auto"/>
            </w:tcBorders>
          </w:tcPr>
          <w:p>
            <w:pPr>
              <w:spacing w:after="0"/>
              <w:rPr>
                <w:sz w:val="12"/>
                <w:szCs w:val="12"/>
                <w:color w:val="auto"/>
              </w:rPr>
            </w:pPr>
          </w:p>
        </w:tc>
        <w:tc>
          <w:tcPr>
            <w:tcW w:w="5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Gender</w:t>
            </w:r>
          </w:p>
        </w:tc>
        <w:tc>
          <w:tcPr>
            <w:tcW w:w="0" w:type="dxa"/>
            <w:vAlign w:val="bottom"/>
          </w:tcPr>
          <w:p>
            <w:pPr>
              <w:spacing w:after="0"/>
              <w:rPr>
                <w:sz w:val="1"/>
                <w:szCs w:val="1"/>
                <w:color w:val="auto"/>
              </w:rPr>
            </w:pPr>
          </w:p>
        </w:tc>
      </w:tr>
      <w:tr>
        <w:trPr>
          <w:trHeight w:val="94"/>
        </w:trPr>
        <w:tc>
          <w:tcPr>
            <w:tcW w:w="780" w:type="dxa"/>
            <w:vAlign w:val="bottom"/>
            <w:tcBorders>
              <w:right w:val="single" w:sz="8" w:color="auto"/>
            </w:tcBorders>
          </w:tcPr>
          <w:p>
            <w:pPr>
              <w:spacing w:after="0"/>
              <w:rPr>
                <w:sz w:val="8"/>
                <w:szCs w:val="8"/>
                <w:color w:val="auto"/>
              </w:rPr>
            </w:pPr>
          </w:p>
        </w:tc>
        <w:tc>
          <w:tcPr>
            <w:tcW w:w="59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000" w:type="dxa"/>
            <w:vAlign w:val="bottom"/>
            <w:tcBorders>
              <w:bottom w:val="single" w:sz="8" w:color="auto"/>
              <w:right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right w:val="single" w:sz="8" w:color="CFF0FC"/>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spacing w:after="0"/>
              <w:rPr>
                <w:sz w:val="18"/>
                <w:szCs w:val="18"/>
                <w:color w:val="auto"/>
              </w:rPr>
            </w:pPr>
          </w:p>
        </w:tc>
        <w:tc>
          <w:tcPr>
            <w:tcW w:w="96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000" w:type="dxa"/>
            <w:vAlign w:val="bottom"/>
            <w:tcBorders>
              <w:bottom w:val="single" w:sz="8" w:color="auto"/>
              <w:right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right w:val="single" w:sz="8" w:color="CFF0FC"/>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spacing w:after="0"/>
              <w:rPr>
                <w:sz w:val="18"/>
                <w:szCs w:val="18"/>
                <w:color w:val="auto"/>
              </w:rPr>
            </w:pPr>
          </w:p>
        </w:tc>
        <w:tc>
          <w:tcPr>
            <w:tcW w:w="96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LGBTQ+</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Proceedings</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Neither we nor any of our subsidiaries are party to any material proceedings to which any of our directors, officers, affiliates, 5% or more shareholders, or any of their respective associates are a party. We do not believe that any of our directors, officers, affiliates, 5% or more shareholders, or any of their respective associates are adverse to us or any of our subsidiaries or have a material interest that is adverse to us or any of our subsidiaries.</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of which are reviewed on an annual basis by the applicable committee and the Board of Directors. Each committee charter is posted on our website, www.tangotx.com, under the “Governance” subsection of the “Investors” section. The current members of our audit committee are Lesley Calhoun, Mace Rothenberg and Alexis Borisy, and Lesley Calhoun serves as the chairperson of the audit committee. The current members of our compensation committee are Malte Peters, Mace Rothenberg and Alexis Borisy, and Malte Peters is the chairperson of the compensation committee. The current members of our nominating and corporate governance committee are Reid Huber, Aaron Davis, and Lesley Calhoun, and Reid Huber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spacing w:after="0" w:line="18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From the closing of the Business Combination on August 10, 2021, until December 31, 2021, our Board of Directors held two meetings. Between the closing of the Business Combination on August 10, 2021 and December 31, 2021,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audit committee currently consists of Lesley Calhoun, Mace Rothenberg and Alexis Borisy. Our board has determined that each member of our audit committee is independent under Nasdaq listing standards and Rule 10A-3(b)(1) under the Exchange Act. The chairperson of the audit committee is Lesley Calhoun. Our board has determined that Lesley Calhoun is an “audit committee financial expert” within the meaning of SEC regulations. Ms. Calhoun has been nominated for election as a Class I Director at the Annual Meeting to serve until the 2025 next annual meeting of shareholders and until her successor has been duly elected and qualified.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and the nature of their employment in the corporate finance sector. The audit committee held two meetings from closing of the Business Combination through December 31, 2021.</w:t>
      </w:r>
    </w:p>
    <w:p>
      <w:pPr>
        <w:spacing w:after="0" w:line="18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•helping our board of directors oversee corporate accounting and financial reporting processes;</w:t>
      </w:r>
    </w:p>
    <w:p>
      <w:pPr>
        <w:spacing w:after="0" w:line="104" w:lineRule="exact"/>
        <w:rPr>
          <w:sz w:val="20"/>
          <w:szCs w:val="20"/>
          <w:color w:val="auto"/>
        </w:rPr>
      </w:pPr>
    </w:p>
    <w:p>
      <w:pPr>
        <w:ind w:left="520" w:right="1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and qualifications of a qualified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03" w:lineRule="exact"/>
        <w:rPr>
          <w:rFonts w:ascii="Times New Roman" w:cs="Times New Roman" w:eastAsia="Times New Roman" w:hAnsi="Times New Roman"/>
          <w:sz w:val="18"/>
          <w:szCs w:val="18"/>
          <w:color w:val="auto"/>
        </w:rPr>
      </w:pPr>
    </w:p>
    <w:p>
      <w:pPr>
        <w:ind w:left="520" w:righ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03"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financial risk assessment and financial risk management, as well as discussing with management the guidelines and policies that govern the process by which the Company's exposure to risk is assessed and managed by management;</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0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520" w:right="4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Our compensation committee currently consists of Malte Peters, Mace Rothenberg and Alexis Borisy. Our board has determined each member of our compensation committee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two meetings from closing of the Business Combination through December 31, 2021.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104"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 and senior management;</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17"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54" w:lineRule="exact"/>
        <w:rPr>
          <w:rFonts w:ascii="Times New Roman" w:cs="Times New Roman" w:eastAsia="Times New Roman" w:hAnsi="Times New Roman"/>
          <w:sz w:val="18"/>
          <w:szCs w:val="18"/>
          <w:color w:val="auto"/>
        </w:rPr>
      </w:pPr>
    </w:p>
    <w:p>
      <w:pPr>
        <w:ind w:left="520" w:right="2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amending and terminating, or recommending that our board approve, amend or terminate, incentive compensation and equity plans, severance agreements, change-of-control protections and any other compensatory arrangements for our executive officers and other senior management, as appropriate;</w:t>
      </w:r>
    </w:p>
    <w:p>
      <w:pPr>
        <w:spacing w:after="0" w:line="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1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during the prior three years been one of our officers or employees. None of our named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Reid Huber, Aaron Davis, and Lesley Calhoun. Our board has determined each member is independent under Nasdaq listing standards. The chairperson of the nominating and corporate governance committee is Reid Huber. Mr. Huber has been nominated for election as a Class I Director at the Annual Meeting to serve until the 2025 next annual meeting of shareholders and until her successor has been duly elected and qualified. The nominating and corporate governance committee did not meet during the period from closing of the Business Combination through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04"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approve, nominees for election to our board;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and of individual directors;</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financial risk exposures and the steps our management will take to monitor and control such exposures, including</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the Roles of Chairman and CEO</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chosen to separate the roles of Chairman of the Board, held by Alexis Borisy, and Chief Executive Officer, Barbara Weber. The Board believes that separating these roles is the most appropriate structure for Tango.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Current Report on Form 8-K with the SEC, disclosing such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considering candidates for Board membership, the Nominating and Corporate Governance Committee considers recommendations by: Nominating and Corporate Governance Committee members and other Board members; management; our shareholders; third-party search firms; and any other appropriate sources. If a shareholder submits a nominee, the Nominating and Corporate Governance Committee will evaluate the qualifications of such shareholder nominee using the same selection criteria the Committee uses to evaluate other potential nominees. Our by-laws contain provisions addressing the process by which a shareholder may recommend a person for consideration as a nominee for director at an annual meeting.</w:t>
      </w:r>
    </w:p>
    <w:p>
      <w:pPr>
        <w:spacing w:after="0" w:line="20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(the Annual Meeting on June 8, 2022 will be the first annual meeting for Tango)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spacing w:after="0" w:line="22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the terms of its charter, the Nominating and Corporate Governance Committee requires the following qualifications to be satisfied by any nominee for a position on the Board:</w:t>
      </w:r>
    </w:p>
    <w:p>
      <w:pPr>
        <w:spacing w:after="0" w:line="5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5540" w:right="2620" w:hanging="5532"/>
        <w:spacing w:after="0" w:line="391" w:lineRule="auto"/>
        <w:tabs>
          <w:tab w:leader="none" w:pos="5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members of the existing Board;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10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director and a commitment to devote the time and energy necessary to perform those responsibilities.</w:t>
      </w:r>
    </w:p>
    <w:p>
      <w:pPr>
        <w:spacing w:after="0" w:line="20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4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or the chair of our Board, by submitting a written communication to the attention of such director at the following address:</w:t>
      </w:r>
    </w:p>
    <w:p>
      <w:pPr>
        <w:spacing w:after="0" w:line="13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100 Binney Street, Suite 700</w:t>
      </w:r>
    </w:p>
    <w:p>
      <w:pPr>
        <w:jc w:val="center"/>
        <w:ind w:right="-19"/>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Tango’s legal counsel and a copy of such communication may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spacing w:after="0" w:line="20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21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 toll-free telephone number for the reporting of such activity, which is 1-855-495-2758.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Efforts</w:t>
      </w:r>
    </w:p>
    <w:p>
      <w:pPr>
        <w:spacing w:after="0" w:line="270"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8"/>
          <w:szCs w:val="18"/>
          <w:color w:val="auto"/>
        </w:rPr>
        <w:t>As we continue to grow and progress as a company, we are committed to increasing our impact on social and environmental issues that affect our stakeholders, which include our future patients, our stockholders, our community and our employees. An area of focus for our board and management is oversight of such environmental, social and governance, or ESG, efforts across our organization and as a part of our overall strategy as we grow as a company. Our Nominating and Corporate Governance Committee has primary oversight over our ESG efforts, as reflected in a recent amendment to the Nominating and Corporate Governance Committee charter.</w:t>
      </w:r>
    </w:p>
    <w:p>
      <w:pPr>
        <w:spacing w:after="0" w:line="2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goal is to make the world healthier and improve the lives of patients by developing solutions in drug discovery, cancer biology, functional genomics and translational medicine pursuing the bold goal of tackling the genetic complexity of cancer.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table below identifies and sets forth certain information regarding our executive officers as of April 11, 2022. Officer service dates in the table below and elsewhere in this proxy statement reflect, where applicable, the periods such officer commenced employment with Tango prior to the completion of the Business Combination (as described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6"/>
                <w:szCs w:val="16"/>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Current Position Since</w:t>
            </w:r>
          </w:p>
        </w:tc>
      </w:tr>
      <w:tr>
        <w:trPr>
          <w:trHeight w:val="196"/>
        </w:trPr>
        <w:tc>
          <w:tcPr>
            <w:tcW w:w="2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87"/>
              </w:rPr>
              <w:t>65</w:t>
            </w:r>
          </w:p>
        </w:tc>
        <w:tc>
          <w:tcPr>
            <w:tcW w:w="200" w:type="dxa"/>
            <w:vAlign w:val="bottom"/>
            <w:shd w:val="clear" w:color="auto" w:fill="CCECFF"/>
          </w:tcPr>
          <w:p>
            <w:pPr>
              <w:spacing w:after="0"/>
              <w:rPr>
                <w:sz w:val="17"/>
                <w:szCs w:val="17"/>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60" w:type="dxa"/>
            <w:vAlign w:val="bottom"/>
            <w:shd w:val="clear" w:color="auto" w:fill="CCECFF"/>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2017</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Daniella Beckman</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43</w:t>
            </w:r>
          </w:p>
        </w:tc>
        <w:tc>
          <w:tcPr>
            <w:tcW w:w="200" w:type="dxa"/>
            <w:vAlign w:val="bottom"/>
          </w:tcPr>
          <w:p>
            <w:pPr>
              <w:spacing w:after="0"/>
              <w:rPr>
                <w:sz w:val="17"/>
                <w:szCs w:val="17"/>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16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September 2019</w:t>
            </w:r>
          </w:p>
        </w:tc>
      </w:tr>
      <w:tr>
        <w:trPr>
          <w:trHeight w:val="203"/>
        </w:trPr>
        <w:tc>
          <w:tcPr>
            <w:tcW w:w="2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Alan Huang, Ph.D.</w:t>
            </w:r>
          </w:p>
        </w:tc>
        <w:tc>
          <w:tcPr>
            <w:tcW w:w="1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87"/>
              </w:rPr>
              <w:t>49</w:t>
            </w:r>
          </w:p>
        </w:tc>
        <w:tc>
          <w:tcPr>
            <w:tcW w:w="200" w:type="dxa"/>
            <w:vAlign w:val="bottom"/>
            <w:shd w:val="clear" w:color="auto" w:fill="CCECFF"/>
          </w:tcPr>
          <w:p>
            <w:pPr>
              <w:spacing w:after="0"/>
              <w:rPr>
                <w:sz w:val="17"/>
                <w:szCs w:val="17"/>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60" w:type="dxa"/>
            <w:vAlign w:val="bottom"/>
            <w:shd w:val="clear" w:color="auto" w:fill="CCECFF"/>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2018</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 Rudoltz, M.D.</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58</w:t>
            </w:r>
          </w:p>
        </w:tc>
        <w:tc>
          <w:tcPr>
            <w:tcW w:w="200" w:type="dxa"/>
            <w:vAlign w:val="bottom"/>
          </w:tcPr>
          <w:p>
            <w:pPr>
              <w:spacing w:after="0"/>
              <w:rPr>
                <w:sz w:val="17"/>
                <w:szCs w:val="17"/>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c>
          <w:tcPr>
            <w:tcW w:w="16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October 2021</w:t>
            </w: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Douglas Barry</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52</w:t>
            </w:r>
          </w:p>
        </w:tc>
        <w:tc>
          <w:tcPr>
            <w:tcW w:w="200" w:type="dxa"/>
            <w:vAlign w:val="bottom"/>
            <w:shd w:val="clear" w:color="auto" w:fill="CCEEFF"/>
          </w:tcPr>
          <w:p>
            <w:pPr>
              <w:spacing w:after="0"/>
              <w:rPr>
                <w:sz w:val="17"/>
                <w:szCs w:val="17"/>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Counsel, Chief Compliance Officer and Corporate Secretary</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2021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section of this Proxy Statement captioned "—Class III Directors Continuing in Office Until the 2024 Annual Meeting" for Dr. Weber's biography.</w:t>
      </w:r>
    </w:p>
    <w:p>
      <w:pPr>
        <w:spacing w:after="0" w:line="21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Daniella Beckman </w:t>
      </w:r>
      <w:r>
        <w:rPr>
          <w:rFonts w:ascii="Times New Roman" w:cs="Times New Roman" w:eastAsia="Times New Roman" w:hAnsi="Times New Roman"/>
          <w:sz w:val="18"/>
          <w:szCs w:val="18"/>
          <w:color w:val="auto"/>
        </w:rPr>
        <w:t>has served as our Chief Financial Officer since September 2019 and served as our interim Chief Financial Officer from October 2016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2019. Prior to joining us,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has served on the board of directors of Translate Bio, Inc., a clinical-stage mRNA therapeutics company, since October 2017, and currently serves on the board of directors of Vor Biopharma Inc. (NASDAQ: VOR), a cell therapies company, since July 2020, on the board of directors of 5:01 Acquisition Corp (NASDAQ: FVAM), a special purpose acquisition company, since October 2020, and on the board of directors of Blueprint Medicines Corporation (NASDAQ: BPMC), a global precision therapy company, since December 2021. Ms. Beckman holds a B.S. in business administration-accounting from Boston University.</w:t>
      </w:r>
    </w:p>
    <w:p>
      <w:pPr>
        <w:spacing w:after="0" w:line="19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i w:val="1"/>
          <w:iCs w:val="1"/>
          <w:color w:val="auto"/>
        </w:rPr>
        <w:t>Alan Huang, Ph.D</w:t>
      </w:r>
      <w:r>
        <w:rPr>
          <w:rFonts w:ascii="Times New Roman" w:cs="Times New Roman" w:eastAsia="Times New Roman" w:hAnsi="Times New Roman"/>
          <w:sz w:val="17"/>
          <w:szCs w:val="17"/>
          <w:color w:val="auto"/>
        </w:rPr>
        <w:t>., has served as our Chief Scientific Officer since April 2018. Before being appointed as Chief Scientific Officer, Dr. Huang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Senior Vice President, Head of Biology. From 2016 to 2017, he served as a consultant at Third Rock Ventures. Previously, Dr. Huang was Senior Director and interim Global Head of Oncology Translational Research at Novartis Institute for Biomedical Research. Prior to joining Novartis, Dr. Huang was a senior scientist at Millennium Pharmaceuticals, Inc. Dr. Huang obtained his B.S. in biochemistry from Fudan University and his doctorate in biochemistry</w:t>
      </w:r>
    </w:p>
    <w:p>
      <w:pPr>
        <w:spacing w:after="0" w:line="2" w:lineRule="exact"/>
        <w:rPr>
          <w:sz w:val="20"/>
          <w:szCs w:val="20"/>
          <w:color w:val="auto"/>
        </w:rPr>
      </w:pPr>
    </w:p>
    <w:p>
      <w:pPr>
        <w:ind w:right="520" w:firstLine="8"/>
        <w:spacing w:after="0" w:line="243" w:lineRule="auto"/>
        <w:tabs>
          <w:tab w:leader="none" w:pos="1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biology from the University of South Alabama. He completed a postdoctoral fellowship at Schepen’s Eye Research Institute of Harvard Medical School.</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Marc Rudoltz, M.D. </w:t>
      </w:r>
      <w:r>
        <w:rPr>
          <w:rFonts w:ascii="Times New Roman" w:cs="Times New Roman" w:eastAsia="Times New Roman" w:hAnsi="Times New Roman"/>
          <w:sz w:val="17"/>
          <w:szCs w:val="17"/>
          <w:color w:val="auto"/>
        </w:rPr>
        <w:t>has served as our Chief Medical Officer since October 2021. From December 2012 through October 2021, Dr. Rudoltz was the founder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served as the principal of MSR Healthcare Consultants LLC, which provides clinical, regulatory, business development, and organizational (executive) management support to companies in the pharmaceutical and biotechnology industry. In his capacity as principal at MSR Healthcare Consultants, Dr.</w:t>
      </w:r>
    </w:p>
    <w:p>
      <w:pPr>
        <w:spacing w:after="0" w:line="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Rudoltz served as interim Chief Medical Officer for a number of companies including Deciphera Pharmaceuticals, and Constellation Pharmaceuticals and as a clinical consultant for Blueprint Medicines. Prior to December 2012, he worked in clinical development roles for several companies, including Novartis where he played a role in the development and commercialization of imatinib (Gleevec®) and nilotinib (Tasigna®). Dr. Rudoltz obtained his B.S. in Chemical Biology from the Massachusetts Institute of Technology and M.D. from SUNY-Upstate Medical University. He completed his residency training in Radiation Oncology at Thomas Jefferson University followed by fellowship training in Cancer Biology at the University of Pennsylvania.</w:t>
      </w:r>
    </w:p>
    <w:p>
      <w:pPr>
        <w:spacing w:after="0" w:line="18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Douglas Barry </w:t>
      </w:r>
      <w:r>
        <w:rPr>
          <w:rFonts w:ascii="Times New Roman" w:cs="Times New Roman" w:eastAsia="Times New Roman" w:hAnsi="Times New Roman"/>
          <w:sz w:val="18"/>
          <w:szCs w:val="18"/>
          <w:color w:val="auto"/>
        </w:rPr>
        <w:t>has served as our General Counsel, Chief Compliance Officer and Corporate Secretary since August 2021. Mr. Barry has been practicing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for over 20 years, and joins Tango from Alexion Pharmaceuticals, a biopharmaceutical company the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March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our Chief Executive Officer and President and our other executive officers identified in the Summary Compensation Table below, who we refer to as the named executive officers, has consisted of a combination of base salary, bonuses and long-term incentive compensation in the form of stock options to purchase shares of our common stock. The Company awarded restricted stock to certain executives in 2017, and the restrictions on such awards have lapsed. Our named executive officers who are full-time employees, like all other full-time employees, are eligible to participate in our retirement and health and welfare benefit plans. As a publicly traded company, we plan to evaluate our compensation values and philosophy and compensation plans and arrangements as circumstances merit. At a minimum, we expect to review executive compensation annually with input from an independent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8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Tango has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 This is based on our innovative approach to target drug-discovery using synthetic lethality and our innovative capabilities and expertise in drug discovery, research and drug development. Building a management team to provide structure and direction will require retaining talent with proven leadership and results, extensive technical expertise, broad experience in building and constructing a drug development and commercialization organization, all the while establishing the broader vision of improving care and therapeutic options for cancer patients. Attracting, recruiting and hiring talent who have the requisite skill set, background and track record to lead and manage a growing business in a competitive environment is one of our primary goals.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Our compensation philosophy is focused on building a world-class research and development organization with deep experience and understanding in synthetic lethality in order that we may identify novel targets and develop new drugs directed at tumor suppressor gene loss in defined patient populations with high unmet medical need. Attracting and retaining executives and employees that position Tango to meet these objectives, particularly as we move toward initiating a Phase 1/2 clinical trial for TNG908 in the second quarter of 2022 (following the FDA's clearance of the IND application in the first quarter of 2022), is a paramount goal of the Company's compensation program. By building a talented and motivated organization around extraordinary leaders, we believe we can advance our product candidates, grow our pipeline and, ultimately, drive long-term and sustainable stockholder value creation.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Tango's compensation programs are designed by our Compensation Committee and our Board of Directors around the following imperatives:</w:t>
      </w:r>
    </w:p>
    <w:p>
      <w:pPr>
        <w:spacing w:after="0" w:line="113" w:lineRule="exact"/>
        <w:rPr>
          <w:sz w:val="20"/>
          <w:szCs w:val="20"/>
          <w:color w:val="auto"/>
        </w:rPr>
      </w:pPr>
    </w:p>
    <w:p>
      <w:pPr>
        <w:ind w:left="1020" w:right="440" w:hanging="503"/>
        <w:spacing w:after="0" w:line="252"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Attract, Retain and Incentivize</w:t>
      </w:r>
      <w:r>
        <w:rPr>
          <w:rFonts w:ascii="Times New Roman" w:cs="Times New Roman" w:eastAsia="Times New Roman" w:hAnsi="Times New Roman"/>
          <w:sz w:val="18"/>
          <w:szCs w:val="18"/>
          <w:color w:val="auto"/>
        </w:rPr>
        <w:t>: We are committed to attracting and retaining industry-leading talented individuals and designing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programs and pay-outs that incentivize our employees to achieve rigorous corporate and individual objectives that are important to our long-term business and success.</w:t>
      </w:r>
    </w:p>
    <w:p>
      <w:pPr>
        <w:spacing w:after="0" w:line="63" w:lineRule="exact"/>
        <w:rPr>
          <w:rFonts w:ascii="Times New Roman" w:cs="Times New Roman" w:eastAsia="Times New Roman" w:hAnsi="Times New Roman"/>
          <w:sz w:val="14"/>
          <w:szCs w:val="14"/>
          <w:color w:val="auto"/>
        </w:rPr>
      </w:pPr>
    </w:p>
    <w:p>
      <w:pPr>
        <w:ind w:left="1020" w:right="140" w:hanging="503"/>
        <w:spacing w:after="0" w:line="260"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Performance-based compensation pay-outs</w:t>
      </w:r>
      <w:r>
        <w:rPr>
          <w:rFonts w:ascii="Times New Roman" w:cs="Times New Roman" w:eastAsia="Times New Roman" w:hAnsi="Times New Roman"/>
          <w:sz w:val="18"/>
          <w:szCs w:val="18"/>
          <w:color w:val="auto"/>
        </w:rPr>
        <w:t>: Rewarding performance is the keystone of our total compensation program. In 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program, performance is measured by research and development advances, operating and strategic and individual contributions. The amount actually earned is scaled with the achievement of these performance metrics.</w:t>
      </w:r>
    </w:p>
    <w:p>
      <w:pPr>
        <w:spacing w:after="0" w:line="56" w:lineRule="exact"/>
        <w:rPr>
          <w:rFonts w:ascii="Times New Roman" w:cs="Times New Roman" w:eastAsia="Times New Roman" w:hAnsi="Times New Roman"/>
          <w:sz w:val="14"/>
          <w:szCs w:val="14"/>
          <w:color w:val="auto"/>
        </w:rPr>
      </w:pPr>
    </w:p>
    <w:p>
      <w:pPr>
        <w:ind w:left="1020" w:right="200" w:hanging="503"/>
        <w:spacing w:after="0" w:line="260"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Compensation structure competitive with peers</w:t>
      </w:r>
      <w:r>
        <w:rPr>
          <w:rFonts w:ascii="Times New Roman" w:cs="Times New Roman" w:eastAsia="Times New Roman" w:hAnsi="Times New Roman"/>
          <w:sz w:val="18"/>
          <w:szCs w:val="18"/>
          <w:color w:val="auto"/>
        </w:rPr>
        <w:t>: We believe that compensation paid by our peer companies matters when we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compensation. We evaluate the practices of our peers to validate that we are competitive with other companies with whom we compete for talent.</w:t>
      </w:r>
    </w:p>
    <w:p>
      <w:pPr>
        <w:spacing w:after="0" w:line="56" w:lineRule="exact"/>
        <w:rPr>
          <w:rFonts w:ascii="Times New Roman" w:cs="Times New Roman" w:eastAsia="Times New Roman" w:hAnsi="Times New Roman"/>
          <w:sz w:val="14"/>
          <w:szCs w:val="14"/>
          <w:color w:val="auto"/>
        </w:rPr>
      </w:pPr>
    </w:p>
    <w:p>
      <w:pPr>
        <w:ind w:left="1020" w:right="180" w:hanging="503"/>
        <w:spacing w:after="0" w:line="252"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Balanced combination of compensation components</w:t>
      </w:r>
      <w:r>
        <w:rPr>
          <w:rFonts w:ascii="Times New Roman" w:cs="Times New Roman" w:eastAsia="Times New Roman" w:hAnsi="Times New Roman"/>
          <w:sz w:val="18"/>
          <w:szCs w:val="18"/>
          <w:color w:val="auto"/>
        </w:rPr>
        <w:t>: We strive for an appropriate balance between cash and equity incentives.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rationale being that annual cash incentive motivates individuals to successfully execute on short-term financial and strategic objectives and equity incentives focus executives on the long-term success of the organization and align the interests of our executives with those of our stockholders.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w:t>
      </w:r>
    </w:p>
    <w:p>
      <w:pPr>
        <w:spacing w:after="0" w:line="21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The following table shows the total compensation awarded to, earned by, or paid to during the years ended December 31, 2021 and 2020 to (1) our principal executive officer, (2) our two next most highly compensated executive officers who earned more than $100,000 during the fiscal year ended December 31, 2021 and were serving as executive officers as of such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or the NEOs, for 2021 who appear in the Summary Compensation Table are:</w:t>
      </w:r>
    </w:p>
    <w:p>
      <w:pPr>
        <w:spacing w:after="0" w:line="11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 M.D., our President and Chief Executive Officer</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Daniella Beckman, our Chief Financial Officer; and</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Huang, Ph.D., our Chief Scientific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Option Awards(7)</w:t>
            </w:r>
          </w:p>
        </w:tc>
        <w:tc>
          <w:tcPr>
            <w:tcW w:w="36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Non-Equity Incentive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1"/>
                <w:szCs w:val="11"/>
                <w:color w:val="auto"/>
              </w:rPr>
            </w:pPr>
          </w:p>
        </w:tc>
        <w:tc>
          <w:tcPr>
            <w:tcW w:w="5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Year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Salary(1) ($)</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7"/>
              </w:rPr>
              <w:t>Plan Compensation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Compensation ($)</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Barbara Weber, M.D.(6)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513,685</w:t>
            </w:r>
          </w:p>
        </w:tc>
        <w:tc>
          <w:tcPr>
            <w:tcW w:w="280" w:type="dxa"/>
            <w:vAlign w:val="bottom"/>
            <w:shd w:val="clear" w:color="auto" w:fill="CCEEFF"/>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10,719,769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277,910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4,609</w:t>
            </w:r>
          </w:p>
        </w:tc>
        <w:tc>
          <w:tcPr>
            <w:tcW w:w="360" w:type="dxa"/>
            <w:vAlign w:val="bottom"/>
            <w:shd w:val="clear" w:color="auto" w:fill="CCEEFF"/>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2"/>
              </w:rPr>
              <w:t>(10)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11,515,974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w w:val="97"/>
              </w:rPr>
              <w:t>President, Chief Executive Officer and Director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3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491,617</w:t>
            </w: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227,622</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226,194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12,788</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(11)</w:t>
            </w: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958,221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Daniella Beckman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2021</w:t>
            </w:r>
          </w:p>
        </w:tc>
        <w:tc>
          <w:tcPr>
            <w:tcW w:w="34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377,945</w:t>
            </w:r>
          </w:p>
        </w:tc>
        <w:tc>
          <w:tcPr>
            <w:tcW w:w="2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(3)</w:t>
            </w:r>
          </w:p>
        </w:tc>
        <w:tc>
          <w:tcPr>
            <w:tcW w:w="920" w:type="dxa"/>
            <w:vAlign w:val="bottom"/>
            <w:gridSpan w:val="2"/>
          </w:tcPr>
          <w:p>
            <w:pPr>
              <w:jc w:val="right"/>
              <w:ind w:right="6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2,630,841</w:t>
            </w:r>
          </w:p>
        </w:tc>
        <w:tc>
          <w:tcPr>
            <w:tcW w:w="36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164,562</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3,317</w:t>
            </w:r>
          </w:p>
        </w:tc>
        <w:tc>
          <w:tcPr>
            <w:tcW w:w="36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2"/>
              </w:rPr>
              <w:t>(12)</w:t>
            </w:r>
          </w:p>
        </w:tc>
        <w:tc>
          <w:tcPr>
            <w:tcW w:w="280" w:type="dxa"/>
            <w:vAlign w:val="bottom"/>
            <w:gridSpan w:val="2"/>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3,176,664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3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323,447</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920" w:type="dxa"/>
            <w:vAlign w:val="bottom"/>
            <w:gridSpan w:val="2"/>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368,323</w:t>
            </w:r>
          </w:p>
        </w:tc>
        <w:tc>
          <w:tcPr>
            <w:tcW w:w="3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131,828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10,776</w:t>
            </w:r>
          </w:p>
        </w:tc>
        <w:tc>
          <w:tcPr>
            <w:tcW w:w="3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(13)</w:t>
            </w: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834,374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Alan Huang, Ph.D.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3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394,793</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920" w:type="dxa"/>
            <w:vAlign w:val="bottom"/>
            <w:gridSpan w:val="2"/>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1,649,121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3,396</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(14)</w:t>
            </w: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2,215,657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Chief Scientific Officer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3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373,806</w:t>
            </w: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70,566</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9,376</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(15)</w:t>
            </w: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589,517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 represents actual amounts paid during year noted. See “— Narrative to the Summary Compensation Table —Base Salaries” below.</w:t>
      </w:r>
    </w:p>
    <w:p>
      <w:pPr>
        <w:spacing w:after="0" w:line="15" w:lineRule="exact"/>
        <w:rPr>
          <w:rFonts w:ascii="Times New Roman" w:cs="Times New Roman" w:eastAsia="Times New Roman" w:hAnsi="Times New Roman"/>
          <w:sz w:val="18"/>
          <w:szCs w:val="18"/>
          <w:color w:val="auto"/>
        </w:rPr>
      </w:pPr>
    </w:p>
    <w:p>
      <w:pPr>
        <w:ind w:left="460" w:right="120" w:hanging="452"/>
        <w:spacing w:after="0" w:line="241"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Weber earned a base salary of $506,479 for the period between January 1, 2021 and August 10, 2021. Upon the closing of Business Combination (as such term is defined in the 2021 Annual Report) on August 10, 2021, her salary was increased to $526,000.</w:t>
      </w:r>
    </w:p>
    <w:p>
      <w:pPr>
        <w:spacing w:after="0" w:line="1" w:lineRule="exact"/>
        <w:rPr>
          <w:rFonts w:ascii="Times New Roman" w:cs="Times New Roman" w:eastAsia="Times New Roman" w:hAnsi="Times New Roman"/>
          <w:sz w:val="18"/>
          <w:szCs w:val="18"/>
          <w:color w:val="auto"/>
        </w:rPr>
      </w:pPr>
    </w:p>
    <w:p>
      <w:pPr>
        <w:ind w:left="460" w:right="780" w:hanging="452"/>
        <w:spacing w:after="0" w:line="235"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Beckman earned a base salary of $370,800 for the period between January 1, 2021 and August 10, 2021. Upon the closing of Business Combination on August 10, 2021, her salary was increased to $390,000.</w:t>
      </w:r>
    </w:p>
    <w:p>
      <w:pPr>
        <w:spacing w:after="0" w:line="1" w:lineRule="exact"/>
        <w:rPr>
          <w:rFonts w:ascii="Times New Roman" w:cs="Times New Roman" w:eastAsia="Times New Roman" w:hAnsi="Times New Roman"/>
          <w:sz w:val="18"/>
          <w:szCs w:val="18"/>
          <w:color w:val="auto"/>
        </w:rPr>
      </w:pPr>
    </w:p>
    <w:p>
      <w:pPr>
        <w:jc w:val="both"/>
        <w:ind w:left="460" w:hanging="452"/>
        <w:spacing w:after="0"/>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w:t>
      </w:r>
    </w:p>
    <w:p>
      <w:pPr>
        <w:ind w:left="460" w:right="80" w:hanging="452"/>
        <w:spacing w:after="0" w:line="242"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Huang earned a base salary of $385,107 for the period between January 1, 2021 and August 10, 2021. Upon the closing of Business Combination on August 10, 2021, his salary was increased to $411,000.</w:t>
      </w:r>
    </w:p>
    <w:p>
      <w:pPr>
        <w:spacing w:after="0" w:line="1" w:lineRule="exact"/>
        <w:rPr>
          <w:rFonts w:ascii="Times New Roman" w:cs="Times New Roman" w:eastAsia="Times New Roman" w:hAnsi="Times New Roman"/>
          <w:sz w:val="18"/>
          <w:szCs w:val="18"/>
          <w:color w:val="auto"/>
        </w:rPr>
      </w:pPr>
    </w:p>
    <w:p>
      <w:pPr>
        <w:ind w:left="400" w:hanging="392"/>
        <w:spacing w:after="0" w:line="234"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Weber also serves as a member of our board of directors but does not receive any additional compensation for her service as a director.</w:t>
      </w:r>
    </w:p>
    <w:p>
      <w:pPr>
        <w:ind w:left="460" w:right="100" w:hanging="452"/>
        <w:spacing w:after="0" w:line="242"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fiscal years 2021 and 2020 computed in accordance with Financial Accounting Standards Board Accounting Standards Codification Topic 718, or ASC Topic 718, for share-based compensation transactions. These amounts do not reflect the actual economic value that will be realized by the named executive officer upon the vesting of the share options, the exercise of the share options or the sale of the common shares underlying such share options.</w:t>
      </w:r>
    </w:p>
    <w:p>
      <w:pPr>
        <w:ind w:left="400" w:hanging="392"/>
        <w:spacing w:after="0" w:line="236"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include an increase to Mrs. Beckman’s stock options to reflect her appointment full-time status, effective on July 1, 2020.</w:t>
      </w:r>
    </w:p>
    <w:p>
      <w:pPr>
        <w:ind w:left="460" w:right="200" w:hanging="452"/>
        <w:spacing w:after="0" w:line="234"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performance-based cash bonuses awarded to our named executive officers. See “— Non-Equity Incentive Plan Compensation” below for a description of the material terms of the program pursuant to which this compensation was awarded.</w:t>
      </w:r>
    </w:p>
    <w:p>
      <w:pPr>
        <w:spacing w:after="0" w:line="1" w:lineRule="exact"/>
        <w:rPr>
          <w:rFonts w:ascii="Times New Roman" w:cs="Times New Roman" w:eastAsia="Times New Roman" w:hAnsi="Times New Roman"/>
          <w:sz w:val="18"/>
          <w:szCs w:val="18"/>
          <w:color w:val="auto"/>
        </w:rPr>
      </w:pPr>
    </w:p>
    <w:p>
      <w:pPr>
        <w:ind w:left="460" w:right="480" w:hanging="452"/>
        <w:spacing w:after="0" w:line="242"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$1,390 of commuter benefits and $3,219 for life &amp; disability premiums that our company paid for on behalf of Dr. Weber.</w:t>
      </w:r>
    </w:p>
    <w:p>
      <w:pPr>
        <w:spacing w:after="0" w:line="1" w:lineRule="exact"/>
        <w:rPr>
          <w:rFonts w:ascii="Times New Roman" w:cs="Times New Roman" w:eastAsia="Times New Roman" w:hAnsi="Times New Roman"/>
          <w:sz w:val="18"/>
          <w:szCs w:val="18"/>
          <w:color w:val="auto"/>
        </w:rPr>
      </w:pPr>
    </w:p>
    <w:p>
      <w:pPr>
        <w:ind w:left="460" w:right="60" w:hanging="452"/>
        <w:spacing w:after="0" w:line="241" w:lineRule="auto"/>
        <w:tabs>
          <w:tab w:leader="none" w:pos="3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$4,320 of commuter benefits, $2,865 of health benefits and life &amp; disability insurance and $5,603 of expenses for phone services and home office expenses that our company paid for on behalf of Dr. Weber.</w:t>
      </w:r>
    </w:p>
    <w:p>
      <w:pPr>
        <w:spacing w:after="0" w:line="1" w:lineRule="exact"/>
        <w:rPr>
          <w:rFonts w:ascii="Times New Roman" w:cs="Times New Roman" w:eastAsia="Times New Roman" w:hAnsi="Times New Roman"/>
          <w:sz w:val="18"/>
          <w:szCs w:val="18"/>
          <w:color w:val="auto"/>
        </w:rPr>
      </w:pPr>
    </w:p>
    <w:p>
      <w:pPr>
        <w:ind w:left="460" w:right="380" w:hanging="452"/>
        <w:spacing w:after="0" w:line="235"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$1,390 of commuter benefits and $1,927 for life &amp; disability premiums that our company paid for on behalf of Mrs. Beckman.</w:t>
      </w:r>
    </w:p>
    <w:p>
      <w:pPr>
        <w:spacing w:after="0" w:line="1" w:lineRule="exact"/>
        <w:rPr>
          <w:rFonts w:ascii="Times New Roman" w:cs="Times New Roman" w:eastAsia="Times New Roman" w:hAnsi="Times New Roman"/>
          <w:sz w:val="18"/>
          <w:szCs w:val="18"/>
          <w:color w:val="auto"/>
        </w:rPr>
      </w:pPr>
    </w:p>
    <w:p>
      <w:pPr>
        <w:ind w:left="460" w:hanging="452"/>
        <w:spacing w:after="0" w:line="242"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$4,320 of commuter benefits, $1,684 for life &amp; disability premiums and $4,772 of expenses for phone services and home office expenses that our company paid for on behalf of Mrs. Beckman.</w:t>
      </w:r>
    </w:p>
    <w:p>
      <w:pPr>
        <w:spacing w:after="0" w:line="1" w:lineRule="exact"/>
        <w:rPr>
          <w:rFonts w:ascii="Times New Roman" w:cs="Times New Roman" w:eastAsia="Times New Roman" w:hAnsi="Times New Roman"/>
          <w:sz w:val="18"/>
          <w:szCs w:val="18"/>
          <w:color w:val="auto"/>
        </w:rPr>
      </w:pPr>
    </w:p>
    <w:p>
      <w:pPr>
        <w:ind w:left="460" w:right="460" w:hanging="452"/>
        <w:spacing w:after="0" w:line="241"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$1,390 of commuter benefits and $2,006 for life &amp; disability premiums that our company paid for on behalf of Mr. Huang.</w:t>
      </w:r>
    </w:p>
    <w:p>
      <w:pPr>
        <w:spacing w:after="0" w:line="1" w:lineRule="exact"/>
        <w:rPr>
          <w:rFonts w:ascii="Times New Roman" w:cs="Times New Roman" w:eastAsia="Times New Roman" w:hAnsi="Times New Roman"/>
          <w:sz w:val="18"/>
          <w:szCs w:val="18"/>
          <w:color w:val="auto"/>
        </w:rPr>
      </w:pPr>
    </w:p>
    <w:p>
      <w:pPr>
        <w:ind w:left="460" w:hanging="452"/>
        <w:spacing w:after="0" w:line="245" w:lineRule="auto"/>
        <w:tabs>
          <w:tab w:leader="none" w:pos="4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$4,320 of commuter benefits, $1,684 for life &amp; disability premiums and $3,372 of expenses for phone services and home office expenses that our company paid for on behalf of Mr. Huang.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22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With respect to our 2021 compensation program, our board of directors reviewed compensation for all employees, including our named executive officers. In setting executive base salaries and bonuses and granting equity incentive awards, the board of directors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of directors established a compensation committee, and delegated to such committee certain compensation-related functions for the Company in early 2021. Prior to establishing the compensation committee, the board of directors made compensation decisions with respect to our named executive officers.</w:t>
      </w:r>
    </w:p>
    <w:p>
      <w:pPr>
        <w:spacing w:after="0" w:line="16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When setting named executive officer compensation, our board of directors, and now our compensation committee, targets a general competitive position, based on independent third-party benchmark analytics to inform the mix of compensation of base salary, bonus and long-term incentives.</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compensation committee is primarily responsible for determining the compensation for all of our executive officers.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 Our compensation committee has the authority to engage the services of a consulting firm or other outside advisor to assist it in designing our executive compensation programs and in making compensation decisions. During 2020 and 2021, the board of directors and the compensation committee retained the services of Pearl Meyer &amp; Partners, LLC as external compensation consultant to advise on executive compensation matters including our overall compensation program design and collection of market data to inform our compensation programs for our executive officers and members of our board of directors. Pearl Meyer &amp; Partners, LLC reports directly to our compensation committee. Prior to engaging Pearl Meyer &amp; Partners, LLC, our compensation committee assessed its independence consistent with Nasdaq listing standards and concluded that the engagement of such consultant did not raise any conflict of interest.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 Base Salary ($)</w:t>
            </w:r>
          </w:p>
        </w:tc>
        <w:tc>
          <w:tcPr>
            <w:tcW w:w="6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 Base Salary ($)(2)</w:t>
            </w:r>
          </w:p>
        </w:tc>
        <w:tc>
          <w:tcPr>
            <w:tcW w:w="60" w:type="dxa"/>
            <w:vAlign w:val="bottom"/>
          </w:tcPr>
          <w:p>
            <w:pPr>
              <w:spacing w:after="0"/>
              <w:rPr>
                <w:sz w:val="16"/>
                <w:szCs w:val="16"/>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491,617</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526,000</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280" w:type="dxa"/>
            <w:vAlign w:val="bottom"/>
            <w:gridSpan w:val="2"/>
          </w:tcPr>
          <w:p>
            <w:pPr>
              <w:jc w:val="right"/>
              <w:ind w:right="17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Alan Huang, Ph.D.</w:t>
            </w:r>
          </w:p>
        </w:tc>
        <w:tc>
          <w:tcPr>
            <w:tcW w:w="2280" w:type="dxa"/>
            <w:vAlign w:val="bottom"/>
            <w:gridSpan w:val="2"/>
            <w:shd w:val="clear" w:color="auto" w:fill="CCEEFF"/>
          </w:tcPr>
          <w:p>
            <w:pPr>
              <w:jc w:val="right"/>
              <w:ind w:right="17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373,806</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411,000</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60" w:right="120" w:hanging="452"/>
        <w:spacing w:after="0" w:line="246" w:lineRule="auto"/>
        <w:tabs>
          <w:tab w:leader="none" w:pos="4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Beckman transitioned to full-time employment on July 1, 2020 and her 2020 base salary was adjusted to reflect her employment status with our company.</w:t>
      </w: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Base Salary became effective upon the closing of the Business Combination on August 10, 2021.</w:t>
      </w:r>
    </w:p>
    <w:p>
      <w:pPr>
        <w:spacing w:after="0" w:line="20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compensation committee determined that, in connection with the Business Combination and the Company becoming a publicly-traded company in August 2021, the base salaries for each of the NEOs should be increased in order to reflect the additional responsibilities of each of these executive officers, as well as to align this fixed cash component of overall compensation at levels that are comparable to those companies in our compensation peer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216"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8"/>
          <w:szCs w:val="18"/>
          <w:color w:val="auto"/>
        </w:rPr>
        <w:t>Our bonus program is intended to recognize and reward associates for achieving established objectives that are linked to the company’s growth and success, with the goal of increasing the Company's intrinsic long-term value. The program rewards performance based on corporate and individual accomplishments. The board endeavors to deliver a meaningful portion of total cash compensation in the form of performance-based annual cash incentives. Doing so, the board believes, is critical because the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right="560"/>
        <w:spacing w:after="0" w:line="282" w:lineRule="auto"/>
        <w:rPr>
          <w:sz w:val="20"/>
          <w:szCs w:val="20"/>
          <w:color w:val="auto"/>
        </w:rPr>
      </w:pPr>
      <w:r>
        <w:rPr>
          <w:rFonts w:ascii="Times New Roman" w:cs="Times New Roman" w:eastAsia="Times New Roman" w:hAnsi="Times New Roman"/>
          <w:sz w:val="18"/>
          <w:szCs w:val="18"/>
          <w:color w:val="auto"/>
        </w:rPr>
        <w:t>opportunity for a meaningful cash award will, together with strong management and accountability, drive executives to individually and collectively achieve and exceed our annual objectives.</w:t>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compensation committee and the board of directors established bonus metrics in connection with the 2021 bonus plan. As with 2021 base salary, the target bonus percentage for each of the NEOs was increased in connection with the Business Combination and the Company becoming a publicly-traded company in order to reflect the additional responsibilities of each of these executive officers, as well as to align this variable portion of the cash component of overall compensation at levels that are comparable to those companies in our compensation peer group.</w:t>
      </w:r>
    </w:p>
    <w:p>
      <w:pPr>
        <w:spacing w:after="0" w:line="2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2021 corporate bonus plan provides for formula-based incentive payments based upon the achievement of certain corporate and individual performance goals and objectives approved by our compensation committee and board of directors. These targets were established early in 2021 and communicated to the executives (and remained unchanged during the year). Bonuses are targeted at a percentage of the executive officer’s base salary during the year, and are expected to be paid out in the first quarter of the following year. The following are the target percentages for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6"/>
                <w:szCs w:val="16"/>
                <w:color w:val="auto"/>
              </w:rPr>
            </w:pPr>
          </w:p>
        </w:tc>
        <w:tc>
          <w:tcPr>
            <w:tcW w:w="28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 Bonus Target (%)</w:t>
            </w:r>
          </w:p>
        </w:tc>
        <w:tc>
          <w:tcPr>
            <w:tcW w:w="320" w:type="dxa"/>
            <w:vAlign w:val="bottom"/>
          </w:tcPr>
          <w:p>
            <w:pPr>
              <w:spacing w:after="0"/>
              <w:rPr>
                <w:sz w:val="16"/>
                <w:szCs w:val="16"/>
                <w:color w:val="auto"/>
              </w:rPr>
            </w:pPr>
          </w:p>
        </w:tc>
        <w:tc>
          <w:tcPr>
            <w:tcW w:w="27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 Bonus Target (%)(1)</w:t>
            </w: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320" w:type="dxa"/>
            <w:vAlign w:val="bottom"/>
            <w:shd w:val="clear" w:color="auto" w:fill="CCEEFF"/>
          </w:tcPr>
          <w:p>
            <w:pPr>
              <w:spacing w:after="0"/>
              <w:rPr>
                <w:sz w:val="18"/>
                <w:szCs w:val="18"/>
                <w:color w:val="auto"/>
              </w:rPr>
            </w:pPr>
          </w:p>
        </w:tc>
        <w:tc>
          <w:tcPr>
            <w:tcW w:w="28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314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35 %</w:t>
            </w:r>
          </w:p>
        </w:tc>
        <w:tc>
          <w:tcPr>
            <w:tcW w:w="310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Alan Huang, Ph.D.</w:t>
            </w:r>
          </w:p>
        </w:tc>
        <w:tc>
          <w:tcPr>
            <w:tcW w:w="314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35 %</w:t>
            </w:r>
          </w:p>
        </w:tc>
        <w:tc>
          <w:tcPr>
            <w:tcW w:w="31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bonus component of the 2021 bonus plan consisted of 5 separate metrics that were weighted as follows:</w:t>
      </w:r>
    </w:p>
    <w:p>
      <w:pPr>
        <w:spacing w:after="0" w:line="113" w:lineRule="exact"/>
        <w:rPr>
          <w:sz w:val="20"/>
          <w:szCs w:val="20"/>
          <w:color w:val="auto"/>
        </w:rPr>
      </w:pPr>
    </w:p>
    <w:p>
      <w:pPr>
        <w:ind w:left="1020" w:right="40" w:hanging="503"/>
        <w:spacing w:after="0" w:line="271"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 xml:space="preserve">Target Discovery </w:t>
      </w:r>
      <w:r>
        <w:rPr>
          <w:rFonts w:ascii="Times New Roman" w:cs="Times New Roman" w:eastAsia="Times New Roman" w:hAnsi="Times New Roman"/>
          <w:sz w:val="18"/>
          <w:szCs w:val="18"/>
          <w:color w:val="auto"/>
        </w:rPr>
        <w:t>- weighted 20%. This target is designed to encourage our employees to identify validated targets to meet our goal of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INDs in the future to establish an enhanced product pipeline.</w:t>
      </w:r>
    </w:p>
    <w:p>
      <w:pPr>
        <w:spacing w:after="0" w:line="45" w:lineRule="exact"/>
        <w:rPr>
          <w:rFonts w:ascii="Times New Roman" w:cs="Times New Roman" w:eastAsia="Times New Roman" w:hAnsi="Times New Roman"/>
          <w:sz w:val="14"/>
          <w:szCs w:val="14"/>
          <w:color w:val="auto"/>
        </w:rPr>
      </w:pPr>
    </w:p>
    <w:p>
      <w:pPr>
        <w:ind w:left="1020" w:right="220" w:hanging="503"/>
        <w:spacing w:after="0" w:line="286"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 xml:space="preserve">Drug Discovery </w:t>
      </w:r>
      <w:r>
        <w:rPr>
          <w:rFonts w:ascii="Times New Roman" w:cs="Times New Roman" w:eastAsia="Times New Roman" w:hAnsi="Times New Roman"/>
          <w:sz w:val="18"/>
          <w:szCs w:val="18"/>
          <w:color w:val="auto"/>
        </w:rPr>
        <w:t>- weighted 30%. This target was established to incentivize our employees to continue to advance our identified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advanced drug discovery phases.</w:t>
      </w:r>
    </w:p>
    <w:p>
      <w:pPr>
        <w:spacing w:after="0" w:line="3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 xml:space="preserve">Preclinical Development </w:t>
      </w:r>
      <w:r>
        <w:rPr>
          <w:rFonts w:ascii="Times New Roman" w:cs="Times New Roman" w:eastAsia="Times New Roman" w:hAnsi="Times New Roman"/>
          <w:sz w:val="18"/>
          <w:szCs w:val="18"/>
          <w:color w:val="auto"/>
        </w:rPr>
        <w:t>- weighted 30%. This target is designed to meet our goal of filing an IND for TNG908 in the 4th quarter of 2021.</w:t>
      </w:r>
    </w:p>
    <w:p>
      <w:pPr>
        <w:spacing w:after="0" w:line="103" w:lineRule="exact"/>
        <w:rPr>
          <w:rFonts w:ascii="Times New Roman" w:cs="Times New Roman" w:eastAsia="Times New Roman" w:hAnsi="Times New Roman"/>
          <w:sz w:val="14"/>
          <w:szCs w:val="14"/>
          <w:color w:val="auto"/>
        </w:rPr>
      </w:pPr>
    </w:p>
    <w:p>
      <w:pPr>
        <w:ind w:left="1020" w:right="100" w:hanging="503"/>
        <w:spacing w:after="0" w:line="286"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 xml:space="preserve">Corporate Strategy </w:t>
      </w:r>
      <w:r>
        <w:rPr>
          <w:rFonts w:ascii="Times New Roman" w:cs="Times New Roman" w:eastAsia="Times New Roman" w:hAnsi="Times New Roman"/>
          <w:sz w:val="18"/>
          <w:szCs w:val="18"/>
          <w:color w:val="auto"/>
        </w:rPr>
        <w:t>- weighted 10%. This target was established to incentivize our employees to meet budgetary and other important cash-based goals that are designed to allow for continued development of our product pipeline in the future.</w:t>
      </w:r>
    </w:p>
    <w:p>
      <w:pPr>
        <w:spacing w:after="0" w:line="33" w:lineRule="exact"/>
        <w:rPr>
          <w:rFonts w:ascii="Times New Roman" w:cs="Times New Roman" w:eastAsia="Times New Roman" w:hAnsi="Times New Roman"/>
          <w:sz w:val="14"/>
          <w:szCs w:val="14"/>
          <w:color w:val="auto"/>
        </w:rPr>
      </w:pPr>
    </w:p>
    <w:p>
      <w:pPr>
        <w:ind w:left="1020" w:right="200" w:hanging="503"/>
        <w:spacing w:after="0" w:line="271"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b w:val="1"/>
          <w:bCs w:val="1"/>
          <w:color w:val="auto"/>
        </w:rPr>
        <w:t xml:space="preserve">People </w:t>
      </w:r>
      <w:r>
        <w:rPr>
          <w:rFonts w:ascii="Times New Roman" w:cs="Times New Roman" w:eastAsia="Times New Roman" w:hAnsi="Times New Roman"/>
          <w:sz w:val="18"/>
          <w:szCs w:val="18"/>
          <w:color w:val="auto"/>
        </w:rPr>
        <w:t>- weighted 10%. This target was designed to reward results with respect to building out critical functions of our organization as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our first product into clinical trials, and to reduce employee turnover in a competitive environment for talent.</w:t>
      </w:r>
    </w:p>
    <w:p>
      <w:pPr>
        <w:spacing w:after="0" w:line="17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connection with the 2021 annual cash bonus program, all corporate targets were met at 110% of the established target, with the exception of: (i) corporate strategy, which was met at 150% of target and (ii) people, which was met at 115% of target. These achievements, which were confirmed by our compensation committee, reflected, among other things, our continued advancements in drug discovery in the face of the COVID-19 pandemic, our continued advancement of our product candidates, including the acceleration of the Target 3 IND timeline, the hiring of our Chief Medical Officer, our successful IPO in August 2021 and our current strong cash position. As a result of this performance, which exceeded the objective goals set earlier in the year, the bonus payout was achieved at 115% of target. The following table reflects the target bonus as a percentage of base salary, the cash bonus payment at target and the actual bonus payout based on the success Tango achieved in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 Bonus Target (%)</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 Bonus Target ($)</w:t>
            </w:r>
          </w:p>
        </w:tc>
        <w:tc>
          <w:tcPr>
            <w:tcW w:w="360" w:type="dxa"/>
            <w:vAlign w:val="bottom"/>
          </w:tcPr>
          <w:p>
            <w:pPr>
              <w:spacing w:after="0"/>
              <w:rPr>
                <w:sz w:val="16"/>
                <w:szCs w:val="16"/>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 Bonus Achieved ($)</w:t>
            </w:r>
          </w:p>
        </w:tc>
        <w:tc>
          <w:tcPr>
            <w:tcW w:w="60" w:type="dxa"/>
            <w:vAlign w:val="bottom"/>
          </w:tcPr>
          <w:p>
            <w:pPr>
              <w:spacing w:after="0"/>
              <w:rPr>
                <w:sz w:val="16"/>
                <w:szCs w:val="16"/>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277,910</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3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40 %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116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164,562</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Alan Huang, Ph.D.</w:t>
            </w:r>
          </w:p>
        </w:tc>
        <w:tc>
          <w:tcPr>
            <w:tcW w:w="23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40 %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164,400</w:t>
            </w:r>
          </w:p>
        </w:tc>
        <w:tc>
          <w:tcPr>
            <w:tcW w:w="116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168,347</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All final bonus payments to our named executive officers, if any, are determined by our compensation committee, which retains full discretion to adjust individual actual bonus awards based on the achievement of corporate and individual performance objectives, and may also adjust bonus awards based on other factors in their discretion. Individual performance objectives are generally related to each named executive officer’s performance in his/her area of responsibility and his/her contributions to Tango.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their interests with those of our stockholders.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We may grant equity awards at such times as our board of directors or compensation committee determines appropriate.</w:t>
      </w:r>
    </w:p>
    <w:p>
      <w:pPr>
        <w:spacing w:after="0" w:line="19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Along with the 2021 cash bonus program, stock options are a critical component of the variable portion of overall compensation that is designed to reward executive officer performance. Stock options align the interests of executives with those of our stockholders since the executive officers can only recognize increased compensation from these equity awards to the extent that our share price increases above the exercise price. These awards encourage our executives to focus on those corporate actions that drive increase in long-term value as reflected in the share price. Further, the four-year vesting schedule encourages executives to remain employed by the Company for an extended period.</w:t>
      </w:r>
    </w:p>
    <w:p>
      <w:pPr>
        <w:spacing w:after="0" w:line="18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Our executives generally are awarded an initial grant in the form of a share option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or compensation committee may also construct alternative vesting schedules as it determines are appropriate to motivate particular employees. All options are granted with an exercise price that is no less than the fair market value of our common shares on the date of such grant of such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all outstanding equity awards held by each of our named executive officers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restart"/>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Vesting Commencement</w:t>
            </w:r>
          </w:p>
        </w:tc>
        <w:tc>
          <w:tcPr>
            <w:tcW w:w="16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24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6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Option Exercise</w:t>
            </w:r>
          </w:p>
        </w:tc>
        <w:tc>
          <w:tcPr>
            <w:tcW w:w="240" w:type="dxa"/>
            <w:vAlign w:val="bottom"/>
          </w:tcPr>
          <w:p>
            <w:pPr>
              <w:spacing w:after="0"/>
              <w:rPr>
                <w:sz w:val="12"/>
                <w:szCs w:val="12"/>
                <w:color w:val="auto"/>
              </w:rPr>
            </w:pPr>
          </w:p>
        </w:tc>
        <w:tc>
          <w:tcPr>
            <w:tcW w:w="12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Option Expiration</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240" w:type="dxa"/>
            <w:vAlign w:val="bottom"/>
          </w:tcPr>
          <w:p>
            <w:pPr>
              <w:spacing w:after="0"/>
              <w:rPr>
                <w:sz w:val="10"/>
                <w:szCs w:val="10"/>
                <w:color w:val="auto"/>
              </w:rPr>
            </w:pPr>
          </w:p>
        </w:tc>
        <w:tc>
          <w:tcPr>
            <w:tcW w:w="16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00" w:type="dxa"/>
            <w:vAlign w:val="bottom"/>
          </w:tcPr>
          <w:p>
            <w:pPr>
              <w:spacing w:after="0"/>
              <w:rPr>
                <w:sz w:val="15"/>
                <w:szCs w:val="15"/>
                <w:color w:val="auto"/>
              </w:rPr>
            </w:pPr>
          </w:p>
        </w:tc>
        <w:tc>
          <w:tcPr>
            <w:tcW w:w="13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40" w:type="dxa"/>
            <w:vAlign w:val="bottom"/>
          </w:tcPr>
          <w:p>
            <w:pPr>
              <w:spacing w:after="0"/>
              <w:rPr>
                <w:sz w:val="15"/>
                <w:szCs w:val="15"/>
                <w:color w:val="auto"/>
              </w:rPr>
            </w:pPr>
          </w:p>
        </w:tc>
        <w:tc>
          <w:tcPr>
            <w:tcW w:w="15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 (Exercisable)</w:t>
            </w:r>
          </w:p>
        </w:tc>
        <w:tc>
          <w:tcPr>
            <w:tcW w:w="240" w:type="dxa"/>
            <w:vAlign w:val="bottom"/>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 (UnExercisable)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Price (1)</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Barbara Weber, M.D.</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1/24/2019</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1/1/2019</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159,793</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59,358</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1/23/2029</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President,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1/30/2020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114,145</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1/1/2021</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1,284,065</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1/27/2031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and Director</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961,404</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0" w:type="dxa"/>
            <w:vAlign w:val="bottom"/>
          </w:tcPr>
          <w:p>
            <w:pPr>
              <w:spacing w:after="0"/>
              <w:rPr>
                <w:sz w:val="1"/>
                <w:szCs w:val="1"/>
                <w:color w:val="auto"/>
              </w:rPr>
            </w:pPr>
          </w:p>
        </w:tc>
      </w:tr>
      <w:tr>
        <w:trPr>
          <w:trHeight w:val="164"/>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Daniella Beckman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10/18/2019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72,377</w:t>
            </w: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10/17/2029</w:t>
            </w: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1/30/2020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26,451</w:t>
            </w: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10/1/2020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43,994</w:t>
            </w: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9/30/2030</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1/28/2021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88,151</w:t>
            </w: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1/27/2031</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380,485</w:t>
            </w: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Alan Huang, Ph.D.</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4/12/2018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1/1/2018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4/11/2028</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4/12/2018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4/1/2018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9,201</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4/11/2028</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1/24/2019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1/1/2019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1/23/2029</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1/30/2020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35,386</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1/28/2021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163,054</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1/27/2031</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169,859</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0" w:type="dxa"/>
            <w:vAlign w:val="bottom"/>
          </w:tcPr>
          <w:p>
            <w:pPr>
              <w:spacing w:after="0"/>
              <w:rPr>
                <w:sz w:val="1"/>
                <w:szCs w:val="1"/>
                <w:color w:val="auto"/>
              </w:rPr>
            </w:pPr>
          </w:p>
        </w:tc>
      </w:tr>
      <w:tr>
        <w:trPr>
          <w:trHeight w:val="23"/>
        </w:trPr>
        <w:tc>
          <w:tcPr>
            <w:tcW w:w="2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right="160" w:hanging="452"/>
        <w:spacing w:after="0" w:line="247" w:lineRule="auto"/>
        <w:tabs>
          <w:tab w:leader="none" w:pos="4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an exercise price per share that is no less than the fair market value of our common shares on the date of grant of such award. For information regarding the valuation of equity awards, see Note 2 and Note 12 to our audited financial statements contained in this Annual Report on Form 10-K for the year ended December 31, 2021.</w:t>
      </w:r>
    </w:p>
    <w:p>
      <w:pPr>
        <w:ind w:left="460" w:right="60" w:hanging="452"/>
        <w:spacing w:after="0" w:line="235" w:lineRule="auto"/>
        <w:tabs>
          <w:tab w:leader="none" w:pos="4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vesting after 1st anniversary of the vesting commencement date and monthly vesting for 36 monthly installments thereafter, subject to continued employment with the company.</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vesting for 48 monthly installments following the vesting commencement date, subject to continued employment with our company.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2021 regarding shares of common stock that may be issued under our equity compensation plans, consisting of our 2021 Stock Option and Incentive Plan, or the 2021 Plan, and our 2021 Employee Stock Purchase Plan, or the ESPP. Upon the closing of the Business Combination in August 2021, the 2021 Plan replaced our previous 2017 Stock Option and Grant Plan. We do not have any non-</w:t>
      </w:r>
    </w:p>
    <w:p>
      <w:pPr>
        <w:sectPr>
          <w:pgSz w:w="11900" w:h="16838" w:orient="portrait"/>
          <w:cols w:equalWidth="0" w:num="1">
            <w:col w:w="11220"/>
          </w:cols>
          <w:pgMar w:left="320" w:top="576"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stockholder approved equity compensation plans.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3600" w:type="dxa"/>
            <w:vAlign w:val="bottom"/>
          </w:tcPr>
          <w:p>
            <w:pPr>
              <w:jc w:val="center"/>
              <w:ind w:left="1528"/>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600" w:type="dxa"/>
            <w:vAlign w:val="bottom"/>
          </w:tcPr>
          <w:p>
            <w:pPr>
              <w:jc w:val="center"/>
              <w:ind w:left="1528"/>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Issued Upon</w:t>
            </w:r>
          </w:p>
        </w:tc>
        <w:tc>
          <w:tcPr>
            <w:tcW w:w="0" w:type="dxa"/>
            <w:vAlign w:val="bottom"/>
          </w:tcPr>
          <w:p>
            <w:pPr>
              <w:spacing w:after="0"/>
              <w:rPr>
                <w:sz w:val="1"/>
                <w:szCs w:val="1"/>
                <w:color w:val="auto"/>
              </w:rPr>
            </w:pPr>
          </w:p>
        </w:tc>
      </w:tr>
      <w:tr>
        <w:trPr>
          <w:trHeight w:val="148"/>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600" w:type="dxa"/>
            <w:vAlign w:val="bottom"/>
          </w:tcPr>
          <w:p>
            <w:pPr>
              <w:jc w:val="center"/>
              <w:ind w:left="1528"/>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0" w:type="dxa"/>
            <w:vAlign w:val="bottom"/>
          </w:tcPr>
          <w:p>
            <w:pPr>
              <w:spacing w:after="0"/>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3600" w:type="dxa"/>
            <w:vAlign w:val="bottom"/>
          </w:tcPr>
          <w:p>
            <w:pPr>
              <w:jc w:val="center"/>
              <w:ind w:left="15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wp:posOffset>
            </wp:positionV>
            <wp:extent cx="13201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p>
      <w:pPr>
        <w:spacing w:after="0" w:line="19" w:lineRule="exact"/>
        <w:rPr>
          <w:sz w:val="20"/>
          <w:szCs w:val="20"/>
          <w:color w:val="auto"/>
        </w:rPr>
      </w:pPr>
    </w:p>
    <w:p>
      <w:pPr>
        <w:ind w:right="300" w:firstLine="117"/>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Stock Remaining Available for Future Issuance Under Equity Compensation Plans (Excluding </w:t>
      </w:r>
      <w:r>
        <w:rPr>
          <w:rFonts w:ascii="Times New Roman" w:cs="Times New Roman" w:eastAsia="Times New Roman" w:hAnsi="Times New Roman"/>
          <w:sz w:val="14"/>
          <w:szCs w:val="14"/>
          <w:b w:val="1"/>
          <w:bCs w:val="1"/>
          <w:u w:val="single" w:color="auto"/>
          <w:color w:val="auto"/>
        </w:rPr>
        <w:t>Securities Reflected in Column) (#)</w:t>
      </w:r>
    </w:p>
    <w:p>
      <w:pPr>
        <w:spacing w:after="0" w:line="11" w:lineRule="exact"/>
        <w:rPr>
          <w:sz w:val="20"/>
          <w:szCs w:val="20"/>
          <w:color w:val="auto"/>
        </w:rPr>
      </w:pPr>
    </w:p>
    <w:p>
      <w:pPr>
        <w:sectPr>
          <w:pgSz w:w="11900" w:h="16838" w:orient="portrait"/>
          <w:cols w:equalWidth="0" w:num="3">
            <w:col w:w="6120" w:space="320"/>
            <w:col w:w="2040" w:space="280"/>
            <w:col w:w="2460"/>
          </w:cols>
          <w:pgMar w:left="320" w:top="576" w:right="359" w:bottom="1440" w:gutter="0" w:footer="0" w:header="0"/>
          <w:type w:val="continuous"/>
        </w:sectPr>
      </w:pPr>
    </w:p>
    <w:p>
      <w:pPr>
        <w:ind w:left="20" w:right="900"/>
        <w:spacing w:after="0" w:line="233" w:lineRule="auto"/>
        <w:rPr>
          <w:sz w:val="20"/>
          <w:szCs w:val="20"/>
          <w:color w:val="auto"/>
        </w:rPr>
      </w:pPr>
      <w:r>
        <w:rPr>
          <w:rFonts w:ascii="Times New Roman" w:cs="Times New Roman" w:eastAsia="Times New Roman" w:hAnsi="Times New Roman"/>
          <w:sz w:val="18"/>
          <w:szCs w:val="18"/>
          <w:color w:val="auto"/>
        </w:rPr>
        <w:t>Equity compensation plans approved by stockholders(1)</w:t>
      </w:r>
    </w:p>
    <w:p>
      <w:pPr>
        <w:spacing w:after="0" w:line="1"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11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7,448,661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92"/>
        </w:trPr>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40" w:type="dxa"/>
            <w:vAlign w:val="bottom"/>
            <w:tcBorders>
              <w:bottom w:val="single" w:sz="8" w:color="auto"/>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260" w:type="dxa"/>
            <w:vAlign w:val="bottom"/>
            <w:vMerge w:val="continue"/>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vMerge w:val="continue"/>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7,448,661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-147955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320"/>
            <w:col w:w="7100"/>
          </w:cols>
          <w:pgMar w:left="320" w:top="576" w:right="359" w:bottom="1440" w:gutter="0" w:footer="0" w:header="0"/>
          <w:type w:val="continuous"/>
        </w:sectPr>
      </w:pPr>
    </w:p>
    <w:p>
      <w:pPr>
        <w:spacing w:after="0" w:line="20" w:lineRule="exact"/>
        <w:rPr>
          <w:sz w:val="20"/>
          <w:szCs w:val="20"/>
          <w:color w:val="auto"/>
        </w:rPr>
      </w:pPr>
    </w:p>
    <w:p>
      <w:pPr>
        <w:ind w:left="460" w:right="100" w:hanging="452"/>
        <w:spacing w:after="0" w:line="244" w:lineRule="auto"/>
        <w:tabs>
          <w:tab w:leader="none" w:pos="3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that the number of shares reserved and available for issuance under the 2021 Plan will automatically increase each January 1, beginning on January 1, 2022, by 5.0% of the outstanding number of shares of Common Stock on the immediately preceding December 31, or such lesser amount as determined by the Board, or the Annual Increase. This limit is subject to adjustment in the event of a reorganization, recapitalization, reclassification, stock split, stock dividend, reverse stock split or other similar change in the Company's capitalization.</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949,873 shares available under the 2021 ESPP.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initially entered into an offer letter with each of the named executive officers in connection with such officer’s employment with us, which set forth the terms and conditions of this officer’s employment, including base salary, target annual bonus opportunity, initial equity awards and standard employee benefit plan participation. Effective upon the closing of the Business Combination, we entered into an employment agreements with each of Dr. Weber, Ms. Beckman and Dr. Huang that replaced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and Dr. Huang are summarized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Barbara Weber, M.D.</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Effective upon the closing of the Business Combination, we entered into a new employment agreement with Dr. Weber. Under Dr. Weber’s employment agreement, or the Weber Employment Agreement, Dr. Weber will serve as our Chief Executive Officer on an at-will basis. Dr. Weber’s 2022 annual base salary is $575,000, which is subject to periodic review and adjustment, and she is eligible to earn an annual bonus with a target amount equal to 50% of her base salary. Dr. Weber is eligible to participate in the employee benefit plans available to our employees, subject to the terms of those plans.</w:t>
      </w:r>
    </w:p>
    <w:p>
      <w:pPr>
        <w:spacing w:after="0" w:line="1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twelve (12) months following termination, (ii) she will be entitled to receive a prorated portion of her target annual cash incentive compensation for the year of termination, payable over the twelve (12) months following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twelve (12) months following termination, (B) Dr. Weber’s eligibility for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27" w:name="page28"/>
    <w:bookmarkEnd w:id="27"/>
    <w:p>
      <w:pPr>
        <w:ind w:right="40"/>
        <w:spacing w:after="0" w:line="312" w:lineRule="auto"/>
        <w:rPr>
          <w:sz w:val="20"/>
          <w:szCs w:val="20"/>
          <w:color w:val="auto"/>
        </w:rPr>
      </w:pPr>
      <w:r>
        <w:rPr>
          <w:rFonts w:ascii="Times New Roman" w:cs="Times New Roman" w:eastAsia="Times New Roman" w:hAnsi="Times New Roman"/>
          <w:sz w:val="17"/>
          <w:szCs w:val="17"/>
          <w:color w:val="auto"/>
        </w:rPr>
        <w:t>group medical plan benefits under any other employer’s group medical plan or (C) the end of Dr. Weber’s COBRA health continuation period, and (iv) acceleration by 12 months of the unvested portion of all stock options and other stock-based awards subject solely to time-based vesting held by Dr. Weber.</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lieu of the payments and benefits described in the preceding sentence, in the event that Dr. Weber’s employment is terminated by us without cause or Dr. Weber resigns for good reason on or within twelve (12) months following a “change in control” (as defined in the Weber Employment Agreement), subject to the execution and effectiveness of a separation agreement, including a general release of claims in our favor, (i) she will be entitled to receive a lump sum in cash equal to 1.5 times Dr. Weber’s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eighteen (18) months following termination, (B) Dr. Weber’s eligibility for group medical plan benefits under any other employer’s group medical plan or (C) the end of Dr. Weber’s COBRA health continuation period, and (iv) 100% of all stock options and other stock-based awards subject solely to time-based vesting held by Dr. Weber shall be accelerated.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Daniella Beckman</w:t>
      </w:r>
    </w:p>
    <w:p>
      <w:pPr>
        <w:spacing w:after="0" w:line="22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Effective upon the closing of the Business Combination, we entered into a new employment agreement with Ms. Beckman. Under Ms. Beckman’s employment agreement, or the Beckman Employment Agreement, Ms. Beckman will serve as our Chief Financial Officer on an at-will basis. Ms. Beckman’s 2022 annual base salary is $425,100, which is subject to periodic review and adjustment, and she is eligible to earn an annual bonus with a target amount equal to 40% of her base salary. Ms. Beckman is eligible to participate in the employee benefit plans available to our employees, subject to the terms of those plans.</w:t>
      </w:r>
    </w:p>
    <w:p>
      <w:pPr>
        <w:spacing w:after="0" w:line="1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twelve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w:t>
      </w:r>
    </w:p>
    <w:p>
      <w:pPr>
        <w:spacing w:after="0" w:line="19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Ms. Beckman’s employment is terminated by us without cause or Ms. Beckman resigns for good reason on or within twelve (12) months following a “change in control” (as defined in the Beckman Employment Agreement), subject to the execution and effectiveness of a separation agreement, including a general release of claims in our favor, (i) she will be entitled to receive a lump sum in cash equal to 1.0 times Ms. Beckman’s then-current annual base salary (or Ms. Beckman’s annual base salary in effect immediately prior to the change in control, if higher), (ii) she will be entitled to receive a lump sum in cash equal to Ms. Beckman’s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 and (iv) 100% of all stock options and other stock-based awards subject solely to time-based vesting held by Ms. Beckman shall be accelerated.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Alan Huang, Ph.D.</w:t>
      </w:r>
    </w:p>
    <w:p>
      <w:pPr>
        <w:spacing w:after="0" w:line="21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Effective upon the closing of the Business Combination, we entered into a new employment agreement with Dr. Huang. Under Dr. Huang’s employment agreement, or the Huang Employment Agreement, Dr. Huang will serve as our Chief Scientific Officer on an at-will basis. Dr. Huang’s 2022 annual base salary is $425,385, which is subject to periodic review and adjustment, and he is eligible to earn an annual bonus with a target amount equal to 40% of his base salary. Dr. Huang is eligible to participate in the employee benefit plans available to our employees, subject to the terms of those plans.</w:t>
      </w:r>
    </w:p>
    <w:p>
      <w:pPr>
        <w:spacing w:after="0" w:line="19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ind w:right="80"/>
        <w:spacing w:after="0" w:line="250" w:lineRule="auto"/>
        <w:rPr>
          <w:sz w:val="20"/>
          <w:szCs w:val="20"/>
          <w:color w:val="auto"/>
        </w:rPr>
      </w:pPr>
      <w:r>
        <w:rPr>
          <w:rFonts w:ascii="Times New Roman" w:cs="Times New Roman" w:eastAsia="Times New Roman" w:hAnsi="Times New Roman"/>
          <w:sz w:val="18"/>
          <w:szCs w:val="18"/>
          <w:color w:val="auto"/>
        </w:rPr>
        <w:t>for twelve (12) months following termination, and (ii)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Huang’s employment is terminated by us without cause or Dr. Huang resigns for good reason on or within twelve (12) months following a “change in control” (as defined in the Huang Employment Agreement), subject to the execution and effectiveness of a separation agreement, including a general release of claims in our favor, (i) he will be entitled to receive a lump sum in cash equal to 1.0 times Dr. Huang’s then-current annual base salary (or Dr. Huang’s annual base salary in effect immediately prior to the change in control, if higher), (ii) he will be entitled to receive a lump sum in cash equal to Dr. Huang’s target annual cash incentive compensation for the year of termination, (iii)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 and (iv) 100% of all stock options and other stock-based awards subject solely to time-based vesting held by Dr. Huang shall be accelerated.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 Perquisites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Plans</w:t>
      </w:r>
    </w:p>
    <w:p>
      <w:pPr>
        <w:spacing w:after="0" w:line="2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1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did not, during the year ended December 31, 2021 offer company matching contributions to participants in the 401(k) plan. Our named executive officers are eligible to participate in the 401(k) plan on the same terms as other full-time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16"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adopted a compensation program for our non-employee directors under which each non-employee director will receive the following amounts for their services on our board of directors.</w:t>
      </w:r>
    </w:p>
    <w:p>
      <w:pPr>
        <w:spacing w:after="0" w:line="5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purchase 80,000 shares of our common stock upon the director’s initial election or appointment to our board of directors.</w:t>
      </w:r>
    </w:p>
    <w:p>
      <w:pPr>
        <w:spacing w:after="0" w:line="117"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option to purchase 40,000 shares of our common stock on the date of the annual meeting for such year (the first such annual option award is scheduled to be made in connection with the Annual Meeting). Directors who were elected in the 12 months preceding the annual grant receive a pro-rated portion of the annual grant based on the number of months of time in service on the board.</w:t>
      </w:r>
    </w:p>
    <w:p>
      <w:pPr>
        <w:spacing w:after="0" w:line="8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director fee of $40,000,</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serves on a committee of our board of directors or in the other capacities stated below, an additional annual fee as follows: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chairperson, $30,000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$15,000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chairperson, $15,000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$7,500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chairperson, $10,000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$5,000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and governance committee chairperson, $8,000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and governance committee member, $4,000</w:t>
      </w:r>
    </w:p>
    <w:p>
      <w:pPr>
        <w:spacing w:after="0" w:line="22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Options granted to our non-employee directors under the director compensation program will have an exercise price equal to the fair market value of our common stock on the date of grant and will expire not later than ten years after the date of grant. The options granted upon a director’s initial election or appointment vest in 36 substantially equal monthly installments following the date of grant. In addition, all unvested options vest in full upon the occurrence of a change in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Non-Employee Director Compensation Table</w:t>
      </w:r>
    </w:p>
    <w:p>
      <w:pPr>
        <w:spacing w:after="0" w:line="2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table below shows the cash fees paid to our directors in connection with their service on our board of directors, and the stock option awards granted, during the fiscal year ended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3"/>
                <w:szCs w:val="13"/>
                <w:color w:val="auto"/>
              </w:rPr>
            </w:pPr>
          </w:p>
        </w:tc>
        <w:tc>
          <w:tcPr>
            <w:tcW w:w="18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420" w:type="dxa"/>
            <w:vAlign w:val="bottom"/>
          </w:tcPr>
          <w:p>
            <w:pPr>
              <w:spacing w:after="0"/>
              <w:rPr>
                <w:sz w:val="13"/>
                <w:szCs w:val="13"/>
                <w:color w:val="auto"/>
              </w:rPr>
            </w:pPr>
          </w:p>
        </w:tc>
        <w:tc>
          <w:tcPr>
            <w:tcW w:w="222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Option Awards ($)(2)</w:t>
            </w:r>
          </w:p>
        </w:tc>
        <w:tc>
          <w:tcPr>
            <w:tcW w:w="300" w:type="dxa"/>
            <w:vAlign w:val="bottom"/>
          </w:tcPr>
          <w:p>
            <w:pPr>
              <w:spacing w:after="0"/>
              <w:rPr>
                <w:sz w:val="13"/>
                <w:szCs w:val="13"/>
                <w:color w:val="auto"/>
              </w:rPr>
            </w:pPr>
          </w:p>
        </w:tc>
        <w:tc>
          <w:tcPr>
            <w:tcW w:w="2080" w:type="dxa"/>
            <w:vAlign w:val="bottom"/>
            <w:vMerge w:val="restart"/>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In Cash ($)(1)</w:t>
            </w:r>
          </w:p>
        </w:tc>
        <w:tc>
          <w:tcPr>
            <w:tcW w:w="420" w:type="dxa"/>
            <w:vAlign w:val="bottom"/>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Aaron Davis</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33,444</w:t>
            </w: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Alexis Borisy</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61,469</w:t>
            </w: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Lesley Ann Calhoun</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419,900</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5"/>
              </w:rPr>
              <w:t>(3)</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Mace Rothenberg</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419,900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(3)</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Malte Peters</w:t>
            </w:r>
          </w:p>
        </w:tc>
        <w:tc>
          <w:tcPr>
            <w:tcW w:w="2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44,292</w:t>
            </w:r>
          </w:p>
        </w:tc>
        <w:tc>
          <w:tcPr>
            <w:tcW w:w="420" w:type="dxa"/>
            <w:vAlign w:val="bottom"/>
            <w:shd w:val="clear" w:color="auto" w:fill="CCEC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CFF"/>
          </w:tcPr>
          <w:p>
            <w:pPr>
              <w:spacing w:after="0"/>
              <w:rPr>
                <w:sz w:val="18"/>
                <w:szCs w:val="18"/>
                <w:color w:val="auto"/>
              </w:rPr>
            </w:pPr>
          </w:p>
        </w:tc>
        <w:tc>
          <w:tcPr>
            <w:tcW w:w="2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44,292</w:t>
            </w:r>
          </w:p>
        </w:tc>
        <w:tc>
          <w:tcPr>
            <w:tcW w:w="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Reid Huber</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compensation earned and paid pursuant to our non-employee director compensation policy.</w:t>
      </w:r>
    </w:p>
    <w:p>
      <w:pPr>
        <w:spacing w:after="0" w:line="1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grant-date fair value of stock options awarded to certain directors in 2021, calculated in accordance</w:t>
      </w:r>
    </w:p>
    <w:p>
      <w:pPr>
        <w:spacing w:after="0" w:line="7" w:lineRule="exact"/>
        <w:rPr>
          <w:sz w:val="20"/>
          <w:szCs w:val="20"/>
          <w:color w:val="auto"/>
        </w:rPr>
      </w:pPr>
    </w:p>
    <w:p>
      <w:pPr>
        <w:ind w:left="460" w:right="560"/>
        <w:spacing w:after="0" w:line="235" w:lineRule="auto"/>
        <w:rPr>
          <w:sz w:val="20"/>
          <w:szCs w:val="20"/>
          <w:color w:val="auto"/>
        </w:rPr>
      </w:pPr>
      <w:r>
        <w:rPr>
          <w:rFonts w:ascii="Times New Roman" w:cs="Times New Roman" w:eastAsia="Times New Roman" w:hAnsi="Times New Roman"/>
          <w:sz w:val="18"/>
          <w:szCs w:val="18"/>
          <w:color w:val="auto"/>
        </w:rPr>
        <w:t>with Financial Accounting Standards Board, Accounting Standards Codification Topic 718, or ASC Topic 718. The amounts presented do not correspond to the actual value that may be recognized by the named director upon vesting of the applicable awards.</w:t>
      </w:r>
    </w:p>
    <w:p>
      <w:pPr>
        <w:spacing w:after="0" w:line="1" w:lineRule="exact"/>
        <w:rPr>
          <w:sz w:val="20"/>
          <w:szCs w:val="20"/>
          <w:color w:val="auto"/>
        </w:rPr>
      </w:pPr>
    </w:p>
    <w:p>
      <w:pPr>
        <w:ind w:left="460" w:right="60" w:hanging="452"/>
        <w:spacing w:after="0" w:line="243" w:lineRule="auto"/>
        <w:tabs>
          <w:tab w:leader="none" w:pos="4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Calhoun and Dr. Rothenberg were each granted an option to purchase 84,925 shares of common stock on March 18, 2021, the date on which they were initially appointed to the Board of Directors.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total stock option awards (exercisable and unexercisable) held as of December 31, 2021 by each non-employee director who was serving as of December 31, 2021.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20" w:type="dxa"/>
            <w:vAlign w:val="bottom"/>
            <w:tcBorders>
              <w:bottom w:val="single" w:sz="8" w:color="auto"/>
            </w:tcBorders>
            <w:vMerge w:val="continue"/>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86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Aaron Davis</w:t>
            </w:r>
          </w:p>
        </w:tc>
        <w:tc>
          <w:tcPr>
            <w:tcW w:w="3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Alexis Borisy</w:t>
            </w:r>
          </w:p>
        </w:tc>
        <w:tc>
          <w:tcPr>
            <w:tcW w:w="7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Lesley Ann Calhoun</w:t>
            </w:r>
          </w:p>
        </w:tc>
        <w:tc>
          <w:tcPr>
            <w:tcW w:w="7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Mace Rothenberg</w:t>
            </w:r>
          </w:p>
        </w:tc>
        <w:tc>
          <w:tcPr>
            <w:tcW w:w="7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Malte Peters</w:t>
            </w:r>
          </w:p>
        </w:tc>
        <w:tc>
          <w:tcPr>
            <w:tcW w:w="7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Reid Huber</w:t>
            </w:r>
          </w:p>
        </w:tc>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3520" w:type="dxa"/>
            <w:vAlign w:val="bottom"/>
          </w:tcPr>
          <w:p>
            <w:pPr>
              <w:spacing w:after="0"/>
              <w:rPr>
                <w:sz w:val="24"/>
                <w:szCs w:val="24"/>
                <w:color w:val="auto"/>
              </w:rPr>
            </w:pPr>
          </w:p>
        </w:tc>
        <w:tc>
          <w:tcPr>
            <w:tcW w:w="33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INDEPENDENT REGISTERED PUBLIC ACCOUNTING FIRM FOR THE FISCAL YEAR ENDING DECEMBER 31, 2022</w:t>
      </w:r>
    </w:p>
    <w:p>
      <w:pPr>
        <w:spacing w:after="0" w:line="14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We have selected PricewaterhouseCoopers LLP as the independent registered public accounting firm to perform the audit of our consolidated financial statements for the fiscal year ending December 31, 2022, and we are asking you and other stockholders to ratify this selection. PricewaterhouseCoopers LLP has audited our financial statements since 2017 (serving as Tango's independent registered public accounting firm prior to the Business Combination).</w:t>
      </w:r>
    </w:p>
    <w:p>
      <w:pPr>
        <w:spacing w:after="0" w:line="15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2022. Even if the appointment of PricewaterhouseCoopers LLP is ratified, the audit committee retains the discretion to appoint a different independent registered public accounting firm at any time if it determines that such a change is in the interests of the Company.</w:t>
      </w:r>
    </w:p>
    <w:p>
      <w:pPr>
        <w:spacing w:after="0" w:line="20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PricewaterhouseCoopers as the independent registered public accounting firm for the fiscal year ending December 31, 2022.</w:t>
      </w:r>
    </w:p>
    <w:p>
      <w:pPr>
        <w:spacing w:after="0" w:line="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fees of PricewaterhouseCoopers LLP billed to us for each of the last two fiscal years for audit services and billed to us in each of the last two fiscal years for other services: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1,775,000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635,000</w:t>
            </w:r>
          </w:p>
        </w:tc>
        <w:tc>
          <w:tcPr>
            <w:tcW w:w="60" w:type="dxa"/>
            <w:vAlign w:val="bottom"/>
            <w:shd w:val="clear" w:color="auto" w:fill="CCEEFF"/>
          </w:tcPr>
          <w:p>
            <w:pPr>
              <w:spacing w:after="0"/>
              <w:rPr>
                <w:sz w:val="18"/>
                <w:szCs w:val="18"/>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60" w:type="dxa"/>
            <w:vAlign w:val="bottom"/>
            <w:shd w:val="clear" w:color="auto" w:fill="CCEEFF"/>
          </w:tcPr>
          <w:p>
            <w:pPr>
              <w:spacing w:after="0"/>
              <w:rPr>
                <w:sz w:val="18"/>
                <w:szCs w:val="18"/>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3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60" w:type="dxa"/>
            <w:vAlign w:val="bottom"/>
          </w:tcPr>
          <w:p>
            <w:pPr>
              <w:spacing w:after="0"/>
              <w:rPr>
                <w:sz w:val="19"/>
                <w:szCs w:val="19"/>
                <w:color w:val="auto"/>
              </w:rPr>
            </w:pPr>
          </w:p>
        </w:tc>
      </w:tr>
      <w:tr>
        <w:trPr>
          <w:trHeight w:val="24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1,949,409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668,156</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431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4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the audit of our annual consolidated financial statements, review of the interim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the review of registration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aggregate fees for tax compliance and tax analysis related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All other fees consist of fees for accounting research tools.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as an "audit committee financial expert," as defined under the applicable rules of the SEC. The audit committee operates under a written charter adopted by the Board.</w:t>
      </w:r>
    </w:p>
    <w:p>
      <w:pPr>
        <w:spacing w:after="0" w:line="18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audit committee's general role is to assist the Board in monitoring our financial reporting process and related matters. Its specific responsibilities are set forth in its charter.</w:t>
      </w:r>
    </w:p>
    <w:p>
      <w:pPr>
        <w:spacing w:after="0" w:line="16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audit committee has reviewed the Company's consolidated financial statements for 2021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spacing w:after="0" w:line="17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spacing w:after="0" w:line="16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Based on these discussions, the financial statement review and other matters it deemed relevant, the audit committee recommended to the Board that the Company's audited consolidated financial statements for 2021 be included in its Annual Report on Form 10-K for the fiscal year ended December 31, 2021.</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of the Audit Committee of the Board of Directors of Tango Therapeutics,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Lesley Ann Calhoun (Chairperson)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Mace Rothenberg</w:t>
      </w:r>
    </w:p>
    <w:p>
      <w:pPr>
        <w:spacing w:after="0"/>
        <w:rPr>
          <w:sz w:val="20"/>
          <w:szCs w:val="20"/>
          <w:color w:val="auto"/>
        </w:rPr>
      </w:pPr>
      <w:r>
        <w:rPr>
          <w:rFonts w:ascii="Times New Roman" w:cs="Times New Roman" w:eastAsia="Times New Roman" w:hAnsi="Times New Roman"/>
          <w:sz w:val="18"/>
          <w:szCs w:val="18"/>
          <w:i w:val="1"/>
          <w:iCs w:val="1"/>
          <w:color w:val="auto"/>
        </w:rPr>
        <w:t>Alexis Borisy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4" w:name="page35"/>
    <w:bookmarkEnd w:id="34"/>
    <w:p>
      <w:pPr>
        <w:ind w:left="20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 2022 by:</w:t>
      </w:r>
    </w:p>
    <w:p>
      <w:pPr>
        <w:spacing w:after="0" w:line="68"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Tango’s outstanding Common Stock;</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Tango’s executive officers and directors; and</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Tango’s executive officers and directors as a group.</w:t>
      </w:r>
    </w:p>
    <w:p>
      <w:pPr>
        <w:spacing w:after="0" w:line="22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restricted stock awards, within 60 days of April 1, 2022. Shares subject to options that are currently exercisable or exercisable within 60 days of April 1, 2022, or subject to restricted stock awards that vest within 60 days of April 1, 2022, are considered outstanding and beneficially owned by the person holding such options or restricted stock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100 Binney St, Suite 700, Cambridge, MA 02142. The percentage of beneficial ownership is calculated based on 87,710,853 shares of Common Stock outstanding as of April 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r>
      <w:tr>
        <w:trPr>
          <w:trHeight w:val="210"/>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Weber, M.D.(1)</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2,141,950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Daniella Beckman(2)</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273,651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Alexis Borisy(3)</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95,858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Lesley Calhoun(4)</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Aaron Davis(8)</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101,524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Alan Huang, Ph.D.(5)</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488,026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Reid Huber Ph.D.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Malte Peters, M.D.(6)</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Mace Rothenberg, M.D.(7)</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Named Executive Officers and Directors as a group (eleven individuals)</w:t>
            </w:r>
          </w:p>
        </w:tc>
        <w:tc>
          <w:tcPr>
            <w:tcW w:w="480" w:type="dxa"/>
            <w:vAlign w:val="bottom"/>
            <w:tcBorders>
              <w:bottom w:val="single" w:sz="8" w:color="CCEEFF"/>
            </w:tcBorders>
            <w:gridSpan w:val="2"/>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3,254,580</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Boxer Capital, LLC(8)</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13,988,577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Casdin Partners Master Fund, L.P.(9)</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5,487,910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Gilead Sciences, Inc.(10)</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4,854,443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Rock Ventures IV, L.P.(11)</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19,363,975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Cormorant Asset Management L.P.(12)</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4,899,184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FMR LLC(13)</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7,182,188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-979805</wp:posOffset>
            </wp:positionV>
            <wp:extent cx="431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-979805</wp:posOffset>
            </wp:positionV>
            <wp:extent cx="43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8"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60" w:right="420" w:hanging="452"/>
        <w:spacing w:after="0" w:line="235" w:lineRule="auto"/>
        <w:tabs>
          <w:tab w:leader="none" w:pos="4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1,367,592 shares of Common Stock and options to purchase 774,358 shares of Common Stock exercisable within 60 days of April 1, 2022.</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63,867 shares of Common Stock and options to purchase 209,784 shares of Common Stock exercisable within 60 days of April 1, 2022.</w:t>
      </w:r>
    </w:p>
    <w:p>
      <w:pPr>
        <w:spacing w:after="0" w:line="7" w:lineRule="exact"/>
        <w:rPr>
          <w:rFonts w:ascii="Times New Roman" w:cs="Times New Roman" w:eastAsia="Times New Roman" w:hAnsi="Times New Roman"/>
          <w:sz w:val="18"/>
          <w:szCs w:val="18"/>
          <w:color w:val="auto"/>
        </w:rPr>
      </w:pPr>
    </w:p>
    <w:p>
      <w:pPr>
        <w:ind w:left="400" w:hanging="392"/>
        <w:spacing w:after="0" w:line="236"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95,858 shares of Common Stock exercisable within 60 days of April 1, 2022.</w:t>
      </w:r>
    </w:p>
    <w:p>
      <w:pPr>
        <w:ind w:left="400" w:hanging="392"/>
        <w:spacing w:after="0" w:line="234"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24,769 shares of Common Stock exercisable within 60 days of April 1, 2022.</w:t>
      </w: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135,887 shares of Common Stock and options to purchase 352,139 shares of Common Stock exercisable within 60 days of April 1, 2022.</w:t>
      </w:r>
    </w:p>
    <w:p>
      <w:pPr>
        <w:spacing w:after="0" w:line="7" w:lineRule="exact"/>
        <w:rPr>
          <w:rFonts w:ascii="Times New Roman" w:cs="Times New Roman" w:eastAsia="Times New Roman" w:hAnsi="Times New Roman"/>
          <w:sz w:val="18"/>
          <w:szCs w:val="18"/>
          <w:color w:val="auto"/>
        </w:rPr>
      </w:pPr>
    </w:p>
    <w:p>
      <w:pPr>
        <w:ind w:left="400" w:hanging="392"/>
        <w:spacing w:after="0" w:line="236"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104,033 shares of Common Stock exercisable within 60 days of April 1, 2022.</w:t>
      </w:r>
    </w:p>
    <w:p>
      <w:pPr>
        <w:ind w:left="400" w:hanging="392"/>
        <w:spacing w:after="0" w:line="234"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24,769 shares of Common Stock exercisable within 60 days of April 1, 2022.</w:t>
      </w:r>
    </w:p>
    <w:p>
      <w:pPr>
        <w:jc w:val="both"/>
        <w:ind w:left="460" w:right="640" w:hanging="452"/>
        <w:spacing w:after="0" w:line="246" w:lineRule="auto"/>
        <w:tabs>
          <w:tab w:leader="none" w:pos="4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13D/A filed by Boxer Capital, LLC (“Boxer Capital”), Boxer Asset Management Inc. (“Boxer Management”), Joe Lewis, Aaron Davis, BCTG Holdings, LLC (“BCTG Holdings”), MVA Investors, LLC (“MVA Investors”), Braslyn Ltd. (“Braslyn,” together with Boxer Capital, Boxer Management, Joe Lewis, BCTG Holdings, MVA</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left="460" w:right="40"/>
        <w:spacing w:after="0" w:line="243" w:lineRule="auto"/>
        <w:rPr>
          <w:sz w:val="20"/>
          <w:szCs w:val="20"/>
          <w:color w:val="auto"/>
        </w:rPr>
      </w:pPr>
      <w:r>
        <w:rPr>
          <w:rFonts w:ascii="Times New Roman" w:cs="Times New Roman" w:eastAsia="Times New Roman" w:hAnsi="Times New Roman"/>
          <w:sz w:val="18"/>
          <w:szCs w:val="18"/>
          <w:color w:val="auto"/>
        </w:rPr>
        <w:t>Investors and Aaron Davis, the “Reporting Persons”) with the SEC on January 4, 2022 Consists of 6,988,450 shares beneficially owned by BCTG Holdings, 6,871,642 shares beneficially owned by Boxer Capital and Boxer Management, 26,961 shares beneficially owned by Braslyn and 101,524 shares beneficially owned by MVA Investors. Boxer Capital, Boxer Management, and Joseph Lewis share voting and dispositive power over the shares held by Boxer Capital, and Aaron Davis has shared voting and dispositive power over the shares owned by MVA.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 The principal business address of Boxer Management, Braslyn and Joe Lewis is: c/o Cay House P.O. Box N-7776 E.P. Taylor Drive Lyford Cay, New Providence, Bahamas. Aaron Davis serves as the Chief Executive Officer of MVA Investors. A board consisting of Aaron Davis, Christopher Fuglesang and Andrew Ellis makes voting and dispositive decisions with respect to securities owned by BCTG Holdings. Each of Aaron Davis, Christopher Fuglesang and Andrew Ellis disclaims any pecuniary interest in BCTG Holdings except to the extent of his beneficial interest in the securities owned by BCTG Holdings.</w:t>
      </w:r>
    </w:p>
    <w:p>
      <w:pPr>
        <w:spacing w:after="0" w:line="2" w:lineRule="exact"/>
        <w:rPr>
          <w:sz w:val="20"/>
          <w:szCs w:val="20"/>
          <w:color w:val="auto"/>
        </w:rPr>
      </w:pPr>
    </w:p>
    <w:p>
      <w:pPr>
        <w:ind w:left="460" w:hanging="452"/>
        <w:spacing w:after="0" w:line="238" w:lineRule="auto"/>
        <w:tabs>
          <w:tab w:leader="none" w:pos="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Casdin Capital, LLC, Casdin Partners Master Fund, L.P., Casdin Partners GP, LLC and Eli Casdin with the SEC on August 19, 2021. The general partner of Casdin Partners Master Fund, L.P. is Casdin Partners GP, LLC, or Casdin Partners GP. Casdin Capital, LLC is the investment manager of Casdin Master Fund, L.P. Eli Casdin is the managing member of Casdin Capital, LLC and makes the sole voting and investment decisions with respect to shares held by Casdin Master Fund, L.P. The address of Casdin Capital, LLC is 1350 Avenue of the Americas, Suite 2405, New York, NY 10019.</w:t>
      </w:r>
    </w:p>
    <w:p>
      <w:pPr>
        <w:spacing w:after="0" w:line="1" w:lineRule="exact"/>
        <w:rPr>
          <w:rFonts w:ascii="Times New Roman" w:cs="Times New Roman" w:eastAsia="Times New Roman" w:hAnsi="Times New Roman"/>
          <w:sz w:val="18"/>
          <w:szCs w:val="18"/>
          <w:color w:val="auto"/>
        </w:rPr>
      </w:pPr>
    </w:p>
    <w:p>
      <w:pPr>
        <w:ind w:left="460" w:hanging="452"/>
        <w:spacing w:after="0" w:line="241" w:lineRule="auto"/>
        <w:tabs>
          <w:tab w:leader="none" w:pos="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Gilead Sciences, Inc. with the SEC on September 9, 2021. The address of Gilead Science, Inc. is 333 Lakeside Drive, Foster City, California 94404.</w:t>
      </w:r>
    </w:p>
    <w:p>
      <w:pPr>
        <w:spacing w:after="0" w:line="1" w:lineRule="exact"/>
        <w:rPr>
          <w:rFonts w:ascii="Times New Roman" w:cs="Times New Roman" w:eastAsia="Times New Roman" w:hAnsi="Times New Roman"/>
          <w:sz w:val="18"/>
          <w:szCs w:val="18"/>
          <w:color w:val="auto"/>
        </w:rPr>
      </w:pPr>
    </w:p>
    <w:p>
      <w:pPr>
        <w:ind w:left="460" w:right="240" w:hanging="452"/>
        <w:spacing w:after="0"/>
        <w:tabs>
          <w:tab w:leader="none" w:pos="3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Third Rock Ventures IV, L.P. (“TRV IV”), Third Rock Ventures GP IV, L.P. (“TRV GP IV”) and TRV GP IV, LLC (“TRV GP IV LLC,” and collectively with TRV IV and TRV GP IV, the “Reporting Persons”) with the SEC on August 19, 2021.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Dr. Huber is a partner at Third Rock Ventures, LLC, and a member of our board of directors. The address for each of the Reporting Persons is 29 Newbury Street, Suite 401, Boston, MA 02116.</w:t>
      </w:r>
    </w:p>
    <w:p>
      <w:pPr>
        <w:ind w:left="460" w:right="240" w:hanging="452"/>
        <w:spacing w:after="0" w:line="239" w:lineRule="auto"/>
        <w:tabs>
          <w:tab w:leader="none" w:pos="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Cormorant Asset Management, LP with the SEC on February 14, 2022. Consists of 4,899,184 shares held for the benefit of private funds and a managed account for which Cormorant Asset Management, LP serves as investment manager. Bihua Chen serves as the general partner of Cormorant Asset Management, LP. The address of Cormorant Asset Management, LP is 200 Clarendon Street, 52nd Floor, Boston, MA 02116.</w:t>
      </w:r>
    </w:p>
    <w:p>
      <w:pPr>
        <w:ind w:left="460" w:right="40" w:hanging="452"/>
        <w:spacing w:after="0" w:line="243" w:lineRule="auto"/>
        <w:tabs>
          <w:tab w:leader="none" w:pos="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a Schedule 13G filed by FMR LLC and its affiliates with the SEC on February 9, 2022, which reported ownership as of December 31, 2021. The address for FMR LLC is 245 Summer Street, Boston, MA 02210.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2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our common stock, to file with the SEC initial reports of beneficial ownership and reports of changes in beneficial ownership. Officers, directors and greater than 10% stockholders are required by SEC regulations to furnish us with copies of all such reports.</w:t>
      </w:r>
    </w:p>
    <w:p>
      <w:pPr>
        <w:spacing w:after="0" w:line="1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furnished to us and written representations that no other reports were required, we believe that during the year ended December 31, 2021, all required reports were filed on a timely basis under Section 16(a).</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the sections entitled “Executive Compensation” and “Director Compensation” in this proxy statement and the transactions described below, since January 1, 2020, there has not been and there is not currently proposed, any transaction or series of similar transactions to which:</w:t>
      </w:r>
    </w:p>
    <w:p>
      <w:pPr>
        <w:spacing w:after="0" w:line="82"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or will be, a participant;</w:t>
      </w:r>
    </w:p>
    <w:p>
      <w:pPr>
        <w:spacing w:after="0" w:line="10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0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director, executive officer, holder of 5% or more of any class of our capital stock or any member of the immediate family of, or entities affiliated with, any of the foregoing persons, had, or will have, a direct or indirect material interest.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and Shareholder Rights Agreement</w:t>
      </w:r>
    </w:p>
    <w:p>
      <w:pPr>
        <w:spacing w:after="0" w:line="21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Upon the closing of the Business Combination (as such term is defined in the Annual Report on Form 10-K for the fiscal year ended December 31, 2021), we entered into an Amended and Restated Registration and Stockholder Rights Agreement, or the Amended and Restated Registration and Stockholder Rights Agreement, with BCTG Holdings, LLC, or the Sponsor, certain persons and entities holding securities of New Tango, and entities receiving Common Stock pursuant to the Merger Agreement (the foregoing persons and entities, together with other persons or entities who become party to the Amended and Restated Registration and Stockholder Rights Agreement collectively referred to as the Holders), pursuant to which we (i) agreed to register for resale (1) certain shares of Common Stock held by, or issuable upon exercise of options held by, the Holders and (2) any warrants, shares of capital stock or other securities of our company issued as a dividend or other distribution with respect to, or in exchange for or in replacement of the shares specified in clause (1) (the securities in clauses (1) and (2) collectively referred to as the Registrable Securities) and (ii) granted certain other registration rights to the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Amended and Restated Registration and Stockholder Rights Agreement provides for the following registration rights:</w:t>
      </w:r>
    </w:p>
    <w:p>
      <w:pPr>
        <w:spacing w:after="0" w:line="102" w:lineRule="exact"/>
        <w:rPr>
          <w:sz w:val="20"/>
          <w:szCs w:val="20"/>
          <w:color w:val="auto"/>
        </w:rPr>
      </w:pPr>
    </w:p>
    <w:p>
      <w:pPr>
        <w:ind w:left="520" w:right="60" w:hanging="512"/>
        <w:spacing w:after="0" w:line="244"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registration/demand registration rights</w:t>
      </w:r>
      <w:r>
        <w:rPr>
          <w:rFonts w:ascii="Times New Roman" w:cs="Times New Roman" w:eastAsia="Times New Roman" w:hAnsi="Times New Roman"/>
          <w:sz w:val="18"/>
          <w:szCs w:val="18"/>
          <w:color w:val="auto"/>
        </w:rPr>
        <w:t>. No later than 30 calendar days following the Closing Date (as such term is defined in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the fiscal year ended December 31, 2021), we were required to file with the SEC, a shelf registration statement registering the resale of the Registrable Securities, and use our commercially reasonable efforts to have such registration statement declared effective by the SEC within a specified period.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77" w:lineRule="exact"/>
        <w:rPr>
          <w:rFonts w:ascii="Times New Roman" w:cs="Times New Roman" w:eastAsia="Times New Roman" w:hAnsi="Times New Roman"/>
          <w:sz w:val="18"/>
          <w:szCs w:val="18"/>
          <w:color w:val="auto"/>
        </w:rPr>
      </w:pPr>
    </w:p>
    <w:p>
      <w:pPr>
        <w:ind w:left="520" w:hanging="512"/>
        <w:spacing w:after="0" w:line="25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Piggyback registration rights. </w:t>
      </w:r>
      <w:r>
        <w:rPr>
          <w:rFonts w:ascii="Times New Roman" w:cs="Times New Roman" w:eastAsia="Times New Roman" w:hAnsi="Times New Roman"/>
          <w:sz w:val="18"/>
          <w:szCs w:val="18"/>
          <w:color w:val="auto"/>
        </w:rPr>
        <w:t>Subject to exceptions for certain offerings and registration statements, if at any time, we propose to file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under the Securities Act in connection with an offering of our equity securities or securities or other obligations exercisable or exchangeable for, or convertible into, our equity securities, either for our own account or for the account of our stockholders, the Holders are entitled to include their Registrable Securities in such registration statement.</w:t>
      </w:r>
    </w:p>
    <w:p>
      <w:pPr>
        <w:spacing w:after="0" w:line="65" w:lineRule="exact"/>
        <w:rPr>
          <w:rFonts w:ascii="Times New Roman" w:cs="Times New Roman" w:eastAsia="Times New Roman" w:hAnsi="Times New Roman"/>
          <w:sz w:val="18"/>
          <w:szCs w:val="18"/>
          <w:color w:val="auto"/>
        </w:rPr>
      </w:pPr>
    </w:p>
    <w:p>
      <w:pPr>
        <w:ind w:left="520" w:right="40" w:hanging="512"/>
        <w:spacing w:after="0" w:line="265" w:lineRule="auto"/>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Expenses and indemnification</w:t>
      </w:r>
      <w:r>
        <w:rPr>
          <w:rFonts w:ascii="Times New Roman" w:cs="Times New Roman" w:eastAsia="Times New Roman" w:hAnsi="Times New Roman"/>
          <w:sz w:val="17"/>
          <w:szCs w:val="17"/>
          <w:color w:val="auto"/>
        </w:rPr>
        <w:t>. The fees, costs and expenses of registrations pursuant to the registration rights granted to the Holders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and Restated Registration and Stockholder Rights Agreement will be borne by us,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Tango for material misstatements or omissions attributable to them.</w:t>
      </w:r>
    </w:p>
    <w:p>
      <w:pPr>
        <w:spacing w:after="0" w:line="16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Our securities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w:t>
      </w:r>
    </w:p>
    <w:p>
      <w:pPr>
        <w:spacing w:after="0" w:line="16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2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connection with the Merger, on the Closing Date, we entered into lock-up agreements with our directors, officers and certain of our stockholders, or collectively, the Lockup Holders. The terms of the lock-up agreements provide for the Common Stock held by the Lockup Holders as of immediately after the effective time of the Business Combination to be subject to transfer restrictions for a period of 180 days after the Closing Date, subject to certain exceptions. As of the date of this proxy statement, such transfer restrictions in effect for such 180 days have lapsed.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BCTG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Founders Shares</w:t>
      </w:r>
    </w:p>
    <w:p>
      <w:pPr>
        <w:spacing w:after="0" w:line="22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On June 4, 2020, BCTG issued 3,593,750 shares of common stock to the Sponsor in exchange for a payment of $25,000. We refer to such issued shares in this proxy statement as the Founder Shares. On September 2, 2020, BCTG declared a dividend of 0.16 shares for each outstanding share of common stock (an aggregate of 575,000 shares), resulting in an aggregate of 4,168,750 Founder Shares outstanding. The Sponsor had agreed to forfeit up to an aggregate of 543,750 Founders Shares, so that the Founders Shares would represent 20% of BTCG’s issued and outstanding shares after BCTG’s initial public offering, to the extent the underwriters’ over-allotment option was not exercised in full or in part. On September 8, 2020, the underwriters exercised their 15% over-allotment option in full; thus, the Founders Shares were no longer subject to forfeiture. The Sponsor currently owns an aggregate of 4,493,450 shares of our common stock, and its independent directors and advisors collectively own 208,800 shares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Founders Shares (except to certain permitted transferees) until the earlier of</w:t>
      </w:r>
    </w:p>
    <w:p>
      <w:pPr>
        <w:spacing w:after="0" w:line="16" w:lineRule="exact"/>
        <w:rPr>
          <w:sz w:val="20"/>
          <w:szCs w:val="20"/>
          <w:color w:val="auto"/>
        </w:rPr>
      </w:pPr>
    </w:p>
    <w:p>
      <w:pPr>
        <w:ind w:firstLine="8"/>
        <w:spacing w:after="0"/>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date of the consummation of the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Business Combination, or earlier if, subsequent to the Business Combination, we consummate a subsequent liquidation, merger, stock exchange or other similar transaction which results in all of our stockholders having the right to exchange their shares of common stock for cash, securities or other property.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Shares</w:t>
      </w:r>
    </w:p>
    <w:p>
      <w:pPr>
        <w:spacing w:after="0" w:line="214"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BCTG’s initial public offering, the Sponsor purchased 533,500 Private Shares, at a price of $10.00 per share, in a private placement for an aggregate purchase price of approximately $5.3 million. The Private Shares are identical to the shares of common stock sold in BCTG’s initial public offering, subject to certain limited exceptions.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May 21, 2020 and June 10, 2020, the Sponsor agreed to loan BCTG up to $25,025 and $274,975, respectively, for an aggregate amount of $300,000 to be used for the payment of costs related to BCTG’s initial public offering pursuant to a promissory note, or each, a Note, and collectively, the Notes. The Notes were non-interest bearing, unsecured and due upon the date BCTG consummated its initial public offering. BCTG borrowed approximately $127,000 under the Notes and repaid the Notes in full on September 10, 2020.</w:t>
      </w:r>
    </w:p>
    <w:p>
      <w:pPr>
        <w:spacing w:after="0" w:line="1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the Business Combination, the initial stockholders, officers and directors and their affiliates could have, but were not obligated to, loan BCTG funds as may be required, or the Working Capital Loans. Each loan would be evidenced by a promissory note. The notes would either be paid upon consummation of the Business Combination, without interest, or, at the lender’s discretion, up to $1.5 million of the notes may be converted upon consummation of the Business Combination into additional private placement shares at a conversion price of $10.00 per share. If BCTG did not complete a business combination, the loans would not be repaid. Such private placement shares would be identical to the Private Shares. BCTG did not have any borrowings under the Working Capital Loans.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Commencing on September 2, 2020, BCTG agreed to pay an affiliate of the Sponsor a total of $10,000 per month for office space and certain office and secretarial services. Upon completion of the Business Combination, BCTG ceased paying these monthly fees. For the period from May 21, 2020 (inception) through the completion of the Business Combination, BCTG incurred approximately $110,000 related to these services. As of the date hereof, no amounts are payable related to this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Share Purchase Commitment</w:t>
      </w:r>
    </w:p>
    <w:p>
      <w:pPr>
        <w:spacing w:after="0" w:line="2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Sponsor entered into an agreement to purchase an aggregate of at least 2,500,000 shares of BCTG’s common stock for an aggregate purchase price of $25.0 million, or $10.00 per share, prior to, concurrently with, or following the closing of the Business Combination in a private placement. The funds from such private placement could be used as part of the consideration to the sellers in the Business Combination, and any excess funds from such private placement may be used for working capital in the post-transaction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closing of the Business Combination, PIPE Investors subscribed for and purchased an aggregate of 18,610,000 shares of Common Stock at a price of $10.00 per share for aggregate gross proceeds of $186,100,000.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Old Tango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22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April 7, 2020, Old Tango entered into a Series B Preferred Stock Purchase Agreement, or the Series B Purchase Agreement, pursuant to which Old Tango issued 45,372,050 shares of its Series B Preferred Stock for a 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Old Tango’s capital stock participated in the Series B Preferred Stock financing.</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of 5% Tango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434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9" w:lineRule="exact"/>
        <w:rPr>
          <w:sz w:val="20"/>
          <w:szCs w:val="20"/>
          <w:color w:val="auto"/>
        </w:rPr>
      </w:pPr>
    </w:p>
    <w:p>
      <w:pPr>
        <w:ind w:left="20" w:right="60"/>
        <w:spacing w:after="0" w:line="256" w:lineRule="auto"/>
        <w:rPr>
          <w:sz w:val="20"/>
          <w:szCs w:val="20"/>
          <w:color w:val="auto"/>
        </w:rPr>
      </w:pPr>
      <w:r>
        <w:rPr>
          <w:rFonts w:ascii="Times New Roman" w:cs="Times New Roman" w:eastAsia="Times New Roman" w:hAnsi="Times New Roman"/>
          <w:sz w:val="18"/>
          <w:szCs w:val="18"/>
          <w:color w:val="auto"/>
        </w:rPr>
        <w:t>Boxer Capital, LLC and affiliated entities(1) Casdin Capital</w:t>
      </w:r>
    </w:p>
    <w:p>
      <w:pPr>
        <w:ind w:left="20" w:right="60"/>
        <w:spacing w:after="0" w:line="234" w:lineRule="auto"/>
        <w:rPr>
          <w:sz w:val="20"/>
          <w:szCs w:val="20"/>
          <w:color w:val="auto"/>
        </w:rPr>
      </w:pPr>
      <w:r>
        <w:rPr>
          <w:rFonts w:ascii="Times New Roman" w:cs="Times New Roman" w:eastAsia="Times New Roman" w:hAnsi="Times New Roman"/>
          <w:sz w:val="18"/>
          <w:szCs w:val="18"/>
          <w:color w:val="auto"/>
        </w:rPr>
        <w:t>Cormorant Asset Management and affiliated entities(2)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Series B</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220" w:type="dxa"/>
            <w:vAlign w:val="bottom"/>
          </w:tcPr>
          <w:p>
            <w:pPr>
              <w:spacing w:after="0"/>
              <w:rPr>
                <w:sz w:val="13"/>
                <w:szCs w:val="13"/>
                <w:color w:val="auto"/>
              </w:rPr>
            </w:pP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Number of Series B</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81"/>
        </w:trPr>
        <w:tc>
          <w:tcPr>
            <w:tcW w:w="1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 Purchased</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 Purchased</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Price – First Closing</w:t>
            </w:r>
          </w:p>
        </w:tc>
        <w:tc>
          <w:tcPr>
            <w:tcW w:w="2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Price – Second Closing</w:t>
            </w:r>
          </w:p>
        </w:tc>
        <w:tc>
          <w:tcPr>
            <w:tcW w:w="0" w:type="dxa"/>
            <w:vAlign w:val="bottom"/>
          </w:tcPr>
          <w:p>
            <w:pPr>
              <w:spacing w:after="0"/>
              <w:rPr>
                <w:sz w:val="1"/>
                <w:szCs w:val="1"/>
                <w:color w:val="auto"/>
              </w:rPr>
            </w:pPr>
          </w:p>
        </w:tc>
      </w:tr>
      <w:tr>
        <w:trPr>
          <w:trHeight w:val="123"/>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First Closing</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Second Closing</w:t>
            </w:r>
          </w:p>
        </w:tc>
        <w:tc>
          <w:tcPr>
            <w:tcW w:w="2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760" w:type="dxa"/>
            <w:vAlign w:val="bottom"/>
            <w:tcBorders>
              <w:bottom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70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8,507,260</w:t>
            </w:r>
          </w:p>
        </w:tc>
        <w:tc>
          <w:tcPr>
            <w:tcW w:w="24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11,250,000</w:t>
            </w:r>
          </w:p>
        </w:tc>
        <w:tc>
          <w:tcPr>
            <w:tcW w:w="220" w:type="dxa"/>
            <w:vAlign w:val="bottom"/>
          </w:tcPr>
          <w:p>
            <w:pPr>
              <w:spacing w:after="0"/>
              <w:rPr>
                <w:sz w:val="17"/>
                <w:szCs w:val="17"/>
                <w:color w:val="auto"/>
              </w:rPr>
            </w:pPr>
          </w:p>
        </w:tc>
        <w:tc>
          <w:tcPr>
            <w:tcW w:w="1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8,507,260</w:t>
            </w:r>
          </w:p>
        </w:tc>
        <w:tc>
          <w:tcPr>
            <w:tcW w:w="2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11,250,000</w:t>
            </w:r>
          </w:p>
        </w:tc>
        <w:tc>
          <w:tcPr>
            <w:tcW w:w="0" w:type="dxa"/>
            <w:vAlign w:val="bottom"/>
          </w:tcPr>
          <w:p>
            <w:pPr>
              <w:spacing w:after="0"/>
              <w:rPr>
                <w:sz w:val="1"/>
                <w:szCs w:val="1"/>
                <w:color w:val="auto"/>
              </w:rPr>
            </w:pPr>
          </w:p>
        </w:tc>
      </w:tr>
      <w:tr>
        <w:trPr>
          <w:trHeight w:val="234"/>
        </w:trPr>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1,890,502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2,499,999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1,890,502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2,499,999</w:t>
            </w:r>
          </w:p>
        </w:tc>
        <w:tc>
          <w:tcPr>
            <w:tcW w:w="0" w:type="dxa"/>
            <w:vAlign w:val="bottom"/>
          </w:tcPr>
          <w:p>
            <w:pPr>
              <w:spacing w:after="0"/>
              <w:rPr>
                <w:sz w:val="1"/>
                <w:szCs w:val="1"/>
                <w:color w:val="auto"/>
              </w:rPr>
            </w:pPr>
          </w:p>
        </w:tc>
      </w:tr>
      <w:tr>
        <w:trPr>
          <w:trHeight w:val="310"/>
        </w:trPr>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3,781,004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4,999,999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3,781,004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-471170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-196215</wp:posOffset>
            </wp:positionV>
            <wp:extent cx="713232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280" w:space="720"/>
            <w:col w:w="7240"/>
          </w:cols>
          <w:pgMar w:left="320" w:top="362" w:right="339" w:bottom="1440" w:gutter="0" w:footer="0" w:header="0"/>
          <w:type w:val="continuous"/>
        </w:sectPr>
      </w:pPr>
    </w:p>
    <w:p>
      <w:pPr>
        <w:ind w:left="460" w:right="60" w:hanging="452"/>
        <w:spacing w:after="0" w:line="247" w:lineRule="auto"/>
        <w:tabs>
          <w:tab w:leader="none" w:pos="4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Boxer Capital LLC, which purchased 8,417,650 shares at the first closing and 8,417,650 shares at the second closing; and MVA Investors, LLC, which purchased 89,610 shares at the first closing and 89,610 shares at the second closing. Aaron Davis, a member of our board of directors, is Chief Executive Officer of Boxer Capital, LLC. Boxer Capital, LLC and Mr. Davis are each affiliated with BCTG and the Sponsor.</w:t>
      </w:r>
    </w:p>
    <w:p>
      <w:pPr>
        <w:spacing w:after="0" w:line="1" w:lineRule="exact"/>
        <w:rPr>
          <w:rFonts w:ascii="Times New Roman" w:cs="Times New Roman" w:eastAsia="Times New Roman" w:hAnsi="Times New Roman"/>
          <w:sz w:val="18"/>
          <w:szCs w:val="18"/>
          <w:color w:val="auto"/>
        </w:rPr>
      </w:pPr>
    </w:p>
    <w:p>
      <w:pPr>
        <w:ind w:left="460" w:right="100" w:hanging="452"/>
        <w:spacing w:after="0" w:line="246" w:lineRule="auto"/>
        <w:tabs>
          <w:tab w:leader="none" w:pos="4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B-1 Preferred Stock Financing</w:t>
      </w:r>
    </w:p>
    <w:p>
      <w:pPr>
        <w:spacing w:after="0" w:line="21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On August 17, 2020, Old Tango held the closing of its Series B-1 Preferred Stock financing, pursuant to its Series B-1 Preferred Stock Purchase Agreement, or the Series B-1 Purchase Agreement, at which Old Tango issued 27,152,255 shares of its Series B-1 Preferred Stock for a per share price of $1.885, for aggregate gross proceeds in the amount of $51.2 million. The following holders of more than 5% of Old Tango’s capital stock participated in the Series B-1 Preferred Stock financing.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5% Tango Stockholder</w:t>
            </w:r>
          </w:p>
        </w:tc>
        <w:tc>
          <w:tcPr>
            <w:tcW w:w="220" w:type="dxa"/>
            <w:vAlign w:val="bottom"/>
          </w:tcPr>
          <w:p>
            <w:pPr>
              <w:spacing w:after="0"/>
              <w:rPr>
                <w:sz w:val="13"/>
                <w:szCs w:val="13"/>
                <w:color w:val="auto"/>
              </w:rPr>
            </w:pPr>
          </w:p>
        </w:tc>
        <w:tc>
          <w:tcPr>
            <w:tcW w:w="2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Number of Series B-1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Aggregate Purchase Price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Boxer Capital, LLC and affiliated entities(1)</w:t>
            </w: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3,511,769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Casdin Capital</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7,957,852</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Cormorant Asset Management and affiliated entities(2)</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1,560,786</w:t>
            </w:r>
          </w:p>
        </w:tc>
        <w:tc>
          <w:tcPr>
            <w:tcW w:w="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Gilead Sciences, Inc.</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10,610,079</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80" w:hanging="452"/>
        <w:spacing w:after="0" w:line="242" w:lineRule="auto"/>
        <w:tabs>
          <w:tab w:leader="none" w:pos="4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Boxer Capital LLC, which purchased 3,392,141 shares; and MVA Investors, LLC, which purchased 119,628 shares. Aaron Davis, a member of our Board of Directors, is Chief Executive Officer of Boxer Capital, LLC. Boxer Capital, LLC and Mr. Davis are each affiliated with BCTG and the Sponsor.</w:t>
      </w:r>
    </w:p>
    <w:p>
      <w:pPr>
        <w:spacing w:after="0" w:line="1" w:lineRule="exact"/>
        <w:rPr>
          <w:rFonts w:ascii="Times New Roman" w:cs="Times New Roman" w:eastAsia="Times New Roman" w:hAnsi="Times New Roman"/>
          <w:sz w:val="18"/>
          <w:szCs w:val="18"/>
          <w:color w:val="auto"/>
        </w:rPr>
      </w:pPr>
    </w:p>
    <w:p>
      <w:pPr>
        <w:ind w:left="460" w:right="300" w:hanging="452"/>
        <w:spacing w:after="0" w:line="258" w:lineRule="auto"/>
        <w:tabs>
          <w:tab w:leader="none" w:pos="4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Cormorant Private Healthcare Fund II, LP, which purchased 1,235,518 shares; and Cormorant Global Healthcare Master Fund, LP, which purchased 325,268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Gilead Collaboration Agreement</w:t>
      </w:r>
    </w:p>
    <w:p>
      <w:pPr>
        <w:spacing w:after="0" w:line="202"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8"/>
          <w:szCs w:val="18"/>
          <w:color w:val="auto"/>
        </w:rPr>
        <w:t>In October 2018, we entered into a Collaboration and License Agreement with Gilead Sciences, Inc. which collaboration was amended and restated on August 17, 2020, concurrently with the closing of the Series B-1 Preferred Stock financing in which Gilead Sciences, Inc. participated. Gilead Sciences, Inc. holds 5% or more of our capital stock. See the section titled “Business — Collaboration and License Agreements — Collaboration and License Agreement with Gilead Sciences” in our Annual Report on Form 10-K for the fiscal year ended December 31, 2021 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02" w:lineRule="exact"/>
        <w:rPr>
          <w:sz w:val="20"/>
          <w:szCs w:val="20"/>
          <w:color w:val="auto"/>
        </w:rPr>
      </w:pPr>
    </w:p>
    <w:p>
      <w:pPr>
        <w:ind w:right="580"/>
        <w:spacing w:after="0" w:line="230"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Old Tango entered into an Amended and Restated Investors Rights Agreement, or the Investors Rights Agreement with certain of its investors, including its 5% stockholders. Pursuant to the Investors Agreement, the</w:t>
      </w:r>
    </w:p>
    <w:p>
      <w:pPr>
        <w:spacing w:after="0" w:line="1"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investors were granted certain demand and registration rights as well as certain information rights. In connection with the Merger, the Investors Rights Agreement was terminated at the closing of the Business Combination.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0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connection with the initial closing of the Series B Preferred Stock financing, Old Tango entered into an Amended and Restated Voting Agreement, or the Voting Agreement with certain of its investors, including its 5% stockholders. Pursuant to the Investors Agreement, certain investors were given the right to</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designate certain members of Old Tango’s board of directors. In connection with the Merger, the Voting Agreement was terminated at the closing of the Business Combination.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party to indemnity agreements with our directors and executive officers. These agreements, among other things, require us to indemnify these</w:t>
      </w:r>
    </w:p>
    <w:p>
      <w:pPr>
        <w:spacing w:after="0" w:line="2"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member of our board of directors to the maximum extent allowed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for Approval of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reviews and approves transactions with directors, officers and holders of 5% or more our capital stock and their affiliates, or each,</w:t>
      </w:r>
    </w:p>
    <w:p>
      <w:pPr>
        <w:spacing w:after="0" w:line="2" w:lineRule="exact"/>
        <w:rPr>
          <w:sz w:val="20"/>
          <w:szCs w:val="20"/>
          <w:color w:val="auto"/>
        </w:rPr>
      </w:pPr>
    </w:p>
    <w:p>
      <w:pPr>
        <w:ind w:right="560"/>
        <w:spacing w:after="0" w:line="211" w:lineRule="auto"/>
        <w:rPr>
          <w:sz w:val="20"/>
          <w:szCs w:val="20"/>
          <w:color w:val="auto"/>
        </w:rPr>
      </w:pPr>
      <w:r>
        <w:rPr>
          <w:rFonts w:ascii="Times New Roman" w:cs="Times New Roman" w:eastAsia="Times New Roman" w:hAnsi="Times New Roman"/>
          <w:sz w:val="18"/>
          <w:szCs w:val="18"/>
          <w:color w:val="auto"/>
        </w:rPr>
        <w:t>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w:t>
      </w:r>
    </w:p>
    <w:p>
      <w:pPr>
        <w:spacing w:after="0" w:line="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8"/>
          <w:szCs w:val="18"/>
          <w:color w:val="auto"/>
        </w:rPr>
        <w:t>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p>
    <w:p>
      <w:pPr>
        <w:spacing w:after="0" w:line="18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spacing w:after="0" w:line="32"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officers, directors or director nominee;</w:t>
      </w:r>
    </w:p>
    <w:p>
      <w:pPr>
        <w:spacing w:after="0" w:line="9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 of our voting stock;</w:t>
      </w:r>
    </w:p>
    <w:p>
      <w:pPr>
        <w:spacing w:after="0" w:line="90" w:lineRule="exact"/>
        <w:rPr>
          <w:rFonts w:ascii="Times New Roman" w:cs="Times New Roman" w:eastAsia="Times New Roman" w:hAnsi="Times New Roman"/>
          <w:sz w:val="18"/>
          <w:szCs w:val="18"/>
          <w:color w:val="auto"/>
        </w:rPr>
      </w:pPr>
    </w:p>
    <w:p>
      <w:pPr>
        <w:ind w:left="520" w:hanging="512"/>
        <w:spacing w:after="0" w:line="228"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five percent 5% of our voting stock; and</w:t>
      </w:r>
    </w:p>
    <w:p>
      <w:pPr>
        <w:spacing w:after="0" w:line="77"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 AND OTHER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100 Binney Street, Suite 700, Cambridge, Massachusetts 02142,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1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2023 proxy statement must submit the proposal in accordance with the procedures outlined in Rule 14a-8 of the Exchange Act so that it is received by us no later than December 27, 2022. However, if the date of the 2023 Annual Meeting of Stockholders is changed by more than 30 days from the date of the previous year’s meeting, then the deadline is a reasonable time before we begin to print and send our proxy statement for the 2023 Annual Meeting of Stockholders. SEC rules set standards for eligibility and specify the types of stockholder proposals that may be excluded from a proxy statement. Stockholder proposals should be addressed to Tango Therapeutics, Inc., 100 Binney Street, Suite 700, Cambridge, Massachusetts 02142, Attention: Corporate Secretary.</w:t>
      </w:r>
    </w:p>
    <w:p>
      <w:pPr>
        <w:spacing w:after="0" w:line="18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2023 Annual Meeting of Stockholders, the required notice must be received by our corporate secretary at our principal executive offices no earlier than February 8, 2022 and no later than March 10, 2022. Stockholder proposals and the required notice should be addressed to Tango Therapeutics, Inc., 100 Binney Street, Suite 700, Cambridge, Massachusetts 02142, Attention: Corporate 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74796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7479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5996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5996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lowerRoman"/>
      <w:start w:val="3"/>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amp;"/>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lvl w:ilvl="1">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3"/>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9"/>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lowerRoman"/>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2022-04-26T07:03:57Z</dcterms:created>
  <dcterms:modified xsi:type="dcterms:W3CDTF">2022-04-26T07:03:57Z</dcterms:modified>
</cp:coreProperties>
</file>