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54"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Boxer Capital Management,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12860 EL CAMINO REAL</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Tango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TNGX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10/21/2024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7"/>
          <w:szCs w:val="17"/>
          <w:color w:val="0000FF"/>
        </w:rPr>
        <w:t>See remarks</w:t>
      </w:r>
    </w:p>
    <w:p>
      <w:pPr>
        <w:spacing w:after="0" w:line="468" w:lineRule="exact"/>
        <w:rPr>
          <w:sz w:val="24"/>
          <w:szCs w:val="24"/>
          <w:color w:val="auto"/>
        </w:rPr>
      </w:pPr>
    </w:p>
    <w:p>
      <w:pPr>
        <w:sectPr>
          <w:pgSz w:w="11900" w:h="16854"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 w:type="dxa"/>
            <w:vAlign w:val="bottom"/>
            <w:vMerge w:val="restart"/>
          </w:tcPr>
          <w:p>
            <w:pPr>
              <w:spacing w:after="0"/>
              <w:rPr>
                <w:sz w:val="9"/>
                <w:szCs w:val="9"/>
                <w:color w:val="auto"/>
              </w:rPr>
            </w:pPr>
          </w:p>
        </w:tc>
        <w:tc>
          <w:tcPr>
            <w:tcW w:w="3540" w:type="dxa"/>
            <w:vAlign w:val="bottom"/>
            <w:gridSpan w:val="9"/>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920" w:type="dxa"/>
            <w:vAlign w:val="bottom"/>
            <w:shd w:val="clear" w:color="auto" w:fill="EEEEEE"/>
          </w:tcPr>
          <w:p>
            <w:pPr>
              <w:spacing w:after="0" w:line="20" w:lineRule="exact"/>
              <w:rPr>
                <w:sz w:val="1"/>
                <w:szCs w:val="1"/>
                <w:color w:val="auto"/>
              </w:rPr>
            </w:pPr>
          </w:p>
        </w:tc>
        <w:tc>
          <w:tcPr>
            <w:tcW w:w="580" w:type="dxa"/>
            <w:vAlign w:val="bottom"/>
            <w:shd w:val="clear" w:color="auto" w:fill="EEEEEE"/>
          </w:tcPr>
          <w:p>
            <w:pPr>
              <w:spacing w:after="0" w:line="20" w:lineRule="exact"/>
              <w:rPr>
                <w:sz w:val="1"/>
                <w:szCs w:val="1"/>
                <w:color w:val="auto"/>
              </w:rPr>
            </w:pPr>
          </w:p>
        </w:tc>
        <w:tc>
          <w:tcPr>
            <w:tcW w:w="760" w:type="dxa"/>
            <w:vAlign w:val="bottom"/>
            <w:shd w:val="clear" w:color="auto" w:fill="EEEEE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540" w:type="dxa"/>
            <w:vAlign w:val="bottom"/>
            <w:gridSpan w:val="9"/>
            <w:vMerge w:val="continue"/>
          </w:tcPr>
          <w:p>
            <w:pPr>
              <w:spacing w:after="0" w:line="20" w:lineRule="exact"/>
              <w:rPr>
                <w:sz w:val="1"/>
                <w:szCs w:val="1"/>
                <w:color w:val="auto"/>
              </w:rPr>
            </w:pPr>
          </w:p>
        </w:tc>
        <w:tc>
          <w:tcPr>
            <w:tcW w:w="3760" w:type="dxa"/>
            <w:vAlign w:val="bottom"/>
            <w:gridSpan w:val="11"/>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DIEGO</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92130</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2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gridSpan w:val="3"/>
            <w:vMerge w:val="continue"/>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2"/>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460" w:type="dxa"/>
            <w:vAlign w:val="bottom"/>
            <w:tcBorders>
              <w:bottom w:val="single" w:sz="8" w:color="2C2C2C"/>
            </w:tcBorders>
            <w:gridSpan w:val="6"/>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8"/>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5"/>
                <w:szCs w:val="15"/>
                <w:color w:val="auto"/>
              </w:rPr>
            </w:pPr>
          </w:p>
        </w:tc>
        <w:tc>
          <w:tcPr>
            <w:tcW w:w="118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ind w:left="800"/>
              <w:spacing w:after="0"/>
              <w:rPr>
                <w:sz w:val="20"/>
                <w:szCs w:val="20"/>
                <w:color w:val="auto"/>
              </w:rPr>
            </w:pPr>
            <w:r>
              <w:rPr>
                <w:rFonts w:ascii="Times New Roman" w:cs="Times New Roman" w:eastAsia="Times New Roman" w:hAnsi="Times New Roman"/>
                <w:sz w:val="17"/>
                <w:szCs w:val="17"/>
                <w:color w:val="0000FF"/>
              </w:rPr>
              <w:t>10/21/2024</w:t>
            </w: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625,000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7.05</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7,573,642</w:t>
            </w:r>
            <w:r>
              <w:rPr>
                <w:rFonts w:ascii="Times New Roman" w:cs="Times New Roman" w:eastAsia="Times New Roman" w:hAnsi="Times New Roman"/>
                <w:sz w:val="22"/>
                <w:szCs w:val="22"/>
                <w:color w:val="008000"/>
                <w:w w:val="9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4"/>
          </w:tcPr>
          <w:p>
            <w:pPr>
              <w:ind w:left="800"/>
              <w:spacing w:after="0"/>
              <w:rPr>
                <w:sz w:val="20"/>
                <w:szCs w:val="20"/>
                <w:color w:val="auto"/>
              </w:rPr>
            </w:pPr>
            <w:r>
              <w:rPr>
                <w:rFonts w:ascii="Times New Roman" w:cs="Times New Roman" w:eastAsia="Times New Roman" w:hAnsi="Times New Roman"/>
                <w:sz w:val="17"/>
                <w:szCs w:val="17"/>
                <w:color w:val="0000FF"/>
              </w:rPr>
              <w:t>10/22/2024</w:t>
            </w: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250,000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6.78</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7,323,642</w:t>
            </w:r>
            <w:r>
              <w:rPr>
                <w:rFonts w:ascii="Times New Roman" w:cs="Times New Roman" w:eastAsia="Times New Roman" w:hAnsi="Times New Roman"/>
                <w:sz w:val="22"/>
                <w:szCs w:val="22"/>
                <w:color w:val="008000"/>
                <w:w w:val="9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108,793</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6,988,450</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20" w:type="dxa"/>
            <w:vAlign w:val="bottom"/>
            <w:gridSpan w:val="17"/>
          </w:tcPr>
          <w:p>
            <w:pPr>
              <w:jc w:val="center"/>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940" w:type="dxa"/>
            <w:vAlign w:val="bottom"/>
            <w:gridSpan w:val="13"/>
          </w:tcPr>
          <w:p>
            <w:pPr>
              <w:jc w:val="center"/>
              <w:ind w:left="9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3"/>
          </w:tcPr>
          <w:p>
            <w:pPr>
              <w:spacing w:after="0"/>
              <w:rPr>
                <w:sz w:val="7"/>
                <w:szCs w:val="7"/>
                <w:color w:val="auto"/>
              </w:rPr>
            </w:pPr>
          </w:p>
        </w:tc>
        <w:tc>
          <w:tcPr>
            <w:tcW w:w="1620" w:type="dxa"/>
            <w:vAlign w:val="bottom"/>
            <w:tcBorders>
              <w:bottom w:val="single" w:sz="8" w:color="2C2C2C"/>
            </w:tcBorders>
            <w:gridSpan w:val="3"/>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Boxer Capital Management, LLC</w:t>
              </w:r>
            </w:hyperlink>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12860 EL CAMINO REAL</w:t>
            </w: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300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DIEGO</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92130</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3"/>
          </w:tcPr>
          <w:p>
            <w:pPr>
              <w:spacing w:after="0"/>
              <w:rPr>
                <w:sz w:val="7"/>
                <w:szCs w:val="7"/>
                <w:color w:val="auto"/>
              </w:rPr>
            </w:pPr>
          </w:p>
        </w:tc>
        <w:tc>
          <w:tcPr>
            <w:tcW w:w="1620" w:type="dxa"/>
            <w:vAlign w:val="bottom"/>
            <w:tcBorders>
              <w:bottom w:val="single" w:sz="8" w:color="2C2C2C"/>
            </w:tcBorders>
            <w:gridSpan w:val="3"/>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4"/>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Davis Aaron I.</w:t>
              </w:r>
            </w:hyperlink>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12860 EL CAMINO REAL, SUITE 300</w:t>
      </w:r>
    </w:p>
    <w:p>
      <w:pPr>
        <w:sectPr>
          <w:pgSz w:w="11900" w:h="16854" w:orient="portrait"/>
          <w:cols w:equalWidth="0" w:num="1">
            <w:col w:w="11080"/>
          </w:cols>
          <w:pgMar w:left="460" w:top="219" w:right="359" w:bottom="0" w:gutter="0" w:footer="0" w:header="0"/>
          <w:type w:val="continuous"/>
        </w:sectPr>
      </w:pP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54" w:orient="portrait"/>
          <w:cols w:equalWidth="0" w:num="1">
            <w:col w:w="11080"/>
          </w:cols>
          <w:pgMar w:left="460" w:top="219" w:right="359" w:bottom="0" w:gutter="0" w:footer="0" w:header="0"/>
          <w:type w:val="continuous"/>
        </w:sectPr>
      </w:pPr>
    </w:p>
    <w:bookmarkStart w:id="1" w:name="page2"/>
    <w:bookmarkEnd w:id="1"/>
    <w:tbl>
      <w:tblPr>
        <w:tblLayout w:type="fixed"/>
        <w:tblInd w:w="80" w:type="dxa"/>
        <w:tblCellMar>
          <w:top w:w="0" w:type="dxa"/>
          <w:left w:w="0" w:type="dxa"/>
          <w:bottom w:w="0" w:type="dxa"/>
          <w:right w:w="0" w:type="dxa"/>
        </w:tblCellMar>
      </w:tblPr>
      <w:tr>
        <w:trPr>
          <w:trHeight w:val="226"/>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92130</w:t>
            </w:r>
          </w:p>
        </w:tc>
      </w:tr>
      <w:tr>
        <w:trPr>
          <w:trHeight w:val="155"/>
        </w:trPr>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-440690</wp:posOffset>
            </wp:positionV>
            <wp:extent cx="2809240" cy="520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52070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16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$7.0018 to $7.2372, inclusive. The Reporting Persons undertake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indirectly by Boxer Capital Management, LLC ("BCM") as the investment manager of an account holding such securities. BCM disclaims beneficial ownership of such securities except to the extent of its pecuniary interest therein. Mr. Davis is the Managing Member of BCM and has voting and dispositive power over securities beneficially owned by BCM, but disclaims beneficial ownership of these securities except to the extent of his pecuniary interest, if any.</w:t>
      </w:r>
    </w:p>
    <w:p>
      <w:pPr>
        <w:spacing w:after="0" w:line="20" w:lineRule="exact"/>
        <w:rPr>
          <w:rFonts w:ascii="Times New Roman" w:cs="Times New Roman" w:eastAsia="Times New Roman" w:hAnsi="Times New Roman"/>
          <w:sz w:val="13"/>
          <w:szCs w:val="13"/>
          <w:color w:val="008000"/>
        </w:rPr>
      </w:pPr>
    </w:p>
    <w:p>
      <w:pPr>
        <w:ind w:right="16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$6.7100 to $6.9050, inclusive. The Reporting Persons undertake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44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MVA Investors, LLC ("MVA Investors"). Aaron I. Davis is a member of and has voting and dispositive power over securities held by MVA Investors, but disclaims beneficial ownership of these securities except to the extent of his pecuniary interest therein, if any. BCM disclaims beneficial ownership of these securities.</w:t>
      </w:r>
    </w:p>
    <w:p>
      <w:pPr>
        <w:spacing w:after="0" w:line="7" w:lineRule="exact"/>
        <w:rPr>
          <w:rFonts w:ascii="Times New Roman" w:cs="Times New Roman" w:eastAsia="Times New Roman" w:hAnsi="Times New Roman"/>
          <w:sz w:val="13"/>
          <w:szCs w:val="13"/>
          <w:color w:val="008000"/>
        </w:rPr>
      </w:pPr>
    </w:p>
    <w:p>
      <w:pPr>
        <w:ind w:right="26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BCTG Holdings, LLC ("BCTG"). MVA Investors is a member of BCTG. Mr. Davis is a member of the investment committee of BCTG. Mr. Davis disclaims beneficial ownership of these securities except to the extent of his pecuniary interest therein, if any. BCM disclaims beneficial ownership of these securities.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The Reporting Persons may be deemed members of a group that beneficially owns more than 10% of the outstanding shares of the Issuer's Common Stock.</w:t>
      </w:r>
    </w:p>
    <w:p>
      <w:pPr>
        <w:spacing w:after="0" w:line="6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1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 Aaron I. Davis Managing</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3"/>
        </w:trPr>
        <w:tc>
          <w:tcPr>
            <w:tcW w:w="1980" w:type="dxa"/>
            <w:vAlign w:val="bottom"/>
            <w:tcBorders>
              <w:top w:val="single" w:sz="8" w:color="auto"/>
            </w:tcBorders>
            <w:gridSpan w:val="4"/>
          </w:tcPr>
          <w:p>
            <w:pPr>
              <w:spacing w:after="0" w:line="194" w:lineRule="exact"/>
              <w:rPr>
                <w:sz w:val="20"/>
                <w:szCs w:val="20"/>
                <w:color w:val="auto"/>
              </w:rPr>
            </w:pPr>
            <w:r>
              <w:rPr>
                <w:rFonts w:ascii="Times New Roman" w:cs="Times New Roman" w:eastAsia="Times New Roman" w:hAnsi="Times New Roman"/>
                <w:sz w:val="17"/>
                <w:szCs w:val="17"/>
                <w:color w:val="0000FF"/>
              </w:rPr>
              <w:t>Member, Boxer Capital</w:t>
            </w:r>
          </w:p>
        </w:tc>
        <w:tc>
          <w:tcPr>
            <w:tcW w:w="120" w:type="dxa"/>
            <w:vAlign w:val="bottom"/>
          </w:tcPr>
          <w:p>
            <w:pPr>
              <w:spacing w:after="0"/>
              <w:rPr>
                <w:sz w:val="16"/>
                <w:szCs w:val="16"/>
                <w:color w:val="auto"/>
              </w:rPr>
            </w:pPr>
          </w:p>
        </w:tc>
        <w:tc>
          <w:tcPr>
            <w:tcW w:w="900" w:type="dxa"/>
            <w:vAlign w:val="bottom"/>
            <w:gridSpan w:val="2"/>
          </w:tcPr>
          <w:p>
            <w:pPr>
              <w:ind w:left="100"/>
              <w:spacing w:after="0" w:line="194" w:lineRule="exact"/>
              <w:rPr>
                <w:sz w:val="20"/>
                <w:szCs w:val="20"/>
                <w:color w:val="auto"/>
              </w:rPr>
            </w:pPr>
            <w:r>
              <w:rPr>
                <w:rFonts w:ascii="Times New Roman" w:cs="Times New Roman" w:eastAsia="Times New Roman" w:hAnsi="Times New Roman"/>
                <w:sz w:val="17"/>
                <w:szCs w:val="17"/>
                <w:color w:val="0000FF"/>
              </w:rPr>
              <w:t>10/23/2024</w:t>
            </w:r>
          </w:p>
        </w:tc>
      </w:tr>
      <w:tr>
        <w:trPr>
          <w:trHeight w:val="193"/>
        </w:trPr>
        <w:tc>
          <w:tcPr>
            <w:tcW w:w="164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7"/>
                <w:szCs w:val="17"/>
                <w:color w:val="0000FF"/>
              </w:rPr>
              <w:t>Management, LLC</w:t>
            </w:r>
          </w:p>
        </w:tc>
        <w:tc>
          <w:tcPr>
            <w:tcW w:w="46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47"/>
        </w:trPr>
        <w:tc>
          <w:tcPr>
            <w:tcW w:w="1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Aaron I. Davis</w:t>
            </w:r>
          </w:p>
        </w:tc>
        <w:tc>
          <w:tcPr>
            <w:tcW w:w="780" w:type="dxa"/>
            <w:vAlign w:val="bottom"/>
            <w:gridSpan w:val="3"/>
          </w:tcPr>
          <w:p>
            <w:pPr>
              <w:spacing w:after="0"/>
              <w:rPr>
                <w:sz w:val="21"/>
                <w:szCs w:val="21"/>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10/23/2024</w:t>
            </w:r>
          </w:p>
        </w:tc>
      </w:tr>
      <w:tr>
        <w:trPr>
          <w:trHeight w:val="20"/>
        </w:trPr>
        <w:tc>
          <w:tcPr>
            <w:tcW w:w="1240" w:type="dxa"/>
            <w:vAlign w:val="bottom"/>
            <w:shd w:val="clear" w:color="auto" w:fill="000000"/>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10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5"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3" Type="http://schemas.openxmlformats.org/officeDocument/2006/relationships/hyperlink" Target="http://www.sec.gov/cgi-bin/browse-edgar?action=getcompany&amp;CIK=0002018299" TargetMode="External"/><Relationship Id="rId14" Type="http://schemas.openxmlformats.org/officeDocument/2006/relationships/hyperlink" Target="http://www.sec.gov/cgi-bin/browse-edgar?action=getcompany&amp;CIK=0001819133" TargetMode="External"/><Relationship Id="rId15" Type="http://schemas.openxmlformats.org/officeDocument/2006/relationships/hyperlink" Target="http://www.sec.gov/cgi-bin/browse-edgar?action=getcompany&amp;CIK=00014659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2024-10-23T20:37:56Z</dcterms:created>
  <dcterms:modified xsi:type="dcterms:W3CDTF">2024-10-23T20:37:56Z</dcterms:modified>
</cp:coreProperties>
</file>