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88265</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121285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3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240665</wp:posOffset>
            </wp:positionV>
            <wp:extent cx="1466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214630</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160" w:type="dxa"/>
        <w:tblCellMar>
          <w:top w:w="0" w:type="dxa"/>
          <w:left w:w="0" w:type="dxa"/>
          <w:bottom w:w="0" w:type="dxa"/>
          <w:right w:w="0" w:type="dxa"/>
        </w:tblCellMar>
      </w:tblPr>
      <w:tr>
        <w:trPr>
          <w:trHeight w:val="185"/>
        </w:trPr>
        <w:tc>
          <w:tcPr>
            <w:tcW w:w="1800" w:type="dxa"/>
            <w:vAlign w:val="bottom"/>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44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1460" w:type="dxa"/>
            <w:vAlign w:val="bottom"/>
          </w:tcPr>
          <w:p>
            <w:pPr>
              <w:jc w:val="center"/>
              <w:ind w:left="41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42"/>
        </w:trPr>
        <w:tc>
          <w:tcPr>
            <w:tcW w:w="1800" w:type="dxa"/>
            <w:vAlign w:val="bottom"/>
          </w:tcPr>
          <w:p>
            <w:pPr>
              <w:jc w:val="center"/>
              <w:ind w:right="311"/>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5440" w:type="dxa"/>
            <w:vAlign w:val="bottom"/>
          </w:tcPr>
          <w:p>
            <w:pPr>
              <w:jc w:val="center"/>
              <w:ind w:right="27"/>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(Commission</w:t>
            </w:r>
          </w:p>
        </w:tc>
        <w:tc>
          <w:tcPr>
            <w:tcW w:w="1460" w:type="dxa"/>
            <w:vAlign w:val="bottom"/>
          </w:tcPr>
          <w:p>
            <w:pPr>
              <w:jc w:val="center"/>
              <w:ind w:left="411"/>
              <w:spacing w:after="0" w:line="142"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73"/>
        </w:trPr>
        <w:tc>
          <w:tcPr>
            <w:tcW w:w="1800" w:type="dxa"/>
            <w:vAlign w:val="bottom"/>
          </w:tcPr>
          <w:p>
            <w:pPr>
              <w:jc w:val="center"/>
              <w:ind w:right="29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544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460" w:type="dxa"/>
            <w:vAlign w:val="bottom"/>
          </w:tcPr>
          <w:p>
            <w:pPr>
              <w:jc w:val="center"/>
              <w:ind w:left="411"/>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65"/>
        </w:trPr>
        <w:tc>
          <w:tcPr>
            <w:tcW w:w="1800" w:type="dxa"/>
            <w:vAlign w:val="bottom"/>
          </w:tcPr>
          <w:p>
            <w:pPr>
              <w:spacing w:after="0"/>
              <w:rPr>
                <w:sz w:val="24"/>
                <w:szCs w:val="24"/>
                <w:color w:val="auto"/>
              </w:rPr>
            </w:pPr>
          </w:p>
        </w:tc>
        <w:tc>
          <w:tcPr>
            <w:tcW w:w="54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100 Binney St, Suite700</w:t>
            </w:r>
          </w:p>
        </w:tc>
        <w:tc>
          <w:tcPr>
            <w:tcW w:w="1460" w:type="dxa"/>
            <w:vAlign w:val="bottom"/>
          </w:tcPr>
          <w:p>
            <w:pPr>
              <w:spacing w:after="0"/>
              <w:rPr>
                <w:sz w:val="24"/>
                <w:szCs w:val="24"/>
                <w:color w:val="auto"/>
              </w:rPr>
            </w:pPr>
          </w:p>
        </w:tc>
      </w:tr>
      <w:tr>
        <w:trPr>
          <w:trHeight w:val="198"/>
        </w:trPr>
        <w:tc>
          <w:tcPr>
            <w:tcW w:w="1800" w:type="dxa"/>
            <w:vAlign w:val="bottom"/>
          </w:tcPr>
          <w:p>
            <w:pPr>
              <w:spacing w:after="0"/>
              <w:rPr>
                <w:sz w:val="17"/>
                <w:szCs w:val="17"/>
                <w:color w:val="auto"/>
              </w:rPr>
            </w:pPr>
          </w:p>
        </w:tc>
        <w:tc>
          <w:tcPr>
            <w:tcW w:w="544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Cambridge, MA 02142</w:t>
            </w:r>
          </w:p>
        </w:tc>
        <w:tc>
          <w:tcPr>
            <w:tcW w:w="1460" w:type="dxa"/>
            <w:vAlign w:val="bottom"/>
          </w:tcPr>
          <w:p>
            <w:pPr>
              <w:spacing w:after="0"/>
              <w:rPr>
                <w:sz w:val="17"/>
                <w:szCs w:val="17"/>
                <w:color w:val="auto"/>
              </w:rPr>
            </w:pPr>
          </w:p>
        </w:tc>
      </w:tr>
      <w:tr>
        <w:trPr>
          <w:trHeight w:val="166"/>
        </w:trPr>
        <w:tc>
          <w:tcPr>
            <w:tcW w:w="1800" w:type="dxa"/>
            <w:vAlign w:val="bottom"/>
          </w:tcPr>
          <w:p>
            <w:pPr>
              <w:spacing w:after="0"/>
              <w:rPr>
                <w:sz w:val="14"/>
                <w:szCs w:val="14"/>
                <w:color w:val="auto"/>
              </w:rPr>
            </w:pPr>
          </w:p>
        </w:tc>
        <w:tc>
          <w:tcPr>
            <w:tcW w:w="544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460" w:type="dxa"/>
            <w:vAlign w:val="bottom"/>
          </w:tcPr>
          <w:p>
            <w:pPr>
              <w:spacing w:after="0"/>
              <w:rPr>
                <w:sz w:val="14"/>
                <w:szCs w:val="14"/>
                <w:color w:val="auto"/>
              </w:rPr>
            </w:pPr>
          </w:p>
        </w:tc>
      </w:tr>
      <w:tr>
        <w:trPr>
          <w:trHeight w:val="388"/>
        </w:trPr>
        <w:tc>
          <w:tcPr>
            <w:tcW w:w="1800" w:type="dxa"/>
            <w:vAlign w:val="bottom"/>
          </w:tcPr>
          <w:p>
            <w:pPr>
              <w:spacing w:after="0"/>
              <w:rPr>
                <w:sz w:val="24"/>
                <w:szCs w:val="24"/>
                <w:color w:val="auto"/>
              </w:rPr>
            </w:pPr>
          </w:p>
        </w:tc>
        <w:tc>
          <w:tcPr>
            <w:tcW w:w="54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tc>
        <w:tc>
          <w:tcPr>
            <w:tcW w:w="14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98425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5"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20"/>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100" w:type="dxa"/>
            <w:vAlign w:val="bottom"/>
          </w:tcPr>
          <w:p>
            <w:pPr>
              <w:spacing w:after="0"/>
              <w:rPr>
                <w:sz w:val="10"/>
                <w:szCs w:val="10"/>
                <w:color w:val="auto"/>
              </w:rPr>
            </w:pPr>
          </w:p>
        </w:tc>
        <w:tc>
          <w:tcPr>
            <w:tcW w:w="360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6"/>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5"/>
                <w:szCs w:val="15"/>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195"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125" w:lineRule="exact"/>
        <w:rPr>
          <w:sz w:val="24"/>
          <w:szCs w:val="24"/>
          <w:color w:val="auto"/>
        </w:rPr>
      </w:pPr>
    </w:p>
    <w:p>
      <w:pPr>
        <w:ind w:left="9320"/>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207" w:lineRule="exact"/>
        <w:rPr>
          <w:sz w:val="24"/>
          <w:szCs w:val="24"/>
          <w:color w:val="auto"/>
        </w:r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20"/>
          <w:szCs w:val="20"/>
          <w:color w:val="auto"/>
        </w:rPr>
        <w:t>On May 11, 2022, Tango Therapeutics, Inc. issued a press release relating to its results of operations and financial condition for the quarter ended March 31, 2022. A copy of the press release is furnished as Exhibit 99.1 to this Current Report on Form 8-K.</w:t>
      </w:r>
    </w:p>
    <w:p>
      <w:pPr>
        <w:spacing w:after="0" w:line="186"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4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260" w:type="dxa"/>
            <w:vAlign w:val="bottom"/>
          </w:tcPr>
          <w:p>
            <w:pPr>
              <w:spacing w:after="0"/>
              <w:rPr>
                <w:sz w:val="20"/>
                <w:szCs w:val="20"/>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Press Release issued by Tango Therapeutics, Inc. on May 11, 2022 relating to its results of operations and financial condition</w:t>
            </w:r>
          </w:p>
        </w:tc>
      </w:tr>
      <w:tr>
        <w:trPr>
          <w:trHeight w:val="183"/>
        </w:trPr>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00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20"/>
                <w:szCs w:val="20"/>
                <w:color w:val="0000FF"/>
                <w:w w:val="97"/>
              </w:rPr>
              <w:t>for the quarter ended March 31, 2022.</w:t>
            </w:r>
          </w:p>
        </w:tc>
        <w:tc>
          <w:tcPr>
            <w:tcW w:w="694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r>
      <w:tr>
        <w:trPr>
          <w:trHeight w:val="526"/>
        </w:trPr>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352"/>
        </w:trPr>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93" w:lineRule="exact"/>
        <w:rPr>
          <w:sz w:val="20"/>
          <w:szCs w:val="20"/>
          <w:color w:val="auto"/>
        </w:rPr>
      </w:pPr>
    </w:p>
    <w:p>
      <w:pPr>
        <w:ind w:right="500" w:firstLine="509"/>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900" w:type="dxa"/>
            <w:vAlign w:val="bottom"/>
          </w:tcPr>
          <w:p>
            <w:pPr>
              <w:spacing w:after="0"/>
              <w:rPr>
                <w:sz w:val="24"/>
                <w:szCs w:val="24"/>
                <w:color w:val="auto"/>
              </w:rPr>
            </w:pPr>
          </w:p>
        </w:tc>
        <w:tc>
          <w:tcPr>
            <w:tcW w:w="8340" w:type="dxa"/>
            <w:vAlign w:val="bottom"/>
            <w:gridSpan w:val="3"/>
          </w:tcPr>
          <w:p>
            <w:pPr>
              <w:ind w:left="108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4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Dated: May 11, 2022</w:t>
            </w:r>
          </w:p>
        </w:tc>
        <w:tc>
          <w:tcPr>
            <w:tcW w:w="8340" w:type="dxa"/>
            <w:vAlign w:val="bottom"/>
            <w:gridSpan w:val="3"/>
          </w:tcPr>
          <w:p>
            <w:pPr>
              <w:ind w:left="1000"/>
              <w:spacing w:after="0"/>
              <w:rPr>
                <w:sz w:val="20"/>
                <w:szCs w:val="20"/>
                <w:color w:val="auto"/>
              </w:rPr>
            </w:pPr>
            <w:r>
              <w:rPr>
                <w:rFonts w:ascii="Times New Roman" w:cs="Times New Roman" w:eastAsia="Times New Roman" w:hAnsi="Times New Roman"/>
                <w:sz w:val="22"/>
                <w:szCs w:val="22"/>
                <w:color w:val="auto"/>
              </w:rPr>
              <w:t>By: /s/ Douglas Barry__________</w:t>
            </w:r>
          </w:p>
        </w:tc>
      </w:tr>
      <w:tr>
        <w:trPr>
          <w:trHeight w:val="20"/>
        </w:trPr>
        <w:tc>
          <w:tcPr>
            <w:tcW w:w="2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2900" w:type="dxa"/>
            <w:vAlign w:val="bottom"/>
          </w:tcPr>
          <w:p>
            <w:pPr>
              <w:spacing w:after="0"/>
              <w:rPr>
                <w:sz w:val="21"/>
                <w:szCs w:val="21"/>
                <w:color w:val="auto"/>
              </w:rPr>
            </w:pPr>
          </w:p>
        </w:tc>
        <w:tc>
          <w:tcPr>
            <w:tcW w:w="4020" w:type="dxa"/>
            <w:vAlign w:val="bottom"/>
            <w:gridSpan w:val="2"/>
          </w:tcPr>
          <w:p>
            <w:pPr>
              <w:ind w:left="1080"/>
              <w:spacing w:after="0" w:line="249" w:lineRule="exact"/>
              <w:rPr>
                <w:sz w:val="20"/>
                <w:szCs w:val="20"/>
                <w:color w:val="auto"/>
              </w:rPr>
            </w:pPr>
            <w:r>
              <w:rPr>
                <w:rFonts w:ascii="Times New Roman" w:cs="Times New Roman" w:eastAsia="Times New Roman" w:hAnsi="Times New Roman"/>
                <w:sz w:val="22"/>
                <w:szCs w:val="22"/>
                <w:color w:val="auto"/>
              </w:rPr>
              <w:t>Name: Douglas Barry</w:t>
            </w:r>
          </w:p>
        </w:tc>
        <w:tc>
          <w:tcPr>
            <w:tcW w:w="4320" w:type="dxa"/>
            <w:vAlign w:val="bottom"/>
          </w:tcPr>
          <w:p>
            <w:pPr>
              <w:spacing w:after="0"/>
              <w:rPr>
                <w:sz w:val="21"/>
                <w:szCs w:val="21"/>
                <w:color w:val="auto"/>
              </w:rPr>
            </w:pPr>
          </w:p>
        </w:tc>
      </w:tr>
      <w:tr>
        <w:trPr>
          <w:trHeight w:val="282"/>
        </w:trPr>
        <w:tc>
          <w:tcPr>
            <w:tcW w:w="2900" w:type="dxa"/>
            <w:vAlign w:val="bottom"/>
          </w:tcPr>
          <w:p>
            <w:pPr>
              <w:spacing w:after="0"/>
              <w:rPr>
                <w:sz w:val="24"/>
                <w:szCs w:val="24"/>
                <w:color w:val="auto"/>
              </w:rPr>
            </w:pPr>
          </w:p>
        </w:tc>
        <w:tc>
          <w:tcPr>
            <w:tcW w:w="8340" w:type="dxa"/>
            <w:vAlign w:val="bottom"/>
            <w:gridSpan w:val="3"/>
          </w:tcPr>
          <w:p>
            <w:pPr>
              <w:ind w:left="108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103"/>
        </w:trPr>
        <w:tc>
          <w:tcPr>
            <w:tcW w:w="29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t>Tango Therapeutcs Reports First Quarter 2022 Financial Results</w:t>
      </w:r>
    </w:p>
    <w:p>
      <w:pPr>
        <w:jc w:val="center"/>
        <w:ind w:right="-59"/>
        <w:spacing w:after="0" w:line="229" w:lineRule="auto"/>
        <w:rPr>
          <w:sz w:val="20"/>
          <w:szCs w:val="20"/>
          <w:color w:val="auto"/>
        </w:rPr>
      </w:pPr>
      <w:r>
        <w:rPr>
          <w:rFonts w:ascii="Calibri" w:cs="Calibri" w:eastAsia="Calibri" w:hAnsi="Calibri"/>
          <w:sz w:val="22"/>
          <w:szCs w:val="22"/>
          <w:b w:val="1"/>
          <w:bCs w:val="1"/>
          <w:color w:val="auto"/>
        </w:rPr>
        <w:t>and Provides Business Highlights</w:t>
      </w:r>
    </w:p>
    <w:p>
      <w:pPr>
        <w:spacing w:after="0" w:line="200" w:lineRule="exact"/>
        <w:rPr>
          <w:sz w:val="20"/>
          <w:szCs w:val="20"/>
          <w:color w:val="auto"/>
        </w:rPr>
      </w:pPr>
    </w:p>
    <w:p>
      <w:pPr>
        <w:spacing w:after="0" w:line="298" w:lineRule="exact"/>
        <w:rPr>
          <w:sz w:val="20"/>
          <w:szCs w:val="20"/>
          <w:color w:val="auto"/>
        </w:rPr>
      </w:pPr>
    </w:p>
    <w:p>
      <w:pPr>
        <w:ind w:left="5060" w:right="60" w:hanging="4410"/>
        <w:spacing w:after="0" w:line="223" w:lineRule="auto"/>
        <w:rPr>
          <w:sz w:val="20"/>
          <w:szCs w:val="20"/>
          <w:color w:val="auto"/>
        </w:rPr>
      </w:pPr>
      <w:r>
        <w:rPr>
          <w:rFonts w:ascii="Calibri" w:cs="Calibri" w:eastAsia="Calibri" w:hAnsi="Calibri"/>
          <w:sz w:val="22"/>
          <w:szCs w:val="22"/>
          <w:i w:val="1"/>
          <w:iCs w:val="1"/>
          <w:color w:val="auto"/>
        </w:rPr>
        <w:t>– Phase 1/2 trial of TNG908, a synthetc lethal PRMT5 inhibitor, for the treatment of MTAP-deleted solid tumors open for enrollment –</w:t>
      </w:r>
    </w:p>
    <w:p>
      <w:pPr>
        <w:spacing w:after="0" w:line="232" w:lineRule="exact"/>
        <w:rPr>
          <w:sz w:val="20"/>
          <w:szCs w:val="20"/>
          <w:color w:val="auto"/>
        </w:rPr>
      </w:pPr>
    </w:p>
    <w:p>
      <w:pPr>
        <w:ind w:left="520"/>
        <w:spacing w:after="0"/>
        <w:rPr>
          <w:sz w:val="20"/>
          <w:szCs w:val="20"/>
          <w:color w:val="auto"/>
        </w:rPr>
      </w:pPr>
      <w:r>
        <w:rPr>
          <w:rFonts w:ascii="Calibri" w:cs="Calibri" w:eastAsia="Calibri" w:hAnsi="Calibri"/>
          <w:sz w:val="22"/>
          <w:szCs w:val="22"/>
          <w:i w:val="1"/>
          <w:iCs w:val="1"/>
          <w:color w:val="auto"/>
        </w:rPr>
        <w:t>– Declared TNG462 as a development candidate - a next-generaton PRMT5 inhibitor for MTAP-deleted solid tumors –</w:t>
      </w:r>
    </w:p>
    <w:p>
      <w:pPr>
        <w:spacing w:after="0" w:line="241" w:lineRule="exact"/>
        <w:rPr>
          <w:sz w:val="20"/>
          <w:szCs w:val="20"/>
          <w:color w:val="auto"/>
        </w:rPr>
      </w:pPr>
    </w:p>
    <w:p>
      <w:pPr>
        <w:ind w:left="20"/>
        <w:spacing w:after="0"/>
        <w:rPr>
          <w:sz w:val="20"/>
          <w:szCs w:val="20"/>
          <w:color w:val="auto"/>
        </w:rPr>
      </w:pPr>
      <w:r>
        <w:rPr>
          <w:rFonts w:ascii="Calibri" w:cs="Calibri" w:eastAsia="Calibri" w:hAnsi="Calibri"/>
          <w:sz w:val="21"/>
          <w:szCs w:val="21"/>
          <w:i w:val="1"/>
          <w:iCs w:val="1"/>
          <w:color w:val="auto"/>
        </w:rPr>
        <w:t>– Declared TNG260 as a development candidate - an inhibitor of an undisclosed synthetc lethal target that reverses the immune</w:t>
      </w:r>
    </w:p>
    <w:p>
      <w:pPr>
        <w:spacing w:after="0" w:line="1" w:lineRule="exact"/>
        <w:rPr>
          <w:sz w:val="20"/>
          <w:szCs w:val="20"/>
          <w:color w:val="auto"/>
        </w:rPr>
      </w:pPr>
    </w:p>
    <w:p>
      <w:pPr>
        <w:ind w:left="3360"/>
        <w:spacing w:after="0" w:line="217" w:lineRule="auto"/>
        <w:rPr>
          <w:sz w:val="20"/>
          <w:szCs w:val="20"/>
          <w:color w:val="auto"/>
        </w:rPr>
      </w:pPr>
      <w:r>
        <w:rPr>
          <w:rFonts w:ascii="Calibri" w:cs="Calibri" w:eastAsia="Calibri" w:hAnsi="Calibri"/>
          <w:sz w:val="22"/>
          <w:szCs w:val="22"/>
          <w:i w:val="1"/>
          <w:iCs w:val="1"/>
          <w:color w:val="auto"/>
        </w:rPr>
        <w:t>evasion efect of STK11 loss-of-functon mutatons –</w:t>
      </w:r>
    </w:p>
    <w:p>
      <w:pPr>
        <w:spacing w:after="0" w:line="241" w:lineRule="exact"/>
        <w:rPr>
          <w:sz w:val="20"/>
          <w:szCs w:val="20"/>
          <w:color w:val="auto"/>
        </w:rPr>
      </w:pPr>
    </w:p>
    <w:p>
      <w:pPr>
        <w:ind w:left="160"/>
        <w:spacing w:after="0"/>
        <w:rPr>
          <w:sz w:val="20"/>
          <w:szCs w:val="20"/>
          <w:color w:val="auto"/>
        </w:rPr>
      </w:pPr>
      <w:r>
        <w:rPr>
          <w:rFonts w:ascii="Calibri" w:cs="Calibri" w:eastAsia="Calibri" w:hAnsi="Calibri"/>
          <w:sz w:val="21"/>
          <w:szCs w:val="21"/>
          <w:i w:val="1"/>
          <w:iCs w:val="1"/>
          <w:color w:val="auto"/>
        </w:rPr>
        <w:t>– Strong cash positon of $450 million expected to support advancing discovery and clinical pipeline into second half of 2024 –</w:t>
      </w:r>
    </w:p>
    <w:p>
      <w:pPr>
        <w:spacing w:after="0" w:line="200" w:lineRule="exact"/>
        <w:rPr>
          <w:sz w:val="20"/>
          <w:szCs w:val="20"/>
          <w:color w:val="auto"/>
        </w:rPr>
      </w:pPr>
    </w:p>
    <w:p>
      <w:pPr>
        <w:spacing w:after="0" w:line="286" w:lineRule="exact"/>
        <w:rPr>
          <w:sz w:val="20"/>
          <w:szCs w:val="20"/>
          <w:color w:val="auto"/>
        </w:rPr>
      </w:pPr>
    </w:p>
    <w:p>
      <w:pPr>
        <w:ind w:right="200"/>
        <w:spacing w:after="0" w:line="225" w:lineRule="auto"/>
        <w:rPr>
          <w:sz w:val="20"/>
          <w:szCs w:val="20"/>
          <w:color w:val="auto"/>
        </w:rPr>
      </w:pPr>
      <w:r>
        <w:rPr>
          <w:rFonts w:ascii="Calibri" w:cs="Calibri" w:eastAsia="Calibri" w:hAnsi="Calibri"/>
          <w:sz w:val="22"/>
          <w:szCs w:val="22"/>
          <w:b w:val="1"/>
          <w:bCs w:val="1"/>
          <w:color w:val="auto"/>
        </w:rPr>
        <w:t xml:space="preserve">CAMBRIDGE, Mass. – May 11, 2022 </w:t>
      </w:r>
      <w:r>
        <w:rPr>
          <w:rFonts w:ascii="Calibri" w:cs="Calibri" w:eastAsia="Calibri" w:hAnsi="Calibri"/>
          <w:sz w:val="22"/>
          <w:szCs w:val="22"/>
          <w:color w:val="auto"/>
        </w:rPr>
        <w:t>– Tango Therapeutcs, Inc. (NASDAQ: TNGX), a biotechnology company commited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discovering and delivering the next generaton of precision cancer medicines, reported its fnancial results for the frst quarter ended March 31, 2022 and provided business highlights.</w:t>
      </w:r>
    </w:p>
    <w:p>
      <w:pPr>
        <w:spacing w:after="0" w:line="244" w:lineRule="exact"/>
        <w:rPr>
          <w:sz w:val="20"/>
          <w:szCs w:val="20"/>
          <w:color w:val="auto"/>
        </w:rPr>
      </w:pPr>
    </w:p>
    <w:p>
      <w:pPr>
        <w:spacing w:after="0" w:line="222" w:lineRule="auto"/>
        <w:rPr>
          <w:sz w:val="20"/>
          <w:szCs w:val="20"/>
          <w:color w:val="auto"/>
        </w:rPr>
      </w:pPr>
      <w:r>
        <w:rPr>
          <w:rFonts w:ascii="Calibri" w:cs="Calibri" w:eastAsia="Calibri" w:hAnsi="Calibri"/>
          <w:sz w:val="22"/>
          <w:szCs w:val="22"/>
          <w:color w:val="auto"/>
        </w:rPr>
        <w:t>“We’ve had a strong start to 2022, including IND clearance and Fast Track Designaton from the FDA for TNG908, our lead PRMT5 inhibitor program. We are making good progress advancing TNG908 into the clinic and expect to dose our frst patent in the Phase 1/2 clinical trial for the treatment of MTAP-deleted solid tumors in the second quarter of this year,” said Barbara Weber, M.D., President and Chief Executve Ofcer of Tango Therapeutcs. “Additonally, our development candidates, TNG462, a next-generaton PRMT5 inhibitor for MTAP-deleted solid tumors and TNG260, an inhibitor of an undisclosed synthetc lethal target that reverses the immune evasion efect of STK11 loss-of-functon mutatons, are in IND-enabling studies. Finally, with a strong current cash positon, we are confdent in our ability to advance our programs into the second half of 2024.”</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Recent Business Highlights</w:t>
      </w:r>
    </w:p>
    <w:p>
      <w:pPr>
        <w:spacing w:after="0" w:line="365" w:lineRule="exact"/>
        <w:rPr>
          <w:sz w:val="20"/>
          <w:szCs w:val="20"/>
          <w:color w:val="auto"/>
        </w:rPr>
      </w:pPr>
    </w:p>
    <w:p>
      <w:pPr>
        <w:ind w:left="1020" w:right="80" w:hanging="503"/>
        <w:spacing w:after="0" w:line="223" w:lineRule="auto"/>
        <w:tabs>
          <w:tab w:leader="none" w:pos="1020" w:val="left"/>
        </w:tabs>
        <w:numPr>
          <w:ilvl w:val="0"/>
          <w:numId w:val="3"/>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TNG908 IND cleared and granted Fast Track Designaton (FTD); frst-in-human clinical trial is now open for enrollment. </w:t>
      </w:r>
      <w:r>
        <w:rPr>
          <w:rFonts w:ascii="Calibri" w:cs="Calibri" w:eastAsia="Calibri" w:hAnsi="Calibri"/>
          <w:sz w:val="22"/>
          <w:szCs w:val="22"/>
          <w:color w:val="auto"/>
        </w:rPr>
        <w:t>As disclosed in February 2022, the U.S. Food and Drug Administraton (FDA) granted FTD to TNG908, a</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synthetc lethal small molecule inhibitor of protein arginine methyltransferase 5 (PRMT5) designed to selectvely kill cancer cells with methylthioadenosine phosphorylase (MTAP) deletons. FTD is designed to facilitate the development and expedite the review of drugs to treat serious conditons and fulfll an unmet medical need, with the potental to allow drugs to reach more patents faster.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0" w:right="379" w:bottom="1440" w:gutter="0" w:footer="0" w:header="0"/>
        </w:sectPr>
      </w:pPr>
    </w:p>
    <w:bookmarkStart w:id="4" w:name="page5"/>
    <w:bookmarkEnd w:id="4"/>
    <w:p>
      <w:pPr>
        <w:ind w:left="503"/>
        <w:spacing w:after="0" w:line="222" w:lineRule="auto"/>
        <w:rPr>
          <w:sz w:val="20"/>
          <w:szCs w:val="20"/>
          <w:color w:val="auto"/>
        </w:rPr>
      </w:pPr>
      <w:r>
        <w:rPr>
          <w:rFonts w:ascii="Calibri" w:cs="Calibri" w:eastAsia="Calibri" w:hAnsi="Calibri"/>
          <w:sz w:val="22"/>
          <w:szCs w:val="22"/>
          <w:color w:val="auto"/>
        </w:rPr>
        <w:t>As disclosed in January 2022, the FDA cleared the Investgatonal New Drug (IND) applicaton for TNG908. The Phase 1/2 clinical trial is now open for enrollment and the Company expects to have inital safety and efcacy data in the 1H 2023. Enrollment is limited to patents with confrmed MTAP-deleted solid tumors. MTAP deletons occur in approximately 10% - 15% of all human cancers, including non-small cell lung cancer, mesothelioma, cholangiocarcinoma and glioblastoma.</w:t>
      </w:r>
    </w:p>
    <w:p>
      <w:pPr>
        <w:spacing w:after="0" w:line="364" w:lineRule="exact"/>
        <w:rPr>
          <w:sz w:val="20"/>
          <w:szCs w:val="20"/>
          <w:color w:val="auto"/>
        </w:rPr>
      </w:pPr>
    </w:p>
    <w:p>
      <w:pPr>
        <w:ind w:left="503" w:right="40" w:hanging="503"/>
        <w:spacing w:after="0" w:line="223" w:lineRule="auto"/>
        <w:tabs>
          <w:tab w:leader="none" w:pos="503"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TNG462, a next-generaton PRMT5 inhibitor, declared a development candidate in 2Q 2022: </w:t>
      </w:r>
      <w:r>
        <w:rPr>
          <w:rFonts w:ascii="Calibri" w:cs="Calibri" w:eastAsia="Calibri" w:hAnsi="Calibri"/>
          <w:sz w:val="22"/>
          <w:szCs w:val="22"/>
          <w:color w:val="auto"/>
        </w:rPr>
        <w:t>Given the large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number of patents with MTAP-deleted cancers, Tango is investng in a PRMT5 franchise by developing a product candidate with increased potency, MTAP-deleton selectvity and longer target coverage. TNG462, a next-generaton PRMT5 inhibitor, is 45-fold more potent in cells with MTAP deletons than those without and induces deep tumor regressions in preclinical models of multple cancer types. The Company plans to fle an IND for TNG462 in the frst half of 2023. The clinical development path for TNG462 is expected to be similar to TNG908, evaluatng safety and efcacy in multple tumor types in a Phase 1/2 clinical trial. Glioblastoma will be excluded from the clinical trial as TNG462 does not cross the blood-brain barrier in preclinical non-human primate models.</w:t>
      </w:r>
    </w:p>
    <w:p>
      <w:pPr>
        <w:spacing w:after="0" w:line="366" w:lineRule="exact"/>
        <w:rPr>
          <w:rFonts w:ascii="Times New Roman" w:cs="Times New Roman" w:eastAsia="Times New Roman" w:hAnsi="Times New Roman"/>
          <w:sz w:val="22"/>
          <w:szCs w:val="22"/>
          <w:color w:val="auto"/>
        </w:rPr>
      </w:pPr>
    </w:p>
    <w:p>
      <w:pPr>
        <w:ind w:left="503" w:hanging="503"/>
        <w:spacing w:after="0" w:line="221" w:lineRule="auto"/>
        <w:tabs>
          <w:tab w:leader="none" w:pos="503"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TNG260, an inhibitor that reverses the immune evasion efect of STK11 mutatons, declared a development candidate in 2Q 2022: </w:t>
      </w:r>
      <w:r>
        <w:rPr>
          <w:rFonts w:ascii="Calibri" w:cs="Calibri" w:eastAsia="Calibri" w:hAnsi="Calibri"/>
          <w:sz w:val="22"/>
          <w:szCs w:val="22"/>
          <w:color w:val="auto"/>
        </w:rPr>
        <w:t>Inhibitng Target 3, an undisclosed synthetc lethal target, reverses the immune evasion efect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of serine-threonine kinase 11 (STK11) loss-of-functon mutatons in cancer models. In syngeneic models with an STK11 mutaton and an intact immune system, the combinaton of TNG260 with an ant-PD1 antbody resulted in sustained complete tumor regressions and the inducton of immune memory against re-implantaton of tumors. Tango expects to fle an IND for this program in 2023. STK11 mutatons occur in approximately 15% of non-small cell lung cancers, 15% of cervical cancers, 10% carcinoma of unknown primary, 5% of breast cancers and 3% of pancreatc cancers.</w:t>
      </w:r>
    </w:p>
    <w:p>
      <w:pPr>
        <w:spacing w:after="0" w:line="370" w:lineRule="exact"/>
        <w:rPr>
          <w:rFonts w:ascii="Times New Roman" w:cs="Times New Roman" w:eastAsia="Times New Roman" w:hAnsi="Times New Roman"/>
          <w:sz w:val="22"/>
          <w:szCs w:val="22"/>
          <w:color w:val="auto"/>
        </w:rPr>
      </w:pPr>
    </w:p>
    <w:p>
      <w:pPr>
        <w:ind w:left="503" w:right="60" w:hanging="503"/>
        <w:spacing w:after="0" w:line="223" w:lineRule="auto"/>
        <w:tabs>
          <w:tab w:leader="none" w:pos="503"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Presented preclinical data on TNG908, USP1 inhibitor program and discovery platorm at 2022 American Associaton for Cancer Research (AACR) Annual Meetng</w:t>
      </w:r>
      <w:r>
        <w:rPr>
          <w:rFonts w:ascii="Calibri" w:cs="Calibri" w:eastAsia="Calibri" w:hAnsi="Calibri"/>
          <w:sz w:val="22"/>
          <w:szCs w:val="22"/>
          <w:color w:val="auto"/>
        </w:rPr>
        <w:t>. Last month, the Company presented three posters at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2022 AACR Annual Meetng. The posters highlight the potental applicability of synthetc lethal drugs targetng across a range of cancer types, including TNG908 and the USP1 (ubiquitn-specifc protease 1) program.</w:t>
      </w:r>
    </w:p>
    <w:p>
      <w:pPr>
        <w:spacing w:after="0" w:line="365" w:lineRule="exact"/>
        <w:rPr>
          <w:rFonts w:ascii="Times New Roman" w:cs="Times New Roman" w:eastAsia="Times New Roman" w:hAnsi="Times New Roman"/>
          <w:sz w:val="22"/>
          <w:szCs w:val="22"/>
          <w:color w:val="auto"/>
        </w:rPr>
      </w:pPr>
    </w:p>
    <w:p>
      <w:pPr>
        <w:ind w:left="503" w:hanging="503"/>
        <w:spacing w:after="0" w:line="225" w:lineRule="auto"/>
        <w:tabs>
          <w:tab w:leader="none" w:pos="503" w:val="left"/>
        </w:tabs>
        <w:numPr>
          <w:ilvl w:val="0"/>
          <w:numId w:val="4"/>
        </w:numPr>
        <w:rPr>
          <w:rFonts w:ascii="Times New Roman" w:cs="Times New Roman" w:eastAsia="Times New Roman" w:hAnsi="Times New Roman"/>
          <w:sz w:val="22"/>
          <w:szCs w:val="22"/>
          <w:color w:val="auto"/>
        </w:rPr>
      </w:pPr>
      <w:r>
        <w:rPr>
          <w:rFonts w:ascii="Calibri" w:cs="Calibri" w:eastAsia="Calibri" w:hAnsi="Calibri"/>
          <w:sz w:val="22"/>
          <w:szCs w:val="22"/>
          <w:b w:val="1"/>
          <w:bCs w:val="1"/>
          <w:color w:val="auto"/>
        </w:rPr>
        <w:t xml:space="preserve">Presented preclinical TNG908 combinaton data at 2022 European Society for Medical Oncology (ESMO) Targeted Antcancer Therapies Congress. </w:t>
      </w:r>
      <w:r>
        <w:rPr>
          <w:rFonts w:ascii="Calibri" w:cs="Calibri" w:eastAsia="Calibri" w:hAnsi="Calibri"/>
          <w:sz w:val="22"/>
          <w:szCs w:val="22"/>
          <w:color w:val="auto"/>
        </w:rPr>
        <w:t>In March, the Company presented at the 2022 ESMO Targeted Antcancer Therapies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Congress.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228600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611" w:right="399" w:bottom="1440" w:gutter="0" w:footer="0" w:header="0"/>
        </w:sectPr>
      </w:pPr>
    </w:p>
    <w:bookmarkStart w:id="5" w:name="page6"/>
    <w:bookmarkEnd w:id="5"/>
    <w:p>
      <w:pPr>
        <w:ind w:left="1020" w:right="340"/>
        <w:spacing w:after="0" w:line="229" w:lineRule="auto"/>
        <w:rPr>
          <w:sz w:val="20"/>
          <w:szCs w:val="20"/>
          <w:color w:val="auto"/>
        </w:rPr>
      </w:pPr>
      <w:r>
        <w:rPr>
          <w:rFonts w:ascii="Calibri" w:cs="Calibri" w:eastAsia="Calibri" w:hAnsi="Calibri"/>
          <w:sz w:val="22"/>
          <w:szCs w:val="22"/>
          <w:color w:val="auto"/>
        </w:rPr>
        <w:t>posters highlight the synergy between TNG908 and the KRAS inhibitor, sotorasib, in xenograf models with MTAP deleton and a KRAS G12C mutaton.</w:t>
      </w:r>
    </w:p>
    <w:p>
      <w:pPr>
        <w:spacing w:after="0" w:line="39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Financial Results</w:t>
      </w:r>
    </w:p>
    <w:p>
      <w:pPr>
        <w:spacing w:after="0" w:line="242" w:lineRule="exact"/>
        <w:rPr>
          <w:sz w:val="20"/>
          <w:szCs w:val="20"/>
          <w:color w:val="auto"/>
        </w:rPr>
      </w:pPr>
    </w:p>
    <w:p>
      <w:pPr>
        <w:spacing w:after="0" w:line="222" w:lineRule="auto"/>
        <w:rPr>
          <w:sz w:val="20"/>
          <w:szCs w:val="20"/>
          <w:color w:val="auto"/>
        </w:rPr>
      </w:pPr>
      <w:r>
        <w:rPr>
          <w:rFonts w:ascii="Calibri" w:cs="Calibri" w:eastAsia="Calibri" w:hAnsi="Calibri"/>
          <w:sz w:val="22"/>
          <w:szCs w:val="22"/>
          <w:color w:val="auto"/>
        </w:rPr>
        <w:t>As of March 31, 2022, the Company held $449.9 million in cash, cash equivalents and marketable securites, which the company believes to be sufcient to fund operatons into the second half of 2024.</w:t>
      </w:r>
    </w:p>
    <w:p>
      <w:pPr>
        <w:spacing w:after="0" w:line="246" w:lineRule="exact"/>
        <w:rPr>
          <w:sz w:val="20"/>
          <w:szCs w:val="20"/>
          <w:color w:val="auto"/>
        </w:rPr>
      </w:pPr>
    </w:p>
    <w:p>
      <w:pPr>
        <w:ind w:right="100"/>
        <w:spacing w:after="0" w:line="225" w:lineRule="auto"/>
        <w:rPr>
          <w:sz w:val="20"/>
          <w:szCs w:val="20"/>
          <w:color w:val="auto"/>
        </w:rPr>
      </w:pPr>
      <w:r>
        <w:rPr>
          <w:rFonts w:ascii="Calibri" w:cs="Calibri" w:eastAsia="Calibri" w:hAnsi="Calibri"/>
          <w:sz w:val="22"/>
          <w:szCs w:val="22"/>
          <w:color w:val="auto"/>
        </w:rPr>
        <w:t>Collaboraton revenue was $5.8 million for the three months ended March 31, 2022, compared to $6.4 million for the same period in 2021. The decrease was due to lower research costs incurred under the Gilead collaboraton during the three months ended March 31, 2022 resultng in lower collaboraton revenue recogniton.</w:t>
      </w:r>
    </w:p>
    <w:p>
      <w:pPr>
        <w:spacing w:after="0" w:line="230" w:lineRule="exact"/>
        <w:rPr>
          <w:sz w:val="20"/>
          <w:szCs w:val="20"/>
          <w:color w:val="auto"/>
        </w:rPr>
      </w:pPr>
    </w:p>
    <w:p>
      <w:pPr>
        <w:ind w:right="320"/>
        <w:spacing w:after="0" w:line="225" w:lineRule="auto"/>
        <w:rPr>
          <w:sz w:val="20"/>
          <w:szCs w:val="20"/>
          <w:color w:val="auto"/>
        </w:rPr>
      </w:pPr>
      <w:r>
        <w:rPr>
          <w:rFonts w:ascii="Calibri" w:cs="Calibri" w:eastAsia="Calibri" w:hAnsi="Calibri"/>
          <w:sz w:val="22"/>
          <w:szCs w:val="22"/>
          <w:color w:val="auto"/>
        </w:rPr>
        <w:t>Research and development expenses were $24.3 million for the three months ended March 31, 2022, compared to $15.0 million for the same period in 2021. The change was primarily due to increased expenses relatng to the advancement of the programs and personnel-related costs.</w:t>
      </w:r>
    </w:p>
    <w:p>
      <w:pPr>
        <w:spacing w:after="0" w:line="244" w:lineRule="exact"/>
        <w:rPr>
          <w:sz w:val="20"/>
          <w:szCs w:val="20"/>
          <w:color w:val="auto"/>
        </w:rPr>
      </w:pPr>
    </w:p>
    <w:p>
      <w:pPr>
        <w:ind w:right="200"/>
        <w:spacing w:after="0" w:line="223" w:lineRule="auto"/>
        <w:rPr>
          <w:sz w:val="20"/>
          <w:szCs w:val="20"/>
          <w:color w:val="auto"/>
        </w:rPr>
      </w:pPr>
      <w:r>
        <w:rPr>
          <w:rFonts w:ascii="Calibri" w:cs="Calibri" w:eastAsia="Calibri" w:hAnsi="Calibri"/>
          <w:sz w:val="22"/>
          <w:szCs w:val="22"/>
          <w:color w:val="auto"/>
        </w:rPr>
        <w:t>General and administratve expenses were $6.8 million for the three months ended March 31, 2022, compared to $3.5 million for the same period in 2021. The change was primarily due to increases in personnel-related costs.</w:t>
      </w:r>
    </w:p>
    <w:p>
      <w:pPr>
        <w:spacing w:after="0" w:line="243" w:lineRule="exact"/>
        <w:rPr>
          <w:sz w:val="20"/>
          <w:szCs w:val="20"/>
          <w:color w:val="auto"/>
        </w:rPr>
      </w:pPr>
    </w:p>
    <w:p>
      <w:pPr>
        <w:ind w:right="440"/>
        <w:spacing w:after="0" w:line="223" w:lineRule="auto"/>
        <w:rPr>
          <w:sz w:val="20"/>
          <w:szCs w:val="20"/>
          <w:color w:val="auto"/>
        </w:rPr>
      </w:pPr>
      <w:r>
        <w:rPr>
          <w:rFonts w:ascii="Calibri" w:cs="Calibri" w:eastAsia="Calibri" w:hAnsi="Calibri"/>
          <w:sz w:val="22"/>
          <w:szCs w:val="22"/>
          <w:color w:val="auto"/>
        </w:rPr>
        <w:t>Net loss for the three months ended March 31, 2022 was $25.2 million, or $0.29 per share, compared to a net loss of $12.1 million, or $0.29 per share, in the same period in 2021.</w:t>
      </w:r>
    </w:p>
    <w:p>
      <w:pPr>
        <w:spacing w:after="0" w:line="23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Tango Therapeutcs</w:t>
      </w:r>
    </w:p>
    <w:p>
      <w:pPr>
        <w:spacing w:after="0" w:line="242" w:lineRule="exact"/>
        <w:rPr>
          <w:sz w:val="20"/>
          <w:szCs w:val="20"/>
          <w:color w:val="auto"/>
        </w:rPr>
      </w:pPr>
    </w:p>
    <w:p>
      <w:pPr>
        <w:spacing w:after="0" w:line="235" w:lineRule="auto"/>
        <w:rPr>
          <w:sz w:val="20"/>
          <w:szCs w:val="20"/>
          <w:color w:val="auto"/>
        </w:rPr>
      </w:pPr>
      <w:r>
        <w:rPr>
          <w:rFonts w:ascii="Calibri" w:cs="Calibri" w:eastAsia="Calibri" w:hAnsi="Calibri"/>
          <w:sz w:val="21"/>
          <w:szCs w:val="21"/>
          <w:color w:val="auto"/>
        </w:rPr>
        <w:t>Tango Therapeutcs is a biotechnology company dedicated to discovering novel drug targets and delivering the next generaton of precision medicine for the treatment of cancer. Using an approach that starts and ends with patents, Tango leverages the genetc principle of synthetc lethality to discover and develop therapies that take aim at critcal targets in cancer. This includes expanding the universe of precision oncology targets into novel areas such as tumor suppressor gene loss and their contributon to the ability of cancer cells to evade immune cell killing. For more informaton, please visit www.tangotx.com.</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243" w:lineRule="exact"/>
        <w:rPr>
          <w:sz w:val="20"/>
          <w:szCs w:val="20"/>
          <w:color w:val="auto"/>
        </w:rPr>
      </w:pPr>
    </w:p>
    <w:p>
      <w:pPr>
        <w:ind w:right="20"/>
        <w:spacing w:after="0" w:line="224" w:lineRule="auto"/>
        <w:rPr>
          <w:sz w:val="20"/>
          <w:szCs w:val="20"/>
          <w:color w:val="auto"/>
        </w:rPr>
      </w:pPr>
      <w:r>
        <w:rPr>
          <w:rFonts w:ascii="Calibri" w:cs="Calibri" w:eastAsia="Calibri" w:hAnsi="Calibri"/>
          <w:sz w:val="22"/>
          <w:szCs w:val="22"/>
          <w:color w:val="auto"/>
        </w:rPr>
        <w:t>Certain statements in this press release may be considered forward-looking statements. Forward-looking statements generally relate to future events, Tango’s future operatng performance, goals, the antcipated benefts of therapies and combinaton therapies (that include a Tango pipeline product), expectatons, beliefs and development objectves for Tango’s product pipeline and clinical trials. In some cases, you can identfy forward-looking statements by terminology such as “may”, “should”, “expect”, “intend”, “will”, “goal”, “estmate”,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2" w:right="379" w:bottom="1440" w:gutter="0" w:footer="0" w:header="0"/>
        </w:sectPr>
      </w:pPr>
    </w:p>
    <w:bookmarkStart w:id="6" w:name="page7"/>
    <w:bookmarkEnd w:id="6"/>
    <w:p>
      <w:pPr>
        <w:spacing w:after="0"/>
        <w:rPr>
          <w:sz w:val="20"/>
          <w:szCs w:val="20"/>
          <w:color w:val="auto"/>
        </w:rPr>
      </w:pPr>
      <w:r>
        <w:rPr>
          <w:rFonts w:ascii="Calibri" w:cs="Calibri" w:eastAsia="Calibri" w:hAnsi="Calibri"/>
          <w:sz w:val="21"/>
          <w:szCs w:val="21"/>
          <w:color w:val="auto"/>
        </w:rPr>
        <w:t>“antcipate”, “believe”, “predict”, “potental” or “contnue”, or the negatves of these terms or variatons of them or similar terminology. For example, statements concerning the following include or consttute forward-looking statements: the Company believes that it has sufcient cash balances to fund operatons (including to support advancing discovery and its clinical pipeline) into the second half of 2024; antcipated milestones in the Company’s research and development programs; a Phase 1/2 study for TNG908 is now open for enrollment and we expect to dose a patent in second quarter of 2022; expectatons regarding progressing Company development candidates in 2022 and beyond, including TNG462 and TNG260; the Company antcipates having preliminary safety and efcacy data in the TNG908 Phase 1/2 study in the frst half of 2023; FTD has the potental to allow drugs to reach patents earlier; the planned clinical development path for TNG462 (expected to be similar to TNG908); Tango plans to evaluate TNG908 in GBM; the expected benefts of TNG908 and the Company's other development candidates and other product candidates; and the expected tming of: (i) development candidate declaraton for certain targets, (ii) initatng IND-enabling studies; (iii) fling INDs; (iv) clinical trial initaton and (v) disclosing preliminary and fnal clinical trial results. Such forward-looking statements are subject to risks, uncertaintes, and other factors which could cause actual results to difer materially from those expressed or implied by such forward looking statements. These forward-looking statements are based upon estmates and assumptons that, while considered reasonable by Tango and its management are inherently uncertain. New risks and uncertaintes may emerge from tme to tme, and it is not possible to predict all risks and uncertaintes. Factors that may cause actual results to difer materially from current expectatons include, but are not limited to: Tango has limited experience conductng clinical trials (and will rely on a third party to operate the clinical trial for TNG908) and may not be able to commence the clinical trial when expected and may not generate results (including fnal or preliminary safety and efcacy data) in the antcipated tmeframe (or at all); benefts of product candidates seen in preclinical analyses may not be evident when tested in clinical trials or when used in broader patent populatons (if approved for commercial sale); the benefts of Tango pipeline products, development candidates and potental combinaton therapies that are seen in pre-clinical experiments may not be present in clinical trials or in use commercially or may not be safe and/or efectve in humans (and Tango or a third-party may not be able to obtain approval or commercial sales of any combinaton therapies); Tango has a limited operatng history and has not generated any revenue to date from drug sales, and may never become proftable; the Company may not be able to identfy development candidates on the schedule it antcipates due to technical, fnancial or other reasons; the Company may not be able to fle INDs for development candidates on tme, or at all, due to technical or fnancial reasons or otherwise; the Company may utlize cash resources more quickly than antcipated and, if so, may not have sufcient cash to fund operatons to the second half of 2024; Tango will need to raise capital in the future and if we are unable to raise capital when needed or on atractve terms, we would be forced to delay, scale back or discontnue some of our development programs or future commercializaton eforts; we may be unable to advance our preclinical development programs into and through the clinic for safety or efcacy reasons or commercialize our product candidates or we may experience signifcant delays in doing so as a result of factors beyond Tango’s control; the Company may not be able to realize the benefts of fast track designaton (and such designaton may not advance any antcipated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7" w:name="page8"/>
    <w:bookmarkEnd w:id="7"/>
    <w:p>
      <w:pPr>
        <w:spacing w:after="0" w:line="222" w:lineRule="auto"/>
        <w:rPr>
          <w:sz w:val="20"/>
          <w:szCs w:val="20"/>
          <w:color w:val="auto"/>
        </w:rPr>
      </w:pPr>
      <w:r>
        <w:rPr>
          <w:rFonts w:ascii="Calibri" w:cs="Calibri" w:eastAsia="Calibri" w:hAnsi="Calibri"/>
          <w:sz w:val="22"/>
          <w:szCs w:val="22"/>
          <w:color w:val="auto"/>
        </w:rPr>
        <w:t>tmelines); Tango’s approach to the discovery and development of product candidates is novel and unproven, which makes it difcult to predict the tme, cost of development, and likelihood of successfully developing any products; Tango may not identfy or discover additonal product candidates or may expend limited resources to pursue a partcular product candidate or indicaton and fail to capitalize on product candidates or indicatons that may be more proftable or for which there is a greater likelihood of success; our products candidates may cause adverse or other undesirable side efects (or may not show requisite efcacy) that could, among other things, delay or prevent regulatory approval; our dependence on third partes for conductng clinical trials and producing drug product; our ability to obtain and maintain patent and other intellectual property protecton for our technology and product candidates or the scope of intellectual property protecton obtained is not sufciently broad; and delays and other impacts on product development and clinical trials from the COVID-19 pandemic. Additonal informaton concerning risks, uncertaintes and assumptons can be found in Tango’s flings with the SEC, including the risk factors referenced in Tango’s Annual Report on Form 10-K fled with the SEC on March 28, 2022. You should not place undue reliance on forward-looking statements in this presentaton, which speak only as of the date they are made and are qualifed in their entrety by reference to the cautonary statements herein. Tango specifcally disclaims any duty to update these forward-looking statements.</w:t>
      </w:r>
    </w:p>
    <w:p>
      <w:pPr>
        <w:spacing w:after="0" w:line="23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Investor Contact:</w:t>
      </w:r>
    </w:p>
    <w:p>
      <w:pPr>
        <w:spacing w:after="0" w:line="231" w:lineRule="auto"/>
        <w:rPr>
          <w:sz w:val="20"/>
          <w:szCs w:val="20"/>
          <w:color w:val="auto"/>
        </w:rPr>
      </w:pPr>
      <w:r>
        <w:rPr>
          <w:rFonts w:ascii="Calibri" w:cs="Calibri" w:eastAsia="Calibri" w:hAnsi="Calibri"/>
          <w:sz w:val="22"/>
          <w:szCs w:val="22"/>
          <w:color w:val="auto"/>
        </w:rPr>
        <w:t>Sam Martn/Michael Barron</w:t>
      </w:r>
    </w:p>
    <w:p>
      <w:pPr>
        <w:spacing w:after="0" w:line="217" w:lineRule="auto"/>
        <w:rPr>
          <w:sz w:val="20"/>
          <w:szCs w:val="20"/>
          <w:color w:val="auto"/>
        </w:rPr>
      </w:pPr>
      <w:r>
        <w:rPr>
          <w:rFonts w:ascii="Calibri" w:cs="Calibri" w:eastAsia="Calibri" w:hAnsi="Calibri"/>
          <w:sz w:val="22"/>
          <w:szCs w:val="22"/>
          <w:color w:val="auto"/>
        </w:rPr>
        <w:t>Argot Partners</w:t>
      </w:r>
    </w:p>
    <w:p>
      <w:pPr>
        <w:spacing w:after="0"/>
        <w:rPr>
          <w:sz w:val="20"/>
          <w:szCs w:val="20"/>
          <w:color w:val="auto"/>
        </w:rPr>
      </w:pPr>
      <w:r>
        <w:rPr>
          <w:rFonts w:ascii="Times New Roman" w:cs="Times New Roman" w:eastAsia="Times New Roman" w:hAnsi="Times New Roman"/>
          <w:sz w:val="20"/>
          <w:szCs w:val="20"/>
          <w:color w:val="auto"/>
        </w:rPr>
        <w:t>tango@argotpartners.com</w:t>
      </w:r>
    </w:p>
    <w:p>
      <w:pPr>
        <w:spacing w:after="0" w:line="24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Media Contact:</w:t>
      </w:r>
    </w:p>
    <w:p>
      <w:pPr>
        <w:spacing w:after="0" w:line="227" w:lineRule="auto"/>
        <w:rPr>
          <w:sz w:val="20"/>
          <w:szCs w:val="20"/>
          <w:color w:val="auto"/>
        </w:rPr>
      </w:pPr>
      <w:r>
        <w:rPr>
          <w:rFonts w:ascii="Calibri" w:cs="Calibri" w:eastAsia="Calibri" w:hAnsi="Calibri"/>
          <w:sz w:val="22"/>
          <w:szCs w:val="22"/>
          <w:color w:val="auto"/>
        </w:rPr>
        <w:t>Joshua R. Mansbach</w:t>
      </w:r>
    </w:p>
    <w:p>
      <w:pPr>
        <w:spacing w:after="0" w:line="219" w:lineRule="auto"/>
        <w:rPr>
          <w:sz w:val="20"/>
          <w:szCs w:val="20"/>
          <w:color w:val="auto"/>
        </w:rPr>
      </w:pPr>
      <w:r>
        <w:rPr>
          <w:rFonts w:ascii="Calibri" w:cs="Calibri" w:eastAsia="Calibri" w:hAnsi="Calibri"/>
          <w:sz w:val="22"/>
          <w:szCs w:val="22"/>
          <w:color w:val="auto"/>
        </w:rPr>
        <w:t>Argot Partners</w:t>
      </w:r>
    </w:p>
    <w:p>
      <w:pPr>
        <w:spacing w:after="0"/>
        <w:rPr>
          <w:sz w:val="20"/>
          <w:szCs w:val="20"/>
          <w:color w:val="auto"/>
        </w:rPr>
      </w:pPr>
      <w:r>
        <w:rPr>
          <w:rFonts w:ascii="Times New Roman" w:cs="Times New Roman" w:eastAsia="Times New Roman" w:hAnsi="Times New Roman"/>
          <w:sz w:val="20"/>
          <w:szCs w:val="20"/>
          <w:color w:val="auto"/>
        </w:rPr>
        <w:t>tango@argotpartners.com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22"/>
          <w:szCs w:val="22"/>
          <w:b w:val="1"/>
          <w:bCs w:val="1"/>
          <w:color w:val="auto"/>
        </w:rPr>
        <w:t>Consolidated Statements of Operatons</w:t>
      </w:r>
    </w:p>
    <w:p>
      <w:pPr>
        <w:jc w:val="center"/>
        <w:spacing w:after="0" w:line="217" w:lineRule="auto"/>
        <w:rPr>
          <w:sz w:val="20"/>
          <w:szCs w:val="20"/>
          <w:color w:val="auto"/>
        </w:rPr>
      </w:pPr>
      <w:r>
        <w:rPr>
          <w:rFonts w:ascii="Calibri" w:cs="Calibri" w:eastAsia="Calibri" w:hAnsi="Calibri"/>
          <w:sz w:val="22"/>
          <w:szCs w:val="22"/>
          <w:b w:val="1"/>
          <w:bCs w:val="1"/>
          <w:color w:val="auto"/>
        </w:rPr>
        <w:t>(In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6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18"/>
                <w:szCs w:val="18"/>
                <w:color w:val="auto"/>
              </w:rPr>
            </w:pPr>
          </w:p>
        </w:tc>
      </w:tr>
      <w:tr>
        <w:trPr>
          <w:trHeight w:val="210"/>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31,137</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(25,379 )</w:t>
            </w:r>
          </w:p>
        </w:tc>
        <w:tc>
          <w:tcPr>
            <w:tcW w:w="4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(12,081 )</w:t>
            </w: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(47 )</w:t>
            </w:r>
          </w:p>
        </w:tc>
        <w:tc>
          <w:tcPr>
            <w:tcW w:w="4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10"/>
        </w:trPr>
        <w:tc>
          <w:tcPr>
            <w:tcW w:w="7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FF0FC"/>
            </w:tcBorders>
          </w:tcPr>
          <w:p>
            <w:pPr>
              <w:spacing w:after="0"/>
              <w:rPr>
                <w:sz w:val="18"/>
                <w:szCs w:val="18"/>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0"/>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(0.29 )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(0.29 )</w:t>
            </w:r>
          </w:p>
        </w:tc>
      </w:tr>
      <w:tr>
        <w:trPr>
          <w:trHeight w:val="171"/>
        </w:trPr>
        <w:tc>
          <w:tcPr>
            <w:tcW w:w="76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basic and diluted</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87,670,653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41,575,143</w:t>
            </w:r>
          </w:p>
        </w:tc>
        <w:tc>
          <w:tcPr>
            <w:tcW w:w="100" w:type="dxa"/>
            <w:vAlign w:val="bottom"/>
          </w:tcPr>
          <w:p>
            <w:pPr>
              <w:spacing w:after="0"/>
              <w:rPr>
                <w:sz w:val="20"/>
                <w:szCs w:val="20"/>
                <w:color w:val="auto"/>
              </w:rPr>
            </w:pPr>
          </w:p>
        </w:tc>
      </w:tr>
      <w:tr>
        <w:trPr>
          <w:trHeight w:val="3301"/>
        </w:trPr>
        <w:tc>
          <w:tcPr>
            <w:tcW w:w="7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-3779520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-3779520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-3222625</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-3222625</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-2647950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-2647950</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22"/>
          <w:szCs w:val="22"/>
          <w:b w:val="1"/>
          <w:bCs w:val="1"/>
          <w:color w:val="auto"/>
        </w:rPr>
        <w:t>Consolidated Balance Sheets</w:t>
      </w:r>
    </w:p>
    <w:p>
      <w:pPr>
        <w:jc w:val="center"/>
        <w:spacing w:after="0" w:line="218" w:lineRule="auto"/>
        <w:rPr>
          <w:sz w:val="20"/>
          <w:szCs w:val="20"/>
          <w:color w:val="auto"/>
        </w:rPr>
      </w:pPr>
      <w:r>
        <w:rPr>
          <w:rFonts w:ascii="Calibri" w:cs="Calibri" w:eastAsia="Calibri" w:hAnsi="Calibri"/>
          <w:sz w:val="22"/>
          <w:szCs w:val="22"/>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6"/>
                <w:szCs w:val="16"/>
                <w:color w:val="auto"/>
              </w:rPr>
            </w:pPr>
          </w:p>
        </w:tc>
      </w:tr>
      <w:tr>
        <w:trPr>
          <w:trHeight w:val="19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99,909</w:t>
            </w:r>
          </w:p>
        </w:tc>
        <w:tc>
          <w:tcPr>
            <w:tcW w:w="5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349,976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6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8,202</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460,654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17"/>
                <w:szCs w:val="17"/>
                <w:color w:val="auto"/>
              </w:rPr>
            </w:pPr>
          </w:p>
        </w:tc>
      </w:tr>
      <w:tr>
        <w:trPr>
          <w:trHeight w:val="19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471,525</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25,024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0" w:type="dxa"/>
            <w:vAlign w:val="bottom"/>
          </w:tcPr>
          <w:p>
            <w:pPr>
              <w:spacing w:after="0"/>
              <w:rPr>
                <w:sz w:val="17"/>
                <w:szCs w:val="17"/>
                <w:color w:val="auto"/>
              </w:rPr>
            </w:pPr>
          </w:p>
        </w:tc>
      </w:tr>
      <w:tr>
        <w:trPr>
          <w:trHeight w:val="19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39,211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111,958</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60" w:type="dxa"/>
            <w:vAlign w:val="bottom"/>
            <w:shd w:val="clear" w:color="auto" w:fill="CFF0FC"/>
          </w:tcPr>
          <w:p>
            <w:pPr>
              <w:spacing w:after="0"/>
              <w:rPr>
                <w:sz w:val="17"/>
                <w:szCs w:val="17"/>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r>
      <w:tr>
        <w:trPr>
          <w:trHeight w:val="19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151,169</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320,356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6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471,525</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54"/>
        </w:trPr>
        <w:tc>
          <w:tcPr>
            <w:tcW w:w="7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-3016885</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-3016885</wp:posOffset>
            </wp:positionV>
            <wp:extent cx="4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-2228215</wp:posOffset>
            </wp:positionV>
            <wp:extent cx="431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-2228215</wp:posOffset>
            </wp:positionV>
            <wp:extent cx="43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-401955</wp:posOffset>
            </wp:positionV>
            <wp:extent cx="431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-385445</wp:posOffset>
            </wp:positionV>
            <wp:extent cx="43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-401955</wp:posOffset>
            </wp:positionV>
            <wp:extent cx="43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-385445</wp:posOffset>
            </wp:positionV>
            <wp:extent cx="431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2022-05-11T06:13:24Z</dcterms:created>
  <dcterms:modified xsi:type="dcterms:W3CDTF">2022-05-11T06:13:24Z</dcterms:modified>
</cp:coreProperties>
</file>